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As filed with the Securities and Exchange Commission on March 12, 2020</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177800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2</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F-1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169545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216"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2540" w:type="dxa"/>
            <w:vAlign w:val="bottom"/>
          </w:tcPr>
          <w:p>
            <w:pPr>
              <w:jc w:val="center"/>
              <w:ind w:right="582"/>
              <w:spacing w:after="0"/>
              <w:rPr>
                <w:sz w:val="20"/>
                <w:szCs w:val="20"/>
                <w:color w:val="auto"/>
              </w:rPr>
            </w:pPr>
            <w:r>
              <w:rPr>
                <w:rFonts w:ascii="Arial" w:cs="Arial" w:eastAsia="Arial" w:hAnsi="Arial"/>
                <w:sz w:val="18"/>
                <w:szCs w:val="18"/>
                <w:b w:val="1"/>
                <w:bCs w:val="1"/>
                <w:color w:val="auto"/>
                <w:w w:val="99"/>
              </w:rPr>
              <w:t>England and Wales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9"/>
              </w:rPr>
              <w:t>2834</w:t>
            </w:r>
          </w:p>
        </w:tc>
        <w:tc>
          <w:tcPr>
            <w:tcW w:w="2120" w:type="dxa"/>
            <w:vAlign w:val="bottom"/>
          </w:tcPr>
          <w:p>
            <w:pPr>
              <w:jc w:val="center"/>
              <w:ind w:left="62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2540" w:type="dxa"/>
            <w:vAlign w:val="bottom"/>
          </w:tcPr>
          <w:p>
            <w:pPr>
              <w:jc w:val="center"/>
              <w:ind w:right="562"/>
              <w:spacing w:after="0"/>
              <w:rPr>
                <w:sz w:val="20"/>
                <w:szCs w:val="20"/>
                <w:color w:val="auto"/>
              </w:rPr>
            </w:pPr>
            <w:r>
              <w:rPr>
                <w:rFonts w:ascii="Arial" w:cs="Arial" w:eastAsia="Arial" w:hAnsi="Arial"/>
                <w:sz w:val="14"/>
                <w:szCs w:val="14"/>
                <w:color w:val="auto"/>
              </w:rPr>
              <w:t>(State or Other Jurisdiction of</w:t>
            </w:r>
          </w:p>
        </w:tc>
        <w:tc>
          <w:tcPr>
            <w:tcW w:w="4380" w:type="dxa"/>
            <w:vAlign w:val="bottom"/>
          </w:tcPr>
          <w:p>
            <w:pPr>
              <w:jc w:val="center"/>
              <w:ind w:right="2"/>
              <w:spacing w:after="0"/>
              <w:rPr>
                <w:sz w:val="20"/>
                <w:szCs w:val="20"/>
                <w:color w:val="auto"/>
              </w:rPr>
            </w:pPr>
            <w:r>
              <w:rPr>
                <w:rFonts w:ascii="Arial" w:cs="Arial" w:eastAsia="Arial" w:hAnsi="Arial"/>
                <w:sz w:val="14"/>
                <w:szCs w:val="14"/>
                <w:color w:val="auto"/>
              </w:rPr>
              <w:t>(Primary Standard Industrial Classification Code</w:t>
            </w:r>
          </w:p>
        </w:tc>
        <w:tc>
          <w:tcPr>
            <w:tcW w:w="2120" w:type="dxa"/>
            <w:vAlign w:val="bottom"/>
          </w:tcPr>
          <w:p>
            <w:pPr>
              <w:jc w:val="center"/>
              <w:ind w:left="622"/>
              <w:spacing w:after="0"/>
              <w:rPr>
                <w:sz w:val="20"/>
                <w:szCs w:val="20"/>
                <w:color w:val="auto"/>
              </w:rPr>
            </w:pPr>
            <w:r>
              <w:rPr>
                <w:rFonts w:ascii="Arial" w:cs="Arial" w:eastAsia="Arial" w:hAnsi="Arial"/>
                <w:sz w:val="14"/>
                <w:szCs w:val="14"/>
                <w:color w:val="auto"/>
              </w:rPr>
              <w:t>(I.R.S. Employer</w:t>
            </w:r>
          </w:p>
        </w:tc>
      </w:tr>
      <w:tr>
        <w:trPr>
          <w:trHeight w:val="172"/>
        </w:trPr>
        <w:tc>
          <w:tcPr>
            <w:tcW w:w="2540" w:type="dxa"/>
            <w:vAlign w:val="bottom"/>
          </w:tcPr>
          <w:p>
            <w:pPr>
              <w:jc w:val="center"/>
              <w:ind w:right="562"/>
              <w:spacing w:after="0"/>
              <w:rPr>
                <w:sz w:val="20"/>
                <w:szCs w:val="20"/>
                <w:color w:val="auto"/>
              </w:rPr>
            </w:pPr>
            <w:r>
              <w:rPr>
                <w:rFonts w:ascii="Arial" w:cs="Arial" w:eastAsia="Arial" w:hAnsi="Arial"/>
                <w:sz w:val="14"/>
                <w:szCs w:val="14"/>
                <w:color w:val="auto"/>
              </w:rPr>
              <w:t>Incorporation or Organization)</w:t>
            </w:r>
          </w:p>
        </w:tc>
        <w:tc>
          <w:tcPr>
            <w:tcW w:w="4380" w:type="dxa"/>
            <w:vAlign w:val="bottom"/>
          </w:tcPr>
          <w:p>
            <w:pPr>
              <w:jc w:val="center"/>
              <w:spacing w:after="0"/>
              <w:rPr>
                <w:sz w:val="20"/>
                <w:szCs w:val="20"/>
                <w:color w:val="auto"/>
              </w:rPr>
            </w:pPr>
            <w:r>
              <w:rPr>
                <w:rFonts w:ascii="Arial" w:cs="Arial" w:eastAsia="Arial" w:hAnsi="Arial"/>
                <w:sz w:val="14"/>
                <w:szCs w:val="14"/>
                <w:color w:val="auto"/>
              </w:rPr>
              <w:t>Number)</w:t>
            </w:r>
          </w:p>
        </w:tc>
        <w:tc>
          <w:tcPr>
            <w:tcW w:w="2120" w:type="dxa"/>
            <w:vAlign w:val="bottom"/>
          </w:tcPr>
          <w:p>
            <w:pPr>
              <w:jc w:val="center"/>
              <w:ind w:left="622"/>
              <w:spacing w:after="0"/>
              <w:rPr>
                <w:sz w:val="20"/>
                <w:szCs w:val="20"/>
                <w:color w:val="auto"/>
              </w:rPr>
            </w:pPr>
            <w:r>
              <w:rPr>
                <w:rFonts w:ascii="Arial" w:cs="Arial" w:eastAsia="Arial" w:hAnsi="Arial"/>
                <w:sz w:val="14"/>
                <w:szCs w:val="14"/>
                <w:color w:val="auto"/>
              </w:rPr>
              <w:t>Identification Number)</w:t>
            </w:r>
          </w:p>
        </w:tc>
      </w:tr>
    </w:tbl>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Cavendish Place</w:t>
      </w:r>
    </w:p>
    <w:p>
      <w:pPr>
        <w:jc w:val="center"/>
        <w:ind w:right="-11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168910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251 Little Falls Drive</w:t>
      </w:r>
    </w:p>
    <w:p>
      <w:pPr>
        <w:jc w:val="center"/>
        <w:ind w:right="-11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Mayer Brown LLP</w:t>
      </w:r>
    </w:p>
    <w:p>
      <w:pPr>
        <w:jc w:val="center"/>
        <w:ind w:right="-11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1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+1 212 506 2500</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17"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431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18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3258185</wp:posOffset>
            </wp:positionH>
            <wp:positionV relativeFrom="paragraph">
              <wp:posOffset>-27305</wp:posOffset>
            </wp:positionV>
            <wp:extent cx="431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18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3258185</wp:posOffset>
            </wp:positionH>
            <wp:positionV relativeFrom="paragraph">
              <wp:posOffset>-27305</wp:posOffset>
            </wp:positionV>
            <wp:extent cx="431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46" w:lineRule="exact"/>
        <w:rPr>
          <w:sz w:val="24"/>
          <w:szCs w:val="24"/>
          <w:color w:val="auto"/>
        </w:rPr>
      </w:pPr>
    </w:p>
    <w:p>
      <w:pPr>
        <w:ind w:left="120"/>
        <w:spacing w:after="0" w:line="161" w:lineRule="exact"/>
        <w:tabs>
          <w:tab w:leader="none" w:pos="10340" w:val="left"/>
        </w:tabs>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Emerging growth company</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160655</wp:posOffset>
            </wp:positionV>
            <wp:extent cx="1817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both"/>
        <w:ind w:left="12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169545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7"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40"/>
        <w:spacing w:after="0" w:line="274" w:lineRule="auto"/>
        <w:rPr>
          <w:sz w:val="20"/>
          <w:szCs w:val="20"/>
          <w:color w:val="auto"/>
        </w:rPr>
      </w:pPr>
      <w:r>
        <w:rPr>
          <w:rFonts w:ascii="Arial" w:cs="Arial" w:eastAsia="Arial" w:hAnsi="Arial"/>
          <w:sz w:val="17"/>
          <w:szCs w:val="17"/>
          <w:color w:val="CC062A"/>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60" w:type="dxa"/>
            <w:vAlign w:val="bottom"/>
          </w:tcPr>
          <w:p>
            <w:pPr>
              <w:spacing w:after="0"/>
              <w:rPr>
                <w:sz w:val="20"/>
                <w:szCs w:val="20"/>
                <w:color w:val="auto"/>
              </w:rPr>
            </w:pPr>
            <w:r>
              <w:rPr>
                <w:rFonts w:ascii="Arial" w:cs="Arial" w:eastAsia="Arial" w:hAnsi="Arial"/>
                <w:sz w:val="18"/>
                <w:szCs w:val="18"/>
                <w:b w:val="1"/>
                <w:bCs w:val="1"/>
                <w:color w:val="auto"/>
              </w:rPr>
              <w:t>PRELIMINARY PROSPECTUS (Subject to Completion)</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CC062A"/>
              </w:rPr>
              <w:t>Dated March</w:t>
            </w:r>
          </w:p>
        </w:tc>
      </w:tr>
      <w:tr>
        <w:trPr>
          <w:trHeight w:val="239"/>
        </w:trPr>
        <w:tc>
          <w:tcPr>
            <w:tcW w:w="72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CC062A"/>
              </w:rPr>
              <w:t>12, 2020</w:t>
            </w:r>
          </w:p>
        </w:tc>
      </w:tr>
      <w:tr>
        <w:trPr>
          <w:trHeight w:val="169"/>
        </w:trPr>
        <w:tc>
          <w:tcPr>
            <w:tcW w:w="7260" w:type="dxa"/>
            <w:vAlign w:val="bottom"/>
            <w:tcBorders>
              <w:bottom w:val="single" w:sz="8" w:color="334998"/>
            </w:tcBorders>
          </w:tcPr>
          <w:p>
            <w:pPr>
              <w:spacing w:after="0"/>
              <w:rPr>
                <w:sz w:val="14"/>
                <w:szCs w:val="14"/>
                <w:color w:val="auto"/>
              </w:rPr>
            </w:pPr>
          </w:p>
        </w:tc>
        <w:tc>
          <w:tcPr>
            <w:tcW w:w="3760" w:type="dxa"/>
            <w:vAlign w:val="bottom"/>
            <w:tcBorders>
              <w:bottom w:val="single" w:sz="8" w:color="334998"/>
            </w:tcBorders>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17,902,082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179705</wp:posOffset>
            </wp:positionV>
            <wp:extent cx="2468880" cy="899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prospectus relates to the sale of up to $28,300,000 or 17,902,082 American Depositary Shares (“ADSs”), which represent 89,510,410 of our ordinary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with each ADS representing five (5) of our ordinary shares, by Aspire Capital Fund, LLC (referred to in this prospectus as “Aspire Capital” or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“selling shareholder”) that we may issue at our option to Aspire Capital in the future, pursuant to a securities purchase agreement entered into with Aspire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on February 10, 2020 (the “Purchase Agreement”), which consists of (i) 11,432,925 ordinary shares that may be exchanged for 2,286,585 ADSs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“Initial Shares”) that were issued to the selling shareholder for $0.26 per ordinary share (equivalent to $1.31 per ADS) for an aggregate amount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 (ii) 2,862,595 ordinary shares that may be exchanged for 572,519 ADSs (the “Commission Shares”) issued in satisfaction for the commission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fee due to Aspire Capital of $300,000 pursuant to the Purchase Agreement, and (iii) up to an additional $25,000,000 ordinary shares exchangeable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issuable to the selling shareholder under the Purchase Agreement for which we are registering 15,042,978 ADSs representing 75,214,890 ordinary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(calculated based on the average of the high and low sale price of our ordinary shares on the Alternative Investment Market (“AIM”)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February 13, 2020 of £0.2575 per share, converted into U.S. dollars at the noon buying rate of the Federal Reserve Bank of New York on February 7,</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of $1.2908 to £1.0000). As of the date of this prospectus, the exact number of ordinary shares we may issue to the selling shareholder under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Agreement is not determinable because the actual purchase price per share will fluctuate based on the market price of our shares during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 of the Purchase Agreement.</w:t>
      </w:r>
    </w:p>
    <w:p>
      <w:pPr>
        <w:spacing w:after="0" w:line="221"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The ADSs may be evidenced by American Depositary Receipts (“ADRs”). Any proceeds that the Company receives under the Purchase Agreement are expected to be used for working capital and general corporate purposes.</w:t>
      </w:r>
    </w:p>
    <w:p>
      <w:pPr>
        <w:spacing w:after="0" w:line="19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prices at which the selling shareholder may sell the ADSs will be determined by the prevailing market price for the shares or in negotiated transactions. We will not receive proceeds from the sale of the ADSs by the selling shareholder. However, we may receive proceeds of up to $28.0 million from the sale of our ADSs to the selling shareholder pursuant to the Purchase Agreement, once the registration statement, of which this prospectus is a part, is declared effective, which includes $3.0 million that we received from the selling shareholder for the sale of the Initial Shares of 11,432,925 ordinary shares exchangeable for 2,286,585 ADSs to the selling shareholder.</w:t>
      </w:r>
    </w:p>
    <w:p>
      <w:pPr>
        <w:spacing w:after="0" w:line="20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Aspire Capital is an “underwriter” within the meaning of the Securities Act. We will pay the expenses of registering these ADSs, but all selling and other expenses incurred by the selling shareholder will be paid by the selling shareholder.</w:t>
      </w:r>
    </w:p>
    <w:p>
      <w:pPr>
        <w:spacing w:after="0" w:line="195" w:lineRule="exact"/>
        <w:rPr>
          <w:sz w:val="20"/>
          <w:szCs w:val="20"/>
          <w:color w:val="auto"/>
        </w:rPr>
      </w:pPr>
    </w:p>
    <w:p>
      <w:pPr>
        <w:ind w:left="120" w:right="520"/>
        <w:spacing w:after="0" w:line="260" w:lineRule="auto"/>
        <w:rPr>
          <w:sz w:val="20"/>
          <w:szCs w:val="20"/>
          <w:color w:val="auto"/>
        </w:rPr>
      </w:pPr>
      <w:r>
        <w:rPr>
          <w:rFonts w:ascii="Arial" w:cs="Arial" w:eastAsia="Arial" w:hAnsi="Arial"/>
          <w:sz w:val="16"/>
          <w:szCs w:val="16"/>
          <w:color w:val="auto"/>
        </w:rPr>
        <w:t>Our ADSs trade on the Nasdaq Global Market (“Nasdaq”) under the symbol “MREO.” In addition, our ordinary shares trade on AIM, a market of the London Stock Exchange, under the symbol “MPH.”</w:t>
      </w:r>
    </w:p>
    <w:p>
      <w:pPr>
        <w:spacing w:after="0" w:line="195"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of 1933, as amended, and, as such, are subject to reduced public company reporting requirements. See “Prospectus Summary—Implications of Being an Emerging Growth Company and a Foreign Private Issuer” for additional information.</w:t>
      </w:r>
    </w:p>
    <w:p>
      <w:pPr>
        <w:spacing w:after="0" w:line="181"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ADSs involve significant risks. See “</w:t>
      </w:r>
      <w:hyperlink w:anchor="page2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22 of this prospectus.</w:t>
      </w:r>
    </w:p>
    <w:p>
      <w:pPr>
        <w:spacing w:after="0" w:line="241"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208280</wp:posOffset>
            </wp:positionV>
            <wp:extent cx="181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6"/>
                <w:szCs w:val="16"/>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560" w:type="dxa"/>
            <w:vAlign w:val="bottom"/>
            <w:gridSpan w:val="2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9"/>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Presentation of Financial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Prospectus Summary</w:t>
              </w:r>
            </w:hyperlink>
          </w:p>
        </w:tc>
        <w:tc>
          <w:tcPr>
            <w:tcW w:w="1200" w:type="dxa"/>
            <w:vAlign w:val="bottom"/>
            <w:tcBorders>
              <w:top w:val="single" w:sz="8" w:color="0000EE"/>
            </w:tcBorders>
            <w:gridSpan w:val="8"/>
          </w:tcPr>
          <w:p>
            <w:pPr>
              <w:spacing w:after="0"/>
              <w:rPr>
                <w:sz w:val="15"/>
                <w:szCs w:val="15"/>
                <w:color w:val="auto"/>
              </w:rPr>
            </w:pPr>
          </w:p>
        </w:tc>
        <w:tc>
          <w:tcPr>
            <w:tcW w:w="7640" w:type="dxa"/>
            <w:vAlign w:val="bottom"/>
            <w:gridSpan w:val="1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Summary Consolidated Financial Data</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Summary Unaudited Pro Forma Condensed Combined Financial Information</w:t>
              </w:r>
            </w:hyperlink>
          </w:p>
        </w:tc>
        <w:tc>
          <w:tcPr>
            <w:tcW w:w="446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Risk Factors</w:t>
              </w:r>
            </w:hyperlink>
          </w:p>
        </w:tc>
        <w:tc>
          <w:tcPr>
            <w:tcW w:w="9560" w:type="dxa"/>
            <w:vAlign w:val="bottom"/>
            <w:gridSpan w:val="2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Dividend Policy</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Cautionary Statement Regarding Forward-Looking Statements</w:t>
              </w:r>
            </w:hyperlink>
          </w:p>
        </w:tc>
        <w:tc>
          <w:tcPr>
            <w:tcW w:w="5580" w:type="dxa"/>
            <w:vAlign w:val="bottom"/>
            <w:gridSpan w:val="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Market and Industry Data</w:t>
              </w:r>
            </w:hyperlink>
          </w:p>
        </w:tc>
        <w:tc>
          <w:tcPr>
            <w:tcW w:w="8540" w:type="dxa"/>
            <w:vAlign w:val="bottom"/>
            <w:gridSpan w:val="1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Trademarks, Service Marks and Trade Names</w:t>
              </w:r>
            </w:hyperlink>
          </w:p>
        </w:tc>
        <w:tc>
          <w:tcPr>
            <w:tcW w:w="6880" w:type="dxa"/>
            <w:vAlign w:val="bottom"/>
            <w:gridSpan w:val="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Capitalization</w:t>
              </w:r>
            </w:hyperlink>
          </w:p>
        </w:tc>
        <w:tc>
          <w:tcPr>
            <w:tcW w:w="9480" w:type="dxa"/>
            <w:vAlign w:val="bottom"/>
            <w:gridSpan w:val="2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Dilution</w:t>
              </w:r>
            </w:hyperlink>
          </w:p>
        </w:tc>
        <w:tc>
          <w:tcPr>
            <w:tcW w:w="9960" w:type="dxa"/>
            <w:vAlign w:val="bottom"/>
            <w:gridSpan w:val="2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Unaudited Pro Forma Condensed Combined Financial Information</w:t>
              </w:r>
            </w:hyperlink>
          </w:p>
        </w:tc>
        <w:tc>
          <w:tcPr>
            <w:tcW w:w="528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Selected Consolidated Financial Data of Mereo</w:t>
              </w:r>
            </w:hyperlink>
          </w:p>
        </w:tc>
        <w:tc>
          <w:tcPr>
            <w:tcW w:w="6800" w:type="dxa"/>
            <w:vAlign w:val="bottom"/>
            <w:gridSpan w:val="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Management’s Discussion and Analysis of Financial Condition and Results of Operations</w:t>
              </w:r>
            </w:hyperlink>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Business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Management</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Principal Shareholders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221">
              <w:r>
                <w:rPr>
                  <w:rFonts w:ascii="Arial" w:cs="Arial" w:eastAsia="Arial" w:hAnsi="Arial"/>
                  <w:sz w:val="18"/>
                  <w:szCs w:val="18"/>
                  <w:color w:val="0000EE"/>
                  <w:w w:val="98"/>
                </w:rPr>
                <w:t>Related Party Transactions</w:t>
              </w:r>
            </w:hyperlink>
          </w:p>
        </w:tc>
        <w:tc>
          <w:tcPr>
            <w:tcW w:w="8400" w:type="dxa"/>
            <w:vAlign w:val="bottom"/>
            <w:gridSpan w:val="1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223">
              <w:r>
                <w:rPr>
                  <w:rFonts w:ascii="Arial" w:cs="Arial" w:eastAsia="Arial" w:hAnsi="Arial"/>
                  <w:sz w:val="18"/>
                  <w:szCs w:val="18"/>
                  <w:color w:val="0000EE"/>
                  <w:w w:val="99"/>
                </w:rPr>
                <w:t>Description of Share Capital and Articles of Association</w:t>
              </w:r>
            </w:hyperlink>
          </w:p>
        </w:tc>
        <w:tc>
          <w:tcPr>
            <w:tcW w:w="616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44">
              <w:r>
                <w:rPr>
                  <w:rFonts w:ascii="Arial" w:cs="Arial" w:eastAsia="Arial" w:hAnsi="Arial"/>
                  <w:sz w:val="18"/>
                  <w:szCs w:val="18"/>
                  <w:color w:val="0000EE"/>
                  <w:w w:val="99"/>
                </w:rPr>
                <w:t>Description of American Depositary Shares</w:t>
              </w:r>
            </w:hyperlink>
          </w:p>
        </w:tc>
        <w:tc>
          <w:tcPr>
            <w:tcW w:w="7120" w:type="dxa"/>
            <w:vAlign w:val="bottom"/>
            <w:gridSpan w:val="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83"/>
        </w:trPr>
        <w:tc>
          <w:tcPr>
            <w:tcW w:w="222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256">
              <w:r>
                <w:rPr>
                  <w:rFonts w:ascii="Arial" w:cs="Arial" w:eastAsia="Arial" w:hAnsi="Arial"/>
                  <w:sz w:val="18"/>
                  <w:szCs w:val="18"/>
                  <w:color w:val="0000EE"/>
                  <w:w w:val="98"/>
                </w:rPr>
                <w:t>Material Tax Considerations</w:t>
              </w:r>
            </w:hyperlink>
          </w:p>
        </w:tc>
        <w:tc>
          <w:tcPr>
            <w:tcW w:w="8340" w:type="dxa"/>
            <w:vAlign w:val="bottom"/>
            <w:gridSpan w:val="1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263">
              <w:r>
                <w:rPr>
                  <w:rFonts w:ascii="Arial" w:cs="Arial" w:eastAsia="Arial" w:hAnsi="Arial"/>
                  <w:sz w:val="18"/>
                  <w:szCs w:val="18"/>
                  <w:color w:val="0000EE"/>
                  <w:w w:val="98"/>
                </w:rPr>
                <w:t>The Aspire Capital Transaction</w:t>
              </w:r>
            </w:hyperlink>
          </w:p>
        </w:tc>
        <w:tc>
          <w:tcPr>
            <w:tcW w:w="8100" w:type="dxa"/>
            <w:vAlign w:val="bottom"/>
            <w:gridSpan w:val="1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67">
              <w:r>
                <w:rPr>
                  <w:rFonts w:ascii="Arial" w:cs="Arial" w:eastAsia="Arial" w:hAnsi="Arial"/>
                  <w:sz w:val="18"/>
                  <w:szCs w:val="18"/>
                  <w:color w:val="0000EE"/>
                </w:rPr>
                <w:t>Selling Shareholder</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83"/>
        </w:trPr>
        <w:tc>
          <w:tcPr>
            <w:tcW w:w="15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69">
              <w:r>
                <w:rPr>
                  <w:rFonts w:ascii="Arial" w:cs="Arial" w:eastAsia="Arial" w:hAnsi="Arial"/>
                  <w:sz w:val="18"/>
                  <w:szCs w:val="18"/>
                  <w:color w:val="0000EE"/>
                </w:rPr>
                <w:t>Plan of Distribution</w:t>
              </w:r>
            </w:hyperlink>
          </w:p>
        </w:tc>
        <w:tc>
          <w:tcPr>
            <w:tcW w:w="9000" w:type="dxa"/>
            <w:vAlign w:val="bottom"/>
            <w:gridSpan w:val="2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271">
              <w:r>
                <w:rPr>
                  <w:rFonts w:ascii="Arial" w:cs="Arial" w:eastAsia="Arial" w:hAnsi="Arial"/>
                  <w:sz w:val="18"/>
                  <w:szCs w:val="18"/>
                  <w:color w:val="0000EE"/>
                  <w:w w:val="98"/>
                </w:rPr>
                <w:t>Expenses of the Offering</w:t>
              </w:r>
            </w:hyperlink>
          </w:p>
        </w:tc>
        <w:tc>
          <w:tcPr>
            <w:tcW w:w="8580" w:type="dxa"/>
            <w:vAlign w:val="bottom"/>
            <w:gridSpan w:val="1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72">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72">
              <w:r>
                <w:rPr>
                  <w:rFonts w:ascii="Arial" w:cs="Arial" w:eastAsia="Arial" w:hAnsi="Arial"/>
                  <w:sz w:val="18"/>
                  <w:szCs w:val="18"/>
                  <w:color w:val="0000EE"/>
                </w:rPr>
                <w:t>Experts</w:t>
              </w:r>
            </w:hyperlink>
          </w:p>
        </w:tc>
        <w:tc>
          <w:tcPr>
            <w:tcW w:w="9480" w:type="dxa"/>
            <w:vAlign w:val="bottom"/>
            <w:gridSpan w:val="2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73">
              <w:r>
                <w:rPr>
                  <w:rFonts w:ascii="Arial" w:cs="Arial" w:eastAsia="Arial" w:hAnsi="Arial"/>
                  <w:sz w:val="18"/>
                  <w:szCs w:val="18"/>
                  <w:color w:val="0000EE"/>
                </w:rPr>
                <w:t>Service of Process and Enforcement of Liabilities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83"/>
        </w:trPr>
        <w:tc>
          <w:tcPr>
            <w:tcW w:w="39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275">
              <w:r>
                <w:rPr>
                  <w:rFonts w:ascii="Arial" w:cs="Arial" w:eastAsia="Arial" w:hAnsi="Arial"/>
                  <w:sz w:val="18"/>
                  <w:szCs w:val="18"/>
                  <w:color w:val="0000EE"/>
                </w:rPr>
                <w:t>Where You Can Find More Information</w:t>
              </w:r>
            </w:hyperlink>
          </w:p>
        </w:tc>
        <w:tc>
          <w:tcPr>
            <w:tcW w:w="666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83"/>
        </w:trPr>
        <w:tc>
          <w:tcPr>
            <w:tcW w:w="30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276">
              <w:r>
                <w:rPr>
                  <w:rFonts w:ascii="Arial" w:cs="Arial" w:eastAsia="Arial" w:hAnsi="Arial"/>
                  <w:sz w:val="18"/>
                  <w:szCs w:val="18"/>
                  <w:color w:val="0000EE"/>
                </w:rPr>
                <w:t>Index to Financial Statements</w:t>
              </w:r>
            </w:hyperlink>
          </w:p>
        </w:tc>
        <w:tc>
          <w:tcPr>
            <w:tcW w:w="7500" w:type="dxa"/>
            <w:vAlign w:val="bottom"/>
            <w:gridSpan w:val="1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231775</wp:posOffset>
            </wp:positionV>
            <wp:extent cx="1817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selling shareholder has not, authorized anyone to provide you with different information, and we and the selling shareholder take no responsibility for any other information others may give you. We are not, and the selling shareholder is not, making an offer to sell our ADSs in any jurisdiction where such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0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investors outside the United States: neither we nor the selling shareholder have done anything that would permit the offering or possession or distribution of this prospectus or any free writing prospectus in any jurisdiction, other than the United States, where action for that purpose is required. Persons outside the United States who come into possession of this prospectus or any free writing prospectus must inform themselves about, and observe any restrictions relating to, the offering and the distribution of this prospectus and any free writing prospectus outside the United States.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Under this registration statement, the selling shareholder may sell our ADSs described in this prospectus from time to time. Please read carefully this prospectus together with additional information described below under “Where You Can Find More Information.”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w:t>
      </w:r>
    </w:p>
    <w:p>
      <w:pPr>
        <w:spacing w:after="0" w:line="202" w:lineRule="exact"/>
        <w:rPr>
          <w:sz w:val="20"/>
          <w:szCs w:val="20"/>
          <w:color w:val="auto"/>
        </w:rPr>
      </w:pPr>
    </w:p>
    <w:p>
      <w:pPr>
        <w:ind w:left="980" w:hanging="432"/>
        <w:spacing w:after="0"/>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“ADSs” are to our American Depositary Shares, each of which represents five ordinary shares of Mereo BioPharma Group plc;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“ADRs” are to the American Depositary Receipts that may evidence our ADSs;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“EMA” are to the European Medicines Agency;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Act” are to the U.S. Securities Exchange Act of 1934, as amended;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are to the U.S. Food and Drug Administration;</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the “Company,” “we,” “us,” and “our” refer to Mereo BioPharma Group plc and our wholly-owned subsidiaries Mereo BioPharma 1 Limited, Mereo BioPharma 2 Limited, Mereo BioPharma 3 Limited, Mereo BioPharma 4 Limited, Mereo BioPharma Ireland Limited, Mereo US Holdings Inc., NAVI Subsidiary, Inc. and OncoMed Pharmaceuticals, Inc. Our consolidated financial statements also treat Mereo BioPharma Group plc Employee Benefit Trust, an employee benefit trust operated by us, as a wholly-owned subsidiary of ours;</w:t>
      </w:r>
    </w:p>
    <w:p>
      <w:pPr>
        <w:spacing w:after="0" w:line="30" w:lineRule="exact"/>
        <w:rPr>
          <w:rFonts w:ascii="MS PGothic" w:cs="MS PGothic" w:eastAsia="MS PGothic" w:hAnsi="MS PGothic"/>
          <w:sz w:val="25"/>
          <w:szCs w:val="25"/>
          <w:color w:val="auto"/>
          <w:vertAlign w:val="superscript"/>
        </w:rPr>
      </w:pPr>
    </w:p>
    <w:p>
      <w:pPr>
        <w:ind w:left="980" w:right="460" w:hanging="432"/>
        <w:spacing w:after="0" w:line="223"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are to the merger of Mereo MergerCo One Inc. and OncoMed Pharmaceuticals, Inc., with OncoMed Pharmaceuticals, Inc. surviving as a wholly-owned subsidiary of Mereo US Holdings Inc., and as an indirect wholly-owned subsidiary of Mereo BioPharma Group plc;</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Agreement” are to the Agreement and Plan of Merger and Reorganization, dated December 5, 2018, by and among Mereo BioPharma Group plc, Mereo US Holdings Inc., Mereo MergerCo One Inc. and OncoMed Pharmaceuticals, Inc.;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are to OncoMed Pharmaceuticals, Inc.;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are to our ordinary shares, each of £0.003 nominal value;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 are to the U.S. Securities and Exchange Commission;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“Securities Act” are to the U.S. Securities Act of 1933, as amended;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 “USD,” “US$” and “U.S. dollar” are to the United States dollar (or units thereof);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 “GBP,” “pound sterling,” “pence” and “p” are to the British pound sterling (or units thereof).</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This prospectus includes our audited consolidated financial statements as of December 31, 2018 and 2017 and for each of the three years in the period ended December 31, 2018, our unaudited interim consolidated financial statements as of June 30, 2019 and 2018 and for the six months ended June 30, 2019 and 2018, prepared in accordance with International Financial Reporting Standards (“IFRS”), as issued by the International Accounting Standards Board (“IASB”), and certain unaudited pro forma condensed combined financial information. The unaudited interim consolidated financial statements have been prepared in accordance with International Accounting Standards (“IAS”) 34 as issued by the IASB. None of our financial statements were prepared in accordance with U.S. generally accepted accounting standards (“U.S. GAAP”).</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financial information is presented in pounds sterling. Translations from pounds sterling into U.S. dollars are not necessarily</w:t>
      </w:r>
    </w:p>
    <w:p>
      <w:pPr>
        <w:jc w:val="center"/>
        <w:ind w:right="-119"/>
        <w:spacing w:after="0"/>
        <w:rPr>
          <w:sz w:val="20"/>
          <w:szCs w:val="20"/>
          <w:color w:val="auto"/>
        </w:rPr>
      </w:pPr>
      <w:r>
        <w:rPr>
          <w:rFonts w:ascii="Arial" w:cs="Arial" w:eastAsia="Arial" w:hAnsi="Arial"/>
          <w:sz w:val="17"/>
          <w:szCs w:val="17"/>
          <w:color w:val="auto"/>
        </w:rPr>
        <w:t>indicative of the amounts of U.S. dollars that could actually have been purchased upon exchange of pounds sterling at the dates indicated.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This prospectus also includes the audited balance sheets of OncoMed Pharmaceuticals, Inc. as of December 31, 2018 and 2017, the related statements of operations, comprehensive loss, stockholders’ equity (deficit) and cash flows for each of the three years in the period ended December 31, 2018, and the related notes (collectively referred to as the “OncoMed financial statements”). The OncoMed financial statements have been prepared in conformity with U.S. GAAP. OncoMed financial information is presented in U.S. dollars.</w:t>
      </w:r>
    </w:p>
    <w:p>
      <w:pPr>
        <w:spacing w:after="0" w:line="18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56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00" w:right="10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information set forth under the sections titled “Selected Consolidated Financial Data of Mereo,” “Unaudited Pro Forma Condensed Combined Financial Information,” “Risk Factors,” “Business,” “Management’s Discussion and Analysis of Financial Condition and Results of Operations” and our consolidated financial statements, including the notes thereto,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patients with rare diseases. Our ADSs trade on Nasdaq under the symbol “MREO” and our ordinary shares trade on the AIM, a market of the London Stock Exchange, under the symbol “MPH.” Our strategy is to build a portfolio of rare disease product candidates acquired from pharmaceutical and large biotechnology companies and to develop these through regulatory approval and subsequent commercialization.</w:t>
      </w:r>
    </w:p>
    <w:p>
      <w:pPr>
        <w:spacing w:after="0" w:line="202"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osteogenesis imperfecta (“OI”) and alvelestat for the treatment of severe alpha-1 antitrypsin deficiency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300" w:right="460" w:firstLine="426"/>
        <w:spacing w:after="0" w:line="238" w:lineRule="auto"/>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acute exacerbations of chronic obstructive pulmonary disease (“AECOPD”), leflutrozole for the treatment of hypogonadotropic hypogonadism (“HH”) in obese men and etigilimab for the treatment of solid tumors, recognizing the need for a larger sales infrastructure and greater resources to take these product candidates to market.</w:t>
      </w:r>
    </w:p>
    <w:p>
      <w:pPr>
        <w:spacing w:after="0" w:line="205"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00" w:firstLine="426"/>
        <w:spacing w:after="0" w:line="246" w:lineRule="auto"/>
        <w:rPr>
          <w:sz w:val="20"/>
          <w:szCs w:val="20"/>
          <w:color w:val="auto"/>
        </w:rPr>
      </w:pPr>
      <w:r>
        <w:rPr>
          <w:rFonts w:ascii="Arial" w:cs="Arial" w:eastAsia="Arial" w:hAnsi="Arial"/>
          <w:sz w:val="18"/>
          <w:szCs w:val="18"/>
          <w:color w:val="auto"/>
        </w:rPr>
        <w:t>The following table summarizes our product candidate pipeline. We have global commercial rights to setrusumab, alvelestat, acumapimod, leflutrozole and etigilimab.</w:t>
      </w: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Non-Rare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right="3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217" w:lineRule="exact"/>
        <w:rPr>
          <w:sz w:val="20"/>
          <w:szCs w:val="20"/>
          <w:color w:val="auto"/>
        </w:rPr>
      </w:pPr>
    </w:p>
    <w:p>
      <w:pPr>
        <w:ind w:left="1120" w:hanging="407"/>
        <w:spacing w:after="0" w:line="230"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Setrusumab (BPS-804): </w:t>
      </w:r>
      <w:r>
        <w:rPr>
          <w:rFonts w:ascii="Arial" w:cs="Arial" w:eastAsia="Arial" w:hAnsi="Arial"/>
          <w:sz w:val="18"/>
          <w:szCs w:val="18"/>
          <w:color w:val="auto"/>
        </w:rPr>
        <w:t>Setrusumab is a novel antibody we are developing as a treatment for OI, a rare genetic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that results in bones that can break easily and is commonly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4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160"/>
        <w:spacing w:after="0" w:line="237" w:lineRule="auto"/>
        <w:rPr>
          <w:sz w:val="20"/>
          <w:szCs w:val="20"/>
          <w:color w:val="auto"/>
        </w:rPr>
      </w:pPr>
      <w:r>
        <w:rPr>
          <w:rFonts w:ascii="Arial" w:cs="Arial" w:eastAsia="Arial" w:hAnsi="Arial"/>
          <w:sz w:val="18"/>
          <w:szCs w:val="18"/>
          <w:color w:val="auto"/>
        </w:rPr>
        <w:t>known as brittle bone disease. OI is a debilitating orphan disease for which there are no treatments approved by the FDA or EMA. It is estimated that OI affects a minimum of 20,000 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16" w:lineRule="exact"/>
        <w:rPr>
          <w:sz w:val="20"/>
          <w:szCs w:val="20"/>
          <w:color w:val="auto"/>
        </w:rPr>
      </w:pPr>
    </w:p>
    <w:p>
      <w:pPr>
        <w:ind w:left="1140"/>
        <w:spacing w:after="0" w:line="235" w:lineRule="auto"/>
        <w:rPr>
          <w:sz w:val="20"/>
          <w:szCs w:val="20"/>
          <w:color w:val="auto"/>
        </w:rPr>
      </w:pPr>
      <w:r>
        <w:rPr>
          <w:rFonts w:ascii="Arial" w:cs="Arial" w:eastAsia="Arial" w:hAnsi="Arial"/>
          <w:sz w:val="18"/>
          <w:szCs w:val="18"/>
          <w:color w:val="auto"/>
        </w:rPr>
        <w:t>In 2016, we obtained orphan drug designation in OI for setrusumab in the United States and the EU, in February 2017, setrusumab was accepted into the adaptive pathways program in the EU and, in November 2017, it was accepted into the Priority Medicines (“PRIME”) scheme of the EMA. See “Business—Government Regulation—Foreign Government Regulation.” Prior to our acquisition of setrusumab, Novartis Pharma AG (“Novartis”) conducted four clinical trials in 106 patients and healthy volunteers. A Phase 2 clinical trial of setrusumab showed statistically significant improvements in bone formation biomarkers and bone mineral density. In May 2017, we initiated a Phase 2b clinical trial for setrusumab in adults in the United States, Europe and Canada. The trial is randomized with three blinded arms at a high, medium and low doses to establish the dose response curve and an open label arm at the top dose. We reported top-line data on the three blinded dose ranging arms in November 2019 with the results supporting progression of setrusumab into a pediatric pivotal study in OI. See “—Recent Developments—12-month top-line data from the setrusumab Phase 2b dose-ranging study in adult patients.” Following the completion of the dosing part of the study, patients will continue to be followed for a further twelve months to examine the off-effects of setrusumab. We have also agreed on a pediatric investigational plan for setrusumab with the EMA and intend to prepare for a pivotal trial of setrusumab in Europe and Canada in children with severe OI in 2020, with fracture rate as the primary endpoint. We believe that the results from this trial, if favorable, will be sufficient to support the submission of a Marketing Authorization Application (“MAA”) to the EMA for setrusumab for the treatment of children with severe OI and a CMA (as defined below) for the treatment of OI in adults in the EU.</w:t>
      </w:r>
    </w:p>
    <w:p>
      <w:pPr>
        <w:spacing w:after="0" w:line="38" w:lineRule="exact"/>
        <w:rPr>
          <w:sz w:val="20"/>
          <w:szCs w:val="20"/>
          <w:color w:val="auto"/>
        </w:rPr>
      </w:pPr>
    </w:p>
    <w:p>
      <w:pPr>
        <w:ind w:left="1140" w:right="20"/>
        <w:spacing w:after="0" w:line="236"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development of setrusumab for the treatment of children and adolescents with OI in the United States. See “—Recent Developments—Positive Feedback from Type B End-of-Phase 2 Meeting with the FDA.” In June 2019, the EMA’s human medicines committee (“CHMP”) adopted a negative opinion recommending the refusal of a marketing authorization for the same sclerostin inhibitor. However, in October 2019, following a re-examination procedure, the CHMP adopted a positive opinion recommending marketing authorization for the sclerostin inhibitor. In December 2019, the European Commission approved the MAA for romosozumab (Evenity).</w:t>
      </w:r>
    </w:p>
    <w:p>
      <w:pPr>
        <w:spacing w:after="0" w:line="6" w:lineRule="exact"/>
        <w:rPr>
          <w:sz w:val="20"/>
          <w:szCs w:val="20"/>
          <w:color w:val="auto"/>
        </w:rPr>
      </w:pPr>
    </w:p>
    <w:p>
      <w:pPr>
        <w:ind w:left="1120" w:hanging="407"/>
        <w:spacing w:after="0" w:line="232"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Alvelestat (MPH-966): </w:t>
      </w:r>
      <w:r>
        <w:rPr>
          <w:rFonts w:ascii="Arial" w:cs="Arial" w:eastAsia="Arial" w:hAnsi="Arial"/>
          <w:sz w:val="18"/>
          <w:szCs w:val="18"/>
          <w:color w:val="auto"/>
        </w:rPr>
        <w:t>Alvelestat is a novel, oral small molecule we are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340"/>
        <w:spacing w:after="0" w:line="238" w:lineRule="auto"/>
        <w:rPr>
          <w:sz w:val="20"/>
          <w:szCs w:val="20"/>
          <w:color w:val="auto"/>
        </w:rPr>
      </w:pPr>
      <w:r>
        <w:rPr>
          <w:rFonts w:ascii="Arial" w:cs="Arial" w:eastAsia="Arial" w:hAnsi="Arial"/>
          <w:sz w:val="18"/>
          <w:szCs w:val="18"/>
          <w:color w:val="auto"/>
        </w:rPr>
        <w:t>function. There are an estimated 50,000 patients in North America and 60,000 patients in Europe with severe AATD. Alvelestat is designed to inhibit neutrophil elastase (“NE”), a neutrophil protease, which is a key enzyme involved in the destruction of lung tissue. We believe the inhibition of NE has the potential to protect AATD patients from further lung damage.</w:t>
      </w:r>
    </w:p>
    <w:p>
      <w:pPr>
        <w:spacing w:after="0" w:line="16" w:lineRule="exact"/>
        <w:rPr>
          <w:sz w:val="20"/>
          <w:szCs w:val="20"/>
          <w:color w:val="auto"/>
        </w:rPr>
      </w:pPr>
    </w:p>
    <w:p>
      <w:pPr>
        <w:ind w:left="1140"/>
        <w:spacing w:after="0" w:line="237" w:lineRule="auto"/>
        <w:rPr>
          <w:sz w:val="20"/>
          <w:szCs w:val="20"/>
          <w:color w:val="auto"/>
        </w:rPr>
      </w:pPr>
      <w:r>
        <w:rPr>
          <w:rFonts w:ascii="Arial" w:cs="Arial" w:eastAsia="Arial" w:hAnsi="Arial"/>
          <w:sz w:val="18"/>
          <w:szCs w:val="18"/>
          <w:color w:val="auto"/>
        </w:rPr>
        <w:t>Prior to our license of alvelestat, AstraZeneca AB (“AstraZeneca”) conducted 12 clinical trials involving 1,776 subjects, including trials in bronchiectasis and cystic fibrosis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expect to report top-line data from this trial in mid-2020. We are also planning to evaluate the use of alvelestat to treat patients with bronchiolitis obliterans syndrome (“BOS”) as a result of lung transplant. BOS is an orphan disease and the primary cause of death in adult lung transplant patients from one year following transplant.</w:t>
      </w:r>
    </w:p>
    <w:p>
      <w:pPr>
        <w:spacing w:after="0" w:line="5" w:lineRule="exact"/>
        <w:rPr>
          <w:sz w:val="20"/>
          <w:szCs w:val="20"/>
          <w:color w:val="auto"/>
        </w:rPr>
      </w:pPr>
    </w:p>
    <w:p>
      <w:pPr>
        <w:ind w:left="1120" w:right="60" w:hanging="407"/>
        <w:spacing w:after="0" w:line="233"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Mitogen-activated protein (“MAP”) kinase inhibitor we are developing as</w:t>
      </w:r>
      <w:r>
        <w:rPr>
          <w:rFonts w:ascii="Arial" w:cs="Arial" w:eastAsia="Arial" w:hAnsi="Arial"/>
          <w:sz w:val="18"/>
          <w:szCs w:val="18"/>
          <w:b w:val="1"/>
          <w:bCs w:val="1"/>
          <w:color w:val="auto"/>
        </w:rPr>
        <w:t xml:space="preserve"> </w:t>
      </w:r>
      <w:r>
        <w:rPr>
          <w:rFonts w:ascii="Arial" w:cs="Arial" w:eastAsia="Arial" w:hAnsi="Arial"/>
          <w:sz w:val="18"/>
          <w:szCs w:val="18"/>
          <w:color w:val="auto"/>
        </w:rPr>
        <w:t>an oral first-line acute therapy for patients with AECOPD. Chronic obstructive pulmonary disease (“COPD”) is a non-fully-reversible, progressive lung disease in which inflammation plays a central role. There are an estimated 16 million people in the United States diagnosed with COPD. Of all hospital admissions in the United States related to COPD, approximately 63% are for AECOPD patients. We believe acumapimod offers a potential new treatment for controlling inflammation by targeting pathways that drive the pathological mechanism behind AECOPD.</w:t>
      </w:r>
    </w:p>
    <w:p>
      <w:pPr>
        <w:spacing w:after="0" w:line="27" w:lineRule="exact"/>
        <w:rPr>
          <w:sz w:val="20"/>
          <w:szCs w:val="20"/>
          <w:color w:val="auto"/>
        </w:rPr>
      </w:pPr>
    </w:p>
    <w:p>
      <w:pPr>
        <w:ind w:left="1140"/>
        <w:spacing w:after="0" w:line="238" w:lineRule="auto"/>
        <w:rPr>
          <w:sz w:val="20"/>
          <w:szCs w:val="20"/>
          <w:color w:val="auto"/>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29" w:lineRule="exact"/>
        <w:rPr>
          <w:sz w:val="20"/>
          <w:szCs w:val="20"/>
          <w:color w:val="auto"/>
        </w:rPr>
      </w:pPr>
    </w:p>
    <w:p>
      <w:pPr>
        <w:ind w:left="1140" w:right="500"/>
        <w:spacing w:after="0"/>
        <w:rPr>
          <w:sz w:val="20"/>
          <w:szCs w:val="20"/>
          <w:color w:val="auto"/>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14" w:lineRule="exact"/>
        <w:rPr>
          <w:sz w:val="20"/>
          <w:szCs w:val="20"/>
          <w:color w:val="auto"/>
        </w:rPr>
      </w:pPr>
    </w:p>
    <w:p>
      <w:pPr>
        <w:ind w:left="1140"/>
        <w:spacing w:after="0" w:line="234" w:lineRule="auto"/>
        <w:rPr>
          <w:sz w:val="20"/>
          <w:szCs w:val="20"/>
          <w:color w:val="auto"/>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the amount of air that can be forcibly exhaled in one second (“FEV1”), a standard measure of exhalation, from baseline to Day 7, meeting the trial’s primary endpoint on an intent-to-treat patient population basis. In addition, dose-dependent, statistically significant reductions in high sensitivity C-reactive protein (“hsCRP”) and fibrinogen were shown with treatment with acumapimod, with hsCRP remaining suppressed through the</w:t>
      </w:r>
    </w:p>
    <w:p>
      <w:pPr>
        <w:spacing w:after="0" w:line="4" w:lineRule="exact"/>
        <w:rPr>
          <w:sz w:val="20"/>
          <w:szCs w:val="20"/>
          <w:color w:val="auto"/>
        </w:rPr>
      </w:pPr>
    </w:p>
    <w:p>
      <w:pPr>
        <w:ind w:left="1140" w:right="100"/>
        <w:spacing w:after="0" w:line="238" w:lineRule="auto"/>
        <w:rPr>
          <w:sz w:val="20"/>
          <w:szCs w:val="20"/>
          <w:color w:val="auto"/>
        </w:rPr>
      </w:pPr>
      <w:r>
        <w:rPr>
          <w:rFonts w:ascii="Arial" w:cs="Arial" w:eastAsia="Arial" w:hAnsi="Arial"/>
          <w:sz w:val="18"/>
          <w:szCs w:val="18"/>
          <w:color w:val="auto"/>
        </w:rPr>
        <w:t>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27" w:lineRule="exact"/>
        <w:rPr>
          <w:sz w:val="20"/>
          <w:szCs w:val="20"/>
          <w:color w:val="auto"/>
        </w:rPr>
      </w:pPr>
    </w:p>
    <w:p>
      <w:pPr>
        <w:jc w:val="both"/>
        <w:ind w:left="1140" w:right="60"/>
        <w:spacing w:after="0"/>
        <w:rPr>
          <w:sz w:val="20"/>
          <w:szCs w:val="20"/>
          <w:color w:val="auto"/>
        </w:rPr>
      </w:pPr>
      <w:r>
        <w:rPr>
          <w:rFonts w:ascii="Arial" w:cs="Arial" w:eastAsia="Arial" w:hAnsi="Arial"/>
          <w:sz w:val="18"/>
          <w:szCs w:val="18"/>
          <w:color w:val="auto"/>
        </w:rPr>
        <w:t>In addition, in April 2019, we announced a successful end of Phase 2 meeting with the FDA regarding acumapimod. In the meeting, we and the FDA agreed on a development plan for acumapimod. In September 2019, we had a positive Scientific Advice Working Party (“SAWP”) meeting with the EMA.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8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20" w:hanging="407"/>
        <w:spacing w:after="0" w:line="233"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Leflutrozole (BGS-649): </w:t>
      </w:r>
      <w:r>
        <w:rPr>
          <w:rFonts w:ascii="Arial" w:cs="Arial" w:eastAsia="Arial" w:hAnsi="Arial"/>
          <w:sz w:val="18"/>
          <w:szCs w:val="18"/>
          <w:color w:val="auto"/>
        </w:rPr>
        <w:t>Leflutrozole is a once-weekly oral therapy we are developing for the treatment of HH in obese</w:t>
      </w:r>
      <w:r>
        <w:rPr>
          <w:rFonts w:ascii="Arial" w:cs="Arial" w:eastAsia="Arial" w:hAnsi="Arial"/>
          <w:sz w:val="18"/>
          <w:szCs w:val="18"/>
          <w:b w:val="1"/>
          <w:bCs w:val="1"/>
          <w:color w:val="auto"/>
        </w:rPr>
        <w:t xml:space="preserve"> </w:t>
      </w:r>
      <w:r>
        <w:rPr>
          <w:rFonts w:ascii="Arial" w:cs="Arial" w:eastAsia="Arial" w:hAnsi="Arial"/>
          <w:sz w:val="18"/>
          <w:szCs w:val="18"/>
          <w:color w:val="auto"/>
        </w:rPr>
        <w:t>men. HH is a clinical syndrome that results from inadequate levels of testosterone. Based on World Health Organization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 causing excessively high testosterone levels or reducing the levels of luteinizing hormone (“LH”) or follicle stimulating hormone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19" w:lineRule="exact"/>
        <w:rPr>
          <w:rFonts w:ascii="MS PGothic" w:cs="MS PGothic" w:eastAsia="MS PGothic" w:hAnsi="MS PGothic"/>
          <w:sz w:val="25"/>
          <w:szCs w:val="25"/>
          <w:color w:val="auto"/>
          <w:vertAlign w:val="superscript"/>
        </w:rPr>
      </w:pPr>
    </w:p>
    <w:p>
      <w:pPr>
        <w:ind w:left="1140" w:right="2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leflutrozole, Novartis conducted seven clinical trials in 131 patients and healthy volunteers, including a Phase 2 proof-of-concept trial for HH in obese men in which leflutrozole normalized testosterone levels in all patients and demonstrated an increase in LH and FSH levels.</w:t>
      </w:r>
    </w:p>
    <w:p>
      <w:pPr>
        <w:spacing w:after="0" w:line="27" w:lineRule="exact"/>
        <w:rPr>
          <w:sz w:val="20"/>
          <w:szCs w:val="20"/>
          <w:color w:val="auto"/>
        </w:rPr>
      </w:pPr>
    </w:p>
    <w:p>
      <w:pPr>
        <w:ind w:left="1140" w:right="20"/>
        <w:spacing w:after="0" w:line="234" w:lineRule="auto"/>
        <w:rPr>
          <w:sz w:val="20"/>
          <w:szCs w:val="20"/>
          <w:color w:val="auto"/>
        </w:rPr>
      </w:pPr>
      <w:r>
        <w:rPr>
          <w:rFonts w:ascii="Arial" w:cs="Arial" w:eastAsia="Arial" w:hAnsi="Arial"/>
          <w:sz w:val="18"/>
          <w:szCs w:val="18"/>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of subjects after 24 weeks of treatment and all of the secondary endpoints, including normalizing testosterone in at least 90% of patients after</w:t>
      </w:r>
    </w:p>
    <w:p>
      <w:pPr>
        <w:spacing w:after="0" w:line="3" w:lineRule="exact"/>
        <w:rPr>
          <w:sz w:val="20"/>
          <w:szCs w:val="20"/>
          <w:color w:val="auto"/>
        </w:rPr>
      </w:pPr>
    </w:p>
    <w:p>
      <w:pPr>
        <w:ind w:left="1140" w:right="20"/>
        <w:spacing w:after="0" w:line="236" w:lineRule="auto"/>
        <w:rPr>
          <w:sz w:val="20"/>
          <w:szCs w:val="20"/>
          <w:color w:val="auto"/>
        </w:rPr>
      </w:pPr>
      <w:r>
        <w:rPr>
          <w:rFonts w:ascii="Arial" w:cs="Arial" w:eastAsia="Arial" w:hAnsi="Arial"/>
          <w:sz w:val="18"/>
          <w:szCs w:val="18"/>
          <w:color w:val="auto"/>
        </w:rPr>
        <w:t>24 weeks of treatment at the two highest doses and improvement in LH and FSH levels at all three doses. Leflutrozole was reported to be well-tolerated in the trial. A subset of 143 patients entered into a six-month safety extension study, with 88 patients completing the additional six months of treatment. The safety extension study was designed to examine if leflutrozole resulted in a pre-specified reduction in bone mineral density at 48 weeks following the initial 24 weeks treatment.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6" w:lineRule="exact"/>
        <w:rPr>
          <w:sz w:val="20"/>
          <w:szCs w:val="20"/>
          <w:color w:val="auto"/>
        </w:rPr>
      </w:pPr>
    </w:p>
    <w:p>
      <w:pPr>
        <w:ind w:left="1120" w:hanging="407"/>
        <w:spacing w:after="0" w:line="233" w:lineRule="auto"/>
        <w:tabs>
          <w:tab w:leader="none" w:pos="112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Etigilimab (OMP-313M32)</w:t>
      </w:r>
      <w:r>
        <w:rPr>
          <w:rFonts w:ascii="Arial" w:cs="Arial" w:eastAsia="Arial" w:hAnsi="Arial"/>
          <w:sz w:val="18"/>
          <w:szCs w:val="18"/>
          <w:color w:val="auto"/>
        </w:rPr>
        <w:t>: Etigilimab is an anti-TIGIT therapeutic candidate intended to activate the immune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multiple mechanisms and enable anti-tumor activity. TIGIT (T-cell immunoreceptor with Ig and ITIM domains) is an inhibitory receptor that is thought to stop T-cells from attacking tumor cells. We acquired this therapeutic product candidate in the Merger. A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and 10 patients were treated in the Phase 1b combination portion. 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40"/>
        <w:spacing w:after="0" w:line="246" w:lineRule="auto"/>
        <w:rPr>
          <w:sz w:val="20"/>
          <w:szCs w:val="20"/>
          <w:color w:val="auto"/>
        </w:rPr>
      </w:pPr>
      <w:r>
        <w:rPr>
          <w:rFonts w:ascii="Arial" w:cs="Arial" w:eastAsia="Arial" w:hAnsi="Arial"/>
          <w:sz w:val="18"/>
          <w:szCs w:val="18"/>
          <w:color w:val="auto"/>
        </w:rPr>
        <w:t>percent of the patients in the Phase 1b portion had a response and 10% had stable disease. The study has now completed enrollment and a clinical study report (“CSR”) is being drafted.</w:t>
      </w:r>
    </w:p>
    <w:p>
      <w:pPr>
        <w:spacing w:after="0" w:line="8" w:lineRule="exact"/>
        <w:rPr>
          <w:sz w:val="20"/>
          <w:szCs w:val="20"/>
          <w:color w:val="auto"/>
        </w:rPr>
      </w:pPr>
    </w:p>
    <w:p>
      <w:pPr>
        <w:ind w:left="1140" w:right="140"/>
        <w:spacing w:after="0" w:line="237" w:lineRule="auto"/>
        <w:rPr>
          <w:sz w:val="20"/>
          <w:szCs w:val="20"/>
          <w:color w:val="auto"/>
        </w:rPr>
      </w:pPr>
      <w:r>
        <w:rPr>
          <w:rFonts w:ascii="Arial" w:cs="Arial" w:eastAsia="Arial" w:hAnsi="Arial"/>
          <w:sz w:val="18"/>
          <w:szCs w:val="18"/>
          <w:color w:val="auto"/>
        </w:rPr>
        <w:t>The etigilimab program (also referred to as the TIGIT program) was previously subject to an exclusive license option with Celgene as part of the Collaboration Agreement. See “Business—Material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29" w:lineRule="exact"/>
        <w:rPr>
          <w:sz w:val="20"/>
          <w:szCs w:val="20"/>
          <w:color w:val="auto"/>
        </w:rPr>
      </w:pPr>
    </w:p>
    <w:p>
      <w:pPr>
        <w:ind w:left="1140" w:right="660"/>
        <w:spacing w:after="0" w:line="246" w:lineRule="auto"/>
        <w:rPr>
          <w:sz w:val="20"/>
          <w:szCs w:val="20"/>
          <w:color w:val="auto"/>
        </w:rPr>
      </w:pPr>
      <w:r>
        <w:rPr>
          <w:rFonts w:ascii="Arial" w:cs="Arial" w:eastAsia="Arial" w:hAnsi="Arial"/>
          <w:sz w:val="18"/>
          <w:szCs w:val="18"/>
          <w:color w:val="auto"/>
        </w:rPr>
        <w:t>See “Business—Material Agreements—Novartis Agreements” and “Business—Material Agreements—AstraZeneca Agreement” for important information regarding our license agreements with Novartis and AstraZeneca.</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12-month top-line data from the setrusumab Phase 2b dose-ranging study in adult patients</w:t>
      </w:r>
    </w:p>
    <w:p>
      <w:pPr>
        <w:spacing w:after="0" w:line="85" w:lineRule="exact"/>
        <w:rPr>
          <w:sz w:val="20"/>
          <w:szCs w:val="20"/>
          <w:color w:val="auto"/>
        </w:rPr>
      </w:pPr>
    </w:p>
    <w:p>
      <w:pPr>
        <w:ind w:left="300" w:right="460" w:firstLine="426"/>
        <w:spacing w:after="0" w:line="246"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97"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203" w:lineRule="exact"/>
        <w:rPr>
          <w:sz w:val="20"/>
          <w:szCs w:val="20"/>
          <w:color w:val="auto"/>
        </w:rPr>
      </w:pPr>
    </w:p>
    <w:p>
      <w:pPr>
        <w:ind w:left="300" w:right="300" w:firstLine="426"/>
        <w:spacing w:after="0" w:line="237" w:lineRule="auto"/>
        <w:rPr>
          <w:sz w:val="20"/>
          <w:szCs w:val="20"/>
          <w:color w:val="auto"/>
        </w:rPr>
      </w:pPr>
      <w:r>
        <w:rPr>
          <w:rFonts w:ascii="Arial" w:cs="Arial" w:eastAsia="Arial" w:hAnsi="Arial"/>
          <w:sz w:val="18"/>
          <w:szCs w:val="18"/>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 0.58% (p=0.97) in the high, medium, and low dose cohorts (post hoc analysis), respectively. This suggests total volumetric BMD increases were driven by the ability of setrusumab to increase cortical volumetric BMD.</w:t>
      </w:r>
    </w:p>
    <w:p>
      <w:pPr>
        <w:spacing w:after="0" w:line="205"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32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340" w:firstLine="426"/>
        <w:spacing w:after="0" w:line="257" w:lineRule="auto"/>
        <w:rPr>
          <w:sz w:val="20"/>
          <w:szCs w:val="20"/>
          <w:color w:val="auto"/>
        </w:rPr>
      </w:pPr>
      <w:r>
        <w:rPr>
          <w:rFonts w:ascii="Arial" w:cs="Arial" w:eastAsia="Arial" w:hAnsi="Arial"/>
          <w:sz w:val="17"/>
          <w:szCs w:val="17"/>
          <w:color w:val="auto"/>
        </w:rPr>
        <w:t>On January 14, 2020, we reported additional data to the above from our Phase 2b does-ranging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9"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w:t>
      </w:r>
    </w:p>
    <w:p>
      <w:pPr>
        <w:spacing w:after="0" w:line="205" w:lineRule="exact"/>
        <w:rPr>
          <w:sz w:val="20"/>
          <w:szCs w:val="20"/>
          <w:color w:val="auto"/>
        </w:rPr>
      </w:pPr>
    </w:p>
    <w:p>
      <w:pPr>
        <w:jc w:val="both"/>
        <w:ind w:left="300" w:right="720" w:firstLine="426"/>
        <w:spacing w:after="0"/>
        <w:rPr>
          <w:sz w:val="20"/>
          <w:szCs w:val="20"/>
          <w:color w:val="auto"/>
        </w:rPr>
      </w:pPr>
      <w:r>
        <w:rPr>
          <w:rFonts w:ascii="Arial" w:cs="Arial" w:eastAsia="Arial" w:hAnsi="Arial"/>
          <w:sz w:val="18"/>
          <w:szCs w:val="18"/>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and on January 14, 2020 are from the three-arm blinded portion of the study.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Positive Feedback from Type B End-of-Phase 2 Meeting with the FDA</w:t>
      </w:r>
    </w:p>
    <w:p>
      <w:pPr>
        <w:spacing w:after="0" w:line="126"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On February 28, 2020, we announced the successful completion of a Type B End-of-Phase 2 meeting with the FDA to discuss the development of setrusumab for the treatment of children and adolescents with OI. Following the review of the data from the our Phase 2b (ASTEROID) study with setrusumab in adults with OI, the FDA agreed on the design of a Phase 3 pediatric study in OI to be completed prior to the submission of a Biologics License Application (“BLA”) in the United States. This is in line with our proposed pivotal pediatric study design that has already been agreed to in principle with the EMA. The Phase 3 pediatric study will include the following elements:</w:t>
      </w:r>
    </w:p>
    <w:p>
      <w:pPr>
        <w:spacing w:after="0" w:line="232" w:lineRule="exact"/>
        <w:rPr>
          <w:sz w:val="20"/>
          <w:szCs w:val="20"/>
          <w:color w:val="auto"/>
        </w:rPr>
      </w:pPr>
    </w:p>
    <w:p>
      <w:pPr>
        <w:ind w:left="1120" w:right="14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single study with two cohorts in approximately 160 children and adolescents ages 2 to &lt;18 years diagnosed with Type I, II, III or IV OI and a confirmed genetic mutation leading to a collagen defect;</w:t>
      </w:r>
    </w:p>
    <w:p>
      <w:pPr>
        <w:spacing w:after="0" w:line="27" w:lineRule="exact"/>
        <w:rPr>
          <w:rFonts w:ascii="MS PGothic" w:cs="MS PGothic" w:eastAsia="MS PGothic" w:hAnsi="MS PGothic"/>
          <w:sz w:val="25"/>
          <w:szCs w:val="25"/>
          <w:color w:val="auto"/>
          <w:vertAlign w:val="superscript"/>
        </w:rPr>
      </w:pPr>
    </w:p>
    <w:p>
      <w:pPr>
        <w:ind w:left="1120" w:right="50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safety cohort with a limited number of patients will confirm the dose of setrusumab based on safety and the efficacy cohort will be a two-arm, randomized, double-blind, active control design of 12 months duration;</w:t>
      </w:r>
    </w:p>
    <w:p>
      <w:pPr>
        <w:spacing w:after="0" w:line="27" w:lineRule="exact"/>
        <w:rPr>
          <w:rFonts w:ascii="MS PGothic" w:cs="MS PGothic" w:eastAsia="MS PGothic" w:hAnsi="MS PGothic"/>
          <w:sz w:val="25"/>
          <w:szCs w:val="25"/>
          <w:color w:val="auto"/>
          <w:vertAlign w:val="superscript"/>
        </w:rPr>
      </w:pPr>
    </w:p>
    <w:p>
      <w:pPr>
        <w:jc w:val="both"/>
        <w:ind w:left="1120" w:right="100" w:hanging="407"/>
        <w:spacing w:after="0" w:line="223"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efficacy cohort, participants will be randomized to one of two double-blinded study arms: in one arm participants will receive setrusumab at a dose equivalent to the high-dose arm utilized in the Phase 2b (ASTEROID) study and in the other arm, participants will receive a standardized bisphosphonate;</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primary endpoint of fracture rate versus active control following 12 months of treatment; and</w:t>
      </w:r>
    </w:p>
    <w:p>
      <w:pPr>
        <w:spacing w:after="0" w:line="26" w:lineRule="exact"/>
        <w:rPr>
          <w:rFonts w:ascii="MS PGothic" w:cs="MS PGothic" w:eastAsia="MS PGothic" w:hAnsi="MS PGothic"/>
          <w:sz w:val="25"/>
          <w:szCs w:val="25"/>
          <w:color w:val="auto"/>
          <w:vertAlign w:val="superscript"/>
        </w:rPr>
      </w:pPr>
    </w:p>
    <w:p>
      <w:pPr>
        <w:ind w:left="1120" w:right="20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secondary endpoint of BMD at the lumbar spine at 12 months over baseline measured using two-dimensional DAX, bone biomarkers, patient reported outcomes (PRO) and quality of life measures.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85" w:lineRule="exact"/>
        <w:rPr>
          <w:sz w:val="20"/>
          <w:szCs w:val="20"/>
          <w:color w:val="auto"/>
        </w:rPr>
      </w:pPr>
    </w:p>
    <w:p>
      <w:pPr>
        <w:ind w:left="300" w:right="200" w:firstLine="426"/>
        <w:spacing w:after="0" w:line="237" w:lineRule="auto"/>
        <w:rPr>
          <w:sz w:val="20"/>
          <w:szCs w:val="20"/>
          <w:color w:val="auto"/>
        </w:rPr>
      </w:pPr>
      <w:r>
        <w:rPr>
          <w:rFonts w:ascii="Arial" w:cs="Arial" w:eastAsia="Arial" w:hAnsi="Arial"/>
          <w:sz w:val="18"/>
          <w:szCs w:val="18"/>
          <w:color w:val="auto"/>
        </w:rPr>
        <w:t>On January 13, 2020, we entered into a global license agreement with Oncologie, Inc. (“Oncologie”) for the development and commercialization of Navicixizumab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203"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205" w:lineRule="exact"/>
        <w:rPr>
          <w:sz w:val="20"/>
          <w:szCs w:val="20"/>
          <w:color w:val="auto"/>
        </w:rPr>
      </w:pPr>
    </w:p>
    <w:p>
      <w:pPr>
        <w:ind w:left="300" w:right="80" w:firstLine="426"/>
        <w:spacing w:after="0" w:line="237" w:lineRule="auto"/>
        <w:rPr>
          <w:sz w:val="20"/>
          <w:szCs w:val="20"/>
          <w:color w:val="auto"/>
        </w:rPr>
      </w:pPr>
      <w:r>
        <w:rPr>
          <w:rFonts w:ascii="Arial" w:cs="Arial" w:eastAsia="Arial" w:hAnsi="Arial"/>
          <w:sz w:val="18"/>
          <w:szCs w:val="18"/>
          <w:color w:val="auto"/>
        </w:rPr>
        <w:t>As a consequence of the license agreement with Oncologie, and in accordance with the terms and conditions of the Contingent Value Rights Agreement for former stockholders of OncoMed, dated April 23, 2019, by and between us and Computershare Inc., as rights agent, (the “CVR Agreement”), holders of contingent value rights (“CVRs”) pursuant to the CVR Agreement will be entitled to receive certain eligible cash milestone payments made to us under the license agreement relating to the development and commercialization of Navi. The receipt of the upfront milestone payment of $4.0 million by us in January 2020 will result in a payment to CVR holders of approximately 1.2 cents per CVR, a total of approximately $462,748 (after deductions of costs, charges and expenditures). It is expected this distribution will be made to CVR holders by March 17, 2020.</w:t>
      </w:r>
    </w:p>
    <w:p>
      <w:pPr>
        <w:spacing w:after="0" w:line="203" w:lineRule="exact"/>
        <w:rPr>
          <w:sz w:val="20"/>
          <w:szCs w:val="20"/>
          <w:color w:val="auto"/>
        </w:rPr>
      </w:pPr>
    </w:p>
    <w:p>
      <w:pPr>
        <w:ind w:left="300" w:right="40" w:firstLine="426"/>
        <w:spacing w:after="0" w:line="237" w:lineRule="auto"/>
        <w:rPr>
          <w:sz w:val="20"/>
          <w:szCs w:val="20"/>
          <w:color w:val="auto"/>
        </w:rPr>
      </w:pPr>
      <w:r>
        <w:rPr>
          <w:rFonts w:ascii="Arial" w:cs="Arial" w:eastAsia="Arial" w:hAnsi="Arial"/>
          <w:sz w:val="18"/>
          <w:szCs w:val="18"/>
          <w:color w:val="auto"/>
        </w:rPr>
        <w:t>Holders of CVRs pursuant to the CVR Agreement will be entitled to receive additional eligible cash milestone payments made to us under the license agreement relating to Navi. Pursuant to the terms of the CVR Agreement, if a milestone occurs prior to the fifth anniversary of the closing of the Merger, then holders of CVRs will be entitled to receive an amount in cash equal to 70% of the aggregate principal amount received by us after deduction of costs, charges and expenditures. Such milestone payments are also subject to a cash consideration cap, pursuant to which the aggregate principal amount of all cash payments made to holders of CVRs under the CVR Agreement shall in no case exceed $79.7 million.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Novartis Notes</w:t>
      </w:r>
    </w:p>
    <w:p>
      <w:pPr>
        <w:spacing w:after="0" w:line="85"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On February 10, 2020, we entered into a £3,841,479 convertible loan note instrument with Novartis pursuant to which we issued Novartis 3,841,479 unsecured convertible loan notes (the “New Novartis Notes”) and warrants to purchase 1,449,614 ordinary shares. See “Description of Share Capital and Articles of Association—Novartis Notes”.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126" w:lineRule="exact"/>
        <w:rPr>
          <w:sz w:val="20"/>
          <w:szCs w:val="20"/>
          <w:color w:val="auto"/>
        </w:rPr>
      </w:pPr>
    </w:p>
    <w:p>
      <w:pPr>
        <w:ind w:left="300" w:right="20" w:firstLine="426"/>
        <w:spacing w:after="0" w:line="246" w:lineRule="auto"/>
        <w:rPr>
          <w:sz w:val="20"/>
          <w:szCs w:val="20"/>
          <w:color w:val="auto"/>
        </w:rPr>
      </w:pPr>
      <w:r>
        <w:rPr>
          <w:rFonts w:ascii="Arial" w:cs="Arial" w:eastAsia="Arial" w:hAnsi="Arial"/>
          <w:sz w:val="18"/>
          <w:szCs w:val="18"/>
          <w:color w:val="auto"/>
        </w:rPr>
        <w:t>On February 10, 2020, we entered into a Purchase Agreement with Aspire Capital Fund, LLC, an Illinois limited liability company (referred to in this prospectus as “Aspire Capital”), which provides that,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7" w:lineRule="auto"/>
        <w:rPr>
          <w:sz w:val="20"/>
          <w:szCs w:val="20"/>
          <w:color w:val="auto"/>
        </w:rPr>
      </w:pPr>
      <w:r>
        <w:rPr>
          <w:rFonts w:ascii="Arial" w:cs="Arial" w:eastAsia="Arial" w:hAnsi="Arial"/>
          <w:sz w:val="18"/>
          <w:szCs w:val="18"/>
          <w:color w:val="auto"/>
        </w:rPr>
        <w:t>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 See “The Aspire Capital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Boxer Capital Transaction</w:t>
      </w:r>
    </w:p>
    <w:p>
      <w:pPr>
        <w:spacing w:after="0" w:line="126"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LLC (‘‘Boxer Capital’’). Under the terms of the agreement, Boxer Capital agreed to invest $ 3.0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300" w:right="240" w:firstLine="426"/>
        <w:spacing w:after="0" w:line="274" w:lineRule="auto"/>
        <w:rPr>
          <w:sz w:val="20"/>
          <w:szCs w:val="20"/>
          <w:color w:val="auto"/>
        </w:rPr>
      </w:pPr>
      <w:r>
        <w:rPr>
          <w:rFonts w:ascii="Arial" w:cs="Arial" w:eastAsia="Arial" w:hAnsi="Arial"/>
          <w:sz w:val="17"/>
          <w:szCs w:val="17"/>
          <w:color w:val="auto"/>
        </w:rPr>
        <w:t>We intend to become a leading biopharmaceutical company developing innovative therapeutics that aim to improve outcomes for patients with rare bone, respiratory and endocrine diseases. The key elements of our strategy to achieve this goal include:</w:t>
      </w:r>
    </w:p>
    <w:p>
      <w:pPr>
        <w:spacing w:after="0" w:line="180" w:lineRule="exact"/>
        <w:rPr>
          <w:sz w:val="20"/>
          <w:szCs w:val="20"/>
          <w:color w:val="auto"/>
        </w:rPr>
      </w:pPr>
    </w:p>
    <w:p>
      <w:pPr>
        <w:ind w:left="1120" w:right="80" w:hanging="407"/>
        <w:spacing w:after="0" w:line="234" w:lineRule="auto"/>
        <w:tabs>
          <w:tab w:leader="none" w:pos="112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completed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announced top-line data of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will continue to be followed for a further 12 months to examine the off-effects of setrusumab. We have agreed on a pediatric investigational plan for setrusumab with the EMA and following our post Phase 2 meeting with the FDA in February 2020, we intend to prepare for a pivotal trial in the United States, EU and Canada in children with severe OI in 2020, with fracture as the primary end point. We believe the results from this trial, if favorable, will be sufficient to support the submission of a BLA in the United States and MAA in the EU for setrusumab for the treatment of children with severe OI and a conditional marketing authorization (“CMA”) for the treatment of adults with OI. We have commenced a Phase 2 clinical trial of alvelestat for the treatment of severe AATD and expect to report top-line data from this trial in mid-2020. If the results are favorable and pending regulatory feedback, we intend to continue to develop alvelestat toward approval and commercialization.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20" w:right="4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non-rare disease product candidates and explore strategic relationships with third parties for further clinical development and/or commercialization or strategic sales or out-licensing. </w:t>
      </w:r>
      <w:r>
        <w:rPr>
          <w:rFonts w:ascii="Arial" w:cs="Arial" w:eastAsia="Arial" w:hAnsi="Arial"/>
          <w:sz w:val="18"/>
          <w:szCs w:val="18"/>
          <w:color w:val="auto"/>
        </w:rPr>
        <w:t>Based on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Phase 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 In addition, we plan to enter into strategic relationships with third parties for the further development of etigilimab, which we acquired in the Merger. Alternatively, we may seek to sell or out-license one or more of our non-rare disease product candidates.</w:t>
      </w:r>
    </w:p>
    <w:p>
      <w:pPr>
        <w:spacing w:after="0" w:line="90" w:lineRule="exact"/>
        <w:rPr>
          <w:rFonts w:ascii="MS PGothic" w:cs="MS PGothic" w:eastAsia="MS PGothic" w:hAnsi="MS PGothic"/>
          <w:sz w:val="25"/>
          <w:szCs w:val="25"/>
          <w:color w:val="auto"/>
          <w:vertAlign w:val="superscript"/>
        </w:rPr>
      </w:pPr>
    </w:p>
    <w:p>
      <w:pPr>
        <w:ind w:left="112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We intend to leverage these relationships to grow our pipeline with a focus on rare bone, endocrine, and respiratory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their target indications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0" w:lineRule="exact"/>
        <w:rPr>
          <w:rFonts w:ascii="MS PGothic" w:cs="MS PGothic" w:eastAsia="MS PGothic" w:hAnsi="MS PGothic"/>
          <w:sz w:val="25"/>
          <w:szCs w:val="25"/>
          <w:color w:val="auto"/>
          <w:vertAlign w:val="superscript"/>
        </w:rPr>
      </w:pPr>
    </w:p>
    <w:p>
      <w:pPr>
        <w:ind w:left="1120" w:right="4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large biotechnology companies and that we believe to be mutually beneficial.</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6" w:lineRule="exact"/>
        <w:rPr>
          <w:sz w:val="20"/>
          <w:szCs w:val="20"/>
          <w:color w:val="auto"/>
        </w:rPr>
      </w:pPr>
    </w:p>
    <w:p>
      <w:pPr>
        <w:ind w:left="300" w:right="260" w:firstLine="426"/>
        <w:spacing w:after="0"/>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Among these important risks are the following:</w:t>
      </w:r>
    </w:p>
    <w:p>
      <w:pPr>
        <w:spacing w:after="0" w:line="230" w:lineRule="exact"/>
        <w:rPr>
          <w:sz w:val="20"/>
          <w:szCs w:val="20"/>
          <w:color w:val="auto"/>
        </w:rPr>
      </w:pPr>
    </w:p>
    <w:p>
      <w:pPr>
        <w:ind w:left="1120" w:right="80" w:hanging="407"/>
        <w:spacing w:after="0" w:line="223"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do not obtain adequate and timely funding, we may not be able to continue as a going concern.</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300" w:hanging="407"/>
        <w:spacing w:after="0" w:line="226"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27" w:lineRule="exact"/>
        <w:rPr>
          <w:rFonts w:ascii="MS PGothic" w:cs="MS PGothic" w:eastAsia="MS PGothic" w:hAnsi="MS PGothic"/>
          <w:sz w:val="25"/>
          <w:szCs w:val="25"/>
          <w:color w:val="auto"/>
          <w:vertAlign w:val="superscript"/>
        </w:rPr>
      </w:pPr>
    </w:p>
    <w:p>
      <w:pPr>
        <w:ind w:left="1120" w:right="500" w:hanging="407"/>
        <w:spacing w:after="0" w:line="229" w:lineRule="auto"/>
        <w:tabs>
          <w:tab w:leader="none" w:pos="1120" w:val="left"/>
        </w:tabs>
        <w:numPr>
          <w:ilvl w:val="0"/>
          <w:numId w:val="11"/>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ind w:left="1120" w:right="120" w:hanging="407"/>
        <w:spacing w:after="0" w:line="226"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AstraZeneca and OncoMed for our current product candidates.</w:t>
      </w:r>
    </w:p>
    <w:p>
      <w:pPr>
        <w:spacing w:after="0" w:line="27"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w:t>
      </w:r>
    </w:p>
    <w:p>
      <w:pPr>
        <w:spacing w:after="0" w:line="28" w:lineRule="exact"/>
        <w:rPr>
          <w:rFonts w:ascii="MS PGothic" w:cs="MS PGothic" w:eastAsia="MS PGothic" w:hAnsi="MS PGothic"/>
          <w:sz w:val="25"/>
          <w:szCs w:val="25"/>
          <w:color w:val="auto"/>
          <w:vertAlign w:val="superscript"/>
        </w:rPr>
      </w:pPr>
    </w:p>
    <w:p>
      <w:pPr>
        <w:ind w:left="1120" w:right="4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27" w:lineRule="exact"/>
        <w:rPr>
          <w:rFonts w:ascii="MS PGothic" w:cs="MS PGothic" w:eastAsia="MS PGothic" w:hAnsi="MS PGothic"/>
          <w:sz w:val="25"/>
          <w:szCs w:val="25"/>
          <w:color w:val="auto"/>
          <w:vertAlign w:val="superscript"/>
        </w:rPr>
      </w:pPr>
    </w:p>
    <w:p>
      <w:pPr>
        <w:ind w:left="1120" w:right="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and it may be difficult or time-consuming to replace them,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jc w:val="both"/>
        <w:ind w:left="1120" w:right="46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our freedom to operate or our issued patents protecting our product candidates, others could preclude us from commercializing our technology and product candidates or compete against us more directly.</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20" w:right="4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fail to comply with our obligations under our existing intellectual property licenses with Novartis or AstraZeneca or any other current or future intellectual property licenses with third parties, we could lose license rights that are important to our business, and our business may be substantially harmed as a result.</w:t>
      </w:r>
    </w:p>
    <w:p>
      <w:pPr>
        <w:spacing w:after="0" w:line="28" w:lineRule="exact"/>
        <w:rPr>
          <w:rFonts w:ascii="MS PGothic" w:cs="MS PGothic" w:eastAsia="MS PGothic" w:hAnsi="MS PGothic"/>
          <w:sz w:val="25"/>
          <w:szCs w:val="25"/>
          <w:color w:val="auto"/>
          <w:vertAlign w:val="superscript"/>
        </w:rPr>
      </w:pPr>
    </w:p>
    <w:p>
      <w:pPr>
        <w:ind w:left="1120" w:right="2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successful commercialization of our product candidates, if any, will depend in part on the extent to which governmental authorities and health insurers establish adequate coverage, reimbursement levels, and pricing policies.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fully realize the anticipated benefits of the Merger or realize such benefits within the timing anticipated.</w:t>
      </w:r>
    </w:p>
    <w:p>
      <w:pPr>
        <w:spacing w:after="0" w:line="26" w:lineRule="exact"/>
        <w:rPr>
          <w:rFonts w:ascii="MS PGothic" w:cs="MS PGothic" w:eastAsia="MS PGothic" w:hAnsi="MS PGothic"/>
          <w:sz w:val="25"/>
          <w:szCs w:val="25"/>
          <w:color w:val="auto"/>
          <w:vertAlign w:val="superscript"/>
        </w:rPr>
      </w:pPr>
    </w:p>
    <w:p>
      <w:pPr>
        <w:ind w:left="1120" w:right="18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significant risk that we will be a passive foreign investment company (“PFIC”) for any taxable year, which could result in material adverse U.S. federal income tax consequences if you are a U.S. investor.</w:t>
      </w:r>
    </w:p>
    <w:p>
      <w:pPr>
        <w:spacing w:after="0" w:line="27" w:lineRule="exact"/>
        <w:rPr>
          <w:rFonts w:ascii="MS PGothic" w:cs="MS PGothic" w:eastAsia="MS PGothic" w:hAnsi="MS PGothic"/>
          <w:sz w:val="25"/>
          <w:szCs w:val="25"/>
          <w:color w:val="auto"/>
          <w:vertAlign w:val="superscript"/>
        </w:rPr>
      </w:pPr>
    </w:p>
    <w:p>
      <w:pPr>
        <w:ind w:left="1120" w:right="1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domestic public companies, which may limit the information available to holders of our ADSs.</w:t>
      </w:r>
    </w:p>
    <w:p>
      <w:pPr>
        <w:spacing w:after="0" w:line="28" w:lineRule="exact"/>
        <w:rPr>
          <w:rFonts w:ascii="MS PGothic" w:cs="MS PGothic" w:eastAsia="MS PGothic" w:hAnsi="MS PGothic"/>
          <w:sz w:val="25"/>
          <w:szCs w:val="25"/>
          <w:color w:val="auto"/>
          <w:vertAlign w:val="superscript"/>
        </w:rPr>
      </w:pPr>
    </w:p>
    <w:p>
      <w:pPr>
        <w:ind w:left="1120" w:right="26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Circumstances affecting Woodford Investment Management Limited may have a material adverse impact on the price of our ADSs and ordinary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ind w:left="300" w:right="10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60" w:hanging="407"/>
        <w:spacing w:after="0" w:line="223"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4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0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6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1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32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52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752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320" w:top="459" w:right="79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004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ADSs offered by the selling shareholder: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 outstanding</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Up to 17,902,082 ADSs, each representing five (5) ordinary shares.</w:t>
      </w:r>
    </w:p>
    <w:p>
      <w:pPr>
        <w:spacing w:after="0" w:line="25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112,255,142 ordinary shares as of February 11, 2020, including ordinary shares in the form of ADSs.</w:t>
      </w:r>
    </w:p>
    <w:p>
      <w:pPr>
        <w:spacing w:after="0" w:line="22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Each ADS represents five (5) ordinary shares, nominal value £0.003 per ordinary share. As an ADS holder, you will not be treated as one of our shareholders and you will not have shareholder rights. You will have the rights of an ADS holder or beneficial owner of ADSs as provided in the deposit agreement among us, the depositary, and all holders and beneficial owners of ADSs issued thereunder. To better understand the terms of our ADSs, see “Description of American Depositary Shares.” We also encourage you to read the deposit agreement, the form of which is filed as an exhibit to the registration statement of which this prospectus forms a part.</w:t>
      </w:r>
    </w:p>
    <w:p>
      <w:pPr>
        <w:spacing w:after="0" w:line="200" w:lineRule="exact"/>
        <w:rPr>
          <w:sz w:val="20"/>
          <w:szCs w:val="20"/>
          <w:color w:val="auto"/>
        </w:rPr>
      </w:pPr>
    </w:p>
    <w:p>
      <w:pPr>
        <w:sectPr>
          <w:pgSz w:w="11900" w:h="16838" w:orient="portrait"/>
          <w:cols w:equalWidth="0" w:num="2">
            <w:col w:w="4160" w:space="720"/>
            <w:col w:w="6260"/>
          </w:cols>
          <w:pgMar w:left="320" w:top="459" w:right="439" w:bottom="1440" w:gutter="0" w:footer="0" w:header="0"/>
          <w:type w:val="continuous"/>
        </w:sectPr>
      </w:pP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38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640" w:type="dxa"/>
            <w:vAlign w:val="bottom"/>
          </w:tcPr>
          <w:p>
            <w:pPr>
              <w:ind w:left="1380"/>
              <w:spacing w:after="0"/>
              <w:rPr>
                <w:sz w:val="20"/>
                <w:szCs w:val="20"/>
                <w:color w:val="auto"/>
              </w:rPr>
            </w:pPr>
            <w:r>
              <w:rPr>
                <w:rFonts w:ascii="Arial" w:cs="Arial" w:eastAsia="Arial" w:hAnsi="Arial"/>
                <w:sz w:val="18"/>
                <w:szCs w:val="18"/>
                <w:color w:val="auto"/>
              </w:rPr>
              <w:t>Citibank, N.A.</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640" w:type="dxa"/>
            <w:vAlign w:val="bottom"/>
          </w:tcPr>
          <w:p>
            <w:pPr>
              <w:ind w:left="1380"/>
              <w:spacing w:after="0"/>
              <w:rPr>
                <w:sz w:val="20"/>
                <w:szCs w:val="20"/>
                <w:color w:val="auto"/>
              </w:rPr>
            </w:pPr>
            <w:r>
              <w:rPr>
                <w:rFonts w:ascii="Arial" w:cs="Arial" w:eastAsia="Arial" w:hAnsi="Arial"/>
                <w:sz w:val="18"/>
                <w:szCs w:val="18"/>
                <w:color w:val="auto"/>
              </w:rPr>
              <w:t>The selling shareholder will receive all of the proceeds from the sale of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ADSs offered for sale by it under this prospectus. We will not receive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proceeds from the sale of the ADSs by the selling shareholder. However, we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may receive up to $28.0 million in proceeds from the sale of our ordinary</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shares exchangeable for ADSs to the selling shareholder under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Purchase Agreement described below, which includes the $3.0 million that</w:t>
            </w:r>
          </w:p>
        </w:tc>
      </w:tr>
      <w:tr>
        <w:trPr>
          <w:trHeight w:val="202"/>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we received from the selling shareholder for the sale of 11,432,925 ordinary</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shares exchangeable for 2,286,585 ADSs to the selling shareholder. We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intend to use any proceeds from the selling shareholder that we received</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under the Purchase Agreement, together with our existing cash, short-term</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deposits and short-term investments, to advance the clinical development of</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setrusumab and alvelestat, and the remainder to fund general research and</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development activities, working capital and other general corporate</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purposes. See “Use of Proceeds.”</w:t>
            </w:r>
          </w:p>
        </w:tc>
      </w:tr>
      <w:tr>
        <w:trPr>
          <w:trHeight w:val="431"/>
        </w:trPr>
        <w:tc>
          <w:tcPr>
            <w:tcW w:w="33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Pr>
          <w:p>
            <w:pPr>
              <w:ind w:left="1380"/>
              <w:spacing w:after="0"/>
              <w:rPr>
                <w:sz w:val="20"/>
                <w:szCs w:val="20"/>
                <w:color w:val="auto"/>
              </w:rPr>
            </w:pPr>
            <w:r>
              <w:rPr>
                <w:rFonts w:ascii="Arial" w:cs="Arial" w:eastAsia="Arial" w:hAnsi="Arial"/>
                <w:sz w:val="18"/>
                <w:szCs w:val="18"/>
                <w:color w:val="auto"/>
              </w:rPr>
              <w:t>See “Risk Factors” and the other information included in this prospectus for</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 discussion of factors you should consider before deciding to invest in our</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ADSs.</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Nasdaq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“MREO”</w:t>
            </w:r>
          </w:p>
        </w:tc>
      </w:tr>
      <w:tr>
        <w:trPr>
          <w:trHeight w:val="459"/>
        </w:trPr>
        <w:tc>
          <w:tcPr>
            <w:tcW w:w="3380" w:type="dxa"/>
            <w:vAlign w:val="bottom"/>
          </w:tcPr>
          <w:p>
            <w:pPr>
              <w:ind w:left="180"/>
              <w:spacing w:after="0"/>
              <w:rPr>
                <w:sz w:val="20"/>
                <w:szCs w:val="20"/>
                <w:color w:val="auto"/>
              </w:rPr>
            </w:pPr>
            <w:r>
              <w:rPr>
                <w:rFonts w:ascii="Arial" w:cs="Arial" w:eastAsia="Arial" w:hAnsi="Arial"/>
                <w:sz w:val="18"/>
                <w:szCs w:val="18"/>
                <w:color w:val="auto"/>
              </w:rPr>
              <w:t>AIM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“MPH”</w:t>
            </w:r>
          </w:p>
        </w:tc>
      </w:tr>
      <w:tr>
        <w:trPr>
          <w:trHeight w:val="240"/>
        </w:trPr>
        <w:tc>
          <w:tcPr>
            <w:tcW w:w="338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40" w:type="dxa"/>
            <w:vAlign w:val="bottom"/>
          </w:tcPr>
          <w:p>
            <w:pPr>
              <w:ind w:left="20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35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the Initial Shares of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the Commission Shares of 2,862,595 ordinary shares that are exchangeable for 572,519 ADSs. Concurrently with entering into the Purchase Agreement, we also entered into a registration rights agreement with Aspire Capital (referred to in this prospectus as the “Registration Rights Agreement”), in which we agreed to file one or more registration statements, including the registration statement of which this prospectus is a part, as permissible and necessary to register under the Securities Act, the sale of the ADSs that have been and may be issued to Aspire Capital under the Purchase Agreement.</w:t>
      </w:r>
    </w:p>
    <w:p>
      <w:pPr>
        <w:spacing w:after="0" w:line="205" w:lineRule="exact"/>
        <w:rPr>
          <w:sz w:val="20"/>
          <w:szCs w:val="20"/>
          <w:color w:val="auto"/>
        </w:rPr>
      </w:pPr>
    </w:p>
    <w:p>
      <w:pPr>
        <w:ind w:left="300" w:right="40" w:firstLine="426"/>
        <w:spacing w:after="0" w:line="237"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non-affiliates), which includes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excludes the $25.0 million worth of our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3"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(iii) up to $25.0 million worth of ordinary shares that are exchangeable for ADSs that we may issue to Aspire Capital after this registration statement is declared effective under the Securities Act. All of ADSs representing ordinary shares issuable to Aspire Capital under the Purchase Agreement are being offered pursuant to this prospectus.</w:t>
      </w:r>
    </w:p>
    <w:p>
      <w:pPr>
        <w:spacing w:after="0" w:line="208"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$ 0.25 per share, we have the right, in our sole discretion, to present Aspire Capital with a purchase notice (each, a “Purchase Notice”), directing Aspire Capital (as principal) to purchase up to 150,000 ADSs per business day, up to $25.0 million worth of our ordinary shares that are exchangeable for ADSs in the aggregate over the term of the Purchase Agreement, at a per ADS price (the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3" w:lineRule="exact"/>
        <w:rPr>
          <w:sz w:val="20"/>
          <w:szCs w:val="20"/>
          <w:color w:val="auto"/>
        </w:rPr>
      </w:pPr>
    </w:p>
    <w:p>
      <w:pPr>
        <w:ind w:left="300" w:right="260" w:firstLine="426"/>
        <w:spacing w:after="0" w:line="246"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volume-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81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24815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7" w:lineRule="auto"/>
        <w:rPr>
          <w:sz w:val="20"/>
          <w:szCs w:val="20"/>
          <w:color w:val="auto"/>
        </w:rPr>
      </w:pPr>
      <w:r>
        <w:rPr>
          <w:rFonts w:ascii="Arial" w:cs="Arial" w:eastAsia="Arial" w:hAnsi="Arial"/>
          <w:sz w:val="18"/>
          <w:szCs w:val="18"/>
          <w:color w:val="auto"/>
        </w:rPr>
        <w:t>weighted average price purchase notice (each, a “VWAP Purchase Notice”) directing Aspire Capital to purchase an amount of ADSs equal to up to 30% of the aggregate of the Company’s ADSs traded on the Nasdaq on the next business day (the “VWAP Purchase Date”) but not more than 250,000 ADSs, subject to a maximum number of ADSs we may determine (the “VWAP Purchase ADS Volume Maximum”) and a minimum trading price (the “VWAP Minimum Price Threshold”) (as more specifically described below). The purchase price per ADS pursuant to such VWAP Purchase Notice (the “VWAP Purchase Price”) is calculated by reference to the prevailing market price of our ADSs (as more specifically described below).</w:t>
      </w:r>
    </w:p>
    <w:p>
      <w:pPr>
        <w:spacing w:after="0" w:line="20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$0.25 per ADS (the “Floor Price”). This Floor Price and the respective prices and ADS numbers in the preceding paragraphs shall be appropriately adjusted for any reorganization, recapitalization, non-cash dividend, stock split, reverse stock split or other similar transaction. There are no trading volume requirements or restrictions under the Purchase 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The following tables set forth our summary consolidated financial data for the periods and as of the dates indicated. We have derived the consolidated statement of comprehensive loss data for the years ended December 31, 2018, 2017 and 2016 and the consolidated balance sheet data as of December 31, 2018 and 2017 from our audited consolidated financial statements included in this prospectus. Consolidated balance sheet data as of December 31, 2016 is derived from other consolidated financial statements not included in this prospectus. We have derived the unaudited consolidated statement of comprehensive loss data for the six-month periods ended June 30, 2019 and 2018 and the unaudited consolidated balance sheet data as of June 30, 2019 from our unaudited interim consolidated financial statements included in this prospectus, which have been prepared in accordance with IAS 34 as issued by the IASB. In the opinion of management, the unaudited interim consolidated financial statements reflect all adjustments, consisting of only normal recurring adjustments, necessary for a fair presentation of the financial information in those statements. Our historical results are not necessarily indicative of the results that should be expected for any future period. You should read the following summary consolidated financial data together with the audited and unaudited consolidated financial statements included in this prospectus and the sections titled “Management’s Discussion and Analysis of Financial Condition and Results of Operations” and “Unaudited Pro Forma Condensed Combined Financial Information.”</w:t>
      </w:r>
    </w:p>
    <w:p>
      <w:pPr>
        <w:spacing w:after="0" w:line="203" w:lineRule="exact"/>
        <w:rPr>
          <w:sz w:val="20"/>
          <w:szCs w:val="20"/>
          <w:color w:val="auto"/>
        </w:rPr>
      </w:pPr>
    </w:p>
    <w:p>
      <w:pPr>
        <w:ind w:left="300" w:right="200" w:firstLine="426"/>
        <w:spacing w:after="0" w:line="238"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rPr>
              <w:t>(in thousands, except per ordinary share data)</w:t>
            </w:r>
          </w:p>
        </w:tc>
        <w:tc>
          <w:tcPr>
            <w:tcW w:w="17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Consolidated Statement of</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Comprehensive Loss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Data:</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160"/>
              <w:spacing w:after="0"/>
              <w:rPr>
                <w:sz w:val="20"/>
                <w:szCs w:val="20"/>
                <w:color w:val="auto"/>
              </w:rPr>
            </w:pPr>
            <w:r>
              <w:rPr>
                <w:rFonts w:ascii="Arial" w:cs="Arial" w:eastAsia="Arial" w:hAnsi="Arial"/>
                <w:sz w:val="16"/>
                <w:szCs w:val="16"/>
                <w:color w:val="auto"/>
              </w:rPr>
              <w:t>expenses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(24,563)</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(31,204)</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(34,607)</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(43,964)</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(22,704)</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(28,843)</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(13,802)</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(11,918)</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(15,141)</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(11,617)</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(10,697)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(13,590)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(15,886)</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(7,102)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(6,462)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(8,209)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Arial" w:cs="Arial" w:eastAsia="Arial" w:hAnsi="Arial"/>
                <w:sz w:val="16"/>
                <w:szCs w:val="16"/>
                <w:color w:val="auto"/>
              </w:rPr>
              <w:t>Operating loss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(36,180)</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(45,962)</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(45,304)</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(57,554)</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(35,209)</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(44,729)</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(17,966)</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(22,824)</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(18,380)</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(23,350)</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Net income recognized on</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of subsidiary</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Finance income</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476</w:t>
            </w: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827</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1,050</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390</w:t>
            </w: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192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Finance charge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(1,090)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(2,999)</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54"/>
        </w:trPr>
        <w:tc>
          <w:tcPr>
            <w:tcW w:w="18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rPr>
              <w:t>(in thousands, except per ordinary share data)</w:t>
            </w:r>
          </w:p>
        </w:tc>
        <w:tc>
          <w:tcPr>
            <w:tcW w:w="17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0" w:type="dxa"/>
            <w:vAlign w:val="bottom"/>
            <w:tcBorders>
              <w:left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Net foreign exchange</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gain/(loss)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2,874</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(1,759)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Net loss before tax</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(33,722)</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(42,840)</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(46,951)</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(59,648)</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(37,307)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(47,394)</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(19,353)</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(24,585)</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(23,734)</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Taxation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5,331</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6,773</w:t>
            </w: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8,152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10,357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5,278</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6,704</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3,123</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Loss attributable to equity</w:t>
            </w: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holders of Mereo</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(28,391)</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(36,067)</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(38,799)</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(49,291)</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(32,029)</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(40,690)</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(16,988)</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(21,581)</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(16,223)</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(20,611)</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Fair value changes on</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held at fair</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value through OCI</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Currency translation of</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foreign operations</w:t>
            </w:r>
          </w:p>
        </w:tc>
        <w:tc>
          <w:tcPr>
            <w:tcW w:w="9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903</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loss</w:t>
            </w: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equity</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holders of Mereo</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(28,391)</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(36,067)</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(38,799)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(49,291)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(32,029)</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(40,690)</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(16,988)</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(21,581)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(15,424)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(19,596)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Basic and diluted loss per</w:t>
            </w: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ordinary share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(0.63)</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(0.80)</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(0.56)</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(0.71)</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(0.57)</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(0.30)</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(0.28)</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89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30899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29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2900" w:type="dxa"/>
            <w:vAlign w:val="bottom"/>
          </w:tcPr>
          <w:p>
            <w:pPr>
              <w:spacing w:after="0"/>
              <w:rPr>
                <w:sz w:val="13"/>
                <w:szCs w:val="13"/>
                <w:color w:val="auto"/>
              </w:rPr>
            </w:pPr>
          </w:p>
        </w:tc>
        <w:tc>
          <w:tcPr>
            <w:tcW w:w="104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84"/>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r>
      <w:tr>
        <w:trPr>
          <w:trHeight w:val="80"/>
        </w:trPr>
        <w:tc>
          <w:tcPr>
            <w:tcW w:w="2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80"/>
        </w:trPr>
        <w:tc>
          <w:tcPr>
            <w:tcW w:w="29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Consolidated Balance Sheet</w:t>
            </w: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Cash and short-term deposits and</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900" w:type="dxa"/>
            <w:vAlign w:val="bottom"/>
          </w:tcPr>
          <w:p>
            <w:pPr>
              <w:ind w:left="180"/>
              <w:spacing w:after="0" w:line="203" w:lineRule="exact"/>
              <w:rPr>
                <w:sz w:val="20"/>
                <w:szCs w:val="20"/>
                <w:color w:val="auto"/>
              </w:rPr>
            </w:pPr>
            <w:r>
              <w:rPr>
                <w:rFonts w:ascii="Arial" w:cs="Arial" w:eastAsia="Arial" w:hAnsi="Arial"/>
                <w:sz w:val="18"/>
                <w:szCs w:val="18"/>
                <w:color w:val="auto"/>
              </w:rPr>
              <w:t>short-term investments</w:t>
            </w:r>
          </w:p>
        </w:tc>
        <w:tc>
          <w:tcPr>
            <w:tcW w:w="104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53,578</w:t>
            </w:r>
          </w:p>
        </w:tc>
        <w:tc>
          <w:tcPr>
            <w:tcW w:w="8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68,065</w:t>
            </w:r>
          </w:p>
        </w:tc>
        <w:tc>
          <w:tcPr>
            <w:tcW w:w="1100" w:type="dxa"/>
            <w:vAlign w:val="bottom"/>
          </w:tcPr>
          <w:p>
            <w:pPr>
              <w:jc w:val="right"/>
              <w:ind w:right="295"/>
              <w:spacing w:after="0" w:line="203" w:lineRule="exact"/>
              <w:rPr>
                <w:sz w:val="20"/>
                <w:szCs w:val="20"/>
                <w:color w:val="auto"/>
              </w:rPr>
            </w:pPr>
            <w:r>
              <w:rPr>
                <w:rFonts w:ascii="Arial" w:cs="Arial" w:eastAsia="Arial" w:hAnsi="Arial"/>
                <w:sz w:val="18"/>
                <w:szCs w:val="18"/>
                <w:color w:val="auto"/>
              </w:rPr>
              <w:t>52,545</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63,577</w:t>
            </w:r>
          </w:p>
        </w:tc>
        <w:tc>
          <w:tcPr>
            <w:tcW w:w="114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27,541</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34,989</w:t>
            </w:r>
          </w:p>
        </w:tc>
        <w:tc>
          <w:tcPr>
            <w:tcW w:w="940" w:type="dxa"/>
            <w:vAlign w:val="bottom"/>
          </w:tcPr>
          <w:p>
            <w:pPr>
              <w:jc w:val="right"/>
              <w:ind w:right="76"/>
              <w:spacing w:after="0" w:line="203" w:lineRule="exact"/>
              <w:rPr>
                <w:sz w:val="20"/>
                <w:szCs w:val="20"/>
                <w:color w:val="auto"/>
              </w:rPr>
            </w:pPr>
            <w:r>
              <w:rPr>
                <w:rFonts w:ascii="Arial" w:cs="Arial" w:eastAsia="Arial" w:hAnsi="Arial"/>
                <w:sz w:val="18"/>
                <w:szCs w:val="18"/>
                <w:color w:val="auto"/>
              </w:rPr>
              <w:t>36,118</w:t>
            </w: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45,884</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86,765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110,226</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96,335</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122,385</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67,276</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85,468</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107,141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136,112</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10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193</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245</w:t>
            </w:r>
          </w:p>
        </w:tc>
        <w:tc>
          <w:tcPr>
            <w:tcW w:w="110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213</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271</w:t>
            </w:r>
          </w:p>
        </w:tc>
        <w:tc>
          <w:tcPr>
            <w:tcW w:w="11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214</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w:t>
            </w:r>
          </w:p>
        </w:tc>
        <w:tc>
          <w:tcPr>
            <w:tcW w:w="9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99,975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127,009</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118,227</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150,196</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118,492</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150,532</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121,684</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154,588</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(40,579)</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(51,552)</w:t>
            </w:r>
          </w:p>
        </w:tc>
        <w:tc>
          <w:tcPr>
            <w:tcW w:w="11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(79,316)</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(100,763)</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(111,221)</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(141,295)</w:t>
            </w: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(127,356)</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(161,794)</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79,257</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100,688</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62,483</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79,379</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32,771</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41,632</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59,031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74,994</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7,508(1)</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9,538</w:t>
            </w:r>
          </w:p>
        </w:tc>
        <w:tc>
          <w:tcPr>
            <w:tcW w:w="11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33,852(2)</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43,006</w:t>
            </w: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34,505(3)</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43,836</w:t>
            </w:r>
          </w:p>
        </w:tc>
        <w:tc>
          <w:tcPr>
            <w:tcW w:w="9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48,110</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61,119</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 and liabilities</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86,765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110,226</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96,335</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122,385</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67,276</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85,468</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107,141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136,113</w:t>
            </w:r>
          </w:p>
        </w:tc>
      </w:tr>
    </w:tbl>
    <w:p>
      <w:pPr>
        <w:spacing w:after="0" w:line="175" w:lineRule="exact"/>
        <w:rPr>
          <w:sz w:val="20"/>
          <w:szCs w:val="20"/>
          <w:color w:val="auto"/>
        </w:rPr>
      </w:pPr>
    </w:p>
    <w:p>
      <w:pPr>
        <w:ind w:left="720" w:right="380" w:hanging="426"/>
        <w:spacing w:after="0" w:line="23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720" w:right="380" w:hanging="426"/>
        <w:spacing w:after="0" w:line="23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 million ($2.5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720" w:right="380" w:hanging="426"/>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 million ($2.5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78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34"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The following summary unaudited pro forma condensed combined financial information is derived from the unaudited pro forma condensed combined statement of operations for the year ended December 31, 2018 and the six months ended June 30, 2019, after giving effect to the Merger as if it had occurred on January 1, 2018.</w:t>
      </w:r>
    </w:p>
    <w:p>
      <w:pPr>
        <w:spacing w:after="0" w:line="203" w:lineRule="exact"/>
        <w:rPr>
          <w:sz w:val="20"/>
          <w:szCs w:val="20"/>
          <w:color w:val="auto"/>
        </w:rPr>
      </w:pPr>
    </w:p>
    <w:p>
      <w:pPr>
        <w:jc w:val="both"/>
        <w:ind w:left="300" w:right="120" w:firstLine="426"/>
        <w:spacing w:after="0"/>
        <w:rPr>
          <w:sz w:val="20"/>
          <w:szCs w:val="20"/>
          <w:color w:val="auto"/>
        </w:rPr>
      </w:pPr>
      <w:r>
        <w:rPr>
          <w:rFonts w:ascii="Arial" w:cs="Arial" w:eastAsia="Arial" w:hAnsi="Arial"/>
          <w:sz w:val="18"/>
          <w:szCs w:val="18"/>
          <w:color w:val="auto"/>
        </w:rPr>
        <w:t>The summary unaudited pro forma condensed combined statement of operations has been prepared using the principles of the acquisition method of accounting in accordance with IFRS as issued by the IASB, and in particular IFRS 3—Business Combinations (“IFRS 3”), under which the Merger qualifies as the acquisition of OncoMed by us.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The summary unaudited pro forma condensed combined statement of operations has been prepared by Mereo’s management in accordance with SEC Regulation S-X Article 11 for illustrative purposes only. The unaudited pro forma condensed combined statement of operations does not purport to represent what our actual results of operations would have been had the Merger occurred on the date assumed, nor is it indicative of the future results of the combined company. The unaudited pro forma condensed combined statement of operations for the year ended December 31, 2018 and the six months ended June 30, 2019 does not reflect any cost savings, operating synergies or revenue enhancements that the combined company may achieve as a result of the Merger. The pro forma adjustments reflected in the summary unaudited pro forma condensed combined statement of operations reflect estimates and assumptions made by Mereo’s management that Mereo believes to be reasonable.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convenience of the reader and except as otherwise indicated, we have translated pound sterling amounts in the tables</w:t>
      </w:r>
    </w:p>
    <w:p>
      <w:pPr>
        <w:ind w:left="300"/>
        <w:spacing w:after="0" w:line="234" w:lineRule="auto"/>
        <w:rPr>
          <w:sz w:val="20"/>
          <w:szCs w:val="20"/>
          <w:color w:val="auto"/>
        </w:rPr>
      </w:pPr>
      <w:r>
        <w:rPr>
          <w:rFonts w:ascii="Arial" w:cs="Arial" w:eastAsia="Arial" w:hAnsi="Arial"/>
          <w:sz w:val="18"/>
          <w:szCs w:val="18"/>
          <w:color w:val="auto"/>
        </w:rPr>
        <w:t>below into U.S. dollars at the noon buying rate of the Federal Reserve Bank of New York on June 28, 2019, which was £1.00 to</w:t>
      </w:r>
    </w:p>
    <w:p>
      <w:pPr>
        <w:ind w:left="300"/>
        <w:spacing w:after="0" w:line="235" w:lineRule="auto"/>
        <w:rPr>
          <w:sz w:val="20"/>
          <w:szCs w:val="20"/>
          <w:color w:val="auto"/>
        </w:rPr>
      </w:pPr>
      <w:r>
        <w:rPr>
          <w:rFonts w:ascii="Arial" w:cs="Arial" w:eastAsia="Arial" w:hAnsi="Arial"/>
          <w:sz w:val="18"/>
          <w:szCs w:val="18"/>
          <w:color w:val="auto"/>
        </w:rPr>
        <w:t>$1.2704. These translations should not be considered representations that any such amounts have been, could have been, or could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81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33813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60" w:firstLine="426"/>
        <w:spacing w:after="0" w:line="238" w:lineRule="auto"/>
        <w:rPr>
          <w:sz w:val="20"/>
          <w:szCs w:val="20"/>
          <w:color w:val="auto"/>
        </w:rPr>
      </w:pPr>
      <w:r>
        <w:rPr>
          <w:rFonts w:ascii="Arial" w:cs="Arial" w:eastAsia="Arial" w:hAnsi="Arial"/>
          <w:sz w:val="18"/>
          <w:szCs w:val="18"/>
          <w:color w:val="auto"/>
        </w:rPr>
        <w:t>The following summary unaudited pro forma condensed combined statement of operations should be read in conjunction with the information contained in “Unaudited Pro Forma Condensed Combined Financial Information,” “Risk Factors,” “Cautionary Statement Regarding Forward-Looking Statements,” “Selected Consolidated Financial Data of Mereo,” “Business,” and our consolidated financial statements included elsewhere in this prospectus.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80" w:type="dxa"/>
            <w:vAlign w:val="bottom"/>
            <w:gridSpan w:val="4"/>
          </w:tcPr>
          <w:p>
            <w:pPr>
              <w:jc w:val="center"/>
              <w:ind w:left="588"/>
              <w:spacing w:after="0"/>
              <w:rPr>
                <w:sz w:val="20"/>
                <w:szCs w:val="20"/>
                <w:color w:val="auto"/>
              </w:rPr>
            </w:pPr>
            <w:r>
              <w:rPr>
                <w:rFonts w:ascii="Arial" w:cs="Arial" w:eastAsia="Arial" w:hAnsi="Arial"/>
                <w:sz w:val="14"/>
                <w:szCs w:val="14"/>
                <w:b w:val="1"/>
                <w:bCs w:val="1"/>
                <w:color w:val="auto"/>
              </w:rPr>
              <w:t>Pro Forma Condensed Combined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Statement of Operations</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gridSpan w:val="3"/>
          </w:tcPr>
          <w:p>
            <w:pPr>
              <w:jc w:val="right"/>
              <w:ind w:right="660"/>
              <w:spacing w:after="0" w:line="143" w:lineRule="exact"/>
              <w:rPr>
                <w:sz w:val="20"/>
                <w:szCs w:val="20"/>
                <w:color w:val="auto"/>
              </w:rPr>
            </w:pPr>
            <w:r>
              <w:rPr>
                <w:rFonts w:ascii="Arial" w:cs="Arial" w:eastAsia="Arial" w:hAnsi="Arial"/>
                <w:sz w:val="14"/>
                <w:szCs w:val="14"/>
                <w:b w:val="1"/>
                <w:bCs w:val="1"/>
                <w:color w:val="auto"/>
              </w:rPr>
              <w:t>Year Ended</w:t>
            </w:r>
          </w:p>
        </w:tc>
        <w:tc>
          <w:tcPr>
            <w:tcW w:w="17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gridSpan w:val="2"/>
          </w:tcPr>
          <w:p>
            <w:pPr>
              <w:spacing w:after="0"/>
              <w:rPr>
                <w:sz w:val="12"/>
                <w:szCs w:val="12"/>
                <w:color w:val="auto"/>
              </w:rPr>
            </w:pPr>
          </w:p>
        </w:tc>
      </w:tr>
      <w:tr>
        <w:trPr>
          <w:trHeight w:val="175"/>
        </w:trPr>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 2018</w:t>
            </w:r>
          </w:p>
        </w:tc>
        <w:tc>
          <w:tcPr>
            <w:tcW w:w="2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June 30, 2019</w:t>
            </w:r>
          </w:p>
        </w:tc>
      </w:tr>
      <w:tr>
        <w:trPr>
          <w:trHeight w:val="156"/>
        </w:trPr>
        <w:tc>
          <w:tcPr>
            <w:tcW w:w="1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2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(unaudited, in thousands, except per</w:t>
            </w:r>
          </w:p>
        </w:tc>
        <w:tc>
          <w:tcPr>
            <w:tcW w:w="340" w:type="dxa"/>
            <w:vAlign w:val="bottom"/>
            <w:gridSpan w:val="2"/>
          </w:tcPr>
          <w:p>
            <w:pPr>
              <w:spacing w:after="0"/>
              <w:rPr>
                <w:sz w:val="12"/>
                <w:szCs w:val="12"/>
                <w:color w:val="auto"/>
              </w:rPr>
            </w:pPr>
          </w:p>
        </w:tc>
      </w:tr>
      <w:tr>
        <w:trPr>
          <w:trHeight w:val="175"/>
        </w:trPr>
        <w:tc>
          <w:tcPr>
            <w:tcW w:w="18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ordinary share data)</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33,243</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42,232</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3,288</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4,177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(48,285)</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(61,341)</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(16,434)</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(20,878)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(23,476)</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(29,824)</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(10,827)</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(38,518)</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(48,933)</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(23,973)</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(30,455)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1,476</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1,875</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390</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(2,361)</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(2,999)</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(1,953)</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(2,481)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(39,447)</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(50,113)</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(25,556)</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(32,466)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5,563</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7,067</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2,445</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3,106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(33,884)</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(43,046)</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(23,111)</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(29,360)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Mereo</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(33,884)</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(43,046)</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(23,111)</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(29,360)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ordinary share</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(0.35)</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(0.44)</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(0.24)</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(0.30)</w:t>
            </w:r>
          </w:p>
        </w:tc>
        <w:tc>
          <w:tcPr>
            <w:tcW w:w="200" w:type="dxa"/>
            <w:vAlign w:val="bottom"/>
          </w:tcPr>
          <w:p>
            <w:pPr>
              <w:spacing w:after="0"/>
              <w:rPr>
                <w:sz w:val="17"/>
                <w:szCs w:val="17"/>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20" w:type="dxa"/>
            <w:vAlign w:val="bottom"/>
          </w:tcPr>
          <w:p>
            <w:pPr>
              <w:jc w:val="right"/>
              <w:ind w:right="1370"/>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ADSs. Our business, financial condition, results of operation, or prospects could be materially and adversely affected if any of these risks occurs, and as a result, the market price of our ADSs could decline and you could lose all or part of your investment.</w:t>
      </w:r>
    </w:p>
    <w:p>
      <w:pPr>
        <w:spacing w:after="0" w:line="2" w:lineRule="exact"/>
        <w:rPr>
          <w:sz w:val="20"/>
          <w:szCs w:val="20"/>
          <w:color w:val="auto"/>
        </w:rPr>
      </w:pPr>
    </w:p>
    <w:p>
      <w:pPr>
        <w:jc w:val="both"/>
        <w:ind w:left="120" w:right="400"/>
        <w:spacing w:after="0"/>
        <w:rPr>
          <w:sz w:val="20"/>
          <w:szCs w:val="20"/>
          <w:color w:val="auto"/>
        </w:rPr>
      </w:pPr>
      <w:r>
        <w:rPr>
          <w:rFonts w:ascii="Arial" w:cs="Arial" w:eastAsia="Arial" w:hAnsi="Arial"/>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formation. We had net losses of £16.2 million in the six months ended June 30, 2019 (£17.0 million in the six months ended June 30, 2018), and £32.0 million, £38.8 million and £28.4 million, in the years ended December 31, 2018, 2017 and 2016, respectively. As of June 30, 2019, we had an accumulated net loss of £127.4 million (£111.2 million as of December 31, 2018).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184"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setrusumab for the treatment of OI, which currently involves a</w:t>
      </w:r>
    </w:p>
    <w:p>
      <w:pPr>
        <w:ind w:left="9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12-month period during which the off-effects of setrusumab will be examined following the top-line data read out in 2019;</w:t>
      </w:r>
    </w:p>
    <w:p>
      <w:pPr>
        <w:spacing w:after="0" w:line="9"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 clinical trial of alvelestat for the treatment of severe AATD;</w:t>
      </w:r>
    </w:p>
    <w:p>
      <w:pPr>
        <w:spacing w:after="0" w:line="26"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prepare for a pivotal trial of setrusumab in the United States, Europe and Canada in children with severe OI in 2020, with fracture rate as the primary endpoint;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diseases;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contract manufacturing organizations (“CMOs”) to scale up manufacturing processes to commercialize or co-commercialize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 candidates;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or co-commercialization efforts; and</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additional employees in the United States and in Europe, territories where we anticipate direct commercialization or commercialization with a partner.</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our product candidates. We have not completed the clinical development of any product through approval and have never generated any product revenue.</w:t>
      </w:r>
    </w:p>
    <w:p>
      <w:pPr>
        <w:spacing w:after="0" w:line="203"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7"/>
          <w:szCs w:val="17"/>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1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adequate and timely funding, we may not be able to continue as a going concern.</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current business plan and cash flow forecasts, with ongoing research and development efforts focused on our rare disease product candidates, setrusumab and alvelestat, and taking into account the funds raised from Novartis, Aspire Capital and Boxer Capital, together with other current short-term initiatives including the successful finalization of the current HM Revenue &amp; Customs (“HMRC”) enquiries in respect of our research and development tax claim relating to fiscal year 2018, we expect that our cash resources will extend to the end of the first half of 2020. Therefore, we will need additional external funding by the end of the first half of 2020 to be able to continue as a going concern.</w:t>
      </w:r>
    </w:p>
    <w:p>
      <w:pPr>
        <w:spacing w:after="0" w:line="20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will seek to obtain such funding from further equity financings, collaborations, licensing arrangements and potentially from the utilization of all or part of the additional $25.0 million we may receive from Aspire Capital pursuant to the Purchase Agreement, additional or restructured debt facilities or other sources. We also intend to raise additional equity capital in one or more transactions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700"/>
        <w:spacing w:after="0"/>
        <w:rPr>
          <w:sz w:val="20"/>
          <w:szCs w:val="20"/>
          <w:color w:val="auto"/>
        </w:rPr>
      </w:pPr>
      <w:r>
        <w:rPr>
          <w:rFonts w:ascii="Arial" w:cs="Arial" w:eastAsia="Arial" w:hAnsi="Arial"/>
          <w:sz w:val="18"/>
          <w:szCs w:val="18"/>
          <w:color w:val="auto"/>
        </w:rPr>
        <w:t>with institutional investors on terms substantially similar to the terms of Aspire Capital’s purchase of the Initial Shares. There is no guarantee that future funding will be available in sufficient amounts or on terms acceptable to us, if at all. If we are unable to raise sufficient external funding when needed, we could be forced to delay, reduce or eliminate our intended activities.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unaudited interim consolidated financial statements as of and for the six-month period ended June 30, 2019 included elsewhere in this prospectus have been prepared on a going concern basis; however, they make reference to a material uncertainty as to our ability to continue as a going concern because further funding was not committed at the date of approval of those unaudited interim consolidated financial statements. In addition, as only limited additional funding from the New Novartis Notes, the Purchase Agreement with Aspire Capital and the private placement with Boxer Capital has been secured as at the date of this prospectus, there remains a material uncertainty as to our ability to continue as a going concern. If we are unable to obtain adequate and timely funding such that the going concern basis of preparation were no longer appropriate, we would be required to make adjustments to our financial statements, which adjustments could include significant reductions in the balance sheet values of our assets to their recoverable amounts and the recognition of significant provisions for further liabilities that might arise.</w:t>
      </w:r>
    </w:p>
    <w:p>
      <w:pPr>
        <w:spacing w:after="0" w:line="18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6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80" w:right="16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and our planned pivotal pediatric study for setrusumab and our ongoing Phase 2 clinical trial for alvelestat;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 and</w:t>
      </w:r>
    </w:p>
    <w:p>
      <w:pPr>
        <w:spacing w:after="0" w:line="26"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satisfy HMRC’s enquiries with respect to our fiscal year 2018 research and development tax credit claim and claims in respect of fiscal year 2019 and future years.</w:t>
      </w:r>
    </w:p>
    <w:p>
      <w:pPr>
        <w:spacing w:after="0" w:line="20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Furthermore, we expect to incur additional costs associated with operating as a public company in the United Kingdom and the United States and maintaining a quotation and listing, respectively, on the AIM and Nasdaq.</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will need to obtain substantial additional funding in connection with our continuing operations.</w:t>
      </w:r>
    </w:p>
    <w:p>
      <w:pPr>
        <w:spacing w:after="0" w:line="212"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and ordinary shares.</w:t>
      </w:r>
    </w:p>
    <w:p>
      <w:pPr>
        <w:spacing w:after="0" w:line="20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 See “—If we do not obtain adequate and timely funding, we may not be able to continue as a going concern.”</w:t>
      </w:r>
    </w:p>
    <w:p>
      <w:pPr>
        <w:spacing w:after="0" w:line="167"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Since our formation, we have devoted substantially all of our resources to acquiring our product candidates and developing setrusumab, alvelestat, acumapimod, and leflutrozole;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large pharmaceutical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32" w:lineRule="exact"/>
        <w:rPr>
          <w:sz w:val="20"/>
          <w:szCs w:val="20"/>
          <w:color w:val="auto"/>
        </w:rPr>
      </w:pPr>
    </w:p>
    <w:p>
      <w:pPr>
        <w:ind w:left="980" w:right="14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80" w:hanging="432"/>
        <w:spacing w:after="0" w:line="229" w:lineRule="auto"/>
        <w:tabs>
          <w:tab w:leader="none" w:pos="980" w:val="left"/>
        </w:tabs>
        <w:numPr>
          <w:ilvl w:val="0"/>
          <w:numId w:val="19"/>
        </w:numPr>
        <w:rPr>
          <w:rFonts w:ascii="MS PGothic" w:cs="MS PGothic" w:eastAsia="MS PGothic" w:hAnsi="MS PGothic"/>
          <w:sz w:val="24"/>
          <w:szCs w:val="24"/>
          <w:color w:val="auto"/>
          <w:vertAlign w:val="superscript"/>
        </w:rPr>
      </w:pPr>
      <w:r>
        <w:rPr>
          <w:rFonts w:ascii="Arial" w:cs="Arial" w:eastAsia="Arial" w:hAnsi="Arial"/>
          <w:sz w:val="17"/>
          <w:szCs w:val="17"/>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 w:lineRule="exact"/>
        <w:rPr>
          <w:rFonts w:ascii="MS PGothic" w:cs="MS PGothic" w:eastAsia="MS PGothic" w:hAnsi="MS PGothic"/>
          <w:sz w:val="24"/>
          <w:szCs w:val="24"/>
          <w:color w:val="auto"/>
          <w:vertAlign w:val="superscript"/>
        </w:rPr>
      </w:pPr>
    </w:p>
    <w:p>
      <w:pPr>
        <w:ind w:left="98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may be too complex and difficult to navigate successfully or economically;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4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(the “credit facility”) requires us to seek consent for certain corporate transactions, dispositions, or incurrences of certain debt. In addition, the credit facility is secured by substantially all of our assets, including intellectual property rights owned or controlled by us.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and ordinary shares to decline.</w:t>
      </w:r>
    </w:p>
    <w:p>
      <w:pPr>
        <w:spacing w:after="0" w:line="19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setrusumab, alvelestat, acumapimod, leflutrozole and etigilimab. We cannot give any assurance that any of these product candidates or therapeutic candidates will receive regulatory approval, which is necessary before they can be commercialized. If we are unable to commercialize, whether on our own or through agreements with third parties, setrusumab, alvelestat, acumapimod, leflutrozole and etigilimab or experience significant delays in doing so, our ability to generate revenue and our financial condition will be adversely affected.</w:t>
      </w:r>
    </w:p>
    <w:p>
      <w:pPr>
        <w:spacing w:after="0" w:line="50" w:lineRule="exact"/>
        <w:rPr>
          <w:sz w:val="20"/>
          <w:szCs w:val="20"/>
          <w:color w:val="auto"/>
        </w:rPr>
      </w:pPr>
    </w:p>
    <w:p>
      <w:pPr>
        <w:ind w:left="120" w:right="320" w:firstLine="440"/>
        <w:spacing w:after="0" w:line="237" w:lineRule="auto"/>
        <w:rPr>
          <w:sz w:val="20"/>
          <w:szCs w:val="20"/>
          <w:color w:val="auto"/>
        </w:rPr>
      </w:pPr>
      <w:r>
        <w:rPr>
          <w:rFonts w:ascii="Arial" w:cs="Arial" w:eastAsia="Arial" w:hAnsi="Arial"/>
          <w:sz w:val="18"/>
          <w:szCs w:val="18"/>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alvelestat, acumapimod, leflutrozole and etigilimab.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7"/>
          <w:szCs w:val="17"/>
          <w:color w:val="auto"/>
        </w:rPr>
        <w:t>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have agreed on a pediatric investigational plan (“PIP”) for setrusumab with the EMA and intend to prepare for a pivotal trial of setrusumab in Europe and Canada in children with severe OI in 2020, with fracture rate as the primary endpoint. We have also discussed with the FDA the expansion of the pivotal trial of setrusumab for the treatment of patients with severe OI to include sites in the United States. However, our pediatric plan for setrusumab may not be successful, which would adversely affect the clinical development of setrusumab in the United States and adversely affect our commercialization plans in the United States.</w:t>
      </w:r>
    </w:p>
    <w:p>
      <w:pPr>
        <w:spacing w:after="0" w:line="191"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BLA or a New Drug Application (“NDA”) to the FDA, an MAA or CMA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29" w:lineRule="exact"/>
        <w:rPr>
          <w:sz w:val="20"/>
          <w:szCs w:val="20"/>
          <w:color w:val="auto"/>
        </w:rPr>
      </w:pPr>
    </w:p>
    <w:p>
      <w:pPr>
        <w:ind w:left="980" w:right="5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6"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27"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their approval policies or adopt new regulations;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 and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AECOPD, HH or ovarian cancer;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plan to seek regulatory approval to commercialize, or co-commercialize, our current rare disease product candidates both in the United States and the European Union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99"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6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80" w:hanging="432"/>
        <w:spacing w:after="0" w:line="218"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health epidemics and other widespread outbreaks of contagious disease, or natural disasters, including earthquakes, typhoons, hurricanes, floods, and fires.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face risks related to health epidemics and other widespread outbreaks of contagious disease, which could disrupt our operations and impact our operating results.</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In December 2019, a strain of novel coronavirus, COVID-19, causing respiratory illness emerged in the city of Wuhan in the Hubei province of China. The Chinese government has taken certain emergency measures to combat the spread of the virus, including implementation of travel bans and closure of factories and businesses. Since that time, multiple other countries throughout the world have been affected by the spread of the virus. We continue to monitor the global spread of COVID-19 and have put in place and will continue to put in place measures as appropriate and necessary for our business. Any prolonged deviations from normal daily operations could negatively impact our business. While the full impact of this outbreak is unknown at this time, we are closely monitoring the rapid developments in countries that have become exposed to the virus and continually assessing the potential impact on our business. Any prolonged disruption of our clinical trials, suppliers or contract manufacturers could delay regulatory approvals or the commercialization of any current or future products.</w:t>
      </w:r>
    </w:p>
    <w:p>
      <w:pPr>
        <w:spacing w:after="0" w:line="18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The United Kingdom’s withdrawal from the European Union could lead to increased market volatility, which could adversely impact the market price of our ADSs and make it more difficult for us to do business in Europe or have other adverse effects on our business.</w:t>
      </w:r>
    </w:p>
    <w:p>
      <w:pPr>
        <w:spacing w:after="0" w:line="4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United Kingdom formally exited the European Union, commonly referred to as Brexit, on January 31, 2020. Under the terms of its departure, the United Kingdom will enter a transition period during which it will continue to follow all European Union rules and the trading relationship will remain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same. The transition period is scheduled to end on December 31, 2020. The long term effects of Brexit will depend on the agreements and arrangements the United Kingdom negotiates with the European Union, including whether and to what extent it will retain access to the European Union markets following the transition period. There will be a period of considerable uncertainty particularly in relation to United Kingdom financial and banking markets as well as on the regulatory process in Europe as these negotiations continue to unfold. As a result of this uncertainty, financial markets could experience volatility which could adversely affect the market price of our ADSs. Depending on the final terms of any agreements and arrangements negotiated with the European Union, we may also face new regulatory costs and challenges that could have a material adverse effect on our operations, including the potential for a delay in our clinical progress and approvals in Europe. Depending on the terms of any agreements and arrangements negotiated with the European Union, the United Kingdom could lose the benefits of global trade agreements negotiated by the European Union on behalf of its members, which may result in increased trade barriers that could make our doing business worldwide more difficult. In addition, currency exchange rates in the pound sterling and the euro with respect to each other and the U.S. dollar have already been adversely affected by Brexit. Should this foreign exchange volatility continue it could cause volatility in our financial results.</w:t>
      </w:r>
    </w:p>
    <w:p>
      <w:pPr>
        <w:spacing w:after="0" w:line="182"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Following the Licensing Agreement for Navi, and if we sell or out-license other of our non-rare disease product candidates or out-license any of our rare disease product candidates for any territories, we could be exposed to future liabilities.</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Having recently completed the out-license of Navi, we plan to partner or sell or out-license our other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be exposed to future liabilities and/or obligations with respect to any such sale or out-licensing arrangements.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As a result of the above, the total amount of costs and expenses that may be incurred with respect to liabilities associated with a sale or out-license may exceed our expectations, and we may experience other unanticipated adverse effects, all of which could adversely affect our business, financial condition, results of operations, and prospects.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b w:val="1"/>
          <w:bCs w:val="1"/>
          <w:i w:val="1"/>
          <w:iCs w:val="1"/>
          <w:color w:val="auto"/>
        </w:rPr>
        <w:t>Setrusumab, alvelestat, acumapimod, leflutrozole and etigilimab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or co-commercialize, our product candidates on a timely basis, or at all.</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80" w:right="50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are unable to submit our proposed protocol to the FDA for a pediatric clinical trial for setrusumab;</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80" w:right="11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(“IRB”) approval, centrally or at each site;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26"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8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80" w:right="9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80" w:right="7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or timely funding to continue the clinical trial.</w:t>
      </w:r>
    </w:p>
    <w:p>
      <w:pPr>
        <w:spacing w:after="0" w:line="19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alvelestat, including a clinical trial in patients with BOS. We do not control the design or administration of investigator-sponsored trials, and such investigator-sponsored trials could identify significant concerns with respect to alvelestat that could impact our findings from our own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alvelestat, the FDA or a foreign regulatory authority may question the results of a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alvelestat.</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such other regulatory authority may conclude that a financial relationship between us and a principal investigator has created a conflict of interest 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 candidates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(“cGMP”) and other regulations. Furthermore, we rely on CROs and clinical trial sites to ensure the proper and timely conduct of our clinical trials and while we have agreements governing the CROs’ committed activities, we have limited influence over the CROs’ actual performance. 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81"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b w:val="1"/>
          <w:bCs w:val="1"/>
          <w:i w:val="1"/>
          <w:iCs w:val="1"/>
          <w:color w:val="auto"/>
        </w:rPr>
        <w:t>Prior to our acquisition of setrusumab, alvelestat, acumapimod, leflutrozole and etigilimab, we were not involved in the development of these product candidates and, as a result, we are dependent on Novartis, AstraZeneca and OncoMed having accurately reported the results and correctly collected and interpreted the data from all clinical trials conducted prior to our acquisition.</w:t>
      </w:r>
    </w:p>
    <w:p>
      <w:pPr>
        <w:spacing w:after="0" w:line="61"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such product candidates from Novartis, AstraZeneca and OncoMed, respectively. For all of our current product candidates, we have had no involvement with or control over their manufacturing or pre-clinical and clinical development prior to our acquisition of them. We are dependent on Novartis, AstraZeneca and OncoMed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OncoMed has not done this, the clinical development, regulatory approval, or commercialization of our product candidates may be adversely affected.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Undesirable side effects that may be caused by setrusumab, alvelestat, acumapimod, leflutrozole and etigilimab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clinical trials. In the trials conducted prior to our ownership and following our ownership, the most common adverse events observed have been the following:</w:t>
      </w:r>
    </w:p>
    <w:p>
      <w:pPr>
        <w:spacing w:after="0" w:line="193"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setrusumab, headache, influenza, arthralgia, and fatigue;</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alvelestat, headache, nasopharyngitis, and elevated levels of the liver enzymes aspartate aminotransferase and alanine aminotransferase;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acumapimod, a mild acne-like rash, tachycardia, dizziness, and headache;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leflutrozole, headache, increased hematocrit, and small increases in blood pressure;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etigilimab, rash, fatigue, nausea, pruritus, cough and autoimmune hepatitis.</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our product candidates for any or all targeted indications.</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 example, the FDA approved the first sclerostin inhibitor for treatment of osteoporosis, Amgen Inc. (“Amgen”) and UCB S.A.’s (“UCB”) anti-sclerostin antibody, romosozumab (Evenity), in April 2019 following an 18-1 favorable advisory committee vote. However, Evenity received a Black Box warning that there may be an increase in risk of myocardial infarction (“MI”), stroke or cardiovascular death and it should not be initiated in patients who have had an MI or stroke in the last year.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expansion of the pediatric Phase 3 study for setrusumab for the treatment of children and adolescents with OI in the United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color w:val="auto"/>
        </w:rPr>
        <w:t>States. See ‘‘Prospectus Summary—Recent Developments—Positive Feedback from Type B End-of-Phase 2 Meeting with the FDA.’’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Evenity.</w:t>
      </w:r>
    </w:p>
    <w:p>
      <w:pPr>
        <w:spacing w:after="0" w:line="18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6"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Manufacturing tests of setrusumab have shown that it may cause an opalescence appearance to the liquid antibody formulation.</w:t>
      </w:r>
    </w:p>
    <w:p>
      <w:pPr>
        <w:spacing w:after="0" w:line="110"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Whilst we have recently conducted several large scale manufacturing runs of drug substance and drug product at third-party CMO’s without observing any opalescence and formulation studies are being conducted to in order to minimize any risk of significant opalescence or of aggregate formation, there can be no assurances that this opalescence will not occur in future manufacturing runs.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us to enroll a sufficient number of patients in our clinical trials for our 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setrusumab, affects a minimum of 20,000 people in the United States and approximately 32,000 people in Germany, Spain, France, Italy, and the United Kingdom, collectively. There are an estimated 50,000 and 60,000 persons in North America and Europe, respectively, with the genotypes that we intend to enroll in our clinical trials for AATD, the target indication for alvelestat.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9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2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co-commercialize, or promote our product candidates.</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20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as they rely on third party decisions outside of our control, and if we are ultimately unable to obtain regulatory approval for our product candidates, our business will be substantially harmed.</w:t>
      </w:r>
    </w:p>
    <w:p>
      <w:pPr>
        <w:spacing w:after="0" w:line="5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and relies on third party decisions outside of our control,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product’s clinical development and may vary among jurisdictions. We have not obtained regulatory approval for any of our product candidates and it is possible that none of our product candidates will obtain regulatory approval.</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80" w:right="12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or CMA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Even if we believe the data collected from clinical trials are promising, such data may not be sufficient to support approval by the FDA, the EMA, or any other regulatory authority.</w:t>
      </w:r>
    </w:p>
    <w:p>
      <w:pPr>
        <w:spacing w:after="0" w:line="189"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7"/>
          <w:szCs w:val="17"/>
          <w:color w:val="auto"/>
        </w:rPr>
        <w:t>In addition, even if we were to obtain approval for any jurisdiction, regulatory authorities may approve our product candidates for fewer or more limited indications than we request, may grant approval contingent on the performance of costly post-marketing clinical trials, or may approve a product with a label that does not include the labeling claims necessary or desirable for the successful commercialization of such product. Any of the foregoing scenarios could materially harm our commercial prospects and business.</w:t>
      </w:r>
    </w:p>
    <w:p>
      <w:pPr>
        <w:spacing w:after="0" w:line="167"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61"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5"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61" w:lineRule="exact"/>
        <w:rPr>
          <w:sz w:val="20"/>
          <w:szCs w:val="20"/>
          <w:color w:val="auto"/>
        </w:rPr>
      </w:pPr>
    </w:p>
    <w:p>
      <w:pPr>
        <w:ind w:left="120" w:right="120" w:firstLine="440"/>
        <w:spacing w:after="0" w:line="234" w:lineRule="auto"/>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3" w:lineRule="exact"/>
        <w:rPr>
          <w:sz w:val="20"/>
          <w:szCs w:val="20"/>
          <w:color w:val="auto"/>
        </w:rPr>
      </w:pPr>
    </w:p>
    <w:p>
      <w:pPr>
        <w:ind w:left="120" w:hanging="4"/>
        <w:spacing w:after="0" w:line="250"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which imposes obligations and restrictions on the collection and use of personal data relating to individuals located in the EU and includes the General Data Protection Regulation (the “GDPR”) and any national laws implementing or supplementing the GDPR. If we do not comply with our obligations under the EU privacy regime, we could be exposed to significant fines and may be the subject of litigation and/or adverse publicity, which could have a material adverse effect on our reputation and business.</w:t>
      </w: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2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and private insurers. Among the provisions of the ACA, those of greatest importance to the pharmaceutical and biotechnology industries include the following:</w:t>
      </w:r>
    </w:p>
    <w:p>
      <w:pPr>
        <w:spacing w:after="0" w:line="224" w:lineRule="exact"/>
        <w:rPr>
          <w:sz w:val="20"/>
          <w:szCs w:val="20"/>
          <w:color w:val="auto"/>
        </w:rPr>
      </w:pPr>
    </w:p>
    <w:p>
      <w:pPr>
        <w:ind w:left="980" w:right="3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80" w:right="7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(“AMP”) of branded and generic drugs, respectively, and capped the total rebate amount for innovator drugs at 100% of the AMP;</w:t>
      </w:r>
    </w:p>
    <w:p>
      <w:pPr>
        <w:spacing w:after="0" w:line="28"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would have the authority to recommend certain changes to the Medicare program that could result in reduced payments for prescription drugs and those recommendations could have the effect of law unless overruled by a supermajority vote of Congress. The Bipartisan Budget Act of 2018 repealed the creation of the Independent Payment Advisory Board before it could take effect;</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 candidates.</w:t>
      </w:r>
    </w:p>
    <w:p>
      <w:pPr>
        <w:spacing w:after="0" w:line="20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non-rare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208"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120" w:right="460" w:firstLine="440"/>
        <w:spacing w:after="0"/>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94"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 candidates and therapies.</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32" w:lineRule="exact"/>
        <w:rPr>
          <w:sz w:val="20"/>
          <w:szCs w:val="20"/>
          <w:color w:val="auto"/>
        </w:rPr>
      </w:pPr>
    </w:p>
    <w:p>
      <w:pPr>
        <w:ind w:left="980" w:right="6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29"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8" w:lineRule="auto"/>
        <w:rPr>
          <w:sz w:val="20"/>
          <w:szCs w:val="20"/>
          <w:color w:val="auto"/>
        </w:rPr>
      </w:pPr>
      <w:r>
        <w:rPr>
          <w:rFonts w:ascii="Arial" w:cs="Arial" w:eastAsia="Arial" w:hAnsi="Arial"/>
          <w:sz w:val="18"/>
          <w:szCs w:val="18"/>
          <w:color w:val="auto"/>
        </w:rPr>
        <w:t>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7" w:lineRule="exact"/>
        <w:rPr>
          <w:sz w:val="20"/>
          <w:szCs w:val="20"/>
          <w:color w:val="auto"/>
        </w:rPr>
      </w:pPr>
    </w:p>
    <w:p>
      <w:pPr>
        <w:ind w:left="980" w:right="4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9" w:lineRule="exact"/>
        <w:rPr>
          <w:rFonts w:ascii="MS PGothic" w:cs="MS PGothic" w:eastAsia="MS PGothic" w:hAnsi="MS PGothic"/>
          <w:sz w:val="25"/>
          <w:szCs w:val="25"/>
          <w:color w:val="auto"/>
          <w:vertAlign w:val="superscript"/>
        </w:rPr>
      </w:pPr>
    </w:p>
    <w:p>
      <w:pPr>
        <w:ind w:left="980" w:right="6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9"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(“PHSA”),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30" w:lineRule="exact"/>
        <w:rPr>
          <w:rFonts w:ascii="MS PGothic" w:cs="MS PGothic" w:eastAsia="MS PGothic" w:hAnsi="MS PGothic"/>
          <w:sz w:val="25"/>
          <w:szCs w:val="25"/>
          <w:color w:val="auto"/>
          <w:vertAlign w:val="superscript"/>
        </w:rPr>
      </w:pPr>
    </w:p>
    <w:p>
      <w:pPr>
        <w:ind w:left="980" w:right="14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20"/>
        <w:spacing w:after="0" w:line="244" w:lineRule="auto"/>
        <w:rPr>
          <w:sz w:val="20"/>
          <w:szCs w:val="20"/>
          <w:color w:val="auto"/>
        </w:rPr>
      </w:pPr>
      <w:r>
        <w:rPr>
          <w:rFonts w:ascii="Arial" w:cs="Arial" w:eastAsia="Arial" w:hAnsi="Arial"/>
          <w:sz w:val="18"/>
          <w:szCs w:val="18"/>
          <w:color w:val="auto"/>
        </w:rPr>
        <w:t>which differ from each other in significant ways and often are not preempted by HIPAA, thus complicating compliance efforts; and</w:t>
      </w:r>
    </w:p>
    <w:p>
      <w:pPr>
        <w:spacing w:after="0" w:line="25" w:lineRule="exact"/>
        <w:rPr>
          <w:sz w:val="20"/>
          <w:szCs w:val="20"/>
          <w:color w:val="auto"/>
        </w:rPr>
      </w:pPr>
    </w:p>
    <w:p>
      <w:pPr>
        <w:ind w:left="980" w:right="8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7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4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are subject to diverse laws and regulations relating to data privacy and security in the EU, including the GDPR. New global privacy rules are being enacted and existing ones are being updated and strengthened. We are likely to be required to expend capital and other resources to ensure ongoing compliance with these laws and regulations.</w:t>
      </w:r>
    </w:p>
    <w:p>
      <w:pPr>
        <w:spacing w:after="0" w:line="203" w:lineRule="exact"/>
        <w:rPr>
          <w:sz w:val="20"/>
          <w:szCs w:val="20"/>
          <w:color w:val="auto"/>
        </w:rPr>
      </w:pPr>
    </w:p>
    <w:p>
      <w:pPr>
        <w:ind w:left="120" w:right="220" w:firstLine="440"/>
        <w:spacing w:after="0" w:line="248" w:lineRule="auto"/>
        <w:rPr>
          <w:sz w:val="20"/>
          <w:szCs w:val="20"/>
          <w:color w:val="auto"/>
        </w:rPr>
      </w:pPr>
      <w:r>
        <w:rPr>
          <w:rFonts w:ascii="Arial" w:cs="Arial" w:eastAsia="Arial" w:hAnsi="Arial"/>
          <w:sz w:val="17"/>
          <w:szCs w:val="17"/>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 (iii) makes it harder to obtain valid consent for processing; (iv) requires the appointment of a data protection officer where sensitive personal data (i.e. health data) is processed on a large scale; (v) provides more robust rights for data subjects;</w:t>
      </w:r>
    </w:p>
    <w:p>
      <w:pPr>
        <w:spacing w:after="0" w:line="2" w:lineRule="exact"/>
        <w:rPr>
          <w:sz w:val="20"/>
          <w:szCs w:val="20"/>
          <w:color w:val="auto"/>
        </w:rPr>
      </w:pPr>
    </w:p>
    <w:p>
      <w:pPr>
        <w:ind w:left="120" w:right="100" w:hanging="4"/>
        <w:spacing w:after="0" w:line="238"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we are also subject to EU national laws relating to the processing of certain data such as genetic data, biometric data and data concerning health. Complying with these numerous,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complex and often changing regulations is expensive and difficult. Failure by us, or our partners or service providers, to comply with the GDPR could result in regulatory investigations, enforcement notices and/or fines of up to the higher of 20 million euros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20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(the “e-Privacy Directive”) with a new set of rules taking the form of a regulation, which will be directly applicable to the laws of each European member state, without need for further implementation. The draft e-Privacy Regulation (the “e-Privacy Regulation”) imposes strict opt-in marketing rules with limited exceptions for business-to-business communications, alters rules on third-party cookies, web beacons and similar technology and significantly increases fining powers to the same levels as GDPR (i.e. the greater of 20 million euros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186"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We are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do.</w:t>
      </w:r>
    </w:p>
    <w:p>
      <w:pPr>
        <w:spacing w:after="0" w:line="41"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acumapimod, leflutrozole or etigilimab is approved, we will face intense competition from a variety of businesses, including large, fully integrated pharmaceutical companies, non-rare pharmaceutical companies,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80" w:right="40" w:hanging="432"/>
        <w:spacing w:after="0" w:line="231"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setrusumab’s current closest potential competitors in development for the treatment of OI to be Amgen denosumab (Prolia) an anti-resorptive agent,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romosozumab (Evenity). In addition, Jiangsu Hengrui has commenced Phase 1 development of an anti-sclerostin antibody for osteoporosis, and Transcenta Holding has licensed the anti-sclerostin antibody blosozumab from Eli Lilly and Company (“Lilly”) and plans to develop it for osteoporosis. Additionally, Bone Therapeutics S.A. (“Bone Therapeutics”) is developing osteoblastic cell therapy product candidates. Baylor College of Medicine is also conducting a Phase 1 open label trial of fresolimumab, a TGF-B inhibitor, in adult OI patients.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spacing w:after="0" w:line="236" w:lineRule="auto"/>
        <w:rPr>
          <w:sz w:val="20"/>
          <w:szCs w:val="20"/>
          <w:color w:val="auto"/>
        </w:rPr>
      </w:pPr>
      <w:r>
        <w:rPr>
          <w:rFonts w:ascii="Arial" w:cs="Arial" w:eastAsia="Arial" w:hAnsi="Arial"/>
          <w:sz w:val="18"/>
          <w:szCs w:val="18"/>
          <w:color w:val="auto"/>
        </w:rPr>
        <w:t>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gene-therapy approaches for AATD. Vertex Pharmaceuticals Inc. (“Vertex”) has a small molecule corrector program for AATD with VX-814 and VX-864 in Phase 1 development. Santhera Pharmaceuticals (“Santhera”), has in-licensed an inhaled NE inhibitor and is planning a multiple ascending dose study, with the initial indication targeted being CF; and CHF-6333 is an inhaled human NE inhibitor in Phase 1 development by Chiesi Farmaceutici S.p.A. (“Chiesi”) for the treatment of non-cystic fibrosis bronchiectasis and CF.</w:t>
      </w:r>
    </w:p>
    <w:p>
      <w:pPr>
        <w:spacing w:after="0" w:line="32" w:lineRule="exact"/>
        <w:rPr>
          <w:sz w:val="20"/>
          <w:szCs w:val="20"/>
          <w:color w:val="auto"/>
        </w:rPr>
      </w:pPr>
    </w:p>
    <w:p>
      <w:pPr>
        <w:ind w:left="980" w:hanging="432"/>
        <w:spacing w:after="0" w:line="229"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and AstraZeneca each conducting Phase 2 trials on drugs for the treatment of COPD. In addition, Pulmatrix, Inc. (“Pulmatrix”) has PUR1800, a narrow-spectrum kinase inhibitor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31" w:lineRule="exact"/>
        <w:rPr>
          <w:rFonts w:ascii="MS PGothic" w:cs="MS PGothic" w:eastAsia="MS PGothic" w:hAnsi="MS PGothic"/>
          <w:sz w:val="25"/>
          <w:szCs w:val="25"/>
          <w:color w:val="auto"/>
          <w:vertAlign w:val="superscript"/>
        </w:rPr>
      </w:pPr>
    </w:p>
    <w:p>
      <w:pPr>
        <w:ind w:left="980" w:right="100" w:hanging="432"/>
        <w:spacing w:after="0" w:line="230"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leflutrozole’s current closest potential competitors for the treatment of HH to be testosterone replacement therapies (“TRT”). These include Androgel from AbbVie Inc. (“AbbVie”), and Lilly’s Axiron, both administered transdermally by applying a gel formulation, which are approved in the United States and Europe, Andriol from Merck &amp; Co., Inc. (“Merck”), an oral testosterone therapy, which is approved in Europe but not in the United States and Jatenzo from Clarus Therapeutics, Inc. (“Clarus”) approved in the United States in March 2019. There are also other approved TRT product candidates that are administered via injection and other oral TRTs that are still in the development or registration stages, such as Tlando from Lipocine, Inc.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33" w:lineRule="exact"/>
        <w:rPr>
          <w:rFonts w:ascii="MS PGothic" w:cs="MS PGothic" w:eastAsia="MS PGothic" w:hAnsi="MS PGothic"/>
          <w:sz w:val="25"/>
          <w:szCs w:val="25"/>
          <w:color w:val="auto"/>
          <w:vertAlign w:val="superscript"/>
        </w:rPr>
      </w:pPr>
    </w:p>
    <w:p>
      <w:pPr>
        <w:ind w:left="980" w:right="180" w:hanging="432"/>
        <w:spacing w:after="0" w:line="229"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etigilimab’s competitors to be existing cancer treatments such as the commercially available immuno-oncology agents (e.g., Yervoy, Keytruda, and Opdivo), chemotherapeutic agents, and antibody based therapeutics such as Avastin and Erbitux. In addition, other potential competitors include several other anti-TIGIT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setrusumab, alvelestat, acumapimod, leflutrozole or etigilimab,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80" w:right="48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60"/>
        <w:spacing w:after="0" w:line="244" w:lineRule="auto"/>
        <w:rPr>
          <w:sz w:val="20"/>
          <w:szCs w:val="20"/>
          <w:color w:val="auto"/>
        </w:rPr>
      </w:pPr>
      <w:r>
        <w:rPr>
          <w:rFonts w:ascii="Arial" w:cs="Arial" w:eastAsia="Arial" w:hAnsi="Arial"/>
          <w:sz w:val="18"/>
          <w:szCs w:val="18"/>
          <w:color w:val="auto"/>
        </w:rPr>
        <w:t>acquisitions in the biopharmaceutical and pharmaceutical industries may result in even more resources being concentrated in our competitors;</w:t>
      </w:r>
    </w:p>
    <w:p>
      <w:pPr>
        <w:spacing w:after="0" w:line="25" w:lineRule="exact"/>
        <w:rPr>
          <w:sz w:val="20"/>
          <w:szCs w:val="20"/>
          <w:color w:val="auto"/>
        </w:rPr>
      </w:pPr>
    </w:p>
    <w:p>
      <w:pPr>
        <w:ind w:left="980" w:right="36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 candidates and technologies;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4"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setrusumab for the treatment of OI in the United States and EU, but we may be unable to obtain orphan drug designation for alvelestat or any future product candidates, and we may be unable to obtain or maintain the benefits associated with orphan drug designation, including the potential for orphan drug exclusivity, for setrusumab or any other product for which we obtain orphan drug designation.</w:t>
      </w:r>
    </w:p>
    <w:p>
      <w:pPr>
        <w:spacing w:after="0" w:line="6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recommends to the European Commission the granting of orphan designation to promote the development of medicinal products that are intended for the diagnosis, prevention or treatment of a life-threatening or chronically debilitating condition affecting not more than five in 10,000 persons in the EU. Additionally, designation is granted for medicinal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where the medicine can demonstrate that it is of significant benefit to those affected by the condition.</w:t>
      </w:r>
    </w:p>
    <w:p>
      <w:pPr>
        <w:spacing w:after="0" w:line="20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designation entitles a party to financial incentives such as reduction of fees or fee waivers and ten years of market exclusivity following approval. This period can be extended by two years if studies in children are performed in accordance with a PIP. In addition, this period may be reduced to six years if the orphan drug designation criteria are no longer met, including where it is shown that the drug is sufficiently profitable not to justify maintenance of market exclusivity or where the manufacturer is unable to supply the treatment.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0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obtained orphan drug designation from the FDA and EMA for setrusumab for the treatment of OI, and we plan to seek orphan drug designation for alvelestat and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 candidates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21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indication. In the future, there is the potential for additional legal challenges to the FDA’s orphan drug regulations and policies, and it is uncertain how ongoing and future challenges might affect our business.</w:t>
      </w:r>
    </w:p>
    <w:p>
      <w:pPr>
        <w:spacing w:after="0" w:line="17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setrusumab or alvelestat, or any future product candidates or access to the PRIME scheme by the EMA for alvelestat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setrusumab was admitted to the PRIME scheme of the EMA.</w:t>
      </w:r>
    </w:p>
    <w:p>
      <w:pPr>
        <w:spacing w:after="0" w:line="19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8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or co-commercialize our product candidates for rare diseases and to seek strategic relationships with third parties for the development and/or commercialization of our product candidates for non-rare diseases. If we are unable to develop our own sales, marketing, and distribution capabilities or enter into business arrangements, we may not be successful in commercializing our product candidates.</w:t>
      </w:r>
    </w:p>
    <w:p>
      <w:pPr>
        <w:spacing w:after="0" w:line="4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no marketing, sales, or distribution capabilities and we currently have no experience with marketing, selling or distributing pharmaceutical product candidates. We also have no strategic relationships in place for the commercialization of our product candidates.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potentially to outsource aspects of these functions to third parties or partners.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currently intend to enter into strategic relationships with pharmaceutical, biopharmaceutical or other partners for the continued development of our non-rare disease product candidates, acumapimod, etigilimab and leflutrozole, and we may take the same approach for other product candidates. These arrangements would also likely include the commercialization of a product. Alternatively, we may seek to sell or out-license one or more of our non-rare disease product candidates. See “—Risks Related to Our Business and Industry— Following the Licensing Agreement for Navi, and if we sell or out-license other of our non-rare disease product candidates or out-license any of our rare disease product candidates for any territories, we could be exposed to future liabilities.”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61" w:lineRule="exact"/>
        <w:rPr>
          <w:sz w:val="20"/>
          <w:szCs w:val="20"/>
          <w:color w:val="auto"/>
        </w:rPr>
      </w:pPr>
    </w:p>
    <w:p>
      <w:pPr>
        <w:ind w:left="120" w:right="120" w:firstLine="440"/>
        <w:spacing w:after="0" w:line="25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 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99"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2"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1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80"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6"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53"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 candidates in the United States may face competition sooner than anticipated.</w:t>
      </w:r>
    </w:p>
    <w:p>
      <w:pPr>
        <w:spacing w:after="0" w:line="27" w:lineRule="exact"/>
        <w:rPr>
          <w:sz w:val="20"/>
          <w:szCs w:val="20"/>
          <w:color w:val="auto"/>
        </w:rPr>
      </w:pPr>
    </w:p>
    <w:p>
      <w:pPr>
        <w:ind w:left="120" w:right="60" w:firstLine="440"/>
        <w:spacing w:after="0" w:line="251" w:lineRule="auto"/>
        <w:rPr>
          <w:sz w:val="20"/>
          <w:szCs w:val="20"/>
          <w:color w:val="auto"/>
        </w:rPr>
      </w:pPr>
      <w:r>
        <w:rPr>
          <w:rFonts w:ascii="Arial" w:cs="Arial" w:eastAsia="Arial" w:hAnsi="Arial"/>
          <w:sz w:val="17"/>
          <w:szCs w:val="17"/>
          <w:color w:val="auto"/>
        </w:rPr>
        <w:t>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 candidates.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1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spacing w:after="0"/>
        <w:rPr>
          <w:sz w:val="20"/>
          <w:szCs w:val="20"/>
          <w:color w:val="auto"/>
        </w:rPr>
      </w:pPr>
      <w:r>
        <w:rPr>
          <w:rFonts w:ascii="Arial" w:cs="Arial" w:eastAsia="Arial" w:hAnsi="Arial"/>
          <w:sz w:val="18"/>
          <w:szCs w:val="18"/>
          <w:color w:val="auto"/>
        </w:rPr>
        <w:t>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20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8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moved the clinical supply manufacture for these product candidates to CMOs. We also intend to contract with CMOs for the clinical supply of alvelestat.</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 candidates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setrusumab, other than those CMOs that we and Novartis have already agreed upon. If we were unable to find an adequate CMO or another acceptable solution in time, our clinical trials could be delayed or our commercial activities could be harmed.</w:t>
      </w:r>
    </w:p>
    <w:p>
      <w:pPr>
        <w:spacing w:after="0" w:line="20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0"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strategic relationships with pharmaceutical, biopharmaceutical or other partners for the continued development of our non-rare disease product candidates, acumapimod, etigilimab and leflutrozole, and we may take the same approach for other product candidates. Alternatively, we may seek to sell or out-license one or more of our non-rare disease product candidates. See “—Risks Related to Our Business and Industry—Following the Licensing Agreement for Navi, and if we sell or out-license other of our non-rare disease product candidates or out-license any of our rare disease product candidates for any territories, we could be exposed to future liabilities.”</w:t>
      </w:r>
    </w:p>
    <w:p>
      <w:pPr>
        <w:spacing w:after="0" w:line="203"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types of development arrangements referred to above are complex and time-consuming to negotiate and document, and we may not be able to enter into these arrangements on favorable terms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If we are unable to enter into an appropriate arrangement for the development of our non-rare disease product candidates, we may have to reduce, delay, or terminate the development of such product candidates. We could also seek to sell or out-license one or more of our non-rare disease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See also “—Risks Related to Commercialization—We intend to directly commercialize or co-commercialize our product candidates for rare diseases and to seek strategic relationships with third parties for the development and/or commercialization of our product candidates for non-rare diseases. If we are unable to develop our own sales, marketing, and distribution capabilities or enter into business arrangements, we may not be successful in commercializing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2"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5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our setrusumab, acumapimod, and leflutrozole product candidates acquired or exclusively licensed from Novartis, patents and patent applications which cover our alvelestat product candidate exclusively licensed (with the option to purchase) from AstraZeneca, and patents and patent applications which cover Navi and our etigilimab product candidate (solely owned by OncoMed). The assignments of those patents and patent applications which we acquired from Novartis have been registered with the relevant authorities in key territories and the exclusive licenses from AstraZeneca have also been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1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applications may not be prosecuted and enforced in a manner consistent with the best interests of our business.</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12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12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12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12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12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such</w:t>
      </w:r>
    </w:p>
    <w:p>
      <w:pPr>
        <w:ind w:left="120"/>
        <w:spacing w:after="0" w:line="234" w:lineRule="auto"/>
        <w:rPr>
          <w:sz w:val="20"/>
          <w:szCs w:val="20"/>
          <w:color w:val="auto"/>
        </w:rPr>
      </w:pPr>
      <w:r>
        <w:rPr>
          <w:rFonts w:ascii="Arial" w:cs="Arial" w:eastAsia="Arial" w:hAnsi="Arial"/>
          <w:sz w:val="18"/>
          <w:szCs w:val="18"/>
          <w:color w:val="auto"/>
        </w:rPr>
        <w:t>third parties’ product candidates. Even where we have a valid and enforceable patent, we may not be able to exclude others from</w:t>
      </w:r>
    </w:p>
    <w:p>
      <w:pPr>
        <w:ind w:left="120"/>
        <w:spacing w:after="0" w:line="235" w:lineRule="auto"/>
        <w:rPr>
          <w:sz w:val="20"/>
          <w:szCs w:val="20"/>
          <w:color w:val="auto"/>
        </w:rPr>
      </w:pPr>
      <w:r>
        <w:rPr>
          <w:rFonts w:ascii="Arial" w:cs="Arial" w:eastAsia="Arial" w:hAnsi="Arial"/>
          <w:sz w:val="18"/>
          <w:szCs w:val="18"/>
          <w:color w:val="auto"/>
        </w:rPr>
        <w:t>practicing our invention where the other party can show that they used the invention in commerce before our filing date or the other party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benefits from a compulsory license.</w:t>
      </w:r>
    </w:p>
    <w:p>
      <w:pPr>
        <w:spacing w:after="0" w:line="190"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4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1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67"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jc w:val="both"/>
        <w:ind w:left="120" w:right="80" w:firstLine="440"/>
        <w:spacing w:after="0" w:line="274"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2" w:lineRule="exact"/>
        <w:rPr>
          <w:sz w:val="20"/>
          <w:szCs w:val="20"/>
          <w:color w:val="auto"/>
        </w:rPr>
      </w:pPr>
    </w:p>
    <w:p>
      <w:pPr>
        <w:ind w:left="980" w:right="20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23"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28" w:lineRule="exact"/>
        <w:rPr>
          <w:rFonts w:ascii="MS PGothic" w:cs="MS PGothic" w:eastAsia="MS PGothic" w:hAnsi="MS PGothic"/>
          <w:sz w:val="25"/>
          <w:szCs w:val="25"/>
          <w:color w:val="auto"/>
          <w:vertAlign w:val="superscript"/>
        </w:rPr>
      </w:pPr>
    </w:p>
    <w:p>
      <w:pPr>
        <w:ind w:left="980" w:right="60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 candidates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80"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61"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setrusumab in the treatment of OI. The patent owner could assert such patent against us, which could present the foregoing risks and impose limitations in our ability to develop, manufacture or sell setrusumab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0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 xml:space="preserve">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5" w:lineRule="exact"/>
        <w:rPr>
          <w:sz w:val="20"/>
          <w:szCs w:val="20"/>
          <w:color w:val="auto"/>
        </w:rPr>
      </w:pPr>
    </w:p>
    <w:p>
      <w:pPr>
        <w:ind w:left="120" w:right="800" w:firstLine="440"/>
        <w:spacing w:after="0" w:line="246"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21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interim proceedings or developments. If securities analysts or investors view these announcements in a negative light, the price of our ADSs could be adversely affected.</w:t>
      </w:r>
    </w:p>
    <w:p>
      <w:pPr>
        <w:spacing w:after="0" w:line="175"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0"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27"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In addition, we are party to an agreement with Oncologie,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We may be subject to claims challenging the inventorship of our patents and patent applications or ownership of our intellectual property. In particular, we may be subject to claims that former employees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20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0"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8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2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120" w:right="460" w:firstLine="440"/>
        <w:spacing w:after="0" w:line="238"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5" w:lineRule="exact"/>
        <w:rPr>
          <w:sz w:val="20"/>
          <w:szCs w:val="20"/>
          <w:color w:val="auto"/>
        </w:rPr>
      </w:pPr>
    </w:p>
    <w:p>
      <w:pPr>
        <w:jc w:val="both"/>
        <w:ind w:left="120" w:right="760" w:firstLine="440"/>
        <w:spacing w:after="0"/>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9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85" w:lineRule="exact"/>
        <w:rPr>
          <w:sz w:val="20"/>
          <w:szCs w:val="20"/>
          <w:color w:val="auto"/>
        </w:rPr>
      </w:pPr>
    </w:p>
    <w:p>
      <w:pPr>
        <w:ind w:left="120" w:right="860" w:firstLine="440"/>
        <w:spacing w:after="0" w:line="246"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non-rare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208"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We aim to expand our development, regulatory, and sales and marketing capabilities, and as a result, we may encounter difficulties in managing our planned growth, which could disrupt our operations.</w:t>
      </w:r>
    </w:p>
    <w:p>
      <w:pPr>
        <w:spacing w:after="0" w:line="197"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To manage our planned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and our ADSs</w:t>
      </w:r>
    </w:p>
    <w:p>
      <w:pPr>
        <w:spacing w:after="0" w:line="21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The market price for ADSs and the underlying ordinary shares may be volatile and may decline regardless of our operating performance, and the value of your investment could materially decline.</w:t>
      </w:r>
    </w:p>
    <w:p>
      <w:pPr>
        <w:spacing w:after="0" w:line="27" w:lineRule="exact"/>
        <w:rPr>
          <w:sz w:val="20"/>
          <w:szCs w:val="20"/>
          <w:color w:val="auto"/>
        </w:rPr>
      </w:pPr>
    </w:p>
    <w:p>
      <w:pPr>
        <w:ind w:left="120" w:right="980" w:firstLine="440"/>
        <w:spacing w:after="0" w:line="246" w:lineRule="auto"/>
        <w:rPr>
          <w:sz w:val="20"/>
          <w:szCs w:val="20"/>
          <w:color w:val="auto"/>
        </w:rPr>
      </w:pPr>
      <w:r>
        <w:rPr>
          <w:rFonts w:ascii="Arial" w:cs="Arial" w:eastAsia="Arial" w:hAnsi="Arial"/>
          <w:sz w:val="18"/>
          <w:szCs w:val="18"/>
          <w:color w:val="auto"/>
        </w:rPr>
        <w:t>The trading price of ADSs may fluctuate, and the trading price of ordinary shares on AIM is likely to continue to fluctuate, substantially.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market price of ADSs and ordinary shares may fluctuate significantly in response to numerous factors, many of which are beyond our control, including:</w:t>
      </w:r>
    </w:p>
    <w:p>
      <w:pPr>
        <w:spacing w:after="0" w:line="188"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our or our competitors;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80" w:right="80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ADSs or our other security holders in the future;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or ordinary shares and may otherwise negatively affect the liquidity of ADSs and ordinary shares.</w:t>
      </w:r>
    </w:p>
    <w:p>
      <w:pPr>
        <w:spacing w:after="0" w:line="20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our operating performance. 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The sale of our ADSs to Aspire Capital may cause substantial dilution to our existing shareholders and the sale of the ADSs acquired by Aspire Capital could cause the price of our ADSs to decline.</w:t>
      </w:r>
    </w:p>
    <w:p>
      <w:pPr>
        <w:spacing w:after="0" w:line="4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registering for sale the Initial Shares of 2,286,585 ADSs and the Commission Shares of 572,519 ADSs that the selling shareholder may receive upon exchange of ordinary shares that we have issued to the selling shareholder and up to $25.0 million worth of ordinary shares in the form of ADSs that we may sell to Aspire Capital under the Purchase Agreement. It is anticipated that shares registered in this offering will be sold over a period of up to approximately 30 months from the date of this prospectus. The number of ADSs ultimately offered for sale by Aspire Capital under this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prospectus is dependent upon the number of ADSs we elect to sell to Aspire Capital under the Purchase Agreement. Depending on a variety of factors, including market liquidity of our ADSs, the sale of ADSs under the Purchase Agreement may cause the trading price of our ADSs to decline.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Aspire Capital may ultimately purchase all, some or none of the additional $ 25.0 million worth of ordinary shares that are exchangeable for ADSs that, together with the Initial Shares and the Commission Shares, is the subject of this prospectus. Aspire Capital may sell all, some or none of our ADSs that it holds or comes to hold under the Purchase Agreement. Sales by Aspire Capital of ADSs acquired pursuant to the Purchase Agreement under the registration statement, of which this prospectus is a part, may result in dilution to the interests of other holders of our ADSs. The sale of a substantial number of ADSs by Aspire Capital in this offering, or anticipation of such sales, could cause the trading price of our ADSs to decline or make it more difficult for us to sell equity or equity-related securities in the future at a time and at a price that we might otherwise desire. However, we have the right under the Purchase Agreement to control the timing and amount of sales of our ADSs to Aspire Capital, and the Purchase Agreement may be terminated by us at any time at our discretion without any penalty or cost to 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ordinary shares or ADSs could depress the market price of ADSs.</w:t>
      </w:r>
    </w:p>
    <w:p>
      <w:pPr>
        <w:spacing w:after="0" w:line="9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us to sell equity or equity-related securities at a time and price that we otherwise would deem appropriate.</w:t>
      </w:r>
    </w:p>
    <w:p>
      <w:pPr>
        <w:spacing w:after="0" w:line="181"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Circumstances affecting Woodford Investment Management Limited may have a material adverse impact on the price of our ADSs and ordinary shares.</w:t>
      </w:r>
    </w:p>
    <w:p>
      <w:pPr>
        <w:spacing w:after="0" w:line="2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Until October 15, 2019, Woodford Investment Management Limited (“Woodford”) indirectly through various funds held 27.6% of our shares, of which 19.6 percentage points were held by LF Woodford Equity Income Fund (the “Fund”) and 8.0 percentage points were held by Woodford Patient Capital Trust, Plc (“WPCT”). On October 15, 2019, Link Fund Solutions Limited (“Link”), as authorized corporate director of the Fund, announced its decision to wind the Fund up as soon as practicable by way of an orderly realization of the Fund’s assets (the “Winding-up Announcement”). This decision came after Link’s decision on June 3, 2019 to suspend redemptions and other dealings in shares in the Fund as a result of an increased level of redemptions from the Fund. Also on October 15, 2019, Woodford ceased to be the investment manager for the Fund. It was further announced that Link has allocated the Fund’s assets into two portfolios, one comprised of listed assets and one comprised of unlisted and certain highly illiquid listed assets. According to the Winding-Up Announcement, BlackRock Advisors (UK) Limited has been appointed to sell the assets in the first portfolio during the period until winding up of the Fund commences. In addition, PJT Partners (UK) Limited will continue to assist Link in selling the assets in the second portfolio. On January 18, 2020, the Fund was formally moved into wind-up. Schroder Investment Management succeeded Woodford as investment manager of WPCT, and WPCT was renamed Schroder UK Public Private Trust PLC. The first capital distribution by Link was paid to investors on January 30, 2020, and further capital distributions are expected to be made as and when suitable amounts of cash have been raised from the sale of the remaining assets of the Fund.</w:t>
      </w:r>
    </w:p>
    <w:p>
      <w:pPr>
        <w:spacing w:after="0" w:line="21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As a direct or indirect result of the foregoing, all or part of the shares previously held and managed by Woodford may be sold or otherwise disposed of, any of which may occur imminently. Any such sale or other disposition, or the possibility of such transactions, could cause the market price of our ADSs and ordinary shares to decline. This could make it more difficult for other shareholders to sell their ADSs and ordinary shares in us at a favorable price and time or at all. In addition, while Link retains control over approximately 15.3% of our shares, it will continue to exert significant influence over all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matters requiring shareholder approval, including the election of directors and approval of significant corporate transactions. Link’s interests may conflict with your interests, including as a direct or indirect result of the above-described developments.</w:t>
      </w:r>
    </w:p>
    <w:p>
      <w:pPr>
        <w:spacing w:after="0" w:line="175"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dual listing of ordinary shares and ADSs is costly to maintain and may adversely affect the liquidity and value of ordinary shares and ADSs.</w:t>
      </w:r>
    </w:p>
    <w:p>
      <w:pPr>
        <w:spacing w:after="0" w:line="41" w:lineRule="exact"/>
        <w:rPr>
          <w:sz w:val="20"/>
          <w:szCs w:val="20"/>
          <w:color w:val="auto"/>
        </w:rPr>
      </w:pPr>
    </w:p>
    <w:p>
      <w:pPr>
        <w:jc w:val="both"/>
        <w:ind w:left="120" w:right="180" w:firstLine="440"/>
        <w:spacing w:after="0" w:line="248" w:lineRule="auto"/>
        <w:rPr>
          <w:sz w:val="20"/>
          <w:szCs w:val="20"/>
          <w:color w:val="auto"/>
        </w:rPr>
      </w:pPr>
      <w:r>
        <w:rPr>
          <w:rFonts w:ascii="Arial" w:cs="Arial" w:eastAsia="Arial" w:hAnsi="Arial"/>
          <w:sz w:val="17"/>
          <w:szCs w:val="17"/>
          <w:color w:val="auto"/>
        </w:rPr>
        <w:t>Our ADSs are listed for trading on Nasdaq and our ordinary shares trade on AIM. Since April 24, 2019 we have maintained a dual listing, which has generated and will continue to generate additional costs, including significant legal, accounting, investor relations, and other expenses that we did not incur prior to April 24, 2019, in addition to the costs associated with the additional reporting requirements described elsewhere in this prospectus. We cannot predict the effect of this dual listing on the value of our ADSs and ordinary shares.</w:t>
      </w:r>
    </w:p>
    <w:p>
      <w:pPr>
        <w:spacing w:after="0" w:line="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 In addition, the dual listing of ordinary shares and ADSs may cause the market price for ADSs and the underlying ordinary shares to fluctuate and decline regardless of our operating performance. See “—The market price for ADSs and the underlying ordinary shares may be volatile and may decline regardless of our operating performance, and the value of your investment could materially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ADSs.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offering and may not use them effectively.</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offering and could spend the proceeds in ways that do not improve our results of operations or enhance the value of our ADSs. The failure by our senior management to apply these funds effectively could result in financial losses, cause the price of our ADSs to decline, and delay the development of our product candidates. Pending their use, we may invest the net proceeds from the offering in a manner that does not produce income or that loses value.</w:t>
      </w:r>
    </w:p>
    <w:p>
      <w:pPr>
        <w:spacing w:after="0" w:line="180"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Purchasers of ADSs in the offering may not have the same voting rights as the holders of our ordinary shares and may not receive voting materials in time to be able to exercise their right to vote.</w:t>
      </w:r>
    </w:p>
    <w:p>
      <w:pPr>
        <w:spacing w:after="0" w:line="4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Except as described in this prospectus, holders of our ADSs will not be able to exercise voting rights attaching to the ordinary shares represented by our ADSs on an individual basis. Holders of our ADSs will appoint the depositary or our nominee as their representative to exercise the voting rights attaching to the ordinary shares represented by our ADSs. Purchasers of ADSs in the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result, purchasers of ADSs in the offering may not be able to exercise voting rights and may lack recourse if their ADSs are not voted as requested. In addition, in their capacity as ADS holders, purchasers of ADSs in the offering will not be able to call a shareholders’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8"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 See “Description of Share Capital and Articles of Association—Differences in Corporate Law” and “Description of Share Capital and Articles of Association—Articles of Association—Other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85" w:lineRule="exact"/>
        <w:rPr>
          <w:sz w:val="20"/>
          <w:szCs w:val="20"/>
          <w:color w:val="auto"/>
        </w:rPr>
      </w:pPr>
    </w:p>
    <w:p>
      <w:pPr>
        <w:ind w:left="120" w:right="40" w:firstLine="440"/>
        <w:spacing w:after="0" w:line="252" w:lineRule="auto"/>
        <w:rPr>
          <w:sz w:val="20"/>
          <w:szCs w:val="20"/>
          <w:color w:val="auto"/>
        </w:rPr>
      </w:pPr>
      <w:r>
        <w:rPr>
          <w:rFonts w:ascii="Arial" w:cs="Arial" w:eastAsia="Arial" w:hAnsi="Arial"/>
          <w:sz w:val="17"/>
          <w:szCs w:val="17"/>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United Kingdom stamp duty or stamp duty reserve tax arising upon the issuance or transfer of ADSs. For a discussion of the United Kingdom stamp duty and stamp duty reserve tax consequences of the issuance and transfer of ADSs, see “Material Tax Considerations—Material United Kingdom Tax Considerations—Stamp Duty and Stamp Duty Reserve Tax.”</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ordinary shares and ADSs could decline.</w:t>
      </w:r>
    </w:p>
    <w:p>
      <w:pPr>
        <w:spacing w:after="0" w:line="41"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us or our business. If one or more of the analysts who covers us downgrades our ordinary shares or ADSs or publishes incorrect or unfavorable research about our business, the price of our ordinary shares and/or ADSs would likely decline. If one or more of these analysts ceases coverage of us or fails to publish reports on us regularly, or downgrades our ordinary shares or ADSs, demand for ADSs or ordinary shares could decrease, which could cause the price of ADSs and/or ordinary shares and/or trading volume to decline.</w:t>
      </w:r>
    </w:p>
    <w:p>
      <w:pPr>
        <w:spacing w:after="0" w:line="16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20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27"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3"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4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86" w:lineRule="exact"/>
        <w:rPr>
          <w:sz w:val="20"/>
          <w:szCs w:val="20"/>
          <w:color w:val="auto"/>
        </w:rPr>
      </w:pPr>
    </w:p>
    <w:p>
      <w:pPr>
        <w:ind w:left="120" w:right="104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2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 See “Description of Share Capital and Articles of Association” for further information relating to the Company’s existing authority to issue additional ordinary shares.</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2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41"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In addition, our credit facility prohibits us from paying dividends on our equity securities without Kreos’s consent, and any future debt agreements may likewise preclude us from paying dividends. As a result, capital appreciation, if any, on ADSs or ordinary shares will be your sole source of gains for the foreseeable future.</w:t>
      </w:r>
    </w:p>
    <w:p>
      <w:pPr>
        <w:spacing w:after="0" w:line="18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4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230" w:lineRule="exact"/>
        <w:rPr>
          <w:sz w:val="20"/>
          <w:szCs w:val="20"/>
          <w:color w:val="auto"/>
        </w:rPr>
      </w:pPr>
    </w:p>
    <w:p>
      <w:pPr>
        <w:ind w:left="980" w:right="38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In addition, our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8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are required to follow the AIM rules and Corporate Governance Code published by the Quoted Companies Alliance. As a result, holders of our ADSs may not be afforded the benefits of the corporate governance standards of Nasdaq to the same extent applicable to companies incorporated in the United States. See “Management—Foreign Private Issuer Exemption” elsewhere in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9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United States. The costs incurred in fulfilling these additional regulatory requirements could be substantial.</w:t>
      </w:r>
    </w:p>
    <w:p>
      <w:pPr>
        <w:spacing w:after="0" w:line="190"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could have a material adverse effect on our business and stock price.</w:t>
      </w:r>
    </w:p>
    <w:p>
      <w:pPr>
        <w:spacing w:after="0" w:line="2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Pursuant to Section 404, we are required to furnish a report by our senior management on our internal control over financial reporting beginning with a report as at December 31, 2019 in our annual report on Form 20-F filing in early 2020. However, while we remain an emerging growth company, we will not be required to include an attestation report on internal control over financial reporting issued by our independent registered public accounting firm. To achieve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The executive officers, Board and certain of our existing shareholders own a majority or a significant portion of our outstanding ordinary shares and, as a result, have control or significant influence over us and our interests may conflict with the interests of these shareholders.</w:t>
      </w:r>
    </w:p>
    <w:p>
      <w:pPr>
        <w:spacing w:after="0" w:line="4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executive officers, Board and significant shareholders and their respective affiliates, in the aggregate, beneficially own a majority of our outstanding ordinary shares (including ordinary shares in the form of our ADSs). Depending on the level of attendance at our general meetings of shareholders, these shareholders either alone or voting together as a group may be in a position to control or significantly influence the outcome of decisions taken at any such general meeting. Any shareholder 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Any shareholder or group of shareholders controlling more than 75% of the share capital present and voting at our general meetings of shareholders may control any shareholder resolution amending our Articles. These shareholders may have interests that differ from ours and may vote in a way with which we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There is a significant risk that we will be a passive foreign investment company (“PFIC”) for any taxable year, which could result in material adverse U.S. federal income tax consequences if you are a U.S. investor.</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may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will be a PFIC under the asset test. In addition, it is not clear how to apply the income test to a company like us, which for any particular taxable year may have gross income that is either entirely passive or that significantly exceeds any active gross income, but the overall losses of which from research and development activities exceed the overall amount of its gross income for that year. We currently do not earn income from sales of drugs. Accordingly, U.S. investors should invest in our ADSs only if they are willing to bear the U.S. federal income tax consequences associated with investments in PFICs.</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were a PFIC for any taxable year during which a U.S. investor owns ADSs or ordinary shares, certain adverse U.S. federal income tax consequences could apply to such U.S. investor. We provide the information necessary for a U.S. investor to make a qualifying electing fund election with respect to us. See “Material Tax Considerations—Material U.S. Federal Income Tax Considerations” for further information. U.S. investors should consult their tax advisers regarding our PFIC status for any taxable year and the potential application of the PFIC rules to an investment in 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fully realize the anticipated benefits of the Merger or realize such benefits within the timing anticipated.</w:t>
      </w:r>
    </w:p>
    <w:p>
      <w:pPr>
        <w:spacing w:after="0" w:line="9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entered into the Merger with OncoMed because we believed that the Merger would be beneficial to us and our shareholders. We may not be able to achieve the anticipated long-term strategic benefits of the Merger within the timing anticipated or at all. Any delays and challenges that may be encountered in completing the post-Merger process of consolidation could have an adverse effect on the business and results of our operations, and may affect the value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failed to discover undisclosed liabilities of OncoMed.</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investigations and due diligence review of OncoMed may have failed to discover undisclosed liabilities of OncoMed. If OncoMed has undisclosed liabilities, we as a successor owner may be responsible for such undisclosed liabilities. Such undisclosed liabilities could have an adverse effect on the business and results of operations of us and our subsidiaries and may adversely affect the value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intangible assets may become impaired, which could result in material non-cash charges to our results of operations.</w:t>
      </w:r>
    </w:p>
    <w:p>
      <w:pPr>
        <w:spacing w:after="0" w:line="8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acquired a substantial quantity of intangible assets in the Merger. At least annually, or whenever events or changes in circumstances indicate a potential impairment in the carrying value as defined by IFRS as issued by the IASB, we will evaluate such intangible assets for impairment based on the recoverable value for such intangible assets, being the higher of fair value less costs to sell and value in use, of such intangible assets. Estimated fair values could change if there are changes in our capital structure, cost of debt, interest rates, capital expenditure levels, operating cash flows or market capitalization. Impairments of intangible assets could require material non-cash charges to our results of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operational challenges in managing OncoMed’s business and staff following the Merger.</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Mergers inherently have risks including misjudging key elements of an acquisition or failing to integrate it in an efficient and timely manner that would disrupt operations. In addition, as OncoMed is located in a different country and time zone, this also brings inherent management challenges. We are taking over existing ongoing clinical trials, which although are being conducted by reputable third party CRO contractors, remain our responsibility as the parent of OncoMed. We must also fully integrate OncoMed’s retained employees within our existing management structure. We may face operational challenges in managing OncoMed’s business and staff following the Merger which could have an adverse effect on the business and results of our operations, and may affect the value of our ADSs and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OncoMed’s ability to utilize its net operating loss carryforwards and certain other tax attributes may be limited.</w:t>
      </w:r>
    </w:p>
    <w:p>
      <w:pPr>
        <w:spacing w:after="0" w:line="8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ownership by “5% shareholders” that exceeds 50 percentage points over a rolling three-year period. Similar rules may apply under state tax laws.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OncoMed had federal net operating loss carryforwards related to the 2018 tax year, amounting to</w:t>
      </w:r>
    </w:p>
    <w:p>
      <w:pPr>
        <w:ind w:left="120"/>
        <w:spacing w:after="0" w:line="234" w:lineRule="auto"/>
        <w:rPr>
          <w:sz w:val="20"/>
          <w:szCs w:val="20"/>
          <w:color w:val="auto"/>
        </w:rPr>
      </w:pPr>
      <w:r>
        <w:rPr>
          <w:rFonts w:ascii="Arial" w:cs="Arial" w:eastAsia="Arial" w:hAnsi="Arial"/>
          <w:sz w:val="18"/>
          <w:szCs w:val="18"/>
          <w:color w:val="auto"/>
        </w:rPr>
        <w:t>$39.1 million which carryforward indefinitely and $228.6 million, which relate to prior taxable years, that begin to expire in 2023. At</w:t>
      </w:r>
    </w:p>
    <w:p>
      <w:pPr>
        <w:ind w:left="120"/>
        <w:spacing w:after="0" w:line="235" w:lineRule="auto"/>
        <w:rPr>
          <w:sz w:val="20"/>
          <w:szCs w:val="20"/>
          <w:color w:val="auto"/>
        </w:rPr>
      </w:pPr>
      <w:r>
        <w:rPr>
          <w:rFonts w:ascii="Arial" w:cs="Arial" w:eastAsia="Arial" w:hAnsi="Arial"/>
          <w:sz w:val="18"/>
          <w:szCs w:val="18"/>
          <w:color w:val="auto"/>
        </w:rPr>
        <w:t>December 31, 2018, OncoMed had state net operating loss carryforwards of $97.2 million, which begin to expire in 2028, if not utilized. At</w:t>
      </w:r>
    </w:p>
    <w:p>
      <w:pPr>
        <w:ind w:left="120"/>
        <w:spacing w:after="0" w:line="235" w:lineRule="auto"/>
        <w:rPr>
          <w:sz w:val="20"/>
          <w:szCs w:val="20"/>
          <w:color w:val="auto"/>
        </w:rPr>
      </w:pPr>
      <w:r>
        <w:rPr>
          <w:rFonts w:ascii="Arial" w:cs="Arial" w:eastAsia="Arial" w:hAnsi="Arial"/>
          <w:sz w:val="18"/>
          <w:szCs w:val="18"/>
          <w:color w:val="auto"/>
        </w:rPr>
        <w:t>December 31, 2018, OncoMed also had federal and California research and development credit carryforwards aggregating approximately</w:t>
      </w:r>
    </w:p>
    <w:p>
      <w:pPr>
        <w:ind w:left="120"/>
        <w:spacing w:after="0" w:line="235" w:lineRule="auto"/>
        <w:rPr>
          <w:sz w:val="20"/>
          <w:szCs w:val="20"/>
          <w:color w:val="auto"/>
        </w:rPr>
      </w:pPr>
      <w:r>
        <w:rPr>
          <w:rFonts w:ascii="Arial" w:cs="Arial" w:eastAsia="Arial" w:hAnsi="Arial"/>
          <w:sz w:val="18"/>
          <w:szCs w:val="18"/>
          <w:color w:val="auto"/>
        </w:rPr>
        <w:t>$25.4 million and $19.8 million, respectively. The federal credits will expire in 2025, if not utilized. California research and development</w:t>
      </w:r>
    </w:p>
    <w:p>
      <w:pPr>
        <w:ind w:left="120"/>
        <w:spacing w:after="0" w:line="235" w:lineRule="auto"/>
        <w:rPr>
          <w:sz w:val="20"/>
          <w:szCs w:val="20"/>
          <w:color w:val="auto"/>
        </w:rPr>
      </w:pPr>
      <w:r>
        <w:rPr>
          <w:rFonts w:ascii="Arial" w:cs="Arial" w:eastAsia="Arial" w:hAnsi="Arial"/>
          <w:sz w:val="18"/>
          <w:szCs w:val="18"/>
          <w:color w:val="auto"/>
        </w:rPr>
        <w:t>credits have no expiration date. At December 31, 2018, OncoMed also had federal orphan drug credit and Alternative Minimum Tax</w:t>
      </w:r>
    </w:p>
    <w:p>
      <w:pPr>
        <w:ind w:left="120"/>
        <w:spacing w:after="0" w:line="234" w:lineRule="auto"/>
        <w:rPr>
          <w:sz w:val="20"/>
          <w:szCs w:val="20"/>
          <w:color w:val="auto"/>
        </w:rPr>
      </w:pPr>
      <w:r>
        <w:rPr>
          <w:rFonts w:ascii="Arial" w:cs="Arial" w:eastAsia="Arial" w:hAnsi="Arial"/>
          <w:sz w:val="18"/>
          <w:szCs w:val="18"/>
          <w:color w:val="auto"/>
        </w:rPr>
        <w:t>(“AMT”) carryforwards of approximately $39.3 million and $1.5 million, respectively. The federal orphan drug credits will begin to expire in</w:t>
      </w:r>
    </w:p>
    <w:p>
      <w:pPr>
        <w:ind w:left="120"/>
        <w:spacing w:after="0" w:line="235" w:lineRule="auto"/>
        <w:rPr>
          <w:sz w:val="20"/>
          <w:szCs w:val="20"/>
          <w:color w:val="auto"/>
        </w:rPr>
      </w:pPr>
      <w:r>
        <w:rPr>
          <w:rFonts w:ascii="Arial" w:cs="Arial" w:eastAsia="Arial" w:hAnsi="Arial"/>
          <w:sz w:val="18"/>
          <w:szCs w:val="18"/>
          <w:color w:val="auto"/>
        </w:rPr>
        <w:t>2034, if not utilized. A U.S. federal tax refund in respect of the AMT carryforward of approximately $1.3 million was subsequently received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2019, following closing of the Merger.</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believe that the Merger counted as an “ownership change,” which may impact OncoMed’s ability to fully realize the benefit of its net operating loss carryforwards. If that is the case, then OncoMed may be further limited in its ability to use its net operating loss carryforwards and other tax assets to reduce taxes owed on the net taxable income that OncoMed earns. Any such limitations on the ability to use its net operating loss carryforwards and other tax assets could adversely impact OncoMed’s business, financial condition and operating results.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have never paid or declared any cash dividends on our ADSs or ordinary shares, and we do not anticipate paying any cash dividends on our ADSs or ordinary shares in the foreseeable future. We intend to retain future earnings, if any, for use in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In addition, the terms of our existing loan agreement with Silicon Valley Bank and Kreos Capital V (UK) Limited (“Kreos”), preclude us from paying cash dividends without Kreos’s consent. See “Management’s Discussion and Analysis of Financial Condition and Results of Operations—Liquidity and Capital Resources—Indebtedness—Credit Facility.”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320" w:top="459" w:right="6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60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continue as a going concern;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 candidates secure regulatory approval;</w:t>
      </w:r>
    </w:p>
    <w:p>
      <w:pPr>
        <w:spacing w:after="0" w:line="26" w:lineRule="exact"/>
        <w:rPr>
          <w:rFonts w:ascii="MS PGothic" w:cs="MS PGothic" w:eastAsia="MS PGothic" w:hAnsi="MS PGothic"/>
          <w:sz w:val="25"/>
          <w:szCs w:val="25"/>
          <w:color w:val="auto"/>
          <w:vertAlign w:val="superscript"/>
        </w:rPr>
      </w:pPr>
    </w:p>
    <w:p>
      <w:pPr>
        <w:ind w:left="980" w:right="88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 candidates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benefits from strategic sales or out-licensing of our non-rare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attain and/or maintain our desired pricing levels;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be included in healthcare systems in certain regions;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including the Merger with OncoMed;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80"/>
          </w:cols>
          <w:pgMar w:left="320" w:top="459" w:right="6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3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June 30, 2019 derived from our unaudited interim consolidated financial statements included elsewhere in this prospectus.</w:t>
      </w:r>
    </w:p>
    <w:p>
      <w:pPr>
        <w:spacing w:after="0" w:line="197"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You should read this table in conjunction with our unaudited interim consolidated financial statements included elsewhere in this prospectus.</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June 30, 2019</w:t>
            </w: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5"/>
          </w:tcPr>
          <w:p>
            <w:pPr>
              <w:jc w:val="right"/>
              <w:ind w:right="170"/>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36,118</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45,884</w:t>
            </w:r>
          </w:p>
        </w:tc>
        <w:tc>
          <w:tcPr>
            <w:tcW w:w="120" w:type="dxa"/>
            <w:vAlign w:val="bottom"/>
            <w:shd w:val="clear" w:color="auto" w:fill="CCEEFF"/>
          </w:tcPr>
          <w:p>
            <w:pPr>
              <w:spacing w:after="0"/>
              <w:rPr>
                <w:sz w:val="17"/>
                <w:szCs w:val="17"/>
                <w:color w:val="auto"/>
              </w:rPr>
            </w:pPr>
          </w:p>
        </w:tc>
      </w:tr>
      <w:tr>
        <w:trPr>
          <w:trHeight w:val="20"/>
        </w:trPr>
        <w:tc>
          <w:tcPr>
            <w:tcW w:w="62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28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1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19,732</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25,068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7"/>
                <w:szCs w:val="17"/>
                <w:color w:val="auto"/>
              </w:rPr>
            </w:pP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(1,658)</w:t>
            </w: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121,684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154,587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58,004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73,688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(127,356)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(161,793)</w:t>
            </w: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8,893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1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78,988</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100,346</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980" w:right="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27"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980" w:right="4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 and</w:t>
      </w:r>
    </w:p>
    <w:p>
      <w:pPr>
        <w:spacing w:after="0" w:line="28"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you invest in our ADSs in this offering, your ownership interest will be diluted immediately to the extent of the difference between the offering price per ADS paid by purchasers in this offering and our as adjusted net tangible book value per ADS after completion of this offering. For the convenience of the reader, we have translated pound sterling amounts in this section into U.S. dollars at the noon buying rate of the Federal Reserve Bank of New York on June 29, 2019, which was £1.00 to $1.2704. These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At June 30, 2019, we had a net tangible book value of £29.8 million ($ 37.9 million), corresponding to a net tangible book value of £0.30 per ordinary share (equal to $1.93 per ADS). Net tangible book value per ordinary share represents the amount of our total assets less our total liabilities, excluding goodwill and other intangible assets, divided by the total number of our ordinary shares outstanding as of June 30, 2019.</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After giving effect to the sale of 2,859,104 ADSs in this offering at an assumed public offering price of $1.56 per ADS, which reflects the last reported sale price of our ADS on Nasdaq on February 8, 2020, and after deducting the estimated offering expenses payable by us, our as adjusted net tangible book value as of June 30, 2019 would have been £32.2 million ($40.9 million), representing an as adjusted net tangible book value of $1.82 per ADS, or $0.36 per ordinary share. This represents an immediate decrease in net tangible book value of $0.11 per ADS to existing shareholders and an immediate dilution of $0.51 per ADS, or $0.10 per ordinary share, to new investors purchasing ADSs in this offering. Dilution per ADS to new investors is determined by subtracting the as adjusted net tangible book value per ADS after this offering from the $0.26 per ordinary share (equivalent to $1.31 per ADS) paid by the selling shareholder. For the purposes of calculating dilution, the $25.0 million worth of ordinary shares issuable to the selling shareholder have been excluded from the calculation because, if utilized in full, would result in an immediate accretion in the as adjusted net tangible book value and is therefore not meaningful.</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this dilution to new investors purchasing ADSs in this offering.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w:t>
            </w:r>
          </w:p>
        </w:tc>
      </w:tr>
      <w:tr>
        <w:trPr>
          <w:trHeight w:val="162"/>
        </w:trPr>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Ordinary</w:t>
            </w:r>
          </w:p>
        </w:tc>
      </w:tr>
      <w:tr>
        <w:trPr>
          <w:trHeight w:val="175"/>
        </w:trPr>
        <w:tc>
          <w:tcPr>
            <w:tcW w:w="7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Per ADS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public offering price</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3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as of June 30, 2019</w:t>
            </w:r>
          </w:p>
        </w:tc>
        <w:tc>
          <w:tcPr>
            <w:tcW w:w="2160" w:type="dxa"/>
            <w:vAlign w:val="bottom"/>
            <w:gridSpan w:val="2"/>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0.39</w:t>
            </w:r>
          </w:p>
        </w:tc>
      </w:tr>
      <w:tr>
        <w:trPr>
          <w:trHeight w:val="203"/>
        </w:trPr>
        <w:tc>
          <w:tcPr>
            <w:tcW w:w="7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 net tangible book value attributable to the offering</w:t>
            </w:r>
          </w:p>
        </w:tc>
        <w:tc>
          <w:tcPr>
            <w:tcW w:w="2160" w:type="dxa"/>
            <w:vAlign w:val="bottom"/>
            <w:gridSpan w:val="2"/>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as of June 30, 2019</w:t>
            </w:r>
          </w:p>
        </w:tc>
        <w:tc>
          <w:tcPr>
            <w:tcW w:w="2160" w:type="dxa"/>
            <w:vAlign w:val="bottom"/>
            <w:gridSpan w:val="2"/>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0.36</w:t>
            </w:r>
          </w:p>
        </w:tc>
      </w:tr>
      <w:tr>
        <w:trPr>
          <w:trHeight w:val="27"/>
        </w:trPr>
        <w:tc>
          <w:tcPr>
            <w:tcW w:w="7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to new investors in the offering</w:t>
            </w:r>
          </w:p>
        </w:tc>
        <w:tc>
          <w:tcPr>
            <w:tcW w:w="2160" w:type="dxa"/>
            <w:vAlign w:val="bottom"/>
            <w:gridSpan w:val="2"/>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0.51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0.10</w:t>
            </w:r>
          </w:p>
        </w:tc>
      </w:tr>
    </w:tbl>
    <w:p>
      <w:pPr>
        <w:spacing w:after="0" w:line="21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dilution information above is illustrative only and will change based on the actual public offering price and other terms of this offering determined at pricing.</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above exclude (in each case, as calculated as of June 30, 2019 pursuant to the terms of each instrument):</w:t>
      </w:r>
    </w:p>
    <w:p>
      <w:pPr>
        <w:spacing w:after="0" w:line="239" w:lineRule="exact"/>
        <w:rPr>
          <w:sz w:val="20"/>
          <w:szCs w:val="20"/>
          <w:color w:val="auto"/>
        </w:rPr>
      </w:pPr>
    </w:p>
    <w:p>
      <w:pPr>
        <w:ind w:left="980" w:right="80" w:hanging="432"/>
        <w:spacing w:after="0" w:line="218"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2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980" w:right="42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27" w:lineRule="exact"/>
        <w:rPr>
          <w:rFonts w:ascii="MS PGothic" w:cs="MS PGothic" w:eastAsia="MS PGothic" w:hAnsi="MS PGothic"/>
          <w:sz w:val="25"/>
          <w:szCs w:val="25"/>
          <w:color w:val="auto"/>
          <w:vertAlign w:val="superscript"/>
        </w:rPr>
      </w:pPr>
    </w:p>
    <w:p>
      <w:pPr>
        <w:jc w:val="both"/>
        <w:ind w:left="98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14,496,147 ordinary shares issuable upon conversion by Novartis of the New Novartis Notes issued on February 10, 2020, and the warrants issued to Novartis in connection therewith to purchase up to 1,449,614 ordinary shares at an exercise price of £0.265 per ordinary share; and</w:t>
      </w:r>
    </w:p>
    <w:p>
      <w:pPr>
        <w:spacing w:after="0" w:line="28"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12,252,715 ordinary shares issued to Boxer Capital under the terms of our agreement with Boxer Capital entered into on February 19, 2020.</w:t>
      </w:r>
    </w:p>
    <w:p>
      <w:pPr>
        <w:spacing w:after="0" w:line="20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To the extent that share or ADS options or warrants are exercised or we issue additional shares or ADSs in the future, there will be further dilution to investors participating in the offering.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This prospectus relates to our ADSs representing ordinary shares that may be offered and sold from time to time by Aspire Capital. We will not receive any proceeds upon the sale of ADSs by Aspire Capital. However, we may receive proceeds of up to $28.0 million under the Purchase Agreement with Aspire Capital, which includes the $3.0 million that we received for sale of the Initial Shares to Aspire Capital.</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proceeds received from the sale of the ADSs under the Purchase Agreement are expected be used to advance the clinical development of setrusumab for the treatment of OI and alvelestat for the treatment of severe AATD, and to fund general research and development activities, working capital and other general corporate purposes, including the costs relating to entering into any third-party strategic relationship for development and commercialization of our non-rare disease product candidates. However, we cannot guarantee that we will receive any proceeds other than from the sale of the Initial Shares in connection with the Purchase Agreement because we may be unable or choose not to issue and sell any ADSs pursuant to the Purchase Agreement. Because of this, we have not determined the amount of net proceeds to be used specifically for any particular purpose or the timing of any expenditures. As a result, our management will retain broad discretion over the allocation of any net proceeds. Pending such uses, we plan to invest any net proceeds in short- and intermediate-term interest-bearing obligations and certificates of deposit.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342"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The following unaudited pro forma condensed combined financial information is comprised of the Unaudited Pro Forma Condensed Combined Statement of Operations for the year ended December 31, 2018 and interim period ended June 30, 2019, after giving effect to the Merger as if it had occurred on January 1, 2018.</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has been prepared using the principles of the acquisition method of accounting in accordance with IFRS as issued by the IASB, and in particular IFRS 3, under which the Merger qualifies as the acquisition of OncoMed by us. On the date of the acquisition, April 23, 2019, the identifiable assets and liabilities of OncoMed, were recorded by us at their respective fair values.</w:t>
      </w:r>
    </w:p>
    <w:p>
      <w:pPr>
        <w:spacing w:after="0" w:line="205"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Pro forma adjustments reflected in the Unaudited Pro Forma Condensed Combined Statement of Operations are based on items that are factually supportable and directly attributable to the Merger and which are expected to have a continuing impact on the consolidated entity.</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Unaudited Pro Forma Condensed Combined Statement of Operations for the year ended December 31, 2018 has been prepared based on (i) our audited consolidated financial statements as of and for the year ended December 31, 2018 and (ii) the audited financial statements of OncoMed as of and for year ended December 31, 2018 included elsewhere in this prospectus.</w:t>
      </w:r>
    </w:p>
    <w:p>
      <w:pPr>
        <w:spacing w:after="0" w:line="203"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The Unaudited Pro Forma Condensed Combined Statement of Operations for the interim period ended June 30, 2019 has been prepared based on (i) our unaudited consolidated interim financial statements as of and for the period ended June 30, 2019 and (ii) financial information received by us relating to OncoMed for the period January 1, 2019 through April 23, 2019.</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consolidated financial statements are prepared in accordance with IFRS as issued by the IASB. The audited financial statements of OncoMed as of and for the year ended December 31, 2018 and financial information received by us relating to OncoMed for the period January 1, 2019 through April 23, 2019 was prepared in accordance with U.S. GAAP and for the purposes of the Unaudited Pro Forma Condensed Combined Statement of Operations, have been converted to IFRS as issued by the IASB on a basis consistent with the accounting policies and presentation adopted by us.</w:t>
      </w:r>
    </w:p>
    <w:p>
      <w:pPr>
        <w:spacing w:after="0" w:line="20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noted above, the Unaudited Pro Forma Condensed Combined Statement of Operations has been prepared using the acquisition method of accounting in accordance with IFRS 3. The accounting for the acquisition is dependent upon certain valuations that are preliminary and subject to change. We will finalize amounts as we obtain the information necessary to complete the measurement processes. Accordingly, the pro forma adjustments are preliminary. Differences between these preliminary estimates and the final acquisition accounting may occur and these differences could be material. The differences, if any, could have a material impact on the accompanying Unaudited Pro Forma Condensed Combined Statement of Operations and our future results of operations and financial position.</w:t>
      </w:r>
    </w:p>
    <w:p>
      <w:pPr>
        <w:spacing w:after="0" w:line="203"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The Unaudited Pro Forma Condensed Combined Statement of Operations has been prepared by our management in accordance with SEC Regulation S-X Article 11 for illustrative purposes only. The Unaudited Pro Forma Condensed Combined Statement of Operations does not purport to represent what the actual results of our operations would have been had the Merger occurred on the respective dates assumed, nor is it indicative of the future results of the consolidated company. The Unaudited Pro Forma Condensed Combined Statement of Operations for the year ended December 31, 2018 and interim period ended June 30, 2019 does not reflect any cost savings, operating synergies or revenue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enhancements that the combined company may achieve as a result of the Merger. The pro forma adjustments reflected in the accompanying Unaudited Pro Forma Condensed Combined Statement of Operations reflect estimates and assumptions made by our management that we believe to be reasonable.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Unaudited Pro Forma Condensed Combined Statement of Operations should be read in conjunction with the information contained in “Risk Factors,” “Cautionary Statement Regarding Forward-Looking Statements,” “Selected Consolidated Financial Data of Mereo,” “Business,” and our consolidated financial statements included elsewhere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UNAUDITED PRO FORMA CONDENSED COMBINED STATEMENT OF OPERATIONS FOR THE YEAR ENDED DECEMBER 31, 2018</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1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Historical financial</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21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information</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Pro forma adjustment</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 condensed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IFRS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Reclassification</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 statement</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OncoMed</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 Conversion</w:t>
            </w:r>
          </w:p>
        </w:tc>
        <w:tc>
          <w:tcPr>
            <w:tcW w:w="50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Collaboration and other revenue</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33,243</w:t>
            </w:r>
          </w:p>
        </w:tc>
        <w:tc>
          <w:tcPr>
            <w:tcW w:w="2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33,243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(22,704)</w:t>
            </w: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(25,776)</w:t>
            </w:r>
          </w:p>
        </w:tc>
        <w:tc>
          <w:tcPr>
            <w:tcW w:w="1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(693)</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(48,285)</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888</w:t>
            </w:r>
          </w:p>
        </w:tc>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B</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(12,505)</w:t>
            </w: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(13,599)</w:t>
            </w:r>
          </w:p>
        </w:tc>
        <w:tc>
          <w:tcPr>
            <w:tcW w:w="1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(693)</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C</w:t>
            </w: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(23,476)</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888</w:t>
            </w:r>
          </w:p>
        </w:tc>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B</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Restructuring charges</w:t>
            </w: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(1,385)</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1,385</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loss</w:t>
            </w: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(35,209)</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(7,517)</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(38,518)</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Finance charge</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(2,361)</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(2,361)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income</w:t>
            </w: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b w:val="1"/>
                <w:bCs w:val="1"/>
                <w:color w:val="auto"/>
              </w:rPr>
              <w:t>307</w:t>
            </w: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b w:val="1"/>
                <w:bCs w:val="1"/>
                <w:color w:val="auto"/>
              </w:rPr>
              <w:t>1,169</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1,476</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Net foreign exchange gain/(loss)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(44)</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 before tax:</w:t>
            </w: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(37,307)</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(6,348)</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(39,447)</w:t>
            </w:r>
          </w:p>
        </w:tc>
        <w:tc>
          <w:tcPr>
            <w:tcW w:w="0" w:type="dxa"/>
            <w:vAlign w:val="bottom"/>
          </w:tcPr>
          <w:p>
            <w:pPr>
              <w:spacing w:after="0"/>
              <w:rPr>
                <w:sz w:val="1"/>
                <w:szCs w:val="1"/>
                <w:color w:val="auto"/>
              </w:rPr>
            </w:pPr>
          </w:p>
        </w:tc>
      </w:tr>
      <w:tr>
        <w:trPr>
          <w:trHeight w:val="196"/>
        </w:trPr>
        <w:tc>
          <w:tcPr>
            <w:tcW w:w="3520" w:type="dxa"/>
            <w:vAlign w:val="bottom"/>
          </w:tcPr>
          <w:p>
            <w:pPr>
              <w:spacing w:after="0" w:line="189" w:lineRule="exact"/>
              <w:rPr>
                <w:sz w:val="20"/>
                <w:szCs w:val="20"/>
                <w:color w:val="auto"/>
              </w:rPr>
            </w:pPr>
            <w:r>
              <w:rPr>
                <w:rFonts w:ascii="Arial" w:cs="Arial" w:eastAsia="Arial" w:hAnsi="Arial"/>
                <w:sz w:val="17"/>
                <w:szCs w:val="17"/>
                <w:color w:val="auto"/>
              </w:rPr>
              <w:t>Taxation</w:t>
            </w:r>
          </w:p>
        </w:tc>
        <w:tc>
          <w:tcPr>
            <w:tcW w:w="120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5,277</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286</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600" w:type="dxa"/>
            <w:vAlign w:val="bottom"/>
            <w:gridSpan w:val="2"/>
          </w:tcPr>
          <w:p>
            <w:pPr>
              <w:jc w:val="right"/>
              <w:ind w:right="120"/>
              <w:spacing w:after="0" w:line="189" w:lineRule="exact"/>
              <w:rPr>
                <w:sz w:val="20"/>
                <w:szCs w:val="20"/>
                <w:color w:val="auto"/>
              </w:rPr>
            </w:pPr>
            <w:r>
              <w:rPr>
                <w:rFonts w:ascii="Arial" w:cs="Arial" w:eastAsia="Arial" w:hAnsi="Arial"/>
                <w:sz w:val="17"/>
                <w:szCs w:val="17"/>
                <w:b w:val="1"/>
                <w:bCs w:val="1"/>
                <w:color w:val="auto"/>
              </w:rPr>
              <w:t>5,563</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Loss attributable to equity holders of</w:t>
            </w:r>
          </w:p>
        </w:tc>
        <w:tc>
          <w:tcPr>
            <w:tcW w:w="9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Mereo:</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(32,030)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(6,062)</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(33,884)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7"/>
                <w:szCs w:val="17"/>
                <w:color w:val="auto"/>
              </w:rPr>
              <w:t>Basic and diluted loss per share</w:t>
            </w: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(0.45)</w:t>
            </w:r>
          </w:p>
        </w:tc>
        <w:tc>
          <w:tcPr>
            <w:tcW w:w="28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vMerge w:val="continue"/>
          </w:tcPr>
          <w:p>
            <w:pPr>
              <w:spacing w:after="0"/>
              <w:rPr>
                <w:sz w:val="17"/>
                <w:szCs w:val="17"/>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(0.35)</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Shares used to compute net loss per</w:t>
            </w: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ordinary share, basic and diluted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71,144,786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24,783,320</w:t>
            </w:r>
          </w:p>
        </w:tc>
        <w:tc>
          <w:tcPr>
            <w:tcW w:w="5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E</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95,928,106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CONDENSED COMBINED STATEMENT OF OPERATIONS FOR THE PERIOD ENDED JUNE 30, 2019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information</w:t>
            </w:r>
          </w:p>
        </w:tc>
        <w:tc>
          <w:tcPr>
            <w:tcW w:w="30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Pro forma adjustment</w:t>
            </w:r>
          </w:p>
        </w:tc>
        <w:tc>
          <w:tcPr>
            <w:tcW w:w="560" w:type="dxa"/>
            <w:vAlign w:val="bottom"/>
          </w:tcPr>
          <w:p>
            <w:pPr>
              <w:spacing w:after="0"/>
              <w:rPr>
                <w:sz w:val="15"/>
                <w:szCs w:val="1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IFRS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Reclassification</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Mereo</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OncoMed</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and Conversion</w:t>
            </w:r>
          </w:p>
        </w:tc>
        <w:tc>
          <w:tcPr>
            <w:tcW w:w="5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Collaboration and other revenue</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(11,918)</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(3,829)</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(687)</w:t>
            </w: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(16,434)</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(9,107)</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(7,576)</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(687)</w:t>
            </w: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2,645</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C</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(10,827)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3,898</w:t>
            </w:r>
          </w:p>
        </w:tc>
        <w:tc>
          <w:tcPr>
            <w:tcW w:w="5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C</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1,852</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B</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(21,025)</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(8,117)</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(5,078)</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10,247</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(23,973)</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Gain on bargain purchase adjustment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3,680</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(3,680)</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D</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(1,454)</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(499)</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137</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253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 / (loss)</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(20)</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Net loss before tax:</w:t>
            </w: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(18,682)</w:t>
            </w:r>
          </w:p>
        </w:tc>
        <w:tc>
          <w:tcPr>
            <w:tcW w:w="3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(8,363)</w:t>
            </w:r>
          </w:p>
        </w:tc>
        <w:tc>
          <w:tcPr>
            <w:tcW w:w="340" w:type="dxa"/>
            <w:vAlign w:val="bottom"/>
            <w:vMerge w:val="continue"/>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5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6,567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(25,556)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2,459</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(14)</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2,445</w:t>
            </w:r>
          </w:p>
        </w:tc>
        <w:tc>
          <w:tcPr>
            <w:tcW w:w="0" w:type="dxa"/>
            <w:vAlign w:val="bottom"/>
          </w:tcPr>
          <w:p>
            <w:pPr>
              <w:spacing w:after="0"/>
              <w:rPr>
                <w:sz w:val="1"/>
                <w:szCs w:val="1"/>
                <w:color w:val="auto"/>
              </w:rPr>
            </w:pP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b w:val="1"/>
                <w:bCs w:val="1"/>
                <w:color w:val="auto"/>
              </w:rPr>
              <w:t>Loss attributable to equity holders of</w:t>
            </w: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Mereo:</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(16,223)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5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6,567</w:t>
            </w: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(23,111)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share</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(0.22)</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b w:val="1"/>
                <w:bCs w:val="1"/>
                <w:color w:val="auto"/>
              </w:rPr>
              <w:t>Shares used to compute net loss per</w:t>
            </w: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ordinary share, basic and diluted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71,337,074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24,783,320</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96,120,394</w:t>
            </w:r>
          </w:p>
        </w:tc>
        <w:tc>
          <w:tcPr>
            <w:tcW w:w="0" w:type="dxa"/>
            <w:vAlign w:val="bottom"/>
          </w:tcPr>
          <w:p>
            <w:pPr>
              <w:spacing w:after="0"/>
              <w:rPr>
                <w:sz w:val="1"/>
                <w:szCs w:val="1"/>
                <w:color w:val="auto"/>
              </w:rPr>
            </w:pPr>
          </w:p>
        </w:tc>
      </w:tr>
      <w:tr>
        <w:trPr>
          <w:trHeight w:val="351"/>
        </w:trPr>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91"/>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Pro Forma Condensed Combined Statement of Operations</w:t>
      </w:r>
    </w:p>
    <w:p>
      <w:pPr>
        <w:spacing w:after="0" w:line="23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are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combined statement of operations for the year ended December 31, 2018 and interim period ended June 30, 2019 give effect to the Merger as if it had occurred on January 1, 2018.</w:t>
      </w:r>
    </w:p>
    <w:p>
      <w:pPr>
        <w:spacing w:after="0" w:line="207"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OncoMed’s financial information—Currency Adjustment</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Combined Statement of Operations,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tcPr>
          <w:p>
            <w:pPr>
              <w:ind w:left="120"/>
              <w:spacing w:after="0"/>
              <w:rPr>
                <w:sz w:val="20"/>
                <w:szCs w:val="20"/>
                <w:color w:val="auto"/>
              </w:rPr>
            </w:pPr>
            <w:r>
              <w:rPr>
                <w:rFonts w:ascii="Arial" w:cs="Arial" w:eastAsia="Arial" w:hAnsi="Arial"/>
                <w:sz w:val="18"/>
                <w:szCs w:val="18"/>
                <w:color w:val="auto"/>
              </w:rPr>
              <w:t>Average Exchange Rate from January 1,</w:t>
            </w:r>
          </w:p>
        </w:tc>
        <w:tc>
          <w:tcPr>
            <w:tcW w:w="2820" w:type="dxa"/>
            <w:vAlign w:val="bottom"/>
          </w:tcPr>
          <w:p>
            <w:pPr>
              <w:ind w:left="20"/>
              <w:spacing w:after="0"/>
              <w:rPr>
                <w:sz w:val="20"/>
                <w:szCs w:val="20"/>
                <w:color w:val="auto"/>
              </w:rPr>
            </w:pPr>
            <w:r>
              <w:rPr>
                <w:rFonts w:ascii="Arial" w:cs="Arial" w:eastAsia="Arial" w:hAnsi="Arial"/>
                <w:sz w:val="18"/>
                <w:szCs w:val="18"/>
                <w:color w:val="auto"/>
              </w:rPr>
              <w:t>2018 to December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1.3363</w:t>
            </w:r>
          </w:p>
        </w:tc>
      </w:tr>
      <w:tr>
        <w:trPr>
          <w:trHeight w:val="229"/>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tcPr>
          <w:p>
            <w:pPr>
              <w:ind w:left="120"/>
              <w:spacing w:after="0"/>
              <w:rPr>
                <w:sz w:val="20"/>
                <w:szCs w:val="20"/>
                <w:color w:val="auto"/>
              </w:rPr>
            </w:pPr>
            <w:r>
              <w:rPr>
                <w:rFonts w:ascii="Arial" w:cs="Arial" w:eastAsia="Arial" w:hAnsi="Arial"/>
                <w:sz w:val="18"/>
                <w:szCs w:val="18"/>
                <w:color w:val="auto"/>
              </w:rPr>
              <w:t>Average Exchange Rate from January 1,</w:t>
            </w:r>
          </w:p>
        </w:tc>
        <w:tc>
          <w:tcPr>
            <w:tcW w:w="2820" w:type="dxa"/>
            <w:vAlign w:val="bottom"/>
          </w:tcPr>
          <w:p>
            <w:pPr>
              <w:ind w:left="20"/>
              <w:spacing w:after="0"/>
              <w:rPr>
                <w:sz w:val="20"/>
                <w:szCs w:val="20"/>
                <w:color w:val="auto"/>
              </w:rPr>
            </w:pPr>
            <w:r>
              <w:rPr>
                <w:rFonts w:ascii="Arial" w:cs="Arial" w:eastAsia="Arial" w:hAnsi="Arial"/>
                <w:sz w:val="18"/>
                <w:szCs w:val="18"/>
                <w:color w:val="auto"/>
              </w:rPr>
              <w:t>2019 to June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1.2941</w:t>
            </w:r>
          </w:p>
        </w:tc>
      </w:tr>
    </w:tbl>
    <w:p>
      <w:pPr>
        <w:spacing w:after="0" w:line="207"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OncoMed financial information—U.S. GAAP to IFRS Adjustment and Reclassifications</w:t>
      </w:r>
    </w:p>
    <w:p>
      <w:pPr>
        <w:spacing w:after="0" w:line="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Combined Statement of Operations, certain adjustments have been made to convert the financial information of OncoMed from U.S. GAAP to IFRS as issued by the IASB (“IFRS Reclassification and Conversion Adjustments”).</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January 1, 2019 OncoMed adopted ASC 842 (Leases). The nature and effect from the adoption of ASC 842 (Leases) within the historic financial information of OncoMed, as presented in the Unaudited Pro Forma Condensed Combined Statement of Operations, was a depreciation charge for the right-of-use asset within general and administrative expenditure of £0.4 million and a finance charge on the lease liability of £0.5 million. OncoMed’s lease portfolio is a single-leased premise, for which no IFRS Reclassification and Conversion Adjustment is required under IFRS 16 (Leases).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9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summary of the pro forma adjustments recognized within the Unaudited Pro Forma Condensed Combined Statement of Operations for the year ended December 31, 2018 and interim period ended June 30, 2019 are presented below, with reference by letter key: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w:t>
            </w:r>
          </w:p>
        </w:tc>
        <w:tc>
          <w:tcPr>
            <w:tcW w:w="5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518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10"/>
        </w:trPr>
        <w:tc>
          <w:tcPr>
            <w:tcW w:w="340" w:type="dxa"/>
            <w:vAlign w:val="bottom"/>
            <w:vMerge w:val="continue"/>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provision</w:t>
            </w:r>
          </w:p>
        </w:tc>
        <w:tc>
          <w:tcPr>
            <w:tcW w:w="1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provision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1225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66"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OncoMed recorded restructuring costs for the year ended December 31, 2018 as a single line in its statement of operations, however, to align to the functional presentation of Mereo’s statement of operations, an adjustment has been made to reclassify OncoMed’s £1.4 million total expense from “Restructuring charges” to “Research and development expenses” and “General and administrative expenses” of £0.7 million and £0.7 million, respectively.</w:t>
      </w:r>
    </w:p>
    <w:p>
      <w:pPr>
        <w:spacing w:after="0" w:line="113" w:lineRule="exact"/>
        <w:rPr>
          <w:sz w:val="20"/>
          <w:szCs w:val="20"/>
          <w:color w:val="auto"/>
        </w:rPr>
      </w:pPr>
    </w:p>
    <w:p>
      <w:pPr>
        <w:ind w:left="460" w:hanging="344"/>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color w:val="auto"/>
        </w:rPr>
        <w:t>Share-based payment awards</w:t>
      </w:r>
    </w:p>
    <w:p>
      <w:pPr>
        <w:spacing w:after="0" w:line="76" w:lineRule="exact"/>
        <w:rPr>
          <w:rFonts w:ascii="Arial" w:cs="Arial" w:eastAsia="Arial" w:hAnsi="Arial"/>
          <w:sz w:val="18"/>
          <w:szCs w:val="18"/>
          <w:b w:val="1"/>
          <w:bCs w:val="1"/>
          <w:i w:val="1"/>
          <w:iCs w:val="1"/>
          <w:color w:val="auto"/>
        </w:rPr>
      </w:pPr>
    </w:p>
    <w:p>
      <w:pPr>
        <w:ind w:left="460" w:right="120"/>
        <w:spacing w:after="0" w:line="236" w:lineRule="auto"/>
        <w:rPr>
          <w:rFonts w:ascii="Arial" w:cs="Arial" w:eastAsia="Arial" w:hAnsi="Arial"/>
          <w:sz w:val="18"/>
          <w:szCs w:val="18"/>
          <w:b w:val="1"/>
          <w:bCs w:val="1"/>
          <w:i w:val="1"/>
          <w:iCs w:val="1"/>
          <w:color w:val="auto"/>
        </w:rPr>
      </w:pPr>
      <w:r>
        <w:rPr>
          <w:rFonts w:ascii="Arial" w:cs="Arial" w:eastAsia="Arial" w:hAnsi="Arial"/>
          <w:sz w:val="18"/>
          <w:szCs w:val="18"/>
          <w:color w:val="auto"/>
        </w:rPr>
        <w:t>OncoMed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as issued by the IASB requires that compensation expense be recorded to reflect the vesting as it occurs for each tranche/instalment within the grant over the vesting period of that tranche/instalment. As a result, and due to the number of cancellations and forfeitures of the share-based payment awards during the year ended December 31, 2018 for which expense was reversed, the amount of expense recorded under IFRS as issued by the IASB is lower.</w:t>
      </w:r>
    </w:p>
    <w:p>
      <w:pPr>
        <w:spacing w:after="0" w:line="67" w:lineRule="exact"/>
        <w:rPr>
          <w:rFonts w:ascii="Arial" w:cs="Arial" w:eastAsia="Arial" w:hAnsi="Arial"/>
          <w:sz w:val="18"/>
          <w:szCs w:val="18"/>
          <w:b w:val="1"/>
          <w:bCs w:val="1"/>
          <w:i w:val="1"/>
          <w:iCs w:val="1"/>
          <w:color w:val="auto"/>
        </w:rPr>
      </w:pPr>
    </w:p>
    <w:p>
      <w:pPr>
        <w:ind w:left="460" w:right="20"/>
        <w:spacing w:after="0" w:line="237" w:lineRule="auto"/>
        <w:rPr>
          <w:rFonts w:ascii="Arial" w:cs="Arial" w:eastAsia="Arial" w:hAnsi="Arial"/>
          <w:sz w:val="18"/>
          <w:szCs w:val="18"/>
          <w:b w:val="1"/>
          <w:bCs w:val="1"/>
          <w:i w:val="1"/>
          <w:iCs w:val="1"/>
          <w:color w:val="auto"/>
        </w:rPr>
      </w:pPr>
      <w:r>
        <w:rPr>
          <w:rFonts w:ascii="Arial" w:cs="Arial" w:eastAsia="Arial" w:hAnsi="Arial"/>
          <w:sz w:val="18"/>
          <w:szCs w:val="18"/>
          <w:color w:val="auto"/>
        </w:rPr>
        <w:t>Accordingly, a reduction of £0.9 million of expense has been reflected in “Research and development expenses” and a reduction of £0.9 million of expense has been reflected in “General and administrative expenses” in the Unaudited Pro Forma Condensed Combined Statement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color w:val="auto"/>
        </w:rPr>
        <w:t>For the interim period ended June 30, 2019, OncoMed restructuring costs were presented within “Research and development expenses” and “General and administrative expenses”, with no reclassification adjustment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Share-based payment awards</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Immediately prior to the closing of the Merger with OncoMed on April 23, 2019, all share-based payment awards were cancelled. The cancellation was a result of the Merger and was only effected because the Merger occurred. Therefore, the impact of the cancellation is directly attributable to the Merger and is deemed non-recurring. IFRS Reclassification and Conversion Adjustments therefore include:</w:t>
      </w:r>
    </w:p>
    <w:p>
      <w:pPr>
        <w:spacing w:after="0" w:line="68" w:lineRule="exact"/>
        <w:rPr>
          <w:sz w:val="20"/>
          <w:szCs w:val="20"/>
          <w:color w:val="auto"/>
        </w:rPr>
      </w:pPr>
    </w:p>
    <w:p>
      <w:pPr>
        <w:ind w:left="320" w:right="140" w:hanging="319"/>
        <w:spacing w:after="0" w:line="237" w:lineRule="auto"/>
        <w:tabs>
          <w:tab w:leader="none" w:pos="319" w:val="left"/>
        </w:tabs>
        <w:numPr>
          <w:ilvl w:val="0"/>
          <w:numId w:val="55"/>
        </w:numPr>
        <w:rPr>
          <w:rFonts w:ascii="MS PGothic" w:cs="MS PGothic" w:eastAsia="MS PGothic" w:hAnsi="MS PGothic"/>
          <w:sz w:val="13"/>
          <w:szCs w:val="13"/>
          <w:color w:val="auto"/>
        </w:rPr>
      </w:pPr>
      <w:r>
        <w:rPr>
          <w:rFonts w:ascii="Arial" w:cs="Arial" w:eastAsia="Arial" w:hAnsi="Arial"/>
          <w:sz w:val="18"/>
          <w:szCs w:val="18"/>
          <w:color w:val="auto"/>
        </w:rPr>
        <w:t>An amount of £1.4 million recognized (£0.7 million within “Research and development expenses” and the remaining £0.7 million within “General and administrative expenses”) relating to a share-based payment charge under IFRS 2 for the period within the interim period ended June 30, 2019 prior to the cancellation date on April 23, 2019; and</w:t>
      </w:r>
    </w:p>
    <w:p>
      <w:pPr>
        <w:spacing w:after="0" w:line="29" w:lineRule="exact"/>
        <w:rPr>
          <w:rFonts w:ascii="MS PGothic" w:cs="MS PGothic" w:eastAsia="MS PGothic" w:hAnsi="MS PGothic"/>
          <w:sz w:val="13"/>
          <w:szCs w:val="13"/>
          <w:color w:val="auto"/>
        </w:rPr>
      </w:pPr>
    </w:p>
    <w:p>
      <w:pPr>
        <w:ind w:left="320" w:right="140" w:hanging="319"/>
        <w:spacing w:after="0" w:line="253" w:lineRule="auto"/>
        <w:tabs>
          <w:tab w:leader="none" w:pos="319"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An amount of £3.7 million recognized (£1.85 million within “Research and development expenses” and the remaining £1.85 million within “General and administrative expenses”) relating to the cancellation of the share-based payment awards on April 23, 2019 and the resultant acceleration charge from the immediate vesting required under IFRS 2.</w:t>
      </w:r>
    </w:p>
    <w:p>
      <w:pPr>
        <w:spacing w:after="0" w:line="6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£3.7 million recognized relating to the cancellation of the share-based payment awards on April 23, 2019 is a non-recurring charge that is directly attributable to the</w:t>
      </w:r>
    </w:p>
    <w:p>
      <w:pPr>
        <w:sectPr>
          <w:pgSz w:w="11900" w:h="16838" w:orient="portrait"/>
          <w:cols w:equalWidth="0" w:num="2">
            <w:col w:w="5840" w:space="120"/>
            <w:col w:w="5180"/>
          </w:cols>
          <w:pgMar w:left="320" w:top="459" w:right="4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651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hanging="344"/>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color w:val="auto"/>
        </w:rPr>
        <w:t>Transaction costs</w:t>
      </w:r>
    </w:p>
    <w:p>
      <w:pPr>
        <w:spacing w:after="0" w:line="76" w:lineRule="exact"/>
        <w:rPr>
          <w:rFonts w:ascii="Arial" w:cs="Arial" w:eastAsia="Arial" w:hAnsi="Arial"/>
          <w:sz w:val="18"/>
          <w:szCs w:val="18"/>
          <w:b w:val="1"/>
          <w:bCs w:val="1"/>
          <w:i w:val="1"/>
          <w:iCs w:val="1"/>
          <w:color w:val="auto"/>
        </w:rPr>
      </w:pPr>
    </w:p>
    <w:p>
      <w:pPr>
        <w:ind w:left="460"/>
        <w:spacing w:after="0" w:line="238" w:lineRule="auto"/>
        <w:rPr>
          <w:rFonts w:ascii="Arial" w:cs="Arial" w:eastAsia="Arial" w:hAnsi="Arial"/>
          <w:sz w:val="18"/>
          <w:szCs w:val="18"/>
          <w:b w:val="1"/>
          <w:bCs w:val="1"/>
          <w:i w:val="1"/>
          <w:iCs w:val="1"/>
          <w:color w:val="auto"/>
        </w:rPr>
      </w:pPr>
      <w:r>
        <w:rPr>
          <w:rFonts w:ascii="Arial" w:cs="Arial" w:eastAsia="Arial" w:hAnsi="Arial"/>
          <w:sz w:val="18"/>
          <w:szCs w:val="18"/>
          <w:color w:val="auto"/>
        </w:rPr>
        <w:t>£2.4 million has been eliminated from “General and administrative expenses” within the Unaudited Pro Forma Condensed Combined Statement of Operations for the year ended December 31, 2018 which represents non-recurring transactions costs incurred in relation to the Merger.</w:t>
      </w:r>
    </w:p>
    <w:p>
      <w:pPr>
        <w:spacing w:after="0" w:line="108" w:lineRule="exact"/>
        <w:rPr>
          <w:sz w:val="20"/>
          <w:szCs w:val="20"/>
          <w:color w:val="auto"/>
        </w:rPr>
      </w:pPr>
    </w:p>
    <w:p>
      <w:pPr>
        <w:ind w:left="460" w:hanging="344"/>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color w:val="auto"/>
        </w:rPr>
        <w:t>Gain on bargain purchase</w:t>
      </w:r>
    </w:p>
    <w:p>
      <w:pPr>
        <w:spacing w:after="0" w:line="76" w:lineRule="exact"/>
        <w:rPr>
          <w:rFonts w:ascii="Arial" w:cs="Arial" w:eastAsia="Arial" w:hAnsi="Arial"/>
          <w:sz w:val="18"/>
          <w:szCs w:val="18"/>
          <w:b w:val="1"/>
          <w:bCs w:val="1"/>
          <w:i w:val="1"/>
          <w:iCs w:val="1"/>
          <w:color w:val="auto"/>
        </w:rPr>
      </w:pPr>
    </w:p>
    <w:p>
      <w:pPr>
        <w:ind w:left="460" w:right="440"/>
        <w:spacing w:after="0" w:line="246" w:lineRule="auto"/>
        <w:rPr>
          <w:rFonts w:ascii="Arial" w:cs="Arial" w:eastAsia="Arial" w:hAnsi="Arial"/>
          <w:sz w:val="18"/>
          <w:szCs w:val="18"/>
          <w:b w:val="1"/>
          <w:bCs w:val="1"/>
          <w:i w:val="1"/>
          <w:iCs w:val="1"/>
          <w:color w:val="auto"/>
        </w:rPr>
      </w:pPr>
      <w:r>
        <w:rPr>
          <w:rFonts w:ascii="Arial" w:cs="Arial" w:eastAsia="Arial" w:hAnsi="Arial"/>
          <w:sz w:val="18"/>
          <w:szCs w:val="18"/>
          <w:color w:val="auto"/>
        </w:rPr>
        <w:t>Not recognized in the year ended December 31, 2018 as the transaction closed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-448310</wp:posOffset>
            </wp:positionV>
            <wp:extent cx="6995160" cy="9601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hanging="344"/>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color w:val="auto"/>
        </w:rPr>
        <w:t>Weighted average shares</w:t>
      </w:r>
    </w:p>
    <w:p>
      <w:pPr>
        <w:spacing w:after="0" w:line="76" w:lineRule="exact"/>
        <w:rPr>
          <w:rFonts w:ascii="Arial" w:cs="Arial" w:eastAsia="Arial" w:hAnsi="Arial"/>
          <w:sz w:val="18"/>
          <w:szCs w:val="18"/>
          <w:b w:val="1"/>
          <w:bCs w:val="1"/>
          <w:i w:val="1"/>
          <w:iCs w:val="1"/>
          <w:color w:val="auto"/>
        </w:rPr>
      </w:pPr>
    </w:p>
    <w:p>
      <w:pPr>
        <w:ind w:left="460" w:righ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67" w:lineRule="exact"/>
        <w:rPr>
          <w:rFonts w:ascii="Arial" w:cs="Arial" w:eastAsia="Arial" w:hAnsi="Arial"/>
          <w:sz w:val="18"/>
          <w:szCs w:val="18"/>
          <w:b w:val="1"/>
          <w:bCs w:val="1"/>
          <w:i w:val="1"/>
          <w:iCs w:val="1"/>
          <w:color w:val="auto"/>
        </w:rPr>
      </w:pPr>
    </w:p>
    <w:p>
      <w:pPr>
        <w:jc w:val="both"/>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2018).</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3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Merger. Therefore, the charge is an adjusting item within the Unaudited Pro Forma Condensed Combined Statement of Operations for the interim period ended June 30, 2019. of Operations as the charge is non-recurring and directly attributable to the Merger.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7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£6.5 million has been eliminated from “General and administrative expenses” within the Unaudited Pro Forma Condensed Combined Statement of Operations for the interim period ended June 30, 2019 which represents non-recurring transactions costs incurred in relation to the Merger.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Gain on bargain purchase</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Upon the closing of the Merger of OncoMed, a gain on bargain purchase of £3.7 million was recognized. As this is a non-recurring gain that is directly attributable to the Merger, the gain is an adjusting item within the Pro Forma Condensed Combined Statement of Operations for the interim period ended June 30,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7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2019).</w:t>
      </w:r>
    </w:p>
    <w:p>
      <w:pPr>
        <w:sectPr>
          <w:pgSz w:w="11900" w:h="16838" w:orient="portrait"/>
          <w:cols w:equalWidth="0" w:num="2">
            <w:col w:w="5720" w:space="240"/>
            <w:col w:w="514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CONSOLIDATED FINANCIAL DATA OF MEREO</w:t>
      </w:r>
    </w:p>
    <w:p>
      <w:pPr>
        <w:spacing w:after="0" w:line="34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the unaudited interim consolidated financial statements and the sections titled “Unaudited Pro Forma Condensed Combined Financial Information” and “Management’s Discussion and Analysis of Financial Condition and Results of Operations.” We have derived the consolidated statement of comprehensive loss data for the years ended December 31, 2018, 2017 and 2016 and the consolidated balance sheet data as of December 31, 2018 and 2017 from our audited consolidated financial statements included elsewhere in this prospectus. Consolidated balance sheet data as of December 31, 2016 is derived from other consolidated financial statements not included in this prospectus. We have derived the unaudited consolidated statement of comprehensive loss data for the six-month periods ended June 30, 2019 and 2018 and the unaudited consolidated balance sheet data as of June 30, 2019 from our unaudited interim consolidated financial statements included elsewhere in this prospectus, which have been prepared in accordance with IAS 34 as issued by the IASB. Our historical results are not necessarily indicative of the results that should be expected for any future period.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11"/>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4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bottom w:val="single" w:sz="8" w:color="auto"/>
            </w:tcBorders>
            <w:gridSpan w:val="2"/>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8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gridSpan w:val="19"/>
          </w:tcPr>
          <w:p>
            <w:pPr>
              <w:ind w:left="40"/>
              <w:spacing w:after="0" w:line="143" w:lineRule="exact"/>
              <w:rPr>
                <w:sz w:val="20"/>
                <w:szCs w:val="20"/>
                <w:color w:val="auto"/>
              </w:rPr>
            </w:pPr>
            <w:r>
              <w:rPr>
                <w:rFonts w:ascii="Arial" w:cs="Arial" w:eastAsia="Arial" w:hAnsi="Arial"/>
                <w:sz w:val="14"/>
                <w:szCs w:val="14"/>
                <w:b w:val="1"/>
                <w:bCs w:val="1"/>
                <w:color w:val="auto"/>
              </w:rPr>
              <w:t>(in thousands, except per ordinary share data)</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Comprehensive</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5"/>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Loss Data:</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Research and development expenses</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(24,563)</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(31,204)</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(34,607)</w:t>
            </w:r>
          </w:p>
        </w:tc>
        <w:tc>
          <w:tcPr>
            <w:tcW w:w="920" w:type="dxa"/>
            <w:vAlign w:val="bottom"/>
            <w:gridSpan w:val="5"/>
          </w:tcPr>
          <w:p>
            <w:pPr>
              <w:jc w:val="right"/>
              <w:ind w:right="160"/>
              <w:spacing w:after="0"/>
              <w:rPr>
                <w:sz w:val="20"/>
                <w:szCs w:val="20"/>
                <w:color w:val="auto"/>
              </w:rPr>
            </w:pPr>
            <w:r>
              <w:rPr>
                <w:rFonts w:ascii="Arial" w:cs="Arial" w:eastAsia="Arial" w:hAnsi="Arial"/>
                <w:sz w:val="14"/>
                <w:szCs w:val="14"/>
                <w:color w:val="auto"/>
              </w:rPr>
              <w:t>(43,964)</w:t>
            </w: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(22,704)</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(28,843)</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(10,864)</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(13,802)</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(11,918)</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(15,141)</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expenses</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(11,617)</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(14,758)</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(10,697)</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(13,590)</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(12,505)</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(15,886)</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(7,102)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(9,022)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(8,209)</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Operating loss</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(36,180)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(45,962)</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(45,304)</w:t>
            </w:r>
          </w:p>
        </w:tc>
        <w:tc>
          <w:tcPr>
            <w:tcW w:w="920" w:type="dxa"/>
            <w:vAlign w:val="bottom"/>
            <w:gridSpan w:val="5"/>
          </w:tcPr>
          <w:p>
            <w:pPr>
              <w:jc w:val="right"/>
              <w:ind w:right="160"/>
              <w:spacing w:after="0"/>
              <w:rPr>
                <w:sz w:val="20"/>
                <w:szCs w:val="20"/>
                <w:color w:val="auto"/>
              </w:rPr>
            </w:pPr>
            <w:r>
              <w:rPr>
                <w:rFonts w:ascii="Arial" w:cs="Arial" w:eastAsia="Arial" w:hAnsi="Arial"/>
                <w:sz w:val="14"/>
                <w:szCs w:val="14"/>
                <w:color w:val="auto"/>
              </w:rPr>
              <w:t>(57,554)</w:t>
            </w: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(35,209)</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(44,729)</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(17,966)</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(22,824)</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(18,380)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(23,350)</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Net income recognized on acquisition of subsidiary</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4"/>
                <w:szCs w:val="14"/>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Finance income</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375</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476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307</w:t>
            </w:r>
          </w:p>
        </w:tc>
        <w:tc>
          <w:tcPr>
            <w:tcW w:w="800" w:type="dxa"/>
            <w:vAlign w:val="bottom"/>
            <w:gridSpan w:val="5"/>
          </w:tcPr>
          <w:p>
            <w:pPr>
              <w:jc w:val="right"/>
              <w:ind w:right="80"/>
              <w:spacing w:after="0"/>
              <w:rPr>
                <w:sz w:val="20"/>
                <w:szCs w:val="20"/>
                <w:color w:val="auto"/>
              </w:rPr>
            </w:pPr>
            <w:r>
              <w:rPr>
                <w:rFonts w:ascii="Arial" w:cs="Arial" w:eastAsia="Arial" w:hAnsi="Arial"/>
                <w:sz w:val="14"/>
                <w:szCs w:val="14"/>
                <w:color w:val="auto"/>
              </w:rPr>
              <w:t>390</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151</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Finance charge</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(180)</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(228)</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(1,385)</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(2,999)</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(1,587)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(1,847)</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Net foreign exchange gain/(loss)</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2,263</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2,874</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(1,384)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(1,759)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(56)</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49</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Net loss before tax</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(33,722)</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(42,840)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(46,951)</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(59,648)</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(37,307)</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(47,394)</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(19,353)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(24,585)</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(23,734)</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Taxation</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5,331</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6,773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8,152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10,357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5,278</w:t>
            </w:r>
          </w:p>
        </w:tc>
        <w:tc>
          <w:tcPr>
            <w:tcW w:w="800" w:type="dxa"/>
            <w:vAlign w:val="bottom"/>
            <w:gridSpan w:val="5"/>
          </w:tcPr>
          <w:p>
            <w:pPr>
              <w:jc w:val="right"/>
              <w:ind w:right="80"/>
              <w:spacing w:after="0"/>
              <w:rPr>
                <w:sz w:val="20"/>
                <w:szCs w:val="20"/>
                <w:color w:val="auto"/>
              </w:rPr>
            </w:pPr>
            <w:r>
              <w:rPr>
                <w:rFonts w:ascii="Arial" w:cs="Arial" w:eastAsia="Arial" w:hAnsi="Arial"/>
                <w:sz w:val="14"/>
                <w:szCs w:val="14"/>
                <w:color w:val="auto"/>
              </w:rPr>
              <w:t>6,704</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2,365</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3,004</w:t>
            </w: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2,459</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3,123</w:t>
            </w:r>
          </w:p>
        </w:tc>
        <w:tc>
          <w:tcPr>
            <w:tcW w:w="100" w:type="dxa"/>
            <w:vAlign w:val="bottom"/>
          </w:tcPr>
          <w:p>
            <w:pPr>
              <w:spacing w:after="0"/>
              <w:rPr>
                <w:sz w:val="14"/>
                <w:szCs w:val="14"/>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Loss attributable to equity holders of Mereo</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(28,391)</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(36,067)</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(49,291)</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(32,029)</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(40,690)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(16,988)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(21,581)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(20,611)</w:t>
            </w: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Fair value changes on investments held at fair</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140"/>
              <w:spacing w:after="0" w:line="157" w:lineRule="exact"/>
              <w:rPr>
                <w:sz w:val="20"/>
                <w:szCs w:val="20"/>
                <w:color w:val="auto"/>
              </w:rPr>
            </w:pPr>
            <w:r>
              <w:rPr>
                <w:rFonts w:ascii="Arial" w:cs="Arial" w:eastAsia="Arial" w:hAnsi="Arial"/>
                <w:sz w:val="14"/>
                <w:szCs w:val="14"/>
                <w:color w:val="auto"/>
              </w:rPr>
              <w:t>value through OCI</w:t>
            </w:r>
          </w:p>
        </w:tc>
        <w:tc>
          <w:tcPr>
            <w:tcW w:w="8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3"/>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88</w:t>
            </w:r>
          </w:p>
        </w:tc>
        <w:tc>
          <w:tcPr>
            <w:tcW w:w="6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of foreign operations</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Total comprehensive loss attributable to equity</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140"/>
              <w:spacing w:after="0" w:line="157" w:lineRule="exact"/>
              <w:rPr>
                <w:sz w:val="20"/>
                <w:szCs w:val="20"/>
                <w:color w:val="auto"/>
              </w:rPr>
            </w:pPr>
            <w:r>
              <w:rPr>
                <w:rFonts w:ascii="Arial" w:cs="Arial" w:eastAsia="Arial" w:hAnsi="Arial"/>
                <w:sz w:val="14"/>
                <w:szCs w:val="14"/>
                <w:color w:val="auto"/>
              </w:rPr>
              <w:t>holders of Mereo</w:t>
            </w:r>
          </w:p>
        </w:tc>
        <w:tc>
          <w:tcPr>
            <w:tcW w:w="8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(28,391)</w:t>
            </w:r>
          </w:p>
        </w:tc>
        <w:tc>
          <w:tcPr>
            <w:tcW w:w="6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w w:val="99"/>
              </w:rPr>
              <w:t>(36,067)</w:t>
            </w:r>
          </w:p>
        </w:tc>
        <w:tc>
          <w:tcPr>
            <w:tcW w:w="6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(38,799)</w:t>
            </w:r>
          </w:p>
        </w:tc>
        <w:tc>
          <w:tcPr>
            <w:tcW w:w="920" w:type="dxa"/>
            <w:vAlign w:val="bottom"/>
            <w:gridSpan w:val="5"/>
          </w:tcPr>
          <w:p>
            <w:pPr>
              <w:jc w:val="right"/>
              <w:ind w:right="160"/>
              <w:spacing w:after="0" w:line="157" w:lineRule="exact"/>
              <w:rPr>
                <w:sz w:val="20"/>
                <w:szCs w:val="20"/>
                <w:color w:val="auto"/>
              </w:rPr>
            </w:pPr>
            <w:r>
              <w:rPr>
                <w:rFonts w:ascii="Arial" w:cs="Arial" w:eastAsia="Arial" w:hAnsi="Arial"/>
                <w:sz w:val="14"/>
                <w:szCs w:val="14"/>
                <w:color w:val="auto"/>
              </w:rPr>
              <w:t>(49,291)</w:t>
            </w:r>
          </w:p>
        </w:tc>
        <w:tc>
          <w:tcPr>
            <w:tcW w:w="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(32,029)</w:t>
            </w:r>
          </w:p>
        </w:tc>
        <w:tc>
          <w:tcPr>
            <w:tcW w:w="800" w:type="dxa"/>
            <w:vAlign w:val="bottom"/>
            <w:gridSpan w:val="5"/>
          </w:tcPr>
          <w:p>
            <w:pPr>
              <w:jc w:val="right"/>
              <w:ind w:right="40"/>
              <w:spacing w:after="0" w:line="157" w:lineRule="exact"/>
              <w:rPr>
                <w:sz w:val="20"/>
                <w:szCs w:val="20"/>
                <w:color w:val="auto"/>
              </w:rPr>
            </w:pPr>
            <w:r>
              <w:rPr>
                <w:rFonts w:ascii="Arial" w:cs="Arial" w:eastAsia="Arial" w:hAnsi="Arial"/>
                <w:sz w:val="14"/>
                <w:szCs w:val="14"/>
                <w:color w:val="auto"/>
              </w:rPr>
              <w:t>(40,690)</w:t>
            </w:r>
          </w:p>
        </w:tc>
        <w:tc>
          <w:tcPr>
            <w:tcW w:w="82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(16,988)</w:t>
            </w:r>
          </w:p>
        </w:tc>
        <w:tc>
          <w:tcPr>
            <w:tcW w:w="80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(21,581)</w:t>
            </w:r>
          </w:p>
        </w:tc>
        <w:tc>
          <w:tcPr>
            <w:tcW w:w="4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(15,424)</w:t>
            </w:r>
          </w:p>
        </w:tc>
        <w:tc>
          <w:tcPr>
            <w:tcW w:w="78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(19,596)</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loss per ordinary share</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(0.63)</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(0.57)</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(0.30)</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(0.28)</w:t>
            </w:r>
          </w:p>
        </w:tc>
      </w:tr>
      <w:tr>
        <w:trPr>
          <w:trHeight w:val="405"/>
        </w:trPr>
        <w:tc>
          <w:tcPr>
            <w:tcW w:w="3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top w:val="single" w:sz="8" w:color="auto"/>
              <w:bottom w:val="single" w:sz="8" w:color="auto"/>
            </w:tcBorders>
            <w:gridSpan w:val="5"/>
          </w:tcPr>
          <w:p>
            <w:pPr>
              <w:jc w:val="right"/>
              <w:ind w:right="20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50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7"/>
          </w:tcPr>
          <w:p>
            <w:pPr>
              <w:jc w:val="right"/>
              <w:ind w:right="488"/>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Cash and short-term deposits and short-term investments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53,578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68,065</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52,545</w:t>
            </w:r>
          </w:p>
        </w:tc>
        <w:tc>
          <w:tcPr>
            <w:tcW w:w="4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63,577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4"/>
                <w:szCs w:val="14"/>
                <w:color w:val="auto"/>
              </w:rPr>
              <w:t>27,541</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34,989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36,118</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45,884</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86,765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110,226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122,385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67,276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85,468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136,112</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Issued capital</w:t>
            </w:r>
          </w:p>
        </w:tc>
        <w:tc>
          <w:tcPr>
            <w:tcW w:w="8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245</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213</w:t>
            </w:r>
          </w:p>
        </w:tc>
        <w:tc>
          <w:tcPr>
            <w:tcW w:w="4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4"/>
                <w:szCs w:val="14"/>
                <w:color w:val="auto"/>
              </w:rPr>
              <w:t>214</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272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373</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Share premium</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99,975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127,009</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118,227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150,196</w:t>
            </w:r>
          </w:p>
        </w:tc>
        <w:tc>
          <w:tcPr>
            <w:tcW w:w="112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118,492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150,532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121,684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154,588</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Accumulated loss</w:t>
            </w:r>
          </w:p>
        </w:tc>
        <w:tc>
          <w:tcPr>
            <w:tcW w:w="8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(40,579)</w:t>
            </w:r>
          </w:p>
        </w:tc>
        <w:tc>
          <w:tcPr>
            <w:tcW w:w="120" w:type="dxa"/>
            <w:vAlign w:val="bottom"/>
          </w:tcPr>
          <w:p>
            <w:pPr>
              <w:spacing w:after="0"/>
              <w:rPr>
                <w:sz w:val="14"/>
                <w:szCs w:val="14"/>
                <w:color w:val="auto"/>
              </w:rPr>
            </w:pPr>
          </w:p>
        </w:tc>
        <w:tc>
          <w:tcPr>
            <w:tcW w:w="1540" w:type="dxa"/>
            <w:vAlign w:val="bottom"/>
            <w:gridSpan w:val="8"/>
          </w:tcPr>
          <w:p>
            <w:pPr>
              <w:jc w:val="right"/>
              <w:spacing w:after="0"/>
              <w:rPr>
                <w:sz w:val="20"/>
                <w:szCs w:val="20"/>
                <w:color w:val="auto"/>
              </w:rPr>
            </w:pPr>
            <w:r>
              <w:rPr>
                <w:rFonts w:ascii="Arial" w:cs="Arial" w:eastAsia="Arial" w:hAnsi="Arial"/>
                <w:sz w:val="14"/>
                <w:szCs w:val="14"/>
                <w:color w:val="auto"/>
              </w:rPr>
              <w:t>(51,552)   (79,316)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(100,763)</w:t>
            </w:r>
          </w:p>
        </w:tc>
        <w:tc>
          <w:tcPr>
            <w:tcW w:w="1120" w:type="dxa"/>
            <w:vAlign w:val="bottom"/>
            <w:gridSpan w:val="5"/>
          </w:tcPr>
          <w:p>
            <w:pPr>
              <w:jc w:val="right"/>
              <w:ind w:right="228"/>
              <w:spacing w:after="0"/>
              <w:rPr>
                <w:sz w:val="20"/>
                <w:szCs w:val="20"/>
                <w:color w:val="auto"/>
              </w:rPr>
            </w:pPr>
            <w:r>
              <w:rPr>
                <w:rFonts w:ascii="Arial" w:cs="Arial" w:eastAsia="Arial" w:hAnsi="Arial"/>
                <w:sz w:val="14"/>
                <w:szCs w:val="14"/>
                <w:color w:val="auto"/>
              </w:rPr>
              <w:t>(111,221)</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(141,295)</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(127,356)</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(161,794)</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equity</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79,257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100,688</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62,483</w:t>
            </w:r>
          </w:p>
        </w:tc>
        <w:tc>
          <w:tcPr>
            <w:tcW w:w="4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79,379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32,771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41,632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59,031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74,994</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Total liabilities</w:t>
            </w:r>
          </w:p>
        </w:tc>
        <w:tc>
          <w:tcPr>
            <w:tcW w:w="82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7,508(1)</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9,538</w:t>
            </w:r>
          </w:p>
        </w:tc>
        <w:tc>
          <w:tcPr>
            <w:tcW w:w="1260" w:type="dxa"/>
            <w:vAlign w:val="bottom"/>
            <w:gridSpan w:val="6"/>
          </w:tcPr>
          <w:p>
            <w:pPr>
              <w:jc w:val="right"/>
              <w:ind w:right="248"/>
              <w:spacing w:after="0"/>
              <w:rPr>
                <w:sz w:val="20"/>
                <w:szCs w:val="20"/>
                <w:color w:val="auto"/>
              </w:rPr>
            </w:pPr>
            <w:r>
              <w:rPr>
                <w:rFonts w:ascii="Arial" w:cs="Arial" w:eastAsia="Arial" w:hAnsi="Arial"/>
                <w:sz w:val="14"/>
                <w:szCs w:val="14"/>
                <w:color w:val="auto"/>
              </w:rPr>
              <w:t>33,852(2)</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43,006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34,505(3)</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43,836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48,110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61,119</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equity and liabilities</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86,765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110,226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122,385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67,276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85,468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136,113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540" w:right="120" w:hanging="424"/>
        <w:spacing w:after="0" w:line="24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£3.1 million ($3.9 million) aggregate principal amount of, and accrued interest on, the Novartis Notes. See “Related Party Transactions—Other Transactions with Novartis—Novartis Notes.”</w:t>
      </w:r>
    </w:p>
    <w:p>
      <w:pPr>
        <w:ind w:left="540" w:right="120" w:hanging="424"/>
        <w:spacing w:after="0" w:line="24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£2.0 million ($2.5 million) aggregate principal amount of, and accrued interest on, the Novartis Notes. See “Related Party Transactions—Other Transactions with Novartis—Novartis Notes.”</w:t>
      </w:r>
    </w:p>
    <w:p>
      <w:pPr>
        <w:ind w:left="540" w:right="120" w:hanging="424"/>
        <w:spacing w:after="0" w:line="258"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£2.0 million ($2.5 million) aggregate principal amount of, and accrued interest on, the Novartis Notes. See “Related Party Transactions—Other Transactions with Novartis—Novartis Notes.”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2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of Mereo,” the audited consolidated financial statements, the unaudited interim consolidated financial statements and the section titled “Unaudited Pro Forma Condensed Combined Financial Information.” The following discussion is based on our financial information prepared in accordance with IFRS as issued by the IASB (and, in particular, our unaudited interim consolidated financial statements have been prepared in accordance with IAS 34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financial statements are presented in pounds sterling.</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patients with rare diseases. Our strategy is to build a portfolio of rare disease product candidates acquired from pharmaceutical and large biotechnology companies and to develop these through regulatory approval and subsequent commercialization.</w:t>
      </w:r>
    </w:p>
    <w:p>
      <w:pPr>
        <w:spacing w:after="0" w:line="18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OI and alvelestat for the treatment of severe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and eventual commercialization of our rare disease product candidates, if approved, and our ability to complete partnering deals in respect of our non-rare disease product candidates. Since our inception, we have incurred significant operating losses. We had net losses of £16.2 million in the six months ended June 30, 2019 (£17.0 million in the six months ended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2018), and £32.0 million, £38.8 million and £28.4 million, in the years ended December 31, 2018, 2017 and 2016, respectively.</w:t>
      </w:r>
    </w:p>
    <w:p>
      <w:pPr>
        <w:ind w:left="120"/>
        <w:spacing w:after="0"/>
        <w:rPr>
          <w:sz w:val="20"/>
          <w:szCs w:val="20"/>
          <w:color w:val="auto"/>
        </w:rPr>
      </w:pPr>
      <w:r>
        <w:rPr>
          <w:rFonts w:ascii="Arial" w:cs="Arial" w:eastAsia="Arial" w:hAnsi="Arial"/>
          <w:sz w:val="18"/>
          <w:szCs w:val="18"/>
          <w:color w:val="auto"/>
        </w:rPr>
        <w:t>As of June 30, 2019, we had an accumulated net loss of £127.4 million (£111.2 million as of December 31, 2018).</w:t>
      </w:r>
    </w:p>
    <w:p>
      <w:pPr>
        <w:spacing w:after="0" w:line="21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and manufacturing development of our rare disease product candidates and seek regulatory approval. If approved, we also expect to incur significant commercialization expenses related to product manufacturing, marketing, sales, and distribution.</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For our non-rare disease product candidates, including etigilimab (which we acquired from OncoMed), we expect to incur further costs in respect of completing development programs, further regulatory and scientific advice and, if approved, manufacturing, as well as costs associated with seeking suitable partnerships or negotiating possible sales.</w:t>
      </w:r>
    </w:p>
    <w:p>
      <w:pPr>
        <w:spacing w:after="0" w:line="20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also expect to incur expenses in connection with the in-license or acquisition of additional product candidates and the potential clinical development of any such product candidates.</w:t>
      </w:r>
    </w:p>
    <w:p>
      <w:pPr>
        <w:spacing w:after="0" w:line="19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Furthermore, we became a U.S. public company listed on the Nasdaq upon closing of the Merger. We expect to incur additional costs associated with operating as a newly public company in the U.S. listed on the Nasdaq in addition to operating as a U.K. public company traded on AIM, including significant legal, accounting, investor relations, and other expenses that we did not previously incur prior to the Merger. Following the Merger, whilst OncoMed had significantly restructured its cost base ahead of the Merger, we expect to incur additional costs in relation to OncoMed, including operating costs relating to the Redwood City site.</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or other commercialization revenues, if ever, in respect of our rare disease product candidates or through partnering deals in the case of our non-rare disease product candidates, we will seek to finance our operations through a combination of public or private equity or debt financings or other sources. We may also seek to sell or out-license one or more of our non-rare disease product candidates. Adequate additional financing may not be available to us on acceptable terms, or at all. Our inability to raise capital as and when needed would have a negative impact on our financial condition and our ability to pursue our business strategy and to continue as a going concern. We will need to generate significant revenue to achieve profitability, and we may never do so.</w:t>
      </w:r>
    </w:p>
    <w:p>
      <w:pPr>
        <w:spacing w:after="0" w:line="208" w:lineRule="exact"/>
        <w:rPr>
          <w:sz w:val="20"/>
          <w:szCs w:val="20"/>
          <w:color w:val="auto"/>
        </w:rPr>
      </w:pPr>
    </w:p>
    <w:p>
      <w:pPr>
        <w:ind w:left="120" w:right="40" w:firstLine="440"/>
        <w:spacing w:after="0" w:line="252" w:lineRule="auto"/>
        <w:rPr>
          <w:sz w:val="20"/>
          <w:szCs w:val="20"/>
          <w:color w:val="auto"/>
        </w:rPr>
      </w:pPr>
      <w:r>
        <w:rPr>
          <w:rFonts w:ascii="Arial" w:cs="Arial" w:eastAsia="Arial" w:hAnsi="Arial"/>
          <w:sz w:val="17"/>
          <w:szCs w:val="17"/>
          <w:color w:val="auto"/>
        </w:rPr>
        <w:t>We were incorporated in March 2015 and are headquartered in London, United Kingdom. Since April 24, 2019, our ADSs have traded on Nasdaq under the symbol “MREO” and since June 9, 2016, our shares have traded on AIM under the symbol “MPH.” Since our formation through December 31, 2019, we have raised a total of £102.9 million in gross proceeds from private and public placements of our ordinary shares to institutional investors, £0.3 million from a placement of our ordinary shares to retail investors and exercised share options, $50.8 million from cash and short-term investments acquired in the Merger and £3.5 million from the issuance of the Novartis Notes (part of which were converted into ordinary shares in April 2017, and the remainder of which were converted into ordinary shares in June 2019). In August 2017, we also entered into a credit facility in the amount of £20.0 million which was fully drawn as at June 30, 2019 and December 31, 2018. As at June 30, 2019 our aggregate cash, short-term deposits and short-term investments were £36.1 million.</w:t>
      </w:r>
    </w:p>
    <w:p>
      <w:pPr>
        <w:spacing w:after="0" w:line="194"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205"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 Subscription Agreement.”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We have also agreed to pay Novartis up to $ 3.25 million in development and regulatory milestones, and to use commercially reasonable efforts to develop and commercialize an Antibody Product Candidate.</w:t>
      </w:r>
    </w:p>
    <w:p>
      <w:pPr>
        <w:spacing w:after="0" w:line="205"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See “Business—Material Agreements—Novartis Agreements” for additional information on the agreements entered into with Novartis.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AstraZeneca</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“Business—Material Agreements—AstraZeneca Agreement” for additional information.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agreement with Oncologie</w:t>
      </w:r>
    </w:p>
    <w:p>
      <w:pPr>
        <w:spacing w:after="0" w:line="99"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which we acquired in connection with the Merger.</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“Business—Material Agreements—Licensing Agreement for Navicixizumab” for additional information.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 with OncoMed</w:t>
      </w:r>
    </w:p>
    <w:p>
      <w:pPr>
        <w:spacing w:after="0" w:line="85"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7"/>
          <w:szCs w:val="17"/>
          <w:color w:val="auto"/>
        </w:rPr>
        <w:t>On April 23, 2019 we closed the Merger, pursuant to which an indirect, wholly-owned subsidiary of ours was merged with and into OncoMed, with OncoMed continuing as the surviving corporation in the Merger and our indirect, wholly-owned subsidiary. Upon the closing of the Merger, we issued 24,783,320 ordinary shares and OncoMed stockholders received, in exchange for each share of OncoMed common stock owned immediately prior to the Merger: (1) 0.127694 ADSs, each representing five of our ordinary shares, and</w:t>
      </w:r>
    </w:p>
    <w:p>
      <w:pPr>
        <w:spacing w:after="0" w:line="2" w:lineRule="exact"/>
        <w:rPr>
          <w:sz w:val="20"/>
          <w:szCs w:val="20"/>
          <w:color w:val="auto"/>
        </w:rPr>
      </w:pPr>
    </w:p>
    <w:p>
      <w:pPr>
        <w:ind w:left="120" w:right="60" w:hanging="4"/>
        <w:spacing w:after="0" w:line="238" w:lineRule="auto"/>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 contingent value right per OncoMed stockholder, each representing the right to receive contingent consideration upon the achievement of certain milestones relating to certain OncoMed product candidates. Immediately following the effective time of the Merger, former OncoMed stockholders owned 25.8% of our issued share capital on an undiluted basis. In connection with the Merger, we also entered into certain agreements for the benefit of former OncoMed stockholders. See “Business—Material Agreements—CVR Agreement Between Us and Computershare.”</w:t>
      </w:r>
    </w:p>
    <w:p>
      <w:pPr>
        <w:spacing w:after="0" w:line="20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combination of our biopharmaceutical portfolio of four product candidates with OncoMed’s lead product candidate has created a diversified combined portfolio, resulting in an increased number of potential near-term catalysts while our core focus remains on our strategy to develop and commercialize product candidates for rare diseases. In addition, the cash position of the combined company provided us with extended operational possibilities, with the potential for additional opportunities to arise by way of partnering deals with respect to our non-orphan product candidates and OncoMed’s etigilimab product candidate. Finally our Nasdaq listing, obtained in connection with the Merger, in addition to our existing AIM trading, provides a diversified international shareholder base for us following the Merger.</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closing of the Merger on April 23, 2019 affects the comparability of our financial condition and results of operations as of and for the financial periods discussed in this prospectus. In particular, our consolidated statement of comprehensive loss for the six months ended June 30, 2019 includes the results of OncoMed for over two months on a fully consolidated basis (compared to no months in the six months ended June 30, 2018). In addition, unless otherwise noted, the discussion and analysis contained below on our operations as of and for the year ended December 31, 2018, exclude the impact of the acquisition of OncoMed. The unaudited pro forma condensed combined financial</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included elsewhere in this prospectus gives effect to the Merger as if it had occurred on January 1, 2018.</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Merger qualified as a business combination (as defined in IFRS 3) in our unaudited interim consolidated financial statements for the six months ended June 30, 2019, included elsewhere in this prospectus. Accordingly, in this section we refer to the Merger as a merger and as an acquisition interchangeably.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the risks relating to the Merger, see “Risk Factors—Risks Related to the Merger.”</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do not currently have any approved product candidates.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80" w:right="98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80" w:right="90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27"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 substantially as we continue to advance the clinical development of our product candidates, including through our ongoing Phase 2b clinical trial of setrusumab in adults and our planned pivotal trial of setrusumab in children,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208"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188"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strategic relationships for clinical development and/or commercialization of our non-rare product candidates and performance of our strategic partners under these arrangements;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 if any, of one or more of our non-rare disease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 at our desired pricing levels;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Merger with OncoMed, our requirements of being a public company quoted on AIM and listed on Nasdaq and costs incurred relating to the issue of equity to the extent not capitalized, including the costs associated with the cancelled offering of our ADSs and ordinary shares in early 2018.</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or co-commercialize obtains regulatory approval, we expect that we will incur expenses associated with building a sales and marketing team.</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Finance income consists of interest earned on our short-term cash deposits.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Finance charge consists of interest on the Novartis Notes (part of which were converted into ordinary shares in April 2017, and the remainder of which were converted into ordinary shares in June 2019), interest on our credit facility, losses on short-term cash deposits and finance charges on lease liabilities following the adoption of IFRS 16 (Leases) on January 1, 2019. For further information on the terms of the Novartis Notes and our credit facility see “—Liquidity and Capital Resources—Indebtedness.”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8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formation. As at December 31, 2018 and 2017, we had cumulative carryforward tax losses of £50.6 million and £36.0 million, respectively. Our cumulative carryforward tax losses are expected to increase throughout 2019.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We may not be able to continue to claim payable R&amp;D tax credits in the future because we may no longer qualify as a small or medium-sized company.</w:t>
      </w:r>
    </w:p>
    <w:p>
      <w:pPr>
        <w:spacing w:after="0" w:line="20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At December 31, 2018, OncoMed had federal net operating loss carryforwards related to the 2018 tax year, amounting to $39.1 million which carryforward indefinitely and $228.6 million, which relate to prior taxable years, that begin to expire in 2023. At December 31, 2018, OncoMed had state net operating loss carryforwards of $97.2 million, which begin to expire in 2028, if not utilized. At December 31, 2018, OncoMed also had federal and California research and development credit carryforwards aggregating approximately $25.4 million and $19.8 million, respectively. The federal credits will expire in 2025, if not utilized. California research and development credits have no expiration date. At December 31, 2018, OncoMed also had federal orphan drug credit and Alternative Minimum Tax (“AMT”) carryforwards of approximately $39.3 million and $1.5 million, respectively. The federal orphan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drug credits will begin to expire in 2034, if not utilized. A U.S. federal tax refund in respect of the AMT carryforward of approximately $1.3 million was subsequently received in August 2019, following closing of the Merger.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following table sets forth our results of operations for the years ended December 31, 2018, 2017 and 2016 and for the six months ended June 30, 2019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0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60" w:type="dxa"/>
            <w:vAlign w:val="bottom"/>
            <w:gridSpan w:val="4"/>
          </w:tcPr>
          <w:p>
            <w:pPr>
              <w:jc w:val="right"/>
              <w:ind w:right="813"/>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6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(24,563)</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(34,607)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(22,704)</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(10,864)</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(11,918)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(11,617)</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(10,697)</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(12,505)</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(7,102)</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(6,462)</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(36,180)</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(45,304)</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(35,209)</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(17,966)</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(18,380)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income recognized on acquisition of subsidiary</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1,035</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375</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827</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307</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(180)</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(1,090)</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(2,361)</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(1,587)</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2,263</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(1,384)</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loss before tax</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(33,722)</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(46,951)</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(37,307)</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(19,353)</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(18,682)</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5,331</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8,152</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5,278</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2,365</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2,459</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(28,391)</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(38,799)</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(32,029)</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(16,988)</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(16,223)</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changes on investments held at fair value through OCI</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Currency translation of foreign operations</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711</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Mereo</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(28,391)</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(38,799)</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(32,029)</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(16,988)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(15,424)</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85"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As indicated above, the comparability of our results of operations for the six months ended June 30, 2019 and 2018 has been affected by the completion of the Merger on April 23, 2019.</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six months ended June 30, 2019 and 2018.</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58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800" w:type="dxa"/>
            <w:vAlign w:val="bottom"/>
            <w:gridSpan w:val="3"/>
          </w:tcPr>
          <w:p>
            <w:pPr>
              <w:jc w:val="center"/>
              <w:ind w:left="656"/>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6,799</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3,515</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1,492</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Navi</w:t>
            </w:r>
          </w:p>
        </w:tc>
        <w:tc>
          <w:tcPr>
            <w:tcW w:w="1800" w:type="dxa"/>
            <w:vAlign w:val="bottom"/>
            <w:gridSpan w:val="3"/>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Etigilimab</w:t>
            </w:r>
          </w:p>
        </w:tc>
        <w:tc>
          <w:tcPr>
            <w:tcW w:w="1800" w:type="dxa"/>
            <w:vAlign w:val="bottom"/>
            <w:gridSpan w:val="3"/>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GITR-Fc(1)</w:t>
            </w:r>
          </w:p>
        </w:tc>
        <w:tc>
          <w:tcPr>
            <w:tcW w:w="1800" w:type="dxa"/>
            <w:vAlign w:val="bottom"/>
            <w:gridSpan w:val="3"/>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Unallocated costs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1,397</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10,864</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11,918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980" w:right="380" w:hanging="43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research and development expenses incurred by OncoMed in connection with its Glucocorticoid-induced tumor necrosis factor receptor-related protein (GITR) ligand therapeutic candidate, GITRL-Fc. Development of this candidate was subsequently ceased.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total research and development expenses increased by £1.1 million, or 9.7%, from £10.9 million for the six months ended June 30, 2018 to £11.9 million for the six months ended June 30, 2019. This was due to the costs associated with the studies for setrusumab and alvelestat for a full period together with costs associated with the OncoMed programs in the period from the closing of the Merger in April 2019 to June 30, 2019. Total research and development expenses included payments we made to CROs and other suppliers for the ongoing clinical development of each of setrusumab and alvelestat and for the programs acquired from OncoMed.</w:t>
      </w:r>
    </w:p>
    <w:p>
      <w:pPr>
        <w:spacing w:after="0" w:line="202"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Direct research and development expenses related to setrusumab increased by £ 3.2 million, from £3.6 million for the six months ended June 30, 2018 to £ 6.8 million in the six months ended June 30, 2019, principally due to an increase in costs relating to the manufacture of additional clinical trial supplies in 2019.</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Direct research and development expenses for alvelestat increased by £1.1 million from £0.7 million for the six months ended June 30, 2018 to £1.7 million in the six months ended June 30, 2019, with 2019 reflecting a full period of costs relating to the Phase 2 study for alvelestat which commenced in 2018.</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Direct research and development expenses related to leflutrozole decreased by £ 2.8 million, from £3.5 million for the six months ended June 30, 2018 to £0.7 million in the six months ended June 30, 2019, principally due to the completion of the Phase 2 study in early 2019.</w:t>
      </w:r>
    </w:p>
    <w:p>
      <w:pPr>
        <w:spacing w:after="0" w:line="203"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Direct research and development expenses related to acumapimod decreased by £1.2 million, from £1.5 million for the six months ended June 30, 2018 to £0.3 million in the six months ended June 30, 2019, principally due to the completion of the study in 2018.</w:t>
      </w:r>
    </w:p>
    <w:p>
      <w:pPr>
        <w:spacing w:after="0" w:line="17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Direct research and development expenses related to Navi were £0.5 million in the period from the closing of the Merger in April 2019 to June 30, 2019.</w:t>
      </w:r>
    </w:p>
    <w:p>
      <w:pPr>
        <w:spacing w:after="0" w:line="197"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that are not specific to any of our product candidates. These costs decreased by £0.2 million, from £1.6 million for the six months ended June 30, 2018 to £1.4 million for the six months ended June 30, 2019.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General and administrative expenses decreased by £0.6 million, or 9.0%, from £7.1 million for the six months ended June 30, 2018 to £6.5 million for the six months ended June 30, 2019. This decrease was primarily due to higher one-off professional fees in 2018.</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recognized on acquisition of subsidiary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OncoMed was acquired for an amount less than the fair market value of the net assets acquired on the date of acquisition, a gain</w:t>
      </w:r>
    </w:p>
    <w:p>
      <w:pPr>
        <w:ind w:left="120"/>
        <w:spacing w:after="0" w:line="234" w:lineRule="auto"/>
        <w:rPr>
          <w:sz w:val="20"/>
          <w:szCs w:val="20"/>
          <w:color w:val="auto"/>
        </w:rPr>
      </w:pPr>
      <w:r>
        <w:rPr>
          <w:rFonts w:ascii="Arial" w:cs="Arial" w:eastAsia="Arial" w:hAnsi="Arial"/>
          <w:sz w:val="18"/>
          <w:szCs w:val="18"/>
          <w:color w:val="auto"/>
        </w:rPr>
        <w:t>on bargain purchase of £3.7 million was realized (recognized net against the acquisition transaction costs within the consolidated</w:t>
      </w:r>
    </w:p>
    <w:p>
      <w:pPr>
        <w:ind w:left="120"/>
        <w:spacing w:after="0" w:line="235" w:lineRule="auto"/>
        <w:rPr>
          <w:sz w:val="20"/>
          <w:szCs w:val="20"/>
          <w:color w:val="auto"/>
        </w:rPr>
      </w:pPr>
      <w:r>
        <w:rPr>
          <w:rFonts w:ascii="Arial" w:cs="Arial" w:eastAsia="Arial" w:hAnsi="Arial"/>
          <w:sz w:val="18"/>
          <w:szCs w:val="18"/>
          <w:color w:val="auto"/>
        </w:rPr>
        <w:t>statement of comprehensive loss). See Note 4 to our unaudited interim consolidated financial statements for the six months ended</w:t>
      </w:r>
    </w:p>
    <w:p>
      <w:pPr>
        <w:ind w:left="120"/>
        <w:spacing w:after="0" w:line="235" w:lineRule="auto"/>
        <w:rPr>
          <w:sz w:val="20"/>
          <w:szCs w:val="20"/>
          <w:color w:val="auto"/>
        </w:rPr>
      </w:pPr>
      <w:r>
        <w:rPr>
          <w:rFonts w:ascii="Arial" w:cs="Arial" w:eastAsia="Arial" w:hAnsi="Arial"/>
          <w:sz w:val="18"/>
          <w:szCs w:val="18"/>
          <w:color w:val="auto"/>
        </w:rPr>
        <w:t>June 30, 2019, included elsewhere in this prospectus, for an explanation on the calculation of this gain. Further, £2.7 million of acquisition</w:t>
      </w:r>
    </w:p>
    <w:p>
      <w:pPr>
        <w:ind w:left="120"/>
        <w:spacing w:after="0" w:line="235" w:lineRule="auto"/>
        <w:rPr>
          <w:sz w:val="20"/>
          <w:szCs w:val="20"/>
          <w:color w:val="auto"/>
        </w:rPr>
      </w:pPr>
      <w:r>
        <w:rPr>
          <w:rFonts w:ascii="Arial" w:cs="Arial" w:eastAsia="Arial" w:hAnsi="Arial"/>
          <w:sz w:val="18"/>
          <w:szCs w:val="18"/>
          <w:color w:val="auto"/>
        </w:rPr>
        <w:t>related transaction costs were incurred in connection with the acquisition (recognized net against the gain on bargain purchase within the</w:t>
      </w:r>
    </w:p>
    <w:p>
      <w:pPr>
        <w:ind w:left="120"/>
        <w:spacing w:after="0" w:line="235" w:lineRule="auto"/>
        <w:rPr>
          <w:sz w:val="20"/>
          <w:szCs w:val="20"/>
          <w:color w:val="auto"/>
        </w:rPr>
      </w:pPr>
      <w:r>
        <w:rPr>
          <w:rFonts w:ascii="Arial" w:cs="Arial" w:eastAsia="Arial" w:hAnsi="Arial"/>
          <w:sz w:val="18"/>
          <w:szCs w:val="18"/>
          <w:color w:val="auto"/>
        </w:rPr>
        <w:t>consolidated statement of comprehensive income). Therefore, the net income recognized on acquisition of OncoMed amounted to £1.0</w:t>
      </w:r>
    </w:p>
    <w:p>
      <w:pPr>
        <w:ind w:left="120"/>
        <w:spacing w:after="0"/>
        <w:rPr>
          <w:sz w:val="20"/>
          <w:szCs w:val="20"/>
          <w:color w:val="auto"/>
        </w:rPr>
      </w:pPr>
      <w:r>
        <w:rPr>
          <w:rFonts w:ascii="Arial" w:cs="Arial" w:eastAsia="Arial" w:hAnsi="Arial"/>
          <w:sz w:val="18"/>
          <w:szCs w:val="18"/>
          <w:color w:val="auto"/>
        </w:rPr>
        <w:t>million.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122"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Interest earned on our short-term cash deposits amounted to £0.1 million in the six months ended June 30, 2019 and decreased by approximately 9.0% from the interest earned in the six months ended June 30, 2018, reflecting lower balances held on deposit during the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122" w:lineRule="exact"/>
        <w:rPr>
          <w:sz w:val="20"/>
          <w:szCs w:val="20"/>
          <w:color w:val="auto"/>
        </w:rPr>
      </w:pPr>
    </w:p>
    <w:p>
      <w:pPr>
        <w:jc w:val="both"/>
        <w:ind w:left="120" w:right="140" w:firstLine="440"/>
        <w:spacing w:after="0" w:line="274" w:lineRule="auto"/>
        <w:rPr>
          <w:sz w:val="20"/>
          <w:szCs w:val="20"/>
          <w:color w:val="auto"/>
        </w:rPr>
      </w:pPr>
      <w:r>
        <w:rPr>
          <w:rFonts w:ascii="Arial" w:cs="Arial" w:eastAsia="Arial" w:hAnsi="Arial"/>
          <w:sz w:val="17"/>
          <w:szCs w:val="17"/>
          <w:color w:val="auto"/>
        </w:rPr>
        <w:t>Finance charge decreased by £0.1 million from £1.6 million in the six months ended June 30, 2018 to £1.5 million in the six months ended June 30, 2019, as a result of lower costs related to the Novartis Notes after their full conversion into ordinary shares in June 2019.</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years ended December 31, 2018 and 2017.</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3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2017</w:t>
            </w:r>
          </w:p>
        </w:tc>
        <w:tc>
          <w:tcPr>
            <w:tcW w:w="15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340" w:type="dxa"/>
            <w:vAlign w:val="bottom"/>
            <w:gridSpan w:val="3"/>
          </w:tcPr>
          <w:p>
            <w:pPr>
              <w:jc w:val="right"/>
              <w:ind w:right="230"/>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11,304</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3,722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5,091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10,014</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7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7"/>
                <w:szCs w:val="17"/>
                <w:color w:val="auto"/>
              </w:rPr>
            </w:pPr>
          </w:p>
        </w:tc>
      </w:tr>
      <w:tr>
        <w:trPr>
          <w:trHeight w:val="209"/>
        </w:trPr>
        <w:tc>
          <w:tcPr>
            <w:tcW w:w="79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34,607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22,704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total research and development expenses decreased by £11.9 million, or 34.4%, from £34.6 million in 2017 to £22.7 million in 2018. This was a result of the focus in 2018 on our two orphan product candidate development programs and the completion of two Phase 2 clinical trials for two of our product candidates, acumapimod and leflutrozole.</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Total research and development expenses included payments we made to CROs and other suppliers for the ongoing clinical development of each of setrusumab and alvelestat and for completing the clinical trials of acumapimod and leflutrozole. Clinical trial costs decreased from £22.8 million in 2017 to £14.9 million in 2018. Additionally, our research and development employee-related costs decreased from £4.3 million in 2017 to £2.9 million in 2018, reflecting lower share-based payment charges in 2018 and partially offset by higher payroll expenses.</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payments to CMOs for the provision of drug substance and drug product and associated manufacturing development to support our clinical trials and further development and scale-up activities associated with our setrusumab monoclonal antibody manufacturing development decreased from £7.3 million in 2017 to £4.2 million in 2018, reflecting higher costs related to the manufacture of clinical trial supplies for our ongoing setrusumab adults study in 2017.</w:t>
      </w:r>
    </w:p>
    <w:p>
      <w:pPr>
        <w:spacing w:after="0" w:line="205"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Direct research and development expenses related to setrusumab decreased by £ 2.1 million, from £ 13.4 million in 2017 to £11.3 million in 2018, due to higher costs in 2017 related to the transfer of production of setrusumab from Novartis to our CMO, manufacture of clinical trial supplies in preparation for the start of the adult Phase 2b trial and a full year of clinical costs relating to this trial.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Direct research and development expenses for alvelestat increased by £3.7 million, due to the commencement of the Phase 2 study during the year.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Direct research and development expenses related to leflutrozole decreased by £5.7 million, from £10.8 million in 2017 to £5.1 million in 2018, due to the completion of the main part of the Phase 2 trial during 2018.</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Direct research and development expenses related to acumapimod decreased by £7.7 million, from £10.0 million in 2017 to £2.3 million in 2018, due to the completion of the Phase 2 trial in the first half of 2018.</w:t>
      </w:r>
    </w:p>
    <w:p>
      <w:pPr>
        <w:spacing w:after="0" w:line="197"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that are not specific to any of our product candidates. These costs decreased by £0.1 million, from £0.4 million in 2017 to £0.3 million in 2018.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General and administrative expenses increased by £1.8 million, or 16.8%, from £10.7 million in 2017 to £12.5 million in 2018. This increase was primarily due to an increase in our total professional fees, which was partially offset by a decrease in staff expenses.</w:t>
      </w:r>
    </w:p>
    <w:p>
      <w:pPr>
        <w:spacing w:after="0" w:line="197" w:lineRule="exact"/>
        <w:rPr>
          <w:sz w:val="20"/>
          <w:szCs w:val="20"/>
          <w:color w:val="auto"/>
        </w:rPr>
      </w:pPr>
    </w:p>
    <w:p>
      <w:pPr>
        <w:ind w:left="120" w:right="80" w:firstLine="440"/>
        <w:spacing w:after="0" w:line="234" w:lineRule="auto"/>
        <w:rPr>
          <w:sz w:val="20"/>
          <w:szCs w:val="20"/>
          <w:color w:val="auto"/>
        </w:rPr>
      </w:pPr>
      <w:r>
        <w:rPr>
          <w:rFonts w:ascii="Arial" w:cs="Arial" w:eastAsia="Arial" w:hAnsi="Arial"/>
          <w:sz w:val="18"/>
          <w:szCs w:val="18"/>
          <w:color w:val="auto"/>
        </w:rPr>
        <w:t>Our total professional fees increased from £1.9 million in 2017 to £ 6.3 million in 2018. This increase was due to expenses relating to our aborted initial public offering of equity securities on Nasdaq in 2018, of which £1.0 million was held on the balance sheet as prepayments as at December 31, 2017 and released during 2018, together with the expenses associated with the Merger with OncoMed and fees in respect of a bank loan renegotiation. Total general and administrative staff expenses decreased by £2.4 million from</w:t>
      </w:r>
    </w:p>
    <w:p>
      <w:pPr>
        <w:spacing w:after="0" w:line="3"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£6.9 million in 2017 to £4.5 million in 2018 after taking account of a reduction in share-based payment charges of £3.1 million and an increase in underlying staff costs of £0.7 million.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Interest earned on our short-term cash deposits decreased from £0.8 million in 2017 to £0.3 million in 2018, reflecting lower balances held on deposit during the year.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Finance charge increased by £1.3 million from £1.1 million in 2017 to £2.4 million in 2018, primarily reflecting a full year of interest charges on the bank loan in the year.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Foreign Exchange Gains/(Losses)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2017, net foreign exchange loss was £1.4 million, reflecting a weakening of the U.S. dollar against pound sterling during the year which negatively impacted the translation of our foreign deposits and investments at December 31, 2017. In 2018, the net foreign exchange loss was £44,000, representing the unrealized loss on translation of cash deposits held primarily in U.S. dollars at year-end, and reflecting lower exchange rate variance year-on-year on lower U.S. denominated cash balances held at the end of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recorded a tax credit of £8.2 million in 2017 and £5.3 million in 2018. The tax credit represents the cash rebate from the U.K. tax authorities we qualified for in respect of eligible research and development activities undertaken in prior years. The reduction in the tax credit accrued is due to a reduction in qualifying research and development expenditure in 2018. The tax credit for 2017 was received in 2018 and we expect to receive the tax credit for 2018 in 2019.</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years ended December 31, 2017 and 2016.</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62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2016</w:t>
            </w:r>
          </w:p>
        </w:tc>
        <w:tc>
          <w:tcPr>
            <w:tcW w:w="1620" w:type="dxa"/>
            <w:vAlign w:val="bottom"/>
            <w:tcBorders>
              <w:top w:val="single" w:sz="8" w:color="auto"/>
              <w:bottom w:val="single" w:sz="8" w:color="auto"/>
            </w:tcBorders>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258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9,734</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6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40" w:type="dxa"/>
            <w:vAlign w:val="bottom"/>
            <w:shd w:val="clear" w:color="auto" w:fill="CCEEFF"/>
          </w:tcPr>
          <w:p>
            <w:pPr>
              <w:spacing w:after="0"/>
              <w:rPr>
                <w:sz w:val="17"/>
                <w:szCs w:val="17"/>
                <w:color w:val="auto"/>
              </w:rPr>
            </w:pPr>
          </w:p>
        </w:tc>
      </w:tr>
      <w:tr>
        <w:trPr>
          <w:trHeight w:val="209"/>
        </w:trPr>
        <w:tc>
          <w:tcPr>
            <w:tcW w:w="77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24,563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34,607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total research and development expenses increased by £10.0 million, or 40.9%, from £24.6 million in 2016 to £34.6 million in 2017. This was a result of increased spending on clinical development as we continued the Phase 2 programs for acumapimod and leflutrozole and commenced the adult Phase 2b program for setrusumab. Total research and development expenses included payments we made to CROs and other suppliers for the ongoing clinical development of each of setrusumab, acumapimod, and leflutrozole, which increased from £17.9 million in 2016 to £22.8 million in 2017, reflecting the inclusion of expenses relating to the adult Phase 2b study for setrusumab. Additionally, our research and development employee related costs increased from £3.1 million in 2016 to £4.1 million in 2017, reflecting increased headcount, higher other employee-related expenses, including travel, and higher bonus amounts earned in 2017. Our payments to CMOs for the provision of drug substance and drug product and associated manufacturing development to support our clinical trials and the transfer of manufacturing of drug substance and drug product from Novartis to third-party manufacturers increased from £2.9 million in 2016 to £7.3 million in 2017, reflecting ongoing manufacturing activity primarily due to the manufacture of additional clinical trial materials in respect of setrusumab.</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Direct research and development expenses related to setrusumab increased by £8.6 million, from £4.8 million in 2016 to</w:t>
      </w:r>
    </w:p>
    <w:p>
      <w:pPr>
        <w:ind w:left="120" w:right="560"/>
        <w:spacing w:after="0" w:line="246" w:lineRule="auto"/>
        <w:rPr>
          <w:sz w:val="20"/>
          <w:szCs w:val="20"/>
          <w:color w:val="auto"/>
        </w:rPr>
      </w:pPr>
      <w:r>
        <w:rPr>
          <w:rFonts w:ascii="Arial" w:cs="Arial" w:eastAsia="Arial" w:hAnsi="Arial"/>
          <w:sz w:val="18"/>
          <w:szCs w:val="18"/>
          <w:color w:val="auto"/>
        </w:rPr>
        <w:t>£13.4 million in 2017, due to the commencement of the adult Phase 2b study for setrusumab during 2017 and the completion of the manufacture of associated clinical trial materials.</w:t>
      </w:r>
    </w:p>
    <w:p>
      <w:pPr>
        <w:spacing w:after="0" w:line="197" w:lineRule="exact"/>
        <w:rPr>
          <w:sz w:val="20"/>
          <w:szCs w:val="20"/>
          <w:color w:val="auto"/>
        </w:rPr>
      </w:pPr>
    </w:p>
    <w:p>
      <w:pPr>
        <w:jc w:val="both"/>
        <w:ind w:left="120" w:right="860" w:firstLine="440"/>
        <w:spacing w:after="0"/>
        <w:rPr>
          <w:sz w:val="20"/>
          <w:szCs w:val="20"/>
          <w:color w:val="auto"/>
        </w:rPr>
      </w:pPr>
      <w:r>
        <w:rPr>
          <w:rFonts w:ascii="Arial" w:cs="Arial" w:eastAsia="Arial" w:hAnsi="Arial"/>
          <w:sz w:val="18"/>
          <w:szCs w:val="18"/>
          <w:color w:val="auto"/>
        </w:rPr>
        <w:t>Direct research and development expenses related to acumapimod increased by £0.3 million, from £9.7 million in 2016 to £10.0 million in 2017, due to the completion of the Phase 2 clinical trial for acumapimod in the fourth quarter of 2017, which trial commenced in the first half of 2016.</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Direct research and development expenses related to leflutrozole increased by £1.4 million, from £9.4 million in 2016 to £10.8 million in 2017, due to the continuation of the Phase 2b study for leflutrozole and the commencement of the Phase 2b extension study.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8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General and administrative expenses decreased by £0.9 million, or 7.8%, from £11.6 million in 2016 to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alvelestat in October 2017.</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9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Interest earned on our short-term cash deposits increased from £0.4 million in 2016 to £0.8 million in 2017, reflecting higher cash balances held in deposit in 2017.</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our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Foreign Exchange Gain/(Loss)</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2016, the net foreign exchange gain was £ 2.3 million, primarily as a result of the unrealized gain on translation of cash deposits held primarily in U.S. dollars at year end, reflecting a strengthening of the U.S. dollar against pounds sterling during the year. In 2017, net foreign exchange loss was £1.4 million, reflecting a weakening of the U.S. dollar against pounds sterling during the year which negatively impacted the translation of our foreign deposits and investments at December 31, 2017.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w:t>
      </w:r>
    </w:p>
    <w:p>
      <w:pPr>
        <w:spacing w:after="0" w:line="9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recorded a tax credit of £5.3 million in 2016 and £8.2 million in 2017. The tax credit represents the cash rebate from the U.K. tax authorities we qualified for in respect of eligible research and development activities during the years. Due to the increase in qualifying research and development expenditure in 2017, the 2017 tax credit increased by £2.9 million from the 2016 tax credit. The 2016 tax credit was received in May 2017. The 2017 tax credit of £8.2 million was received in August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Under the current business plan and cash flow forecasts, with ongoing research and development efforts focused on our rare disease product candidates, setrusumab and alvelestat, we expect that our current on-hand cash resources will extend to the end of the first half of 2020. Therefore, we will need additional external funding by the end of the first half of 2020 to be able to continue as a going concern. We expect that net proceeds raised from this offering will provide us with the additional external funding required to extend our cash runway into the first quarter of 2021. For additional information relating to our intended use of the proceeds of the offering, see “Use of Proceeds”.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Principally, the additional external funding will be used to continue funding our current clinical trials, ongoing administrative costs, other general working capital and contractual financing requirements, and other general corporate purposes. Specifically, the funding is intended to support the ongoing Phase 2b clinical trial of setrusumab in adults and enable us to commence our potentially pivotal pediatric study of setrusumab in children, as well as support the ongoing Phase 2 proof-of-concept trial for alvelestat.</w:t>
      </w:r>
    </w:p>
    <w:p>
      <w:pPr>
        <w:spacing w:after="0" w:line="205"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We do not currently have any approved product candidates and have never generated any revenue from product sales or otherwise. As a result, to date, we have financed our operations primarily through the issuances of our equity securities and convertible debt and our credit facility, which we entered into in August 2017.</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Since our formation, we have raised a total of £102.9 million in gross proceeds from private and public placements of our ordinary shares to institutional investors, £0.3 million from a placement of our ordinary shares to retail investors and exercised share options, $50.8 million from cash and short-term</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investments acquired in the Merger and £3.5 million from the issuance of the Novartis Notes. In August 2017, we also entered into a credit facility in the amount of £20.0 million which was fully drawn down as at June 30, 2019 and December 31, 2018. As at June 30, 2019 our aggregate cash, short-term deposits and short-term investments were £36.1 million (£ 27.5 million as of December 31, 2018). In terms of potential further equity financings beyond the offering to which this prospectus relates and after taking into account the 12,252,715 ordinary shares issued to Boxer Capital in February 2020, our Board has been authorized to issue new shares on a non-preemptive basis up to a maximum aggregate nominal amount of £323,768.08.</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September 2018, we entered into a revised loan agreement which enabled us to extend the interest only period of the credit facility from September 30, 2018 to April 30, 2019. On April 23, 2019, we agreed a revision to the loan agreement which extended the interest only period of the credit facility through December 31, 2019. In connection with the credit facility, we have issued warrants in respect of an aggregate of 1,243,908 ordinary shares at a weighted average exercise price of £2.95 per ordinary share, which are capable of exercise until October 1, 2028. For additional information, see “—Indebtedness—Credit Facility”.</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October 8, 2018, we entered into a funding agreement with The Alpha-1 Project, Inc. (“TAP”), which provided for funding of up to $0.4 million as a contribution towards the development of our product candidate alvelestat. On November 1, 2018, the first tranche of $0.1 million was received and as a result we issued 41,286 warrants to subscribe for our ordinary shares at an exercise price of £0.003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six months ended June 30, 2019 and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1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(15,031)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(27,633)</w:t>
            </w:r>
          </w:p>
        </w:tc>
      </w:tr>
      <w:tr>
        <w:trPr>
          <w:trHeight w:val="203"/>
        </w:trPr>
        <w:tc>
          <w:tcPr>
            <w:tcW w:w="20" w:type="dxa"/>
            <w:vAlign w:val="bottom"/>
          </w:tcPr>
          <w:p>
            <w:pPr>
              <w:spacing w:after="0"/>
              <w:rPr>
                <w:sz w:val="17"/>
                <w:szCs w:val="17"/>
                <w:color w:val="auto"/>
              </w:rPr>
            </w:pPr>
          </w:p>
        </w:tc>
        <w:tc>
          <w:tcPr>
            <w:tcW w:w="806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34,009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14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(3,399)</w:t>
            </w:r>
          </w:p>
        </w:tc>
      </w:tr>
      <w:tr>
        <w:trPr>
          <w:trHeight w:val="20"/>
        </w:trPr>
        <w:tc>
          <w:tcPr>
            <w:tcW w:w="80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w:t>
            </w: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(15,681)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Net cash used in operating activities was £27.6 million for the six months ended June 30, 2019, an increase of £12.6 million from the net cash used in operating activities of £15.0 million for the six months ended June 30, 2018. The increase in net cash used in operating activities of £12.6 million was primarily due to £9.2 million of payables acquired with the acquisition of OncoMed which was partly realized through to June 30, 2019. In addition, there was an increase in trade and other receivables of £1.4 million which mostly related to advanced prepayments required as a result of the listing on Nasdaq.</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Our net cash from investing activities was £34.0 million for the six months ended June 30, 2019, an increase of £33.9 million compared to net cash from investing activities of £0.1 million for the six months ended June 30, 2018. On April 23, 2019, we acquired £10.1 million of cash and cash equivalents and £29.0 million of short-term investments in the Merger. Through to June 30, 2019, £23.9 million of those short-term investments were realized as cash and cash equivalents.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Net cash used in financing activities was £3.4 million for the six months ended June 30, 2019, an increase of £2.6 million from the net cash used in financing activities of £0.8 million for the six months ended June 30, 2018. The increase in net cash used in financing activities was primarily due to the purchase of treasury shares for £1.0 million, interest paid on a bank loan of £0.9 million, payment of lease liabilities of £0.8 million and transaction costs relating to the issue of shares of £0.8 million.</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Prior to the adoption of IFRS 16 (Leases) as of January 1, 2019, payment of lease liabilities were presented within net cash flows from operating activities as a component of loss before tax.</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years ended December 31, 2018 and 2017.</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280" w:type="dxa"/>
            <w:vAlign w:val="bottom"/>
            <w:gridSpan w:val="3"/>
          </w:tcPr>
          <w:p>
            <w:pPr>
              <w:jc w:val="right"/>
              <w:ind w:right="194"/>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(32,148)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(23,137)</w:t>
            </w:r>
          </w:p>
        </w:tc>
      </w:tr>
      <w:tr>
        <w:trPr>
          <w:trHeight w:val="203"/>
        </w:trPr>
        <w:tc>
          <w:tcPr>
            <w:tcW w:w="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(3,744)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33,743</w:t>
            </w:r>
          </w:p>
        </w:tc>
        <w:tc>
          <w:tcPr>
            <w:tcW w:w="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(2,073)</w:t>
            </w:r>
          </w:p>
        </w:tc>
      </w:tr>
      <w:tr>
        <w:trPr>
          <w:trHeight w:val="20"/>
        </w:trPr>
        <w:tc>
          <w:tcPr>
            <w:tcW w:w="79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(2,148)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(24,959)</w:t>
            </w: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Net cash used in operating activities decreased £9.0 million, from £32.1 million in 2017 to £23.1 million in 2018. This was due to a reduction in the loss before taxation of £9.6 million, reflecting lower research and development activity. In addition, there was a decrease in payables over receivables of £0.6 million as the payables balance in 2017 unwound due to lower levels of activity in 2018 and due to timing differences on cash payments to suppliers, partially offset by an increase in research and development tax credits received of £2.8 million, reflecting higher research and development expenses in 2017 compared to 2016.</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95"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Our net cash from investing activities was £0.3 million in 2018, compared to net cash used in investing activities of £3.7 million in 2017. The change was primarily due to the investment in 2017 of £2.3 million in the acquisition of a license for alvelestat from AstraZeneca and a reduction in short term investments of £ 2.5 million, combined with the lower interest earned (£0.3 million in 2018 compared to £1.1 million in 2017), reflecting lower average cash balances held in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net cash from financing activities was £ 33.7 million in 2017, compared to net cash used in financing activities of £ 2.1 million in 2018. In April 2017, we raised gross proceeds of £15.0 million in a placement of ordinary shares with institutional investors, for which the cash expense associated with the financing amounted to £0.7 million. In August 2017, we borrowed the first £ 10.0 million tranche under our credit facility and in December 2017 we borrowed the second and final tranche under our credit facility for another £ 10.0 million. In addition, in 2017, we paid an aggregate of £0.3 million of interest on our outstanding borrowings under our credit facility compared to £1.6 million in 2018. Throughout 2018, we raised gross proceeds of £0.3 million from a placement of our ordinary shares with retail investors and exercised share options. In September 2018 our borrowing under our credit facility increased by £0.5 million with associated costs of £0.9 million, including a £0.7 million modification loss in respect of the revaluation of the loan under IFRS 9. In November 2018, we received the first tranche of £0.1 million under the agreement with TAP.</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periods presented.</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280" w:type="dxa"/>
            <w:vAlign w:val="bottom"/>
            <w:gridSpan w:val="3"/>
          </w:tcPr>
          <w:p>
            <w:pPr>
              <w:jc w:val="right"/>
              <w:ind w:right="194"/>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(29,662)</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(32,148)</w:t>
            </w:r>
          </w:p>
        </w:tc>
      </w:tr>
      <w:tr>
        <w:trPr>
          <w:trHeight w:val="203"/>
        </w:trPr>
        <w:tc>
          <w:tcPr>
            <w:tcW w:w="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7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(3,745)</w:t>
            </w: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7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33,744</w:t>
            </w:r>
          </w:p>
        </w:tc>
        <w:tc>
          <w:tcPr>
            <w:tcW w:w="120" w:type="dxa"/>
            <w:vAlign w:val="bottom"/>
            <w:shd w:val="clear" w:color="auto" w:fill="CCEEFF"/>
          </w:tcPr>
          <w:p>
            <w:pPr>
              <w:spacing w:after="0"/>
              <w:rPr>
                <w:sz w:val="17"/>
                <w:szCs w:val="17"/>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jc w:val="right"/>
              <w:spacing w:after="0"/>
              <w:rPr>
                <w:sz w:val="20"/>
                <w:szCs w:val="20"/>
                <w:color w:val="auto"/>
              </w:rPr>
            </w:pPr>
            <w:r>
              <w:rPr>
                <w:rFonts w:ascii="Arial" w:cs="Arial" w:eastAsia="Arial" w:hAnsi="Arial"/>
                <w:sz w:val="18"/>
                <w:szCs w:val="18"/>
                <w:color w:val="auto"/>
              </w:rPr>
              <w:t>39,067</w:t>
            </w:r>
          </w:p>
        </w:tc>
        <w:tc>
          <w:tcPr>
            <w:tcW w:w="7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(2,149)</w:t>
            </w: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research and development activity in 2017, offset in part by the increase in cash tax credit received from £0.9 million in 2016 to £5.3 million in 2017. In addition there were changes in the add-backs for non-cash expenses as follows: (i) share based payment add-backs were reduced from £6.5 million to £3.7 million, reflecting lower share based payments charge in 2017, (ii) foreign exchange add-backs increased by £3.6 million in 2017, reflecting the movement from a foreign exchange gain of £2.3 million in 2016 to a loss of £ 1.4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£5.0 million in 2017, reflecting higher creditor and accrual balances at December 31, 2017 compared to 2016.</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Our net cash from investing activities reduced from £0.4 million in 2016 to net cash used in investing activities of £3.7 million in 2017, largely due to the £2.3 million cash cost of purchasing a license for alvelestat from AstraZeneca in October 2017 and £2.5 million of cash transferred into short-term investments held on deposit, partially offset by £1.1 million of interests received on our short-term deposits.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net cash from financing activities reduced from £68.4 million in 2016 to £33.7 million in 2017. In June 2016, we raised gross proceeds of £56.5 million in the second tranche of a private placement entered into in 2015. In June 2016, in connection with our ordinary shares being admitted to trading on the AIM, we raised gross proceeds of £ 11.4 million in private placements of our ordinary shares with institutional investors. In addition, and as part of that transaction, we raised £3.5 million gross proceeds in the form of the Novartis Notes (part of which were converted into ordinary shares in April 2017, and the remainder of which were converted into ordinary shares in June 2019). Our total costs in respect of the foregoing transactions were £3.0 million. In April 2017, we raised gross proceeds of £15.0 million in a placement of our ordinary shares with institutional investors, for which the cash cost amounted to £0.7 million. In August 2017, we borrowed the first £10.0 million tranche under our credit facility and in December 2017 we borrowed the second and final tranche under our credit facility for another £10.0 million. In addition, in 2017, we paid an aggregate of £0.3 million of interest on our outstanding borrowings under our credit facility.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 of June 30, 2019 we had an accumulated loss of £127.4 million. We expect to continue to incur significant operating losses for the foreseeable future as we continue our research and development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efforts and seek to obtain regulatory approval of our product candidates and any future product we develop. See also “Risk Factors— Risks Related to Our Business and Industry—If we do not obtain adequate and timely funding, we may not be able to continue as a going concern”.</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as a result of the Merger, we expect to incur additional costs associated with operating as a U.S. public company listed on Nasdaq in addition to operating as a U.K. public company traded on AIM.</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3" w:lineRule="exact"/>
        <w:rPr>
          <w:sz w:val="20"/>
          <w:szCs w:val="20"/>
          <w:color w:val="auto"/>
        </w:rPr>
      </w:pPr>
    </w:p>
    <w:p>
      <w:pPr>
        <w:ind w:left="980" w:hanging="432"/>
        <w:spacing w:after="0"/>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29" w:lineRule="auto"/>
        <w:tabs>
          <w:tab w:leader="none" w:pos="980" w:val="left"/>
        </w:tabs>
        <w:numPr>
          <w:ilvl w:val="0"/>
          <w:numId w:val="64"/>
        </w:numPr>
        <w:rPr>
          <w:rFonts w:ascii="MS PGothic" w:cs="MS PGothic" w:eastAsia="MS PGothic" w:hAnsi="MS PGothic"/>
          <w:sz w:val="24"/>
          <w:szCs w:val="24"/>
          <w:color w:val="auto"/>
          <w:vertAlign w:val="superscript"/>
        </w:rPr>
      </w:pPr>
      <w:r>
        <w:rPr>
          <w:rFonts w:ascii="Arial" w:cs="Arial" w:eastAsia="Arial" w:hAnsi="Arial"/>
          <w:sz w:val="17"/>
          <w:szCs w:val="17"/>
          <w:color w:val="auto"/>
        </w:rPr>
        <w:t>add further central clinical, scientific, operational, financial and management information systems, and personnel, including personnel to support our development and to support our operations as a U.S. public company listed on Nasdaq; and</w:t>
      </w:r>
    </w:p>
    <w:p>
      <w:pPr>
        <w:spacing w:after="0" w:line="27" w:lineRule="exact"/>
        <w:rPr>
          <w:rFonts w:ascii="MS PGothic" w:cs="MS PGothic" w:eastAsia="MS PGothic" w:hAnsi="MS PGothic"/>
          <w:sz w:val="24"/>
          <w:szCs w:val="24"/>
          <w:color w:val="auto"/>
          <w:vertAlign w:val="superscript"/>
        </w:rPr>
      </w:pPr>
    </w:p>
    <w:p>
      <w:pPr>
        <w:ind w:left="980" w:right="520" w:hanging="432"/>
        <w:spacing w:after="0" w:line="218"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expect that our existing cash, short-term deposits and short-term investments (before the offering to which this prospectus relates) will enable us to fund our currently committed clinical trials and operating expenses and capital expenditure requirements until the end of the first half of 2020.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5" w:lineRule="exact"/>
        <w:rPr>
          <w:sz w:val="20"/>
          <w:szCs w:val="20"/>
          <w:color w:val="auto"/>
        </w:rPr>
      </w:pPr>
    </w:p>
    <w:p>
      <w:pPr>
        <w:ind w:left="980" w:right="16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and our planned pivotal pediatric study for setrusumab and our ongoing Phase 2 proof-of-concept clinical trial for alvelestat;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380"/>
        <w:spacing w:after="0" w:line="244" w:lineRule="auto"/>
        <w:rPr>
          <w:sz w:val="20"/>
          <w:szCs w:val="20"/>
          <w:color w:val="auto"/>
        </w:rPr>
      </w:pPr>
      <w:r>
        <w:rPr>
          <w:rFonts w:ascii="Arial" w:cs="Arial" w:eastAsia="Arial" w:hAnsi="Arial"/>
          <w:sz w:val="18"/>
          <w:szCs w:val="18"/>
          <w:color w:val="auto"/>
        </w:rPr>
        <w:t>including any claims by third parties that we are infringing, misappropriating or otherwise violating their intellectual property rights;</w:t>
      </w:r>
    </w:p>
    <w:p>
      <w:pPr>
        <w:ind w:left="980" w:hanging="432"/>
        <w:spacing w:after="0" w:line="229"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w:t>
      </w:r>
    </w:p>
    <w:p>
      <w:pPr>
        <w:spacing w:after="0" w:line="20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120" w:right="360" w:firstLine="440"/>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August 7, 2017, we entered into a loan agreement (the “Original Loan Agreement”), with Silicon Valley Bank and Kreos Capital V (UK) Limited, which provided for total borrowings of £20.0 million. Under the Original Loan Agreement, we borrowed £10.0 million on each of August 21, 2017 and December 29, 2017 for general working capital purposes. We were obligated to make interest-only payments on the loan amount until September 30, 2018, and thereafter we were obligated to pay interest and principal in 30 equal monthly installments until March 31, 2021. The loan bore interest at an annual fixed rate equal to 9.0%.</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28, 2018, we, Silicon Valley Bank and Kreos Capital V (UK) Limited entered into a new loan agreement (the “New</w:t>
      </w:r>
    </w:p>
    <w:p>
      <w:pPr>
        <w:ind w:left="120"/>
        <w:spacing w:after="0" w:line="234" w:lineRule="auto"/>
        <w:rPr>
          <w:sz w:val="20"/>
          <w:szCs w:val="20"/>
          <w:color w:val="auto"/>
        </w:rPr>
      </w:pPr>
      <w:r>
        <w:rPr>
          <w:rFonts w:ascii="Arial" w:cs="Arial" w:eastAsia="Arial" w:hAnsi="Arial"/>
          <w:sz w:val="18"/>
          <w:szCs w:val="18"/>
          <w:color w:val="auto"/>
        </w:rPr>
        <w:t>Loan Agreement”), which replaced the Original Loan Agreement in its entirety and (i) increased the total commitments of the lenders to</w:t>
      </w:r>
    </w:p>
    <w:p>
      <w:pPr>
        <w:ind w:left="120"/>
        <w:spacing w:after="0" w:line="235" w:lineRule="auto"/>
        <w:rPr>
          <w:sz w:val="20"/>
          <w:szCs w:val="20"/>
          <w:color w:val="auto"/>
        </w:rPr>
      </w:pPr>
      <w:r>
        <w:rPr>
          <w:rFonts w:ascii="Arial" w:cs="Arial" w:eastAsia="Arial" w:hAnsi="Arial"/>
          <w:sz w:val="18"/>
          <w:szCs w:val="18"/>
          <w:color w:val="auto"/>
        </w:rPr>
        <w:t>£20,455,000, (ii) extended the interest-only period from September 30, 2018 to April 30, 2019, and (iii) reduced the interest rate from 9.0%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8.5%. Under the New Loan Agreement, both the interest-only period and the maturity date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may be further extended subject to the achievement by us of certain conditions set forth in the New Loan Agreement. The New Loan Agreement is secured by substantially all of our assets, including intellectual property rights owned or controlled by us and the shares of our subsidiaries, with all dividends and all other rights deriving from them. It is also secured by all policies and contracts of insurance issued or entered into for our benefit, and all rights, claims and interests which we may have from time to time in any such policy or contract.</w:t>
      </w:r>
    </w:p>
    <w:p>
      <w:pPr>
        <w:spacing w:after="0" w:line="20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In connection with the New Loan Agreement, in 2018 we issued warrants giving the lenders the right to subscribe for 225,974 ordinary shares at an exercise price of £ 2.31 per ordinary share pursuant to a warrant instrument dated October 1, 2018. These warrants will be capable of exercise until October 1, 2028.</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addition, the New Loan Agreement requires us to seek consent from Kreos if the Company intends to undertake any (i) dispositions, (ii) changes in business, ownership, management or business locations; (iii) mergers or acquisitions; (iv) creation of indebtedness; (v) commitment of guarantees; (vi) creation of a lien on the amount borrowed under the loan or on certain of our intellectual property, or assignment thereof; (vii) distributions or payment of cash dividends; or (viii) transactions with our affiliates, subject to certain exceptions. In all cases, failure to seek such consent would result in default under the New Loan Agreement.</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23, 2019, we agreed on a revision to the New Loan Agreement, which extended the interest-only period to December 31, 2019. Thereafter, we will have to pay interest and principal monthly installments until March 31, 2021. In connection with the revised New Loan Agreement and following the closing of the Merger, on May 3, 2019, we issued warrants giving the lenders the right to subscribe for 321,444 shares at an exercise price of £2.95 per share. These warrants will be capable of exercise until October 1, 2028.</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warrants include an adjustment provision to prevent the dilution of the ordinary shares issuable to Silicon Valley Bank and Kreos under certain circumstances.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(the “Novartis Notes”), for aggregate proceeds of £3,463,563. The Novartis Notes bore interest at 4% per annum payable annually and accruing daily and ranked senior to any other unsecured obligations. Novartis had the right to convert all or some of the Novartis Notes, together with accrued interest, at any time into our ordinary shares at a conversion price of £2.21 per ordinary share as long as, following such conversion, Novartis held no more than 19.5% of the aggregate voting rights of our company. In addition, upon conversion, Novartis was entitled to receive an additional number of our ordinary shares equal to the number of shares into which such Novartis Notes and accrued interest were converted multiplied by 0.93 (the “Bonus Shares”). At December 31, 2016, Novartis was entitled to receive up to 1,453,520 Bonus Shares.</w:t>
      </w:r>
    </w:p>
    <w:p>
      <w:pPr>
        <w:spacing w:after="0" w:line="207"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2018, Novartis was entitled to receive up to 864,998 Bonus Shares.</w:t>
      </w:r>
    </w:p>
    <w:p>
      <w:pPr>
        <w:spacing w:after="0" w:line="20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into 1,071,042 fully paid ordinary shares at the fixed conversion price of £2.21 per share. Additionally, in connection with such conversion, we issued 864,988 Bonus Shares to Novartis. At June 30, 2019 there was no further liability under the Novartis Notes which were converted in full as at that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contractual obligations at December 31,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790"/>
              <w:spacing w:after="0"/>
              <w:rPr>
                <w:sz w:val="20"/>
                <w:szCs w:val="20"/>
                <w:color w:val="auto"/>
              </w:rPr>
            </w:pPr>
            <w:r>
              <w:rPr>
                <w:rFonts w:ascii="Arial" w:cs="Arial" w:eastAsia="Arial" w:hAnsi="Arial"/>
                <w:sz w:val="14"/>
                <w:szCs w:val="14"/>
                <w:b w:val="1"/>
                <w:bCs w:val="1"/>
                <w:color w:val="auto"/>
              </w:rPr>
              <w:t>Payments Due by Period</w:t>
            </w: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Up to 1 year</w:t>
            </w: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1-3 Years</w:t>
            </w:r>
          </w:p>
        </w:tc>
        <w:tc>
          <w:tcPr>
            <w:tcW w:w="1460" w:type="dxa"/>
            <w:vAlign w:val="bottom"/>
            <w:tcBorders>
              <w:bottom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3-5 Years</w:t>
            </w: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Over 5 Years</w:t>
            </w: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0" w:type="dxa"/>
            <w:vAlign w:val="bottom"/>
            <w:gridSpan w:val="6"/>
          </w:tcPr>
          <w:p>
            <w:pPr>
              <w:jc w:val="center"/>
              <w:ind w:right="150"/>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2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c>
          <w:tcPr>
            <w:tcW w:w="5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2,327</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Bank loan(2)</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15,589</w:t>
            </w:r>
          </w:p>
        </w:tc>
        <w:tc>
          <w:tcPr>
            <w:tcW w:w="5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23,849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15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8,674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17,955</w:t>
            </w:r>
          </w:p>
        </w:tc>
        <w:tc>
          <w:tcPr>
            <w:tcW w:w="5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interest. See “—Liquidity and Capital Resources—Indebtedness—Novartis Notes.”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interest. See “—Liquidity and Capital Resources—Indebtedness—Credit Facility.”</w:t>
      </w:r>
    </w:p>
    <w:p>
      <w:pPr>
        <w:spacing w:after="0" w:line="117" w:lineRule="exact"/>
        <w:rPr>
          <w:rFonts w:ascii="Arial" w:cs="Arial" w:eastAsia="Arial" w:hAnsi="Arial"/>
          <w:sz w:val="18"/>
          <w:szCs w:val="18"/>
          <w:color w:val="auto"/>
        </w:rPr>
      </w:pPr>
    </w:p>
    <w:p>
      <w:pPr>
        <w:ind w:left="540" w:right="60" w:hanging="424"/>
        <w:spacing w:after="0" w:line="246"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deferred payment obligations, such as milestones or royalties, in the table above, as the amount, timing, and likelihood of such payments are not known and will remain uncertain for the foreseeable future.</w:t>
      </w:r>
    </w:p>
    <w:p>
      <w:pPr>
        <w:spacing w:after="0" w:line="205"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 candidates for operating purposes. These contracts generally provide for termination on notice, and therefore are cancelable contracts and not included in the table of contractual obligations and commitments.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£20.5 million which was fully drawn as of the date of this prospectus. Loans under the credit facility bear interest at a fixed rate of 9.0% per annum. Consequently, there is no material exposure to interest rate risk in respect of interest payable.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85"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 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six months ended June 30, 2019, we recorded a net foreign exchange loss of £ 20,127, compared to a gain of £49,305 for the six months ended June 30, 2018, primarily as a result of operating expenses payable in U.S. dollars.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8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Through June 30, 2019, we granted share options and awards under the following six equity award plans: (i) the Mereo BioPharma Group Limited Share Option Scheme (the “2015 Plan”); (ii) the Mereo</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BioPharma Group plc Share Option Scheme (the “Share Option Plan”); (iii) the Mereo BioPharma Group plc Long Term Incentive Plan (“LTIP”); (iv) the DBSP; (v) the Mereo 2019 Equity Incentive Plan (the “2019 EIP”) and (vi) the Mereo 2019 NED Equity Incentive Plan (the “2019 NED EIP”).</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measure share options at fair value at their grant date in accordance with IFRS 2, “Share- 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Plan</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Under the 2015 Plan, we granted share options to our employees, including our senior executives, and our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measure the share options under the 2015 Plan at fair value at their grant date in accordance with IFRS 2, “Share-based Payment,” using the Black-Scholes model. The exercise price of the share options under the 2015 Plan is in the range of £1.29 to £2.21 per ordinary share and the share options were granted between September 2015 and May 2016 with an exercise period of 10 years from the date of grant.</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Other inputs to determine the fair value included: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76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7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Measured by reference to a basket of similar companies trading on AIM.</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Option Plan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Share Option Plan, we have granted 1,981,188 share options to executive officers and other employees and 99,633 options had lapsed as of December 31, 2018. The weighted-average remaining contractual life for the share options outstanding as of December 31, 2018 and December 31, 2017 was 8.6 years and 9.4 years, respectively. The weighted-average fair value of options granted during the year ended December 31, 2018 and the year ended December 31, 2017 was £2.29 and £1.85 per share, respectively. Share options outstanding as of December 31, 2018 had an exercise price of between £2.76 and £3.23 per share and as of December 31, 2017, between £3.03 and £3.23 per share.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weighted-average inputs to the models used for the fair value of share options were as follows: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3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0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65-67</w:t>
            </w: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1.06-1.33</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1.39-1.53</w:t>
            </w: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3.03-3.23</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2.76-3.25</w:t>
            </w: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Incentive Plan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ordinary share and have an exercise price of £nil. Other inputs used to determine the fair value of the strategic element of the LTIP share options were:</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Tranche 1</w:t>
            </w:r>
          </w:p>
        </w:tc>
        <w:tc>
          <w:tcPr>
            <w:tcW w:w="14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Tranche 2</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Tranche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2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48.9%</w:t>
            </w:r>
          </w:p>
        </w:tc>
        <w:tc>
          <w:tcPr>
            <w:tcW w:w="30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48.9%</w:t>
            </w:r>
          </w:p>
        </w:tc>
        <w:tc>
          <w:tcPr>
            <w:tcW w:w="3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0.48%</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0.61%</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£nil</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£nil</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380" w:firstLine="440"/>
        <w:spacing w:after="0" w:line="274" w:lineRule="auto"/>
        <w:rPr>
          <w:sz w:val="20"/>
          <w:szCs w:val="20"/>
          <w:color w:val="auto"/>
        </w:rPr>
      </w:pPr>
      <w:r>
        <w:rPr>
          <w:rFonts w:ascii="Arial" w:cs="Arial" w:eastAsia="Arial" w:hAnsi="Arial"/>
          <w:sz w:val="17"/>
          <w:szCs w:val="17"/>
          <w:color w:val="auto"/>
        </w:rPr>
        <w:t>We measure the fair value of the share price element of the LTIP share options at their grant date in accordance with IFRS 2, “Share-based Payment,” using a Monte Carlo simulation model. Share options have an exercise period of one year from vesting date.</w:t>
      </w:r>
    </w:p>
    <w:p>
      <w:pPr>
        <w:spacing w:after="0" w:line="17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As stated above, LTIP share options were granted at a weighted-average fair value of £1.34 per ordinary share and have an exercise price of £nil. We measure the fair value of the strategic element of the LTIP share options using the Black-Scholes model.</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2018 and £0.3 million in 2017.</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Deferred Bonus Share Plan</w:t>
      </w:r>
    </w:p>
    <w:p>
      <w:pPr>
        <w:spacing w:after="0" w:line="81"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Under the previous terms of our DBSP, 100,817 share options were granted to executive officers on April 26, 2018 in respect of the year ended December 31, 2017. Share options have no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performance conditions, an exercise price of £nil, a normal vesting date of 3 years from grant and are exercisable within one year of vesting.</w:t>
      </w:r>
    </w:p>
    <w:p>
      <w:pPr>
        <w:spacing w:after="0" w:line="197"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The fair value of such share-based compensation is recognized as an expense over the respective vesting period. Share-based compensation expense under the DBSP for the years ended December 31, 2018 and 2017 were £nil million and £0.3 million, respectively.</w:t>
      </w:r>
    </w:p>
    <w:p>
      <w:pPr>
        <w:spacing w:after="0" w:line="175"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As at June 30, 2019, the provision for social security contributions on share options was £0.1 million (£0.8 million as at December 31, 2018).</w:t>
      </w:r>
    </w:p>
    <w:p>
      <w:pPr>
        <w:spacing w:after="0" w:line="203"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On January 18, 2019 the Board approved an amendment to the terms of the DBSP and the terms were amended such that in any year, 30% of any cash bonus award to executive officers (after deduction of payroll taxes) must be used to purchase ordinary shares in Mereo within 12 months. Therefore we do not expect any further share option awards under the DBSP.</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Mereo 2019 Equity Incentive Plan</w:t>
      </w:r>
    </w:p>
    <w:p>
      <w:pPr>
        <w:spacing w:after="0" w:line="9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April 4, 2019 we established the Mereo 2019 EIP. On May 20, 2019 the Remuneration Committee of the Board agreed to grant awards in respect of market value options over 255,500 ADSs to executives, at an exercise price of $5.40 per ADS. On July 23, 2019 the Remuneration Committee of the Board agreed to grant awards in respect of market value options over an additional 215,500 ADSs to executives, at an exercise price of $3.00 per ADS.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Mereo 2019 NED Equity Incentive Plan</w:t>
      </w:r>
    </w:p>
    <w:p>
      <w:pPr>
        <w:spacing w:after="0" w:line="81"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On April 4, 2019 we established the Mereo 2019 NED EIP. On May 20, 2019 the Remuneration Committee of the Board agreed to grant awards in respect of market value options over 38,500 ADSs to non-executive directors, at an exercise price of $5.40 per ADS. On July 23, 2019 the Remuneration Committee of the Board agreed to grant awards in respect of market value options over an additional 38,500 ADSs to non-executive directors, at an exercise price of $3.00 per ADS.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At each year-end reporting date, we review the carrying value of our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 candidates’ rights in the years ended December 31, 2018 and December 31, 2017.</w:t>
      </w:r>
    </w:p>
    <w:p>
      <w:pPr>
        <w:spacing w:after="0" w:line="186"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acquired development programs are assets which are not used in launched product candidates. These assets have not yet begun to be amortized but have been tested for impairment by assessing their value in use. Value-in-use calculations for each program are utilized to calculate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color w:val="auto"/>
        </w:rPr>
        <w:t>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 candidates are assumed to be out-licensed such that we receive upfront fees, milestone payments, and royalties on sales; therefore, we do not incur any costs of commercialization after out- licensing.</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80" w:right="38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 candidates—these reflect our expected date of launch for product candidates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9" w:lineRule="auto"/>
        <w:tabs>
          <w:tab w:leader="none" w:pos="980" w:val="left"/>
        </w:tabs>
        <w:numPr>
          <w:ilvl w:val="0"/>
          <w:numId w:val="69"/>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80" w:right="12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projections—for all assets, cash flows are assessed over industry-standard asset life of 20 years; and</w:t>
      </w:r>
    </w:p>
    <w:p>
      <w:pPr>
        <w:spacing w:after="0" w:line="26"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in each of 2018 and 2017 was 15.3%.</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20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Furthermore, in connection with the New Loan Agreement entered into on September 28, 2018, we issued 225,974 additional warrants for £nil consideration to the lenders pursuant to a warrant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instrument dated October 1, 2018, thereunder with the same key terms as the warrants issued under the Original Loan Agreement. The fair value of the additional warrants as of their grant date on September 30, 2018 was £375,343.</w:t>
      </w:r>
    </w:p>
    <w:p>
      <w:pPr>
        <w:spacing w:after="0" w:line="19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New Loan Agreement has an aggregate principal amount of £20.5 million and will mature on March 1, 2021, unless extended on reaching certain milestones. A modification loss of £0.7 million was recognized in the profit and loss as of the date of entering into the New Loan Agreement.</w:t>
      </w:r>
    </w:p>
    <w:p>
      <w:pPr>
        <w:spacing w:after="0" w:line="203"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On April 23, 2019, we agreed on a further revision to the New Loan Agreement, which extended the interest-only period to December 31, 2019. In connection with the revised New Loan Agreement and following the closing of the Merger, on May 3, 2019, we issued warrants giving the lenders the right to subscribe for 321,444 shares at an exercise price of £2.95 per share.</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We measure the fair value of our warrants using the Black-Scholes model and taking into account any appropriate amendments to inputs in respect of volatility and remaining expected life of the warrants.</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year ended December 31, 2018 and the six months ended June 30, 2019 were as follows: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 June 30,</w:t>
            </w:r>
          </w:p>
        </w:tc>
      </w:tr>
      <w:tr>
        <w:trPr>
          <w:trHeight w:val="175"/>
        </w:trPr>
        <w:tc>
          <w:tcPr>
            <w:tcW w:w="20" w:type="dxa"/>
            <w:vAlign w:val="bottom"/>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65</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66</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1.56</w:t>
            </w:r>
          </w:p>
        </w:tc>
        <w:tc>
          <w:tcPr>
            <w:tcW w:w="2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 .</w:t>
            </w: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9.5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0.83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Black Scholes</w:t>
            </w:r>
          </w:p>
        </w:tc>
        <w:tc>
          <w:tcPr>
            <w:tcW w:w="15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the warrants at June 30, 2019 was £0.2 million. The carrying value of the loan at June 30, 2019 was £19.7 million.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alvelestat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we may make. The payments are dependent on reaching specific milestones based on the commencement and outcome of clinical trials.</w:t>
      </w:r>
    </w:p>
    <w:p>
      <w:pPr>
        <w:spacing w:after="0" w:line="205"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The total amount of provision for deferred cash consideration at June 30, 2019 was £2.1 million and at June 30, 2018 was £2.0 million.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ectPr>
          <w:pgSz w:w="11900" w:h="16838" w:orient="portrait"/>
          <w:cols w:equalWidth="0" w:num="1">
            <w:col w:w="11120"/>
          </w:cols>
          <w:pgMar w:left="320" w:top="459" w:right="459" w:bottom="1440" w:gutter="0" w:footer="0" w:header="0"/>
        </w:sectPr>
      </w:pP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104"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Likely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Based on the expected timing of the ongoing Phase 2 study for alvelestat</w:t>
      </w:r>
    </w:p>
    <w:p>
      <w:pPr>
        <w:spacing w:after="0" w:line="115"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Risk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Standard risk adjustments for orphan asset development programs</w:t>
      </w:r>
    </w:p>
    <w:p>
      <w:pPr>
        <w:spacing w:after="0" w:line="155"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20"/>
          </w:cols>
          <w:pgMar w:left="320" w:top="459" w:right="4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99"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2"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refer to Note 3 within our unaudited interim consolidated financial statements for the six months ended June 30, 2019, included elsewhere in this prospectus for a discussion of new standards and interpretations not yet adopted by us.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During the year ended December 31, 2018, we adopted IFRS 9 Financial Instruments (as revised in July 2014) (“IFRS 9”), and the related consequential amendments to other IFRSs. IFRS 9 introduces new requirements for (i) the classification and measurement of financial assets and financial liabilities, (ii) impairment for financial assets, (iii) general hedge accounting and (iv) new accounting for certain modifications and exchanges of financial liabilities measured at amortized cost. The only impact on us is in relation to the non-substantial modification of the convertible loan notes, as detailed below. We have applied IFRS 9 in full without restating comparatives with an initial date of application of January 1, 2018.</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in our consolidated financial statements for the year ended December 31, 2018 included elsewhere in this prospectus, was adjusted to recognize the modification gain in the retained earnings as of the date of initial application of IFRS 9 (January 1, 2018).</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bearing loans and borrowings—Convertible loan notes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9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At January 1,</w:t>
            </w:r>
          </w:p>
        </w:tc>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2018 calculated under IAS 39</w:t>
            </w:r>
          </w:p>
        </w:tc>
        <w:tc>
          <w:tcPr>
            <w:tcW w:w="49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6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At January 1,</w:t>
            </w: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 under IFRS 9</w:t>
            </w:r>
          </w:p>
        </w:tc>
        <w:tc>
          <w:tcPr>
            <w:tcW w:w="5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1,853,528</w:t>
            </w:r>
          </w:p>
        </w:tc>
        <w:tc>
          <w:tcPr>
            <w:tcW w:w="140" w:type="dxa"/>
            <w:vAlign w:val="bottom"/>
            <w:shd w:val="clear" w:color="auto" w:fill="CCEEFF"/>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20" w:type="dxa"/>
            <w:vAlign w:val="bottom"/>
          </w:tcPr>
          <w:p>
            <w:pPr>
              <w:jc w:val="right"/>
              <w:ind w:right="3775"/>
              <w:spacing w:after="0"/>
              <w:rPr>
                <w:sz w:val="20"/>
                <w:szCs w:val="20"/>
                <w:color w:val="auto"/>
              </w:rPr>
            </w:pPr>
            <w:r>
              <w:rPr>
                <w:rFonts w:ascii="Arial" w:cs="Arial" w:eastAsia="Arial" w:hAnsi="Arial"/>
                <w:sz w:val="18"/>
                <w:szCs w:val="18"/>
                <w:color w:val="auto"/>
              </w:rPr>
              <w:t>124</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January 1, 2019, we adopted IFRS 16 (Leases) (“IFRS 16”), which requires lessees to recognize a right-of-use asset and a lease liability at the commencement of all arrangements identified as containing a lease, except for short-term and leases of low value assets. In contrast to lessee accounting, the requirements for lessor accounting have remained largely unchanged. Under the new guidance, the recognition, measurement, and presentation of expenses and cash flows arising from a lease by a lessee will depend on its classification as a finance or operating leases. IFRS 16 is effective for annual and interim periods beginning on or after January 1, 2019 and early adoption is permitted if IFRS 15 Revenue from Contracts with Customers has also been applied.</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Our unaudited interim consolidated financial statements for the six month period ended June 30, 2019, included elsewhere in this prospectus, applied IFRS 16 for the first time. We applied certain practical expedients afforded under IFRS 16, notably:</w:t>
      </w:r>
    </w:p>
    <w:p>
      <w:pPr>
        <w:spacing w:after="0" w:line="224" w:lineRule="exact"/>
        <w:rPr>
          <w:sz w:val="20"/>
          <w:szCs w:val="20"/>
          <w:color w:val="auto"/>
        </w:rPr>
      </w:pPr>
    </w:p>
    <w:p>
      <w:pPr>
        <w:ind w:left="980" w:right="120" w:hanging="432"/>
        <w:spacing w:after="0" w:line="238"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not to reassess, upon transition, whether an existing contract contains a lease (grandfather the previous assessment of whether a transaction was a lease under IAS 17 or International Financial Reporting Interpretations Committee (“IFRIC”)). The definition of a lease under IFRS 16 has been applied only to contracts entered into of changed on or after January 1, 2019;</w:t>
      </w:r>
    </w:p>
    <w:p>
      <w:pPr>
        <w:spacing w:after="0" w:line="29"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to apply a recognition exemption for short-term leases and leases of low-value assets;</w:t>
      </w:r>
    </w:p>
    <w:p>
      <w:pPr>
        <w:spacing w:after="0" w:line="36"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to use hindsight when determining the lease term if the contract contains options to extend or terminate the lease.</w:t>
      </w:r>
    </w:p>
    <w:p>
      <w:pPr>
        <w:spacing w:after="0" w:line="212"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As at January 1, 2019, the adoption of the standard resulted in the recognition of right-of-use (“ROU”) assets and lease liabilities for operating leases of approximately £2.6 million and £2.5 million, respectively.</w:t>
      </w:r>
    </w:p>
    <w:p>
      <w:pPr>
        <w:spacing w:after="0" w:line="197"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 acquisition of OncoMed on April 23, 2019, resulted in the recognition of an ROU asset and lease liability of £10.8 million and £10.7 million, respectively. The ROU asset relates to a single property lease in the United States.</w:t>
      </w:r>
    </w:p>
    <w:p>
      <w:pPr>
        <w:spacing w:after="0" w:line="197"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As at June 30, 2019, the Company’s total ROU assets and lease liabilities were approximately £13 million and £13.1 million, respectively.</w:t>
      </w:r>
    </w:p>
    <w:p>
      <w:pPr>
        <w:spacing w:after="0" w:line="197"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difference between the operating lease commitments applying IAS 17 as at December 31, 2018 and lease liabilities recognized in the consolidated statement of financial position as at January 1, 2019, the date of initial application of IFRS 16 by us, is due principally to a reassessment of the lease term upon date. The lease liabilities were discounted at a discount rate of 15.0%.</w:t>
      </w:r>
    </w:p>
    <w:p>
      <w:pPr>
        <w:spacing w:after="0" w:line="20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Further information related to the adoption of IFRS 16 can be found in the notes to the unaudited interim consolidated financial statements for the six month period ended June 30,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99"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In April 2012, the U.S. Jumpstart Our Business Startups Act of 2012 (the “JOBS Act”), was enacted. We are an “emerging growth company” as defined in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6" w:lineRule="exact"/>
        <w:rPr>
          <w:sz w:val="20"/>
          <w:szCs w:val="20"/>
          <w:color w:val="auto"/>
        </w:rPr>
      </w:pPr>
    </w:p>
    <w:p>
      <w:pPr>
        <w:ind w:left="980" w:hanging="432"/>
        <w:spacing w:after="0"/>
        <w:tabs>
          <w:tab w:leader="none" w:pos="9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80"/>
        <w:spacing w:after="0" w:line="244" w:lineRule="auto"/>
        <w:rPr>
          <w:sz w:val="20"/>
          <w:szCs w:val="20"/>
          <w:color w:val="auto"/>
        </w:rPr>
      </w:pPr>
      <w:r>
        <w:rPr>
          <w:rFonts w:ascii="Arial" w:cs="Arial" w:eastAsia="Arial" w:hAnsi="Arial"/>
          <w:sz w:val="18"/>
          <w:szCs w:val="18"/>
          <w:color w:val="auto"/>
        </w:rPr>
        <w:t>to the auditor’s report providing additional information about the audit and the financial statements (i.e., an auditor discussion and analysis);</w:t>
      </w:r>
    </w:p>
    <w:p>
      <w:pPr>
        <w:spacing w:after="0" w:line="25" w:lineRule="exact"/>
        <w:rPr>
          <w:sz w:val="20"/>
          <w:szCs w:val="20"/>
          <w:color w:val="auto"/>
        </w:rPr>
      </w:pPr>
    </w:p>
    <w:p>
      <w:pPr>
        <w:ind w:left="980" w:right="460" w:hanging="432"/>
        <w:spacing w:after="0" w:line="218" w:lineRule="auto"/>
        <w:tabs>
          <w:tab w:leader="none" w:pos="98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23" w:lineRule="auto"/>
        <w:tabs>
          <w:tab w:leader="none" w:pos="98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December 31, 2024;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20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than shares in entities that are not emerging growth companies. The result may be a less active trading market for our ADSs, and the price of our ADSs may become more volatile.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patients with rare diseases. Our strategy is to build a portfolio of rare disease product candidates acquired from pharmaceutical and large biotechnology companies and to develop these through regulatory approval and subsequent commercialization.</w:t>
      </w:r>
    </w:p>
    <w:p>
      <w:pPr>
        <w:spacing w:after="0" w:line="18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OI and alvelestat for the treatment of severe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Rare (and orphan) diseases represent an attractive development and commercialization opportunity for us, since they typically have high unmet medical need and can often utilize regulatory pathways that facilitate acceleration to the potential market. Development of rare disease products generally involves close coordination with patient organizations and key opinion leaders and investigators. Patients are typically treated at a limited number of specialized sites, which helps identification of the patient population and enables a small targeted sales infrastructure to commercialize the products in key markets.</w:t>
      </w:r>
    </w:p>
    <w:p>
      <w:pPr>
        <w:spacing w:after="0" w:line="202"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99"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following table summarizes our pipeline for our rare disease product candidates and non-rare disease product candidates. We have global commercial rights to setrusumab, alvelestat, acumapimod, leflutrozole and etigilimab.</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Disease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5023485" cy="2194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2348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Non-Rare Disease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5023485" cy="2348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2348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Disease Product candidates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consists of the following rare disease product candidates:</w:t>
      </w:r>
    </w:p>
    <w:p>
      <w:pPr>
        <w:spacing w:after="0" w:line="217" w:lineRule="exact"/>
        <w:rPr>
          <w:sz w:val="20"/>
          <w:szCs w:val="20"/>
          <w:color w:val="auto"/>
        </w:rPr>
      </w:pPr>
    </w:p>
    <w:p>
      <w:pPr>
        <w:ind w:left="980" w:hanging="432"/>
        <w:spacing w:after="0" w:line="25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Setrusumab (BPS-804)</w:t>
      </w:r>
      <w:r>
        <w:rPr>
          <w:rFonts w:ascii="Arial" w:cs="Arial" w:eastAsia="Arial" w:hAnsi="Arial"/>
          <w:sz w:val="18"/>
          <w:szCs w:val="18"/>
          <w:color w:val="auto"/>
        </w:rPr>
        <w:t>: Setrusumab is a novel antibody we are developing as a treatment for OI, a rare genetic disease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FDA or EMA. It is estimated that OI affects a minimum of 20,000</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60"/>
        <w:spacing w:after="0" w:line="238" w:lineRule="auto"/>
        <w:rPr>
          <w:sz w:val="20"/>
          <w:szCs w:val="20"/>
          <w:color w:val="auto"/>
        </w:rPr>
      </w:pPr>
      <w:r>
        <w:rPr>
          <w:rFonts w:ascii="Arial" w:cs="Arial" w:eastAsia="Arial" w:hAnsi="Arial"/>
          <w:sz w:val="18"/>
          <w:szCs w:val="18"/>
          <w:color w:val="auto"/>
        </w:rPr>
        <w:t>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29" w:lineRule="exact"/>
        <w:rPr>
          <w:sz w:val="20"/>
          <w:szCs w:val="20"/>
          <w:color w:val="auto"/>
        </w:rPr>
      </w:pPr>
    </w:p>
    <w:p>
      <w:pPr>
        <w:ind w:left="1000"/>
        <w:spacing w:after="0" w:line="235" w:lineRule="auto"/>
        <w:rPr>
          <w:sz w:val="20"/>
          <w:szCs w:val="20"/>
          <w:color w:val="auto"/>
        </w:rPr>
      </w:pPr>
      <w:r>
        <w:rPr>
          <w:rFonts w:ascii="Arial" w:cs="Arial" w:eastAsia="Arial" w:hAnsi="Arial"/>
          <w:sz w:val="18"/>
          <w:szCs w:val="18"/>
          <w:color w:val="auto"/>
        </w:rPr>
        <w:t>In 2016, we obtained orphan drug designation in OI for setrusumab in the United States and the EU, in February 2017, setrusumab was accepted into the adaptive pathways program in the EU and, in November 2017, it was accepted into the Priority Medicines scheme (“PRIME”) of the EMA. Prior to our acquisition of setrusumab, Novartis conducted four clinical trials in 106 patients and healthy volunteers. A Phase 2 clinical trial of setrusumab showed statistically significant improvements in bone formation biomarkers and bone mineral density. In May 2017, we initiated a Phase 2b clinical trial for setrusumab in adults in the United States, Europe and Canada. The trial is randomized with three blinded arms at high, medium and low doses to establish the dose response curve and an open label arm at the top dose. We reported top-line data on the three blinded dose ranging arms in November 2019 with the results supporting progression of setrusumab into a pediatric pivotal study in OI. See “Prospectus Summary—Recent Developments—12-month top-line data from the setrusumab Phase 2b dose-ranging study in adult patients.” Following the completion of the dosing part of the study, patients will continue to be followed for a further twelve months to examine the off-effects of setrusumab. We have also agreed on a PIP for setrusumab with the EMA and intend to prepare for a pivotal trial of setrusumab in Europe and Canada in children with severe OI in 2020, with fracture rate as the primary endpoint. We believe that the results from this trial, if favorable, will be sufficient to support the submission of an MAA to the EMA for setrusumab for the treatment of children with severe OI and a CMA for the treatment of OI in adults in the EU.</w:t>
      </w:r>
    </w:p>
    <w:p>
      <w:pPr>
        <w:spacing w:after="0" w:line="38" w:lineRule="exact"/>
        <w:rPr>
          <w:sz w:val="20"/>
          <w:szCs w:val="20"/>
          <w:color w:val="auto"/>
        </w:rPr>
      </w:pPr>
    </w:p>
    <w:p>
      <w:pPr>
        <w:ind w:left="1000" w:right="20"/>
        <w:spacing w:after="0" w:line="236"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development of setrusumab for the treatment of children and adolescents with OI in the United States. See “Prospectus Summary—Recent Developments—Positive Feedback from Type B End-of-Phase 2 Meeting with the FDA.” In June 2019, the EMA’s CHMP adopted a negative opinion recommending the refusal of a marketing authorization for the same sclerostin inhibitor. However, in October 2019, following a re-examination procedure, the CHMP adopted a positive opinion recommending marketing authorization for the sclerostin inhibitor. In December 2019, the European Commission approved the MAA for romosozumab (Evenity).</w:t>
      </w:r>
    </w:p>
    <w:p>
      <w:pPr>
        <w:spacing w:after="0" w:line="6" w:lineRule="exact"/>
        <w:rPr>
          <w:sz w:val="20"/>
          <w:szCs w:val="20"/>
          <w:color w:val="auto"/>
        </w:rPr>
      </w:pPr>
    </w:p>
    <w:p>
      <w:pPr>
        <w:ind w:left="980" w:right="280" w:hanging="432"/>
        <w:spacing w:after="0" w:line="233" w:lineRule="auto"/>
        <w:tabs>
          <w:tab w:leader="none" w:pos="9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Alvelestat (MPH-966): </w:t>
      </w:r>
      <w:r>
        <w:rPr>
          <w:rFonts w:ascii="Arial" w:cs="Arial" w:eastAsia="Arial" w:hAnsi="Arial"/>
          <w:sz w:val="18"/>
          <w:szCs w:val="18"/>
          <w:color w:val="auto"/>
        </w:rPr>
        <w:t>Alvelestat is a novel, oral small molecule we are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AATD patients from further lung damage.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7" w:lineRule="auto"/>
        <w:rPr>
          <w:sz w:val="20"/>
          <w:szCs w:val="20"/>
          <w:color w:val="auto"/>
        </w:rPr>
      </w:pPr>
      <w:r>
        <w:rPr>
          <w:rFonts w:ascii="Arial" w:cs="Arial" w:eastAsia="Arial" w:hAnsi="Arial"/>
          <w:sz w:val="18"/>
          <w:szCs w:val="18"/>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expect to report top-line data from this trial in mid-2020. We are also planning to evaluate the use of alvelestat to treat patients with BOS as a result of lung transplant. BOS is an orphan disease and the primary cause of death in adult lung transplant patients from one year following transplant.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Non-Rare Disease Product candidates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consists of the following non-rare disease product candidates:</w:t>
      </w:r>
    </w:p>
    <w:p>
      <w:pPr>
        <w:spacing w:after="0" w:line="217" w:lineRule="exact"/>
        <w:rPr>
          <w:sz w:val="20"/>
          <w:szCs w:val="20"/>
          <w:color w:val="auto"/>
        </w:rPr>
      </w:pPr>
    </w:p>
    <w:p>
      <w:pPr>
        <w:ind w:left="980" w:hanging="432"/>
        <w:spacing w:after="0" w:line="232" w:lineRule="auto"/>
        <w:tabs>
          <w:tab w:leader="none" w:pos="98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MAP kinase inhibitor we are developing as an oral first-line acute therapy for</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AECOPD. COPD is a non-fully-reversible, progressive lung disease in which inflammation plays a central role. There are an estimated 16 million people in the United States diagnosed with COPD. Of all hospital admissions in the United States related to COPD, approximately 63% are for AECOPD patients. We believe acumapimod offers a potential new treatment for controlling inflammation by targeting pathways that drive the pathological mechanism behind AECOPD.</w:t>
      </w:r>
    </w:p>
    <w:p>
      <w:pPr>
        <w:spacing w:after="0" w:line="16" w:lineRule="exact"/>
        <w:rPr>
          <w:rFonts w:ascii="MS PGothic" w:cs="MS PGothic" w:eastAsia="MS PGothic" w:hAnsi="MS PGothic"/>
          <w:sz w:val="25"/>
          <w:szCs w:val="25"/>
          <w:color w:val="auto"/>
          <w:vertAlign w:val="superscript"/>
        </w:rPr>
      </w:pPr>
    </w:p>
    <w:p>
      <w:pPr>
        <w:ind w:left="1000" w:right="200"/>
        <w:spacing w:after="0" w:line="238"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29" w:lineRule="exact"/>
        <w:rPr>
          <w:rFonts w:ascii="MS PGothic" w:cs="MS PGothic" w:eastAsia="MS PGothic" w:hAnsi="MS PGothic"/>
          <w:sz w:val="25"/>
          <w:szCs w:val="25"/>
          <w:color w:val="auto"/>
          <w:vertAlign w:val="superscript"/>
        </w:rPr>
      </w:pPr>
    </w:p>
    <w:p>
      <w:pPr>
        <w:ind w:left="10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27" w:lineRule="exact"/>
        <w:rPr>
          <w:rFonts w:ascii="MS PGothic" w:cs="MS PGothic" w:eastAsia="MS PGothic" w:hAnsi="MS PGothic"/>
          <w:sz w:val="25"/>
          <w:szCs w:val="25"/>
          <w:color w:val="auto"/>
          <w:vertAlign w:val="superscript"/>
        </w:rPr>
      </w:pPr>
    </w:p>
    <w:p>
      <w:pPr>
        <w:ind w:left="1000" w:right="6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hsCRP and fibrinogen were shown with treatment with acumapimod, with hsCRP remaining suppressed through the 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17" w:lineRule="exact"/>
        <w:rPr>
          <w:rFonts w:ascii="MS PGothic" w:cs="MS PGothic" w:eastAsia="MS PGothic" w:hAnsi="MS PGothic"/>
          <w:sz w:val="25"/>
          <w:szCs w:val="25"/>
          <w:color w:val="auto"/>
          <w:vertAlign w:val="superscript"/>
        </w:rPr>
      </w:pPr>
    </w:p>
    <w:p>
      <w:pPr>
        <w:ind w:left="1000" w:right="4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5" w:lineRule="exact"/>
        <w:rPr>
          <w:rFonts w:ascii="MS PGothic" w:cs="MS PGothic" w:eastAsia="MS PGothic" w:hAnsi="MS PGothic"/>
          <w:sz w:val="25"/>
          <w:szCs w:val="25"/>
          <w:color w:val="auto"/>
          <w:vertAlign w:val="superscript"/>
        </w:rPr>
      </w:pPr>
    </w:p>
    <w:p>
      <w:pPr>
        <w:ind w:left="980" w:right="40" w:hanging="432"/>
        <w:spacing w:after="0" w:line="233" w:lineRule="auto"/>
        <w:tabs>
          <w:tab w:leader="none" w:pos="98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Leflutrozole (BGS-649): </w:t>
      </w:r>
      <w:r>
        <w:rPr>
          <w:rFonts w:ascii="Arial" w:cs="Arial" w:eastAsia="Arial" w:hAnsi="Arial"/>
          <w:sz w:val="18"/>
          <w:szCs w:val="18"/>
          <w:color w:val="auto"/>
        </w:rPr>
        <w:t>Leflutrozole is a once-weekly oral therapy we are developing for the treatment of HH in obese men.</w:t>
      </w:r>
      <w:r>
        <w:rPr>
          <w:rFonts w:ascii="Arial" w:cs="Arial" w:eastAsia="Arial" w:hAnsi="Arial"/>
          <w:sz w:val="18"/>
          <w:szCs w:val="18"/>
          <w:b w:val="1"/>
          <w:bCs w:val="1"/>
          <w:color w:val="auto"/>
        </w:rPr>
        <w:t xml:space="preserve"> </w:t>
      </w:r>
      <w:r>
        <w:rPr>
          <w:rFonts w:ascii="Arial" w:cs="Arial" w:eastAsia="Arial" w:hAnsi="Arial"/>
          <w:sz w:val="18"/>
          <w:szCs w:val="18"/>
          <w:color w:val="auto"/>
        </w:rPr>
        <w:t>HH is a clinical syndrome that results from inadequate levels of testosterone. Based 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00"/>
        <w:spacing w:after="0" w:line="238" w:lineRule="auto"/>
        <w:rPr>
          <w:sz w:val="20"/>
          <w:szCs w:val="20"/>
          <w:color w:val="auto"/>
        </w:rPr>
      </w:pPr>
      <w:r>
        <w:rPr>
          <w:rFonts w:ascii="Arial" w:cs="Arial" w:eastAsia="Arial" w:hAnsi="Arial"/>
          <w:sz w:val="18"/>
          <w:szCs w:val="18"/>
          <w:color w:val="auto"/>
        </w:rPr>
        <w:t>causing excessively high testosterone levels or reducing the levels of LH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29" w:lineRule="exact"/>
        <w:rPr>
          <w:sz w:val="20"/>
          <w:szCs w:val="20"/>
          <w:color w:val="auto"/>
        </w:rPr>
      </w:pPr>
    </w:p>
    <w:p>
      <w:pPr>
        <w:ind w:left="1000" w:right="140"/>
        <w:spacing w:after="0"/>
        <w:rPr>
          <w:sz w:val="20"/>
          <w:szCs w:val="20"/>
          <w:color w:val="auto"/>
        </w:rPr>
      </w:pPr>
      <w:r>
        <w:rPr>
          <w:rFonts w:ascii="Arial" w:cs="Arial" w:eastAsia="Arial" w:hAnsi="Arial"/>
          <w:sz w:val="18"/>
          <w:szCs w:val="18"/>
          <w:color w:val="auto"/>
        </w:rPr>
        <w:t>Prior to our acquisition of leflutrozole, Novartis conducted seven clinical trials in 131 patients and healthy volunteers, including a Phase 2 proof-of-concept trial for HH in obese men in which leflutrozole normalized testosterone levels in all patients and demonstrated an increase in LH and FSH levels.</w:t>
      </w:r>
    </w:p>
    <w:p>
      <w:pPr>
        <w:spacing w:after="0" w:line="27" w:lineRule="exact"/>
        <w:rPr>
          <w:sz w:val="20"/>
          <w:szCs w:val="20"/>
          <w:color w:val="auto"/>
        </w:rPr>
      </w:pPr>
    </w:p>
    <w:p>
      <w:pPr>
        <w:ind w:left="1000" w:right="60"/>
        <w:spacing w:after="0" w:line="235" w:lineRule="auto"/>
        <w:rPr>
          <w:sz w:val="20"/>
          <w:szCs w:val="20"/>
          <w:color w:val="auto"/>
        </w:rPr>
      </w:pPr>
      <w:r>
        <w:rPr>
          <w:rFonts w:ascii="Arial" w:cs="Arial" w:eastAsia="Arial" w:hAnsi="Arial"/>
          <w:sz w:val="18"/>
          <w:szCs w:val="18"/>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Leflutrozole was reported to be well-tolerated in the trial. A subset of 143 patients entered into a six-month safety extension study, with 88 patients completing the additional six months of treatment. The safety extension study was designed to examine if leflutrozole resulted in a pre-specified reduction in bone mineral density at 48 weeks following the initial 24 weeks treatment.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16" w:lineRule="exact"/>
        <w:rPr>
          <w:sz w:val="20"/>
          <w:szCs w:val="20"/>
          <w:color w:val="auto"/>
        </w:rPr>
      </w:pPr>
    </w:p>
    <w:p>
      <w:pPr>
        <w:ind w:left="980" w:hanging="432"/>
        <w:spacing w:after="0" w:line="234" w:lineRule="auto"/>
        <w:tabs>
          <w:tab w:leader="none" w:pos="9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Etigilimab (OMP-313M32)</w:t>
      </w:r>
      <w:r>
        <w:rPr>
          <w:rFonts w:ascii="Arial" w:cs="Arial" w:eastAsia="Arial" w:hAnsi="Arial"/>
          <w:sz w:val="18"/>
          <w:szCs w:val="18"/>
          <w:color w:val="auto"/>
        </w:rPr>
        <w:t>: Etigilimab is an anti-TIGIT therapeutic candidate intended to activate the immune system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mechanisms and enable anti-tumor activity. TIGIT (T-cell immunoreceptor with Ig and ITIM domains) is an inhibitory receptor that is thought to stop T-cells from attacking tumor cells. We acquired this therapeutic product candidate in the Merger. A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seven other tumor types. No dose limiting toxicities were observed in the Phase 1a or 1b portions of the study and the recommended Phase 2 dose was the top dose of 20mg/kg biweekly. The only treatment-related adverse event in the Phase 1a portion of the study with an incidence rate greater than 20% was rash (39%), and the most common treatment-related adverse events in the Phase 1b portion of the study were rash (40%), fatigue (30%) and pruritus (20%). There was only one treatment-related serious adverse event in the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8" w:lineRule="auto"/>
        <w:rPr>
          <w:sz w:val="20"/>
          <w:szCs w:val="20"/>
          <w:color w:val="auto"/>
        </w:rPr>
      </w:pPr>
      <w:r>
        <w:rPr>
          <w:rFonts w:ascii="Arial" w:cs="Arial" w:eastAsia="Arial" w:hAnsi="Arial"/>
          <w:sz w:val="18"/>
          <w:szCs w:val="18"/>
          <w:color w:val="auto"/>
        </w:rPr>
        <w:t>Phase 1a portion (autoimmune hepatitis) and there were no treatment-related serious adverse events in the Phase 1b portion of the study. None of the patients in the Phase 1a portion had a response and 30% had stable disease. Ten percent of the patients in the Phase 1b portion had a response and 10% had stable disease. The study has now completed enrollment and a CSR is being drafted.</w:t>
      </w:r>
    </w:p>
    <w:p>
      <w:pPr>
        <w:spacing w:after="0" w:line="29" w:lineRule="exact"/>
        <w:rPr>
          <w:sz w:val="20"/>
          <w:szCs w:val="20"/>
          <w:color w:val="auto"/>
        </w:rPr>
      </w:pPr>
    </w:p>
    <w:p>
      <w:pPr>
        <w:ind w:left="1000" w:right="80"/>
        <w:spacing w:after="0" w:line="237" w:lineRule="auto"/>
        <w:rPr>
          <w:sz w:val="20"/>
          <w:szCs w:val="20"/>
          <w:color w:val="auto"/>
        </w:rPr>
      </w:pPr>
      <w:r>
        <w:rPr>
          <w:rFonts w:ascii="Arial" w:cs="Arial" w:eastAsia="Arial" w:hAnsi="Arial"/>
          <w:sz w:val="18"/>
          <w:szCs w:val="18"/>
          <w:color w:val="auto"/>
        </w:rPr>
        <w:t>The TIGIT program was previously subject to an exclusive license option with Celgene as part of the Collaboration Agreement. See “—Material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 See “—Material Agreements—Novartis Agreements” and “—Material Agreements—AstraZeneca Agreement” for important information regarding our license agreements with Novartis and AstraZeneca.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8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We intend to become a leading biopharmaceutical company developing innovative therapeutics that aim to improve outcomes for patients with rare bone, respiratory and endocrine diseases. The key elements of our strategy to achieve this goal include:</w:t>
      </w:r>
    </w:p>
    <w:p>
      <w:pPr>
        <w:spacing w:after="0" w:line="202" w:lineRule="exact"/>
        <w:rPr>
          <w:sz w:val="20"/>
          <w:szCs w:val="20"/>
          <w:color w:val="auto"/>
        </w:rPr>
      </w:pPr>
    </w:p>
    <w:p>
      <w:pPr>
        <w:ind w:left="980" w:hanging="432"/>
        <w:spacing w:after="0" w:line="233" w:lineRule="auto"/>
        <w:tabs>
          <w:tab w:leader="none" w:pos="9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Rapidly develop and directly commercialize our rare disease product candidates</w:t>
      </w:r>
      <w:r>
        <w:rPr>
          <w:rFonts w:ascii="Arial" w:cs="Arial" w:eastAsia="Arial" w:hAnsi="Arial"/>
          <w:sz w:val="18"/>
          <w:szCs w:val="18"/>
          <w:color w:val="auto"/>
        </w:rPr>
        <w:t>. We have completed and announced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will continue to be followed for a further twelve months to examine the off-effects of setrusumab. We have agreed on a PIP for setrusumab with the EMA and following our post Phase 2 meeting with the FDA in February 2020 (see “Prospectus Summary— Recent Developments—Positive Feedback from Type B End-of-Phase 2 Meeting with the FDA”), we intend to prepare for a pivotal trial in the United States, EU and Canada in children with severe OI in 2020, with fracture as the primary end point. We believe the results from this trial, if favorable, will be sufficient to support the submission of a BLA in the United States and MAA in the EU for setrusumab for the treatment of children with severe OI and a CMA for the treatment of adults with OI.</w:t>
      </w:r>
    </w:p>
    <w:p>
      <w:pPr>
        <w:spacing w:after="0" w:line="33" w:lineRule="exact"/>
        <w:rPr>
          <w:rFonts w:ascii="MS PGothic" w:cs="MS PGothic" w:eastAsia="MS PGothic" w:hAnsi="MS PGothic"/>
          <w:sz w:val="25"/>
          <w:szCs w:val="25"/>
          <w:color w:val="auto"/>
          <w:vertAlign w:val="superscript"/>
        </w:rPr>
      </w:pPr>
    </w:p>
    <w:p>
      <w:pPr>
        <w:ind w:left="1000" w:right="100"/>
        <w:spacing w:after="0" w:line="237"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We have commenced a Phase 2 proof-of-concept clinical trial of alvelestat for the treatment of severe AATD and expect to report top-line data from this trial in mid-2020. If the results are favorable and pending regulatory feedback, we intend to continue to develop alvelestat toward approval and commercialization.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w:t>
      </w:r>
    </w:p>
    <w:p>
      <w:pPr>
        <w:spacing w:after="0" w:line="7"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Efficiently advance our non-rare disease product candidates and explore strategic relationships with third parties for further clinical development and/or commercialization or strategic sales or out-licensing</w:t>
      </w:r>
      <w:r>
        <w:rPr>
          <w:rFonts w:ascii="Arial" w:cs="Arial" w:eastAsia="Arial" w:hAnsi="Arial"/>
          <w:sz w:val="18"/>
          <w:szCs w:val="18"/>
          <w:color w:val="auto"/>
        </w:rPr>
        <w:t>. Based on the results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Phase 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 In addition, we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80"/>
        <w:spacing w:after="0" w:line="244" w:lineRule="auto"/>
        <w:rPr>
          <w:sz w:val="20"/>
          <w:szCs w:val="20"/>
          <w:color w:val="auto"/>
        </w:rPr>
      </w:pPr>
      <w:r>
        <w:rPr>
          <w:rFonts w:ascii="Arial" w:cs="Arial" w:eastAsia="Arial" w:hAnsi="Arial"/>
          <w:sz w:val="18"/>
          <w:szCs w:val="18"/>
          <w:color w:val="auto"/>
        </w:rPr>
        <w:t>plan to enter into strategic relationships with third parties for the further development of etigilimab, which we acquired in the Merger. Alternatively, we may seek to sell or out-license one or more of our non-rare disease product candidates.</w:t>
      </w:r>
    </w:p>
    <w:p>
      <w:pPr>
        <w:spacing w:after="0" w:line="3" w:lineRule="exact"/>
        <w:rPr>
          <w:sz w:val="20"/>
          <w:szCs w:val="20"/>
          <w:color w:val="auto"/>
        </w:rPr>
      </w:pPr>
    </w:p>
    <w:p>
      <w:pPr>
        <w:ind w:left="980" w:hanging="432"/>
        <w:spacing w:after="0" w:line="233" w:lineRule="auto"/>
        <w:tabs>
          <w:tab w:leader="none" w:pos="9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Leverage our expertise in business development to expand our pipeline of product candidates</w:t>
      </w:r>
      <w:r>
        <w:rPr>
          <w:rFonts w:ascii="Arial" w:cs="Arial" w:eastAsia="Arial" w:hAnsi="Arial"/>
          <w:sz w:val="18"/>
          <w:szCs w:val="18"/>
          <w:color w:val="auto"/>
        </w:rPr>
        <w:t>.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We intend to leverage these relationships to grow our pipeline with a focus on rare bone, endocrine, and respiratory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 w:lineRule="exact"/>
        <w:rPr>
          <w:rFonts w:ascii="MS PGothic" w:cs="MS PGothic" w:eastAsia="MS PGothic" w:hAnsi="MS PGothic"/>
          <w:sz w:val="25"/>
          <w:szCs w:val="25"/>
          <w:color w:val="auto"/>
          <w:vertAlign w:val="superscript"/>
        </w:rPr>
      </w:pPr>
    </w:p>
    <w:p>
      <w:pPr>
        <w:ind w:left="980" w:right="80" w:hanging="432"/>
        <w:spacing w:after="0" w:line="233" w:lineRule="auto"/>
        <w:tabs>
          <w:tab w:leader="none" w:pos="9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Continue to be a partner of choice for large pharmaceutical and biotechnology companies</w:t>
      </w:r>
      <w:r>
        <w:rPr>
          <w:rFonts w:ascii="Arial" w:cs="Arial" w:eastAsia="Arial" w:hAnsi="Arial"/>
          <w:sz w:val="18"/>
          <w:szCs w:val="18"/>
          <w:color w:val="auto"/>
        </w:rPr>
        <w:t>. 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large biotechnology companies and that we believe to be mutually beneficial.</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Setrusumab (BPS-804) for the Treatment of Osteogenesis Imperfecta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developing setrusumab for the treatment of OI.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w:t>
      </w:r>
    </w:p>
    <w:p>
      <w:pPr>
        <w:spacing w:after="0" w:line="208"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7"/>
          <w:szCs w:val="17"/>
          <w:color w:val="auto"/>
        </w:rPr>
        <w:t>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w:t>
      </w:r>
    </w:p>
    <w:p>
      <w:pPr>
        <w:spacing w:after="0" w:line="203"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99"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drugs such as bisphosphonates, which are not approved for this indication but are commonly used off-label in children.</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Setrusumab</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current and planned clinical trials of setrusumab:</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40" w:type="dxa"/>
            <w:vAlign w:val="bottom"/>
            <w:gridSpan w:val="2"/>
          </w:tcPr>
          <w:p>
            <w:pPr>
              <w:ind w:left="940"/>
              <w:spacing w:after="0"/>
              <w:rPr>
                <w:sz w:val="20"/>
                <w:szCs w:val="20"/>
                <w:color w:val="auto"/>
              </w:rPr>
            </w:pPr>
            <w:r>
              <w:rPr>
                <w:rFonts w:ascii="Arial" w:cs="Arial" w:eastAsia="Arial" w:hAnsi="Arial"/>
                <w:sz w:val="14"/>
                <w:szCs w:val="14"/>
                <w:b w:val="1"/>
                <w:bCs w:val="1"/>
                <w:color w:val="auto"/>
              </w:rPr>
              <w:t>Historical Trials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ind w:left="80"/>
              <w:spacing w:after="0"/>
              <w:rPr>
                <w:sz w:val="20"/>
                <w:szCs w:val="20"/>
                <w:color w:val="auto"/>
              </w:rPr>
            </w:pPr>
            <w:r>
              <w:rPr>
                <w:rFonts w:ascii="Arial" w:cs="Arial" w:eastAsia="Arial" w:hAnsi="Arial"/>
                <w:sz w:val="14"/>
                <w:szCs w:val="14"/>
                <w:b w:val="1"/>
                <w:bCs w:val="1"/>
                <w:color w:val="auto"/>
              </w:rPr>
              <w:t>Current Trials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Planned Trials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Treated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700" w:type="dxa"/>
            <w:vAlign w:val="bottom"/>
            <w:vMerge w:val="restart"/>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Population</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with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Planned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Setrusumab</w:t>
            </w: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Phase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Population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Enrollment</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Phase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Population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Enrollment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20"/>
        </w:trPr>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Phase 1</w:t>
            </w:r>
          </w:p>
        </w:tc>
        <w:tc>
          <w:tcPr>
            <w:tcW w:w="3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gridSpan w:val="2"/>
            <w:vMerge w:val="continue"/>
            <w:shd w:val="clear" w:color="auto" w:fill="CCEEFF"/>
          </w:tcPr>
          <w:p>
            <w:pPr>
              <w:spacing w:after="0"/>
              <w:rPr>
                <w:sz w:val="13"/>
                <w:szCs w:val="13"/>
                <w:color w:val="auto"/>
              </w:rPr>
            </w:pPr>
          </w:p>
        </w:tc>
        <w:tc>
          <w:tcPr>
            <w:tcW w:w="30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Phase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OI</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88"/>
              <w:spacing w:after="0" w:line="154" w:lineRule="exact"/>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80"/>
              <w:spacing w:after="0" w:line="154" w:lineRule="exact"/>
              <w:rPr>
                <w:sz w:val="20"/>
                <w:szCs w:val="20"/>
                <w:color w:val="auto"/>
              </w:rPr>
            </w:pPr>
            <w:r>
              <w:rPr>
                <w:rFonts w:ascii="Arial" w:cs="Arial" w:eastAsia="Arial" w:hAnsi="Arial"/>
                <w:sz w:val="14"/>
                <w:szCs w:val="14"/>
                <w:color w:val="auto"/>
              </w:rPr>
              <w:t>Phase 3</w:t>
            </w:r>
          </w:p>
        </w:tc>
        <w:tc>
          <w:tcPr>
            <w:tcW w:w="940" w:type="dxa"/>
            <w:vAlign w:val="bottom"/>
            <w:gridSpan w:val="2"/>
            <w:shd w:val="clear" w:color="auto" w:fill="CCEEFF"/>
          </w:tcPr>
          <w:p>
            <w:pPr>
              <w:jc w:val="center"/>
              <w:ind w:right="180"/>
              <w:spacing w:after="0" w:line="154" w:lineRule="exact"/>
              <w:rPr>
                <w:sz w:val="20"/>
                <w:szCs w:val="20"/>
                <w:color w:val="auto"/>
              </w:rPr>
            </w:pPr>
            <w:r>
              <w:rPr>
                <w:rFonts w:ascii="Arial" w:cs="Arial" w:eastAsia="Arial" w:hAnsi="Arial"/>
                <w:sz w:val="14"/>
                <w:szCs w:val="14"/>
                <w:color w:val="auto"/>
              </w:rPr>
              <w:t>OI</w:t>
            </w:r>
          </w:p>
        </w:tc>
        <w:tc>
          <w:tcPr>
            <w:tcW w:w="7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Phase</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2b</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(adult)</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(pediatrics)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ready</w:t>
            </w:r>
          </w:p>
        </w:tc>
        <w:tc>
          <w:tcPr>
            <w:tcW w:w="0" w:type="dxa"/>
            <w:vAlign w:val="bottom"/>
          </w:tcPr>
          <w:p>
            <w:pPr>
              <w:spacing w:after="0"/>
              <w:rPr>
                <w:sz w:val="1"/>
                <w:szCs w:val="1"/>
                <w:color w:val="auto"/>
              </w:rPr>
            </w:pPr>
          </w:p>
        </w:tc>
      </w:tr>
      <w:tr>
        <w:trPr>
          <w:trHeight w:val="157"/>
        </w:trPr>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in EU</w:t>
            </w:r>
          </w:p>
        </w:tc>
        <w:tc>
          <w:tcPr>
            <w:tcW w:w="0" w:type="dxa"/>
            <w:vAlign w:val="bottom"/>
          </w:tcPr>
          <w:p>
            <w:pPr>
              <w:spacing w:after="0"/>
              <w:rPr>
                <w:sz w:val="1"/>
                <w:szCs w:val="1"/>
                <w:color w:val="auto"/>
              </w:rPr>
            </w:pPr>
          </w:p>
        </w:tc>
      </w:t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tcPr>
          <w:p>
            <w:pPr>
              <w:jc w:val="center"/>
              <w:ind w:right="160"/>
              <w:spacing w:after="0"/>
              <w:rPr>
                <w:sz w:val="20"/>
                <w:szCs w:val="20"/>
                <w:color w:val="auto"/>
              </w:rPr>
            </w:pPr>
            <w:r>
              <w:rPr>
                <w:rFonts w:ascii="Arial" w:cs="Arial" w:eastAsia="Arial" w:hAnsi="Arial"/>
                <w:sz w:val="14"/>
                <w:szCs w:val="14"/>
                <w:color w:val="auto"/>
              </w:rPr>
              <w:t>Hypophosphatasia</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Women with Low Bone Mineral Density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2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tcPr>
          <w:p>
            <w:pPr>
              <w:jc w:val="center"/>
              <w:ind w:right="160"/>
              <w:spacing w:after="0"/>
              <w:rPr>
                <w:sz w:val="20"/>
                <w:szCs w:val="20"/>
                <w:color w:val="auto"/>
              </w:rPr>
            </w:pPr>
            <w:r>
              <w:rPr>
                <w:rFonts w:ascii="Arial" w:cs="Arial" w:eastAsia="Arial" w:hAnsi="Arial"/>
                <w:sz w:val="14"/>
                <w:szCs w:val="14"/>
                <w:color w:val="auto"/>
              </w:rPr>
              <w:t>OI</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95"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setrusumab were administered and were shown to be well tolerated. A Phase 2 ascending dose trial was also performed in eight adult patients with hypophosphatasia, a rare disorder characterized by abnormal development of bones and teeth. Three different setrusumab doses were administered and a positive effect on bone formation biomarkers was observed.</w:t>
      </w:r>
    </w:p>
    <w:p>
      <w:pPr>
        <w:spacing w:after="0" w:line="56"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setrusumab. The trial had four arms, with patients dosed weekly for three weeks (4 doses), monthly for three months (4 doses) and quarterly for one quarter (2 doses), and a placebo group. In this trial, setrusumab increased bone mineral density up to 7.8%, 7.3% and 4.3% in the weekly, monthly and quarterly groups,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81"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80" w:hanging="432"/>
        <w:spacing w:after="0"/>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setrusumab;</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setrusumab on lumbar spine bone mineral density measured by DXA scan; and</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setrusumab when administered as multiple dose escalating intravenous infusions on:</w:t>
      </w:r>
    </w:p>
    <w:p>
      <w:pPr>
        <w:spacing w:after="0" w:line="68" w:lineRule="exact"/>
        <w:rPr>
          <w:rFonts w:ascii="MS PGothic" w:cs="MS PGothic" w:eastAsia="MS PGothic" w:hAnsi="MS PGothic"/>
          <w:sz w:val="25"/>
          <w:szCs w:val="25"/>
          <w:color w:val="auto"/>
          <w:vertAlign w:val="superscript"/>
        </w:rPr>
      </w:pPr>
    </w:p>
    <w:p>
      <w:pPr>
        <w:ind w:left="1420" w:right="740" w:hanging="427"/>
        <w:spacing w:after="0" w:line="218" w:lineRule="auto"/>
        <w:tabs>
          <w:tab w:leader="none" w:pos="1420" w:val="left"/>
        </w:tabs>
        <w:numPr>
          <w:ilvl w:val="1"/>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(“P1NP”), procollagen 1 C terminal propeptide (“P1CP”), osteocalcin (“OC”) and bone-specific alkaline phosphatase (“BSAP”); and</w:t>
      </w:r>
    </w:p>
    <w:p>
      <w:pPr>
        <w:spacing w:after="0" w:line="68" w:lineRule="exact"/>
        <w:rPr>
          <w:rFonts w:ascii="MS PGothic" w:cs="MS PGothic" w:eastAsia="MS PGothic" w:hAnsi="MS PGothic"/>
          <w:sz w:val="25"/>
          <w:szCs w:val="25"/>
          <w:color w:val="auto"/>
          <w:vertAlign w:val="superscript"/>
        </w:rPr>
      </w:pPr>
    </w:p>
    <w:p>
      <w:pPr>
        <w:ind w:left="1420" w:right="320" w:hanging="427"/>
        <w:spacing w:after="0" w:line="218" w:lineRule="auto"/>
        <w:tabs>
          <w:tab w:leader="none" w:pos="1420" w:val="left"/>
        </w:tabs>
        <w:numPr>
          <w:ilvl w:val="1"/>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(“CTX-1”) and N-telopeptides of type I collagen cross-links.</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a low, medium and high dose of setrusumab two weeks apart, over four weeks, and were followed for a total of 21 weeks after the last dose. DXA studies were performed at day 141 and bone biomarkers were measured on days eight, 15, 29, 36, 43, 57, 85, 113 and 141, for both groups.</w:t>
      </w:r>
    </w:p>
    <w:p>
      <w:pPr>
        <w:spacing w:after="0" w:line="20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Treatment with setrusumab showed a statistically significant increase in lumbar spine bone mineral density from baseline, which was sustained at day 141 of the trial, 16 weeks after the last dose of setrusumab, with a mean increase in lumbar spine bone mineral density in treated patients of 4%, as shown in the table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Setrusumab</w:t>
            </w:r>
          </w:p>
        </w:tc>
        <w:tc>
          <w:tcPr>
            <w:tcW w:w="5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Ratio of</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Ratio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geometric</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geometric</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Parameter</w:t>
            </w:r>
          </w:p>
        </w:tc>
        <w:tc>
          <w:tcPr>
            <w:tcW w:w="3940" w:type="dxa"/>
            <w:vAlign w:val="bottom"/>
            <w:vMerge w:val="restart"/>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mean to</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mean to</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2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baseline</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p-value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baseline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Bone Mineral Density</w:t>
            </w: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gridSpan w:val="2"/>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0.038(1)</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4(2)</w:t>
            </w: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w:t>
            </w:r>
          </w:p>
        </w:tc>
        <w:tc>
          <w:tcPr>
            <w:tcW w:w="400" w:type="dxa"/>
            <w:vAlign w:val="bottom"/>
            <w:vMerge w:val="continue"/>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right="420" w:hanging="424"/>
        <w:spacing w:after="0" w:line="23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markers of bone formation and resorption, respectively, that are recommended for clinical use and are considered the two reference markers by the International Osteoporosis Foundation and International Federation of Clinical Chemistry.</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Treatment with setrusumab also showed a statistically significant improvement in all measured bone formation biomarkers at day 43 of the trial, as shown in the table below, as well as a trend of reduction in the CTX-1 biomarker of bone resorption: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Setrusumab</w:t>
            </w:r>
          </w:p>
        </w:tc>
        <w:tc>
          <w:tcPr>
            <w:tcW w:w="5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Reference</w:t>
            </w:r>
          </w:p>
        </w:tc>
        <w:tc>
          <w:tcPr>
            <w:tcW w:w="5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geometric</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geometric</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Bone formation biomarker</w:t>
            </w:r>
          </w:p>
        </w:tc>
        <w:tc>
          <w:tcPr>
            <w:tcW w:w="14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mean to</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67"/>
        </w:trPr>
        <w:tc>
          <w:tcPr>
            <w:tcW w:w="1800" w:type="dxa"/>
            <w:vAlign w:val="bottom"/>
            <w:tcBorders>
              <w:bottom w:val="single" w:sz="8" w:color="auto"/>
            </w:tcBorders>
            <w:vMerge w:val="continue"/>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p-value</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p-value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P1NP</w:t>
            </w:r>
          </w:p>
        </w:tc>
        <w:tc>
          <w:tcPr>
            <w:tcW w:w="14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4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0.001(1)</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4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w:t>
            </w:r>
          </w:p>
        </w:tc>
        <w:tc>
          <w:tcPr>
            <w:tcW w:w="40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0.651</w:t>
            </w:r>
          </w:p>
        </w:tc>
        <w:tc>
          <w:tcPr>
            <w:tcW w:w="400" w:type="dxa"/>
            <w:vAlign w:val="bottom"/>
            <w:vMerge w:val="continue"/>
            <w:shd w:val="clear" w:color="auto" w:fill="CCEEFF"/>
          </w:tcPr>
          <w:p>
            <w:pPr>
              <w:spacing w:after="0"/>
              <w:rPr>
                <w:sz w:val="16"/>
                <w:szCs w:val="16"/>
                <w:color w:val="auto"/>
              </w:rPr>
            </w:pPr>
          </w:p>
        </w:tc>
        <w:tc>
          <w:tcPr>
            <w:tcW w:w="12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3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1.53</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0.003(1)</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0.600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3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0.001(1)</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0.87</w:t>
            </w: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0.582</w:t>
            </w:r>
          </w:p>
        </w:tc>
        <w:tc>
          <w:tcPr>
            <w:tcW w:w="12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OC</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0.012(1)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0.81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0.436</w:t>
            </w: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21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setrusumab, along with the bone biomarker data, support the bone anabolic effects of setrusumab in adult patients with moderate OI and support the potential for setrusumab to stimulate bone formation and reduce bone resorption after a low, medium and high dose.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the trials conducted by Novartis, setrusumab was generally well tolerated. In the Phase 2 OI clinical trial, there was one non-drug related significant adverse event in the reference group. The most common adverse events were headaches, influenza, arthralgia and fatigue both in patients who received setrusumab and in the reference group.</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and Planned Clinical Trials in Osteogenesis Imperfecta</w:t>
      </w:r>
    </w:p>
    <w:p>
      <w:pPr>
        <w:spacing w:after="0" w:line="95"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7"/>
          <w:szCs w:val="17"/>
          <w:color w:val="auto"/>
        </w:rPr>
        <w:t>In May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will be followed for a further twelve months to examine the off-effects of setrusumab. Similar to the Phase 2 clinical trial conducted by Novartis, we enrolled patients with type I, III and IV OI.</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12 month Top-line Data From Setrusumab Phase 2b Dose-ranging Study in Adult Patients</w:t>
      </w:r>
    </w:p>
    <w:p>
      <w:pPr>
        <w:spacing w:after="0" w:line="81"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97" w:lineRule="exact"/>
        <w:rPr>
          <w:sz w:val="20"/>
          <w:szCs w:val="20"/>
          <w:color w:val="auto"/>
        </w:rPr>
      </w:pPr>
    </w:p>
    <w:p>
      <w:pPr>
        <w:jc w:val="both"/>
        <w:ind w:left="120" w:right="440" w:firstLine="440"/>
        <w:spacing w:after="0" w:line="261" w:lineRule="auto"/>
        <w:rPr>
          <w:sz w:val="20"/>
          <w:szCs w:val="20"/>
          <w:color w:val="auto"/>
        </w:rPr>
      </w:pPr>
      <w:r>
        <w:rPr>
          <w:rFonts w:ascii="Arial" w:cs="Arial" w:eastAsia="Arial" w:hAnsi="Arial"/>
          <w:sz w:val="17"/>
          <w:szCs w:val="17"/>
          <w:color w:val="auto"/>
        </w:rPr>
        <w:t>The primary endpoint of the trial was change in trabecular volumetric bone mineral density (“Tr vBMD”) of the radius (wrist) over baseline after 12 months of treatment as measured by high resolution peripheral quantitative computerized tomography (“HRpQCT”). Cortical bone, or compact bone, is denser and is primarily found in the shaft of long bones and forms the outer shell around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trabecular bone, or cancellous or spongy bone, at the end of joints and the vertebrae.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 Importantly, an increase in total BMD at the wrist as measured by HRpQCT (measuring cortical and trabecular together), a secondary endpoint of the study, was observed and reached statistical significance in the medium and high dose cohorts. Mean increases in total volumetric BMD were 4.11% (p=0.004), 4.85% (p=0.028), and -0.18% (p=0.97) in the high, medium, and low dose cohorts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respectively. This suggests total volumetric BMD increases were driven by the ability of setrusumab to increase cortical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volumetric BMD.</w:t>
      </w:r>
    </w:p>
    <w:p>
      <w:pPr>
        <w:spacing w:after="0" w:line="20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two-dimensional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208"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are from the three-arm blinded portion of the study. Set forth below is additional information on the Phase 2b dose-ranging clinical trial for setrusumab in adults with Type I, III or IV OI.</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(ASTEROID) Study Design</w:t>
      </w:r>
    </w:p>
    <w:p>
      <w:pPr>
        <w:spacing w:after="0" w:line="9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Phase 2b dose-ranging (ASTEROID) study was a 12-month, randomized, double-blind, Phase 2b dose-finding study in 112 adults diagnosed with type I, III or IV OI and a confirmed COL1A1/COL1A2 mutation who have fractured over the previous five years. The primary endpoint of the study was the change over baseline in Tr vBMD of the wrist at 12 months, assessed using HRpQCT. Change from baseline at six and 12 months for areal BMD at the lumbar spine, as measured by DXA, was an important secondary endpoint. Additional secondary endpoints included HRpQCT parameters (such as total volumetric BMD), bone biomarkers, patient reported outcomes (PRO) and quality of life measures. Fracture data were also collected throughout the duration of the study, although the trial was not statistically powered for fractures.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Patient Baseline Demographics</w:t>
      </w:r>
    </w:p>
    <w:p>
      <w:pPr>
        <w:spacing w:after="0" w:line="9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ASBMR annual meeting in September 2019. Patients in the open-label arm of the study have not yet completed 12 months of treatment with setrusumab, therefore the top-line 12-month results reported in November 2019 are from the three-arm blinded portion of the study.</w:t>
      </w:r>
    </w:p>
    <w:p>
      <w:pPr>
        <w:spacing w:after="0" w:line="205"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Patients in the trial had not been treated with bisphosphonates in the previous three months or other anabolic or anti-resorptive medications in the previous six months. Ten patients discontinued treatment with setrusumab in the blinded portion of the study.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Efficacy Endpoint Results</w:t>
      </w:r>
    </w:p>
    <w:p>
      <w:pPr>
        <w:spacing w:after="0" w:line="81"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Patient baseline Tr vBMD HRpQCT values ranged widely from 18.2 to 279 and changes did not show a dose response. As such, the study demonstrated mean changes in Tr vBMD of the wrist over baseline of 0.7% (±5.1), -0.8% (±4.2), and 0.61% (±2.8) in the high (n=27), medium (n=20), and low dose (n=22) cohorts, respectively. When combined with the change in cortical volumetric BMD of the wrist, a dose-dependent percentage increase in total volumetric BMD was observed (a secondary endpoint of the study), reaching statistical significance in the medium and high dose cohorts. Mean increases in total volumetric BMD were 4.11% (p=0.004), 4.85% (p=0.028), and -0.18% (p=0.97) in the high, medium, and low dose cohorts, respectively, suggesting total BMD increases may be driven by the ability of setrusumab to increase cortical volumetric BMD. The total volumetric BMD increase in the high dose cohort was in line with the open-label data reported in May 2019 and presented at ASBMR in September 2019, where an increase of 3.0% was observed at six months at the high dose.</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two-dimensional DXA measurement, reaching statistical significance in the high and medium doses cohorts at both six and 12 months, with a clear dose-dependent response. The magnitude of areal BMD changes over baseline at the lumbar spine at six months in the blinded high-dose cohort was consistent with the previously reported six-month data from the open-label arm of the study.</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Increase in areal BMD at the lumbar spine as measured by DXA by dose cohort</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Mean %</w:t>
            </w: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r>
      <w:tr>
        <w:trPr>
          <w:trHeight w:val="162"/>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Mean % Change in</w:t>
            </w:r>
          </w:p>
        </w:tc>
        <w:tc>
          <w:tcPr>
            <w:tcW w:w="198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Areal BMD at</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 Value at Six</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Areal BMD at 12</w:t>
            </w:r>
          </w:p>
        </w:tc>
        <w:tc>
          <w:tcPr>
            <w:tcW w:w="1980" w:type="dxa"/>
            <w:vAlign w:val="bottom"/>
          </w:tcPr>
          <w:p>
            <w:pPr>
              <w:spacing w:after="0"/>
              <w:rPr>
                <w:sz w:val="14"/>
                <w:szCs w:val="14"/>
                <w:color w:val="auto"/>
              </w:rPr>
            </w:pPr>
          </w:p>
        </w:tc>
      </w:tr>
      <w:tr>
        <w:trPr>
          <w:trHeight w:val="175"/>
        </w:trPr>
        <w:tc>
          <w:tcPr>
            <w:tcW w:w="780" w:type="dxa"/>
            <w:vAlign w:val="bottom"/>
          </w:tcPr>
          <w:p>
            <w:pPr>
              <w:spacing w:after="0"/>
              <w:rPr>
                <w:sz w:val="15"/>
                <w:szCs w:val="15"/>
                <w:color w:val="auto"/>
              </w:rPr>
            </w:pPr>
          </w:p>
        </w:tc>
        <w:tc>
          <w:tcPr>
            <w:tcW w:w="18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Dose Cohort</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1980" w:type="dxa"/>
            <w:vAlign w:val="bottom"/>
          </w:tcPr>
          <w:p>
            <w:pPr>
              <w:ind w:left="280"/>
              <w:spacing w:after="0"/>
              <w:rPr>
                <w:sz w:val="20"/>
                <w:szCs w:val="20"/>
                <w:color w:val="auto"/>
              </w:rPr>
            </w:pPr>
            <w:r>
              <w:rPr>
                <w:rFonts w:ascii="Arial" w:cs="Arial" w:eastAsia="Arial" w:hAnsi="Arial"/>
                <w:sz w:val="14"/>
                <w:szCs w:val="14"/>
                <w:b w:val="1"/>
                <w:bCs w:val="1"/>
                <w:color w:val="auto"/>
              </w:rPr>
              <w:t>P Value at 12 Months</w:t>
            </w:r>
          </w:p>
        </w:tc>
      </w:tr>
      <w:tr>
        <w:trPr>
          <w:trHeight w:val="20"/>
        </w:trPr>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2660" w:type="dxa"/>
            <w:vAlign w:val="bottom"/>
            <w:gridSpan w:val="3"/>
          </w:tcPr>
          <w:p>
            <w:pPr>
              <w:jc w:val="center"/>
              <w:ind w:right="240"/>
              <w:spacing w:after="0" w:line="189" w:lineRule="exact"/>
              <w:rPr>
                <w:sz w:val="20"/>
                <w:szCs w:val="20"/>
                <w:color w:val="auto"/>
              </w:rPr>
            </w:pPr>
            <w:r>
              <w:rPr>
                <w:rFonts w:ascii="Arial" w:cs="Arial" w:eastAsia="Arial" w:hAnsi="Arial"/>
                <w:sz w:val="18"/>
                <w:szCs w:val="18"/>
                <w:color w:val="auto"/>
                <w:w w:val="99"/>
              </w:rPr>
              <w:t>High (n=23)</w:t>
            </w:r>
          </w:p>
        </w:tc>
        <w:tc>
          <w:tcPr>
            <w:tcW w:w="2100" w:type="dxa"/>
            <w:vAlign w:val="bottom"/>
          </w:tcPr>
          <w:p>
            <w:pPr>
              <w:jc w:val="center"/>
              <w:spacing w:after="0" w:line="189" w:lineRule="exact"/>
              <w:rPr>
                <w:sz w:val="20"/>
                <w:szCs w:val="20"/>
                <w:color w:val="auto"/>
              </w:rPr>
            </w:pPr>
            <w:r>
              <w:rPr>
                <w:rFonts w:ascii="Arial" w:cs="Arial" w:eastAsia="Arial" w:hAnsi="Arial"/>
                <w:sz w:val="18"/>
                <w:szCs w:val="18"/>
                <w:color w:val="auto"/>
                <w:w w:val="96"/>
              </w:rPr>
              <w:t>+4.2%</w:t>
            </w:r>
          </w:p>
        </w:tc>
        <w:tc>
          <w:tcPr>
            <w:tcW w:w="12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rPr>
              <w:t>p&lt;0.001</w:t>
            </w: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w w:val="96"/>
              </w:rPr>
              <w:t>+8.8%</w:t>
            </w: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rPr>
              <w:t>p&lt;0.001</w:t>
            </w:r>
          </w:p>
        </w:tc>
      </w:tr>
      <w:tr>
        <w:trPr>
          <w:trHeight w:val="203"/>
        </w:trPr>
        <w:tc>
          <w:tcPr>
            <w:tcW w:w="2660" w:type="dxa"/>
            <w:vAlign w:val="bottom"/>
            <w:gridSpan w:val="3"/>
          </w:tcPr>
          <w:p>
            <w:pPr>
              <w:jc w:val="center"/>
              <w:ind w:right="240"/>
              <w:spacing w:after="0" w:line="202" w:lineRule="exact"/>
              <w:rPr>
                <w:sz w:val="20"/>
                <w:szCs w:val="20"/>
                <w:color w:val="auto"/>
              </w:rPr>
            </w:pPr>
            <w:r>
              <w:rPr>
                <w:rFonts w:ascii="Arial" w:cs="Arial" w:eastAsia="Arial" w:hAnsi="Arial"/>
                <w:sz w:val="18"/>
                <w:szCs w:val="18"/>
                <w:color w:val="auto"/>
              </w:rPr>
              <w:t>Medium (n=17)</w:t>
            </w:r>
          </w:p>
        </w:tc>
        <w:tc>
          <w:tcPr>
            <w:tcW w:w="2100" w:type="dxa"/>
            <w:vAlign w:val="bottom"/>
          </w:tcPr>
          <w:p>
            <w:pPr>
              <w:jc w:val="center"/>
              <w:spacing w:after="0" w:line="202" w:lineRule="exact"/>
              <w:rPr>
                <w:sz w:val="20"/>
                <w:szCs w:val="20"/>
                <w:color w:val="auto"/>
              </w:rPr>
            </w:pPr>
            <w:r>
              <w:rPr>
                <w:rFonts w:ascii="Arial" w:cs="Arial" w:eastAsia="Arial" w:hAnsi="Arial"/>
                <w:sz w:val="18"/>
                <w:szCs w:val="18"/>
                <w:color w:val="auto"/>
              </w:rPr>
              <w:t>+3.61%</w:t>
            </w:r>
          </w:p>
        </w:tc>
        <w:tc>
          <w:tcPr>
            <w:tcW w:w="120" w:type="dxa"/>
            <w:vAlign w:val="bottom"/>
          </w:tcPr>
          <w:p>
            <w:pPr>
              <w:spacing w:after="0"/>
              <w:rPr>
                <w:sz w:val="17"/>
                <w:szCs w:val="17"/>
                <w:color w:val="auto"/>
              </w:rPr>
            </w:pP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p=0.003</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6"/>
              </w:rPr>
              <w:t>+6.8%</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p&lt;0.001</w:t>
            </w:r>
          </w:p>
        </w:tc>
      </w:tr>
      <w:tr>
        <w:trPr>
          <w:trHeight w:val="217"/>
        </w:trPr>
        <w:tc>
          <w:tcPr>
            <w:tcW w:w="266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Low (n=21)</w:t>
            </w:r>
          </w:p>
        </w:tc>
        <w:tc>
          <w:tcPr>
            <w:tcW w:w="2100" w:type="dxa"/>
            <w:vAlign w:val="bottom"/>
          </w:tcPr>
          <w:p>
            <w:pPr>
              <w:jc w:val="center"/>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rPr>
              <w:t>p=0.153</w:t>
            </w:r>
          </w:p>
        </w:tc>
        <w:tc>
          <w:tcPr>
            <w:tcW w:w="1980" w:type="dxa"/>
            <w:vAlign w:val="bottom"/>
          </w:tcPr>
          <w:p>
            <w:pPr>
              <w:jc w:val="center"/>
              <w:spacing w:after="0"/>
              <w:rPr>
                <w:sz w:val="20"/>
                <w:szCs w:val="20"/>
                <w:color w:val="auto"/>
              </w:rPr>
            </w:pPr>
            <w:r>
              <w:rPr>
                <w:rFonts w:ascii="Arial" w:cs="Arial" w:eastAsia="Arial" w:hAnsi="Arial"/>
                <w:sz w:val="18"/>
                <w:szCs w:val="18"/>
                <w:color w:val="auto"/>
                <w:w w:val="96"/>
              </w:rPr>
              <w:t>+2.6%</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P=0.057</w:t>
            </w: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Increases in areal BMD as measured by DXA were also consistent across all OI subtypes represented in the study (types I, III and</w:t>
      </w:r>
    </w:p>
    <w:p>
      <w:pPr>
        <w:ind w:left="120"/>
        <w:spacing w:after="0"/>
        <w:rPr>
          <w:sz w:val="20"/>
          <w:szCs w:val="20"/>
          <w:color w:val="auto"/>
        </w:rPr>
      </w:pPr>
      <w:r>
        <w:rPr>
          <w:rFonts w:ascii="Arial" w:cs="Arial" w:eastAsia="Arial" w:hAnsi="Arial"/>
          <w:sz w:val="18"/>
          <w:szCs w:val="18"/>
          <w:color w:val="auto"/>
        </w:rPr>
        <w:t>IV).</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2: Increase in areal BMD at the lumbar spine as measured by DXA by OI subtype in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high dose group</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9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Mean % Change in Areal</w:t>
            </w:r>
          </w:p>
        </w:tc>
        <w:tc>
          <w:tcPr>
            <w:tcW w:w="3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Mean % Change in Areal</w:t>
            </w:r>
          </w:p>
        </w:tc>
      </w:tr>
      <w:tr>
        <w:trPr>
          <w:trHeight w:val="195"/>
        </w:trPr>
        <w:tc>
          <w:tcPr>
            <w:tcW w:w="286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OI Type in High Dose Cohort</w:t>
            </w:r>
          </w:p>
        </w:tc>
        <w:tc>
          <w:tcPr>
            <w:tcW w:w="1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BMD at Six Months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BMD at 12 months</w:t>
            </w:r>
          </w:p>
        </w:tc>
      </w:tr>
      <w:tr>
        <w:trPr>
          <w:trHeight w:val="189"/>
        </w:trPr>
        <w:tc>
          <w:tcPr>
            <w:tcW w:w="900" w:type="dxa"/>
            <w:vAlign w:val="bottom"/>
          </w:tcPr>
          <w:p>
            <w:pPr>
              <w:spacing w:after="0"/>
              <w:rPr>
                <w:sz w:val="16"/>
                <w:szCs w:val="16"/>
                <w:color w:val="auto"/>
              </w:rPr>
            </w:pPr>
          </w:p>
        </w:tc>
        <w:tc>
          <w:tcPr>
            <w:tcW w:w="1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8"/>
              </w:rPr>
              <w:t>Type I (n=17)</w:t>
            </w:r>
          </w:p>
        </w:tc>
        <w:tc>
          <w:tcPr>
            <w:tcW w:w="1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+8.6%</w:t>
            </w:r>
          </w:p>
        </w:tc>
      </w:tr>
      <w:tr>
        <w:trPr>
          <w:trHeight w:val="217"/>
        </w:trPr>
        <w:tc>
          <w:tcPr>
            <w:tcW w:w="9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Type III &amp; IV (n=6)</w:t>
            </w:r>
          </w:p>
        </w:tc>
        <w:tc>
          <w:tcPr>
            <w:tcW w:w="4640" w:type="dxa"/>
            <w:vAlign w:val="bottom"/>
            <w:gridSpan w:val="2"/>
          </w:tcPr>
          <w:p>
            <w:pPr>
              <w:jc w:val="center"/>
              <w:ind w:left="10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+9.8%</w:t>
            </w:r>
          </w:p>
        </w:tc>
      </w:tr>
      <w:tr>
        <w:trPr>
          <w:trHeight w:val="351"/>
        </w:trPr>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40" w:type="dxa"/>
            <w:vAlign w:val="bottom"/>
            <w:gridSpan w:val="2"/>
          </w:tcPr>
          <w:p>
            <w:pPr>
              <w:jc w:val="right"/>
              <w:ind w:right="176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Statistically significant changes in areal BMD were also observed by DXA at the femoral neck and total hip with mean increases of 3.2% (p=0.022) and 2.3% (P=0.009), respectively, at 12 months in the high dose cohort.</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Although the study was not statistically powered to show a difference in fracture rates, a trend of reduction in fractures was observed in the high dose cohort. Fractures in the study included both X-ray confirmed as well as those confirmed by a local radiologist dependent on the nature of the fracture.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3: Percentage of patients with at least one fracture and occurrence rate per patient year</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2"/>
          </w:tcPr>
          <w:p>
            <w:pPr>
              <w:jc w:val="right"/>
              <w:ind w:right="1080"/>
              <w:spacing w:after="0" w:line="143" w:lineRule="exact"/>
              <w:rPr>
                <w:sz w:val="20"/>
                <w:szCs w:val="20"/>
                <w:color w:val="auto"/>
              </w:rPr>
            </w:pPr>
            <w:r>
              <w:rPr>
                <w:rFonts w:ascii="Arial" w:cs="Arial" w:eastAsia="Arial" w:hAnsi="Arial"/>
                <w:sz w:val="14"/>
                <w:szCs w:val="14"/>
                <w:b w:val="1"/>
                <w:bCs w:val="1"/>
                <w:color w:val="auto"/>
              </w:rPr>
              <w:t>Percentage of Patients</w:t>
            </w:r>
          </w:p>
        </w:tc>
        <w:tc>
          <w:tcPr>
            <w:tcW w:w="3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Dose Cohort</w:t>
            </w:r>
          </w:p>
        </w:tc>
        <w:tc>
          <w:tcPr>
            <w:tcW w:w="3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 xml:space="preserve">Experience </w:t>
            </w:r>
            <w:r>
              <w:rPr>
                <w:rFonts w:ascii="Arial" w:cs="Arial" w:eastAsia="Arial" w:hAnsi="Arial"/>
                <w:sz w:val="14"/>
                <w:szCs w:val="14"/>
                <w:color w:val="auto"/>
              </w:rPr>
              <w:t>³</w:t>
            </w:r>
            <w:r>
              <w:rPr>
                <w:rFonts w:ascii="Arial" w:cs="Arial" w:eastAsia="Arial" w:hAnsi="Arial"/>
                <w:sz w:val="14"/>
                <w:szCs w:val="14"/>
                <w:b w:val="1"/>
                <w:bCs w:val="1"/>
                <w:color w:val="auto"/>
              </w:rPr>
              <w:t xml:space="preserve"> 1 New Fracture</w:t>
            </w:r>
          </w:p>
        </w:tc>
        <w:tc>
          <w:tcPr>
            <w:tcW w:w="3560" w:type="dxa"/>
            <w:vAlign w:val="bottom"/>
            <w:gridSpan w:val="2"/>
          </w:tcPr>
          <w:p>
            <w:pPr>
              <w:ind w:left="860"/>
              <w:spacing w:after="0"/>
              <w:rPr>
                <w:sz w:val="20"/>
                <w:szCs w:val="20"/>
                <w:color w:val="auto"/>
              </w:rPr>
            </w:pPr>
            <w:r>
              <w:rPr>
                <w:rFonts w:ascii="Arial" w:cs="Arial" w:eastAsia="Arial" w:hAnsi="Arial"/>
                <w:sz w:val="14"/>
                <w:szCs w:val="14"/>
                <w:b w:val="1"/>
                <w:bCs w:val="1"/>
                <w:color w:val="auto"/>
              </w:rPr>
              <w:t>Fractures per Subject Year</w:t>
            </w: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24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High (n=27)</w:t>
            </w:r>
          </w:p>
        </w:tc>
        <w:tc>
          <w:tcPr>
            <w:tcW w:w="352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6"/>
                <w:szCs w:val="16"/>
                <w:color w:val="auto"/>
              </w:rPr>
            </w:pPr>
          </w:p>
        </w:tc>
        <w:tc>
          <w:tcPr>
            <w:tcW w:w="3540" w:type="dxa"/>
            <w:vAlign w:val="bottom"/>
          </w:tcPr>
          <w:p>
            <w:pPr>
              <w:jc w:val="right"/>
              <w:spacing w:after="0" w:line="189" w:lineRule="exact"/>
              <w:rPr>
                <w:sz w:val="20"/>
                <w:szCs w:val="20"/>
                <w:color w:val="auto"/>
              </w:rPr>
            </w:pPr>
            <w:r>
              <w:rPr>
                <w:rFonts w:ascii="Arial" w:cs="Arial" w:eastAsia="Arial" w:hAnsi="Arial"/>
                <w:sz w:val="18"/>
                <w:szCs w:val="18"/>
                <w:color w:val="auto"/>
              </w:rPr>
              <w:t>0.16</w:t>
            </w:r>
          </w:p>
        </w:tc>
        <w:tc>
          <w:tcPr>
            <w:tcW w:w="20" w:type="dxa"/>
            <w:vAlign w:val="bottom"/>
          </w:tcPr>
          <w:p>
            <w:pPr>
              <w:spacing w:after="0"/>
              <w:rPr>
                <w:sz w:val="16"/>
                <w:szCs w:val="16"/>
                <w:color w:val="auto"/>
              </w:rPr>
            </w:pPr>
          </w:p>
        </w:tc>
      </w:tr>
      <w:tr>
        <w:trPr>
          <w:trHeight w:val="203"/>
        </w:trPr>
        <w:tc>
          <w:tcPr>
            <w:tcW w:w="386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rPr>
              <w:t>Medium (n=20)</w:t>
            </w:r>
          </w:p>
        </w:tc>
        <w:tc>
          <w:tcPr>
            <w:tcW w:w="3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3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0.49</w:t>
            </w:r>
          </w:p>
        </w:tc>
      </w:tr>
      <w:tr>
        <w:trPr>
          <w:trHeight w:val="217"/>
        </w:trPr>
        <w:tc>
          <w:tcPr>
            <w:tcW w:w="144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Low (n=22)</w:t>
            </w:r>
          </w:p>
        </w:tc>
        <w:tc>
          <w:tcPr>
            <w:tcW w:w="36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r>
    </w:tbl>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Top-line Safety Results</w:t>
      </w:r>
    </w:p>
    <w:p>
      <w:pPr>
        <w:spacing w:after="0" w:line="9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haematoma and subdural haemorrhage;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 reported as potentially cardiac related were discussed at the DMC (including cardiology review), and none were concluded to represent a cardiovascular safety concern.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Steps</w:t>
      </w:r>
    </w:p>
    <w:p>
      <w:pPr>
        <w:spacing w:after="0" w:line="122"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Patients who have completed 12-months of treatment in the ASTEROID study continue into a 12-month extension “off therapy” portion to examine the off effect of setrusumab. Patients who continue in the extension portion have the option to receive 12 months of treatment with the bisphosphonate zoledronic acid (given at months six and/or 12). Such patients will receive both DXA and HRpQCT scans at six and 12 months after entering the extension portion.</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we have agreed on a PIP for setrusumab with the EMA and intend to prepare for a pivotal trial of setrusumab in the United States, Europe and Canada in children with severe OI in 2020, with fracture rate as the primary endpoint. We intend to enroll approximately 165 children aged 5 to &lt;18 years old in this trial. Based on our interactions with the EMA, we believe that the results from this trial, if favorable, will be sufficient to support the submission of a MAA for setrusumab for the treatment of children with severe OI and a CMA for the treatment of OI in adults in the EU.</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end of 2019 to discuss the expansion of the pivotal trial of setrusumab for the treatment of patients with severe OI to include sites in the United States. In February 2020, we announced the successful completion of a Type B End -of-Phase 2 meeting with the FDA to discuss the development of setrusumab for the treatment of children and adolescents with OI in the United States. See “Prospectus Summary— Recent Developments—Positive Feedback from Type B End-of-Phase 2 Meeting with the FDA.”</w:t>
      </w:r>
    </w:p>
    <w:p>
      <w:pPr>
        <w:spacing w:after="0" w:line="20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See “—Government Regulation—Foreign Government Regulation.”</w:t>
      </w:r>
    </w:p>
    <w:p>
      <w:pPr>
        <w:spacing w:after="0" w:line="202" w:lineRule="exact"/>
        <w:rPr>
          <w:sz w:val="20"/>
          <w:szCs w:val="20"/>
          <w:color w:val="auto"/>
        </w:rPr>
      </w:pPr>
    </w:p>
    <w:p>
      <w:pPr>
        <w:ind w:left="120" w:right="520" w:firstLine="440"/>
        <w:spacing w:after="0"/>
        <w:rPr>
          <w:sz w:val="20"/>
          <w:szCs w:val="20"/>
          <w:color w:val="auto"/>
        </w:rPr>
      </w:pPr>
      <w:r>
        <w:rPr>
          <w:rFonts w:ascii="Arial" w:cs="Arial" w:eastAsia="Arial" w:hAnsi="Arial"/>
          <w:sz w:val="18"/>
          <w:szCs w:val="18"/>
          <w:color w:val="auto"/>
        </w:rPr>
        <w:t>In February 2020, we announced the successful completion of a Type B End-of-Phase 2 meeting with the FDA to discuss the development of setrusumab for the treatment of children and adolescents with OI in the United States. See “Prospectus Summary— Recent Developments—Positive Feedback from Type B End-of-Phase 2 Meeting with the FDA.”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Alvelestat (MPH-966) for the Treatment of Severe Alpha-1-Antitrypsin Deficiency (“AATD”)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are developing alvelestat for the treatment of severe AATD, a potentially life-threatening rare, genetic condition that results in severe debilitating diseases, including early-onset pulmonary emphysema. Alvelestat is a novel, oral small molecule designed to inhibit NE. Scientific data indicate that the increased risk of lung tissue injury in AATD patients may be due to inadequately controlled NE caused by insufficient AAT. We believe that by inhibiting NE, alvelestat has the potential to reduce the destruction of lung tissue and stabilize clinical deterioration in severe AATD patients.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Further, AAT augmentation therapy is not reimbursed and thus is not currently available to patients in several jurisdictions, including some key European markets. In addition, AAT augmentation therapy requires potentially inconvenient weekly intravenous infusions.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Alvelestat</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and planned clinical trials of alvelestat: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Historical Trials</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Current Trials</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840" w:type="dxa"/>
            <w:vAlign w:val="bottom"/>
            <w:vMerge w:val="restart"/>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w:t>
            </w:r>
          </w:p>
        </w:tc>
        <w:tc>
          <w:tcPr>
            <w:tcW w:w="4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Population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Studies</w:t>
            </w:r>
          </w:p>
        </w:tc>
        <w:tc>
          <w:tcPr>
            <w:tcW w:w="4280" w:type="dxa"/>
            <w:vAlign w:val="bottom"/>
            <w:gridSpan w:val="2"/>
            <w:vMerge w:val="continue"/>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Alvelestat</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Population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Enrollment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Trial Started</w:t>
            </w:r>
          </w:p>
        </w:tc>
        <w:tc>
          <w:tcPr>
            <w:tcW w:w="0" w:type="dxa"/>
            <w:vAlign w:val="bottom"/>
          </w:tcPr>
          <w:p>
            <w:pPr>
              <w:spacing w:after="0"/>
              <w:rPr>
                <w:sz w:val="1"/>
                <w:szCs w:val="1"/>
                <w:color w:val="auto"/>
              </w:rPr>
            </w:pPr>
          </w:p>
        </w:tc>
      </w:tr>
      <w:tr>
        <w:trPr>
          <w:trHeight w:val="20"/>
        </w:trPr>
        <w:tc>
          <w:tcPr>
            <w:tcW w:w="12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Phase 1</w:t>
            </w: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gridSpan w:val="2"/>
            <w:vMerge w:val="continue"/>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4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Healthy Volunteers / COPD</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w:t>
            </w:r>
          </w:p>
        </w:tc>
        <w:tc>
          <w:tcPr>
            <w:tcW w:w="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Phase 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AATD</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Q4 2018</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4280" w:type="dxa"/>
            <w:vAlign w:val="bottom"/>
            <w:gridSpan w:val="2"/>
          </w:tcPr>
          <w:p>
            <w:pPr>
              <w:jc w:val="center"/>
              <w:ind w:right="180"/>
              <w:spacing w:after="0"/>
              <w:rPr>
                <w:sz w:val="20"/>
                <w:szCs w:val="20"/>
                <w:color w:val="auto"/>
              </w:rPr>
            </w:pPr>
            <w:r>
              <w:rPr>
                <w:rFonts w:ascii="Arial" w:cs="Arial" w:eastAsia="Arial" w:hAnsi="Arial"/>
                <w:sz w:val="14"/>
                <w:szCs w:val="14"/>
                <w:color w:val="auto"/>
              </w:rPr>
              <w:t>COPD</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4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6"/>
              </w:rPr>
              <w:t>CF</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4280" w:type="dxa"/>
            <w:vAlign w:val="bottom"/>
            <w:gridSpan w:val="2"/>
          </w:tcPr>
          <w:p>
            <w:pPr>
              <w:jc w:val="center"/>
              <w:ind w:right="180"/>
              <w:spacing w:after="0"/>
              <w:rPr>
                <w:sz w:val="20"/>
                <w:szCs w:val="20"/>
                <w:color w:val="auto"/>
              </w:rPr>
            </w:pPr>
            <w:r>
              <w:rPr>
                <w:rFonts w:ascii="Arial" w:cs="Arial" w:eastAsia="Arial" w:hAnsi="Arial"/>
                <w:sz w:val="14"/>
                <w:szCs w:val="14"/>
                <w:color w:val="auto"/>
              </w:rPr>
              <w:t>Bronchiectasis</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22</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Trials</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Although prior clinical trials of alvelestat were in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6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alvelestat, using a 60 mg dose of alvelestat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38" w:lineRule="auto"/>
        <w:rPr>
          <w:sz w:val="20"/>
          <w:szCs w:val="20"/>
          <w:color w:val="auto"/>
        </w:rPr>
      </w:pPr>
      <w:r>
        <w:rPr>
          <w:rFonts w:ascii="Arial" w:cs="Arial" w:eastAsia="Arial" w:hAnsi="Arial"/>
          <w:sz w:val="18"/>
          <w:szCs w:val="18"/>
          <w:color w:val="auto"/>
        </w:rPr>
        <w:t>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 measures quality of life in patients with diseases of airways obstruction, favored alvelestat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alvelestat to treat severe AATD, a disease driven primarily by insufficient inhibition of NE.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77"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alvelestat, using a 60 mg dose of alvelestat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20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trial was designed to examine the safety and efficacy of alvelestat and its effect on the biomarkers of lung damage. The trial did not demonstrate a statistically significant benefit in lung function, which we believe was due to the anti-proteolytic mechanism of action of alvelestat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As the proposed mechanism of action of alvelestat is to inhibit the NE activity in severe AATD patients, we believe this supports the utility of desmosine as a clinical biomarker in our Phase 2 proof-of-concept study.</w:t>
      </w:r>
    </w:p>
    <w:p>
      <w:pPr>
        <w:spacing w:after="0" w:line="208"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alvelestat, 16 patients had an elevation of liver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enzymes with alanine transaminase or aspartate transaminase enzyme concentrations elevated to greater than three times the upper limit of normal, but no patient met the criteria of Hy’s law of drug-induced liver injury and no dose dependency was observed. Headache was the most frequently reported adverse event among eight out of the 12 studies completed to date. It was seen in up to 39% of those who received multiple doses and was seen on both active and placebo. Across all the studies, two of the headaches were reported as severe but most of the headaches were mild in intensity. Independent safety review committees evaluated this data and recommended that the trials continue.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9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are conducting a Phase 2 proof-of-concept clinical trial of alvelestat in 165 patients with severe AATD in the United States and the EU and expect to report top-line data from this trial in mid-2020. The trial is a 12-week, double-blind, placebo-controlled clinical trial examining two doses of alvelestat compared to placebo with primary endpoints of elastin breakdown as measured by the biomarker desmosine. We believe that by inhibiting NE, alvelestat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120" w:right="1000" w:firstLine="440"/>
        <w:spacing w:after="0" w:line="246" w:lineRule="auto"/>
        <w:rPr>
          <w:sz w:val="20"/>
          <w:szCs w:val="20"/>
          <w:color w:val="auto"/>
        </w:rPr>
      </w:pPr>
      <w:r>
        <w:rPr>
          <w:rFonts w:ascii="Arial" w:cs="Arial" w:eastAsia="Arial" w:hAnsi="Arial"/>
          <w:sz w:val="18"/>
          <w:szCs w:val="18"/>
          <w:color w:val="auto"/>
        </w:rPr>
        <w:t>We plan to enroll only patients with PiZZ or Null/Null genotypes with confirmed emphysema, who have not received AAT augmentation therapy or have undergone a wash-out period following AAT augmentation therapy.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212" w:lineRule="exact"/>
        <w:rPr>
          <w:sz w:val="20"/>
          <w:szCs w:val="20"/>
          <w:color w:val="auto"/>
        </w:rPr>
      </w:pPr>
    </w:p>
    <w:p>
      <w:pPr>
        <w:ind w:left="120" w:right="340" w:firstLine="440"/>
        <w:spacing w:after="0" w:line="237" w:lineRule="auto"/>
        <w:rPr>
          <w:sz w:val="20"/>
          <w:szCs w:val="20"/>
          <w:color w:val="auto"/>
        </w:rPr>
      </w:pPr>
      <w:r>
        <w:rPr>
          <w:rFonts w:ascii="Arial" w:cs="Arial" w:eastAsia="Arial" w:hAnsi="Arial"/>
          <w:sz w:val="18"/>
          <w:szCs w:val="18"/>
          <w:color w:val="auto"/>
        </w:rPr>
        <w:t>We received an investment from, and are collaborating with, the venture philanthropy arm of the Alpha-1 Foundation,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$ 0.4 million. On November 1, 2018 the first tranche of $0.1 million was received and as a result we issued 41,286 warrants to subscribe for our ordinary shares at an exercise price of £0.003 per 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Acumapimod (BCT-197) for the Treatment of AECOPD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developing acumapimod as a first-line acute therapy in patients with a severe AECOPD to reduce further acute exacerbations of COPD. Acumapimod is a novel, orally active p38 MAP kinase inhibitor designed to inhibit the pathological mechanism behind inflammation, which is a key feature of AECOPD. Currently available treatments only manage the symptoms of severe AECOPD and are comprised primarily of oxygen therapy, corticosteroids, antibiotics, and bronchodilators. We believe acumapimod offers a potential new treatment by targeting the underlying disease and delivering tangible benefits for patients and payors by potentially preventing severe AECOPD, or reducing the frequency of exacerbations and reducing readmissions.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with the disease and the same number likely suffer from the disease without being aware of it. In 2015, according to the WHO, there were over three million deaths from the disease worldwide.</w:t>
      </w:r>
    </w:p>
    <w:p>
      <w:pPr>
        <w:spacing w:after="0" w:line="197"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7"/>
          <w:szCs w:val="17"/>
          <w:color w:val="auto"/>
        </w:rPr>
        <w:t>An AECOPD is defined as an acute event characterized by a worsening of the patient’s symptoms beyond normal day-to-day variations that requires a change in medication and a severe AECOPD is where a patient requires hospitalization or visits the emergency room.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19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believe that there is a significant medical need for a drug which is disease-modifying and could potentially prevent severe AECOPDs instead of just treating the symptoms. In addition, we believe that a drug that could prevent or reduce severe AECOPDs and also has anti-inflammatory effects would significantly improve the quality of life of COPD patients due to improved lung function, fewer infections and possibly reduced risk of rehospitalization and mortality.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Our product candidate for treating AECOPD is acumapimod,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(“TNFa”) and interleukin-8, which are released in the blood stream, and interleukin-6, which is released from bronchial epithelial cells, all of which are blocked by inhibiting p38 MAP kinase.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acumapimod has the following key advantages over current therapies:</w:t>
      </w:r>
    </w:p>
    <w:p>
      <w:pPr>
        <w:spacing w:after="0" w:line="202"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either the hospital or an outpatient setting;</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 course treatment that can reduce further acute exacerbations of COPD.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Acumapimod</w:t>
      </w:r>
    </w:p>
    <w:p>
      <w:pPr>
        <w:spacing w:after="0" w:line="8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following table summarizes the historical clinical trials of acumapimod. We intend to explore strategic options with third parties for the further development of acumapimod.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4960" w:type="dxa"/>
            <w:vAlign w:val="bottom"/>
            <w:tcBorders>
              <w:top w:val="single" w:sz="8" w:color="auto"/>
            </w:tcBorders>
            <w:vMerge w:val="restart"/>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Subjects Treated with</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 of Studies</w:t>
            </w:r>
          </w:p>
        </w:tc>
        <w:tc>
          <w:tcPr>
            <w:tcW w:w="2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Population</w:t>
            </w:r>
          </w:p>
        </w:tc>
        <w:tc>
          <w:tcPr>
            <w:tcW w:w="1540" w:type="dxa"/>
            <w:vAlign w:val="bottom"/>
          </w:tcPr>
          <w:p>
            <w:pPr>
              <w:jc w:val="right"/>
              <w:ind w:right="256"/>
              <w:spacing w:after="0"/>
              <w:rPr>
                <w:sz w:val="20"/>
                <w:szCs w:val="20"/>
                <w:color w:val="auto"/>
              </w:rPr>
            </w:pPr>
            <w:r>
              <w:rPr>
                <w:rFonts w:ascii="Arial" w:cs="Arial" w:eastAsia="Arial" w:hAnsi="Arial"/>
                <w:sz w:val="14"/>
                <w:szCs w:val="14"/>
                <w:b w:val="1"/>
                <w:bCs w:val="1"/>
                <w:color w:val="auto"/>
              </w:rPr>
              <w:t>Acumapimod</w:t>
            </w:r>
          </w:p>
        </w:tc>
        <w:tc>
          <w:tcPr>
            <w:tcW w:w="0" w:type="dxa"/>
            <w:vAlign w:val="bottom"/>
          </w:tcPr>
          <w:p>
            <w:pPr>
              <w:spacing w:after="0"/>
              <w:rPr>
                <w:sz w:val="1"/>
                <w:szCs w:val="1"/>
                <w:color w:val="auto"/>
              </w:rPr>
            </w:pPr>
          </w:p>
        </w:tc>
      </w:tr>
      <w:tr>
        <w:trPr>
          <w:trHeight w:val="20"/>
        </w:trPr>
        <w:tc>
          <w:tcPr>
            <w:tcW w:w="5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Phase 1</w:t>
            </w: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720"/>
              <w:spacing w:after="0" w:line="189" w:lineRule="exact"/>
              <w:rPr>
                <w:sz w:val="20"/>
                <w:szCs w:val="20"/>
                <w:color w:val="auto"/>
              </w:rPr>
            </w:pPr>
            <w:r>
              <w:rPr>
                <w:rFonts w:ascii="Arial" w:cs="Arial" w:eastAsia="Arial" w:hAnsi="Arial"/>
                <w:sz w:val="18"/>
                <w:szCs w:val="18"/>
                <w:color w:val="auto"/>
              </w:rPr>
              <w:t>5(1)</w:t>
            </w: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Healthy Volunteers</w:t>
            </w:r>
          </w:p>
        </w:tc>
        <w:tc>
          <w:tcPr>
            <w:tcW w:w="740" w:type="dxa"/>
            <w:vAlign w:val="bottom"/>
            <w:vMerge w:val="continue"/>
            <w:shd w:val="clear" w:color="auto" w:fill="CCEEFF"/>
          </w:tcPr>
          <w:p>
            <w:pPr>
              <w:spacing w:after="0"/>
              <w:rPr>
                <w:sz w:val="16"/>
                <w:szCs w:val="16"/>
                <w:color w:val="auto"/>
              </w:rPr>
            </w:pPr>
          </w:p>
        </w:tc>
        <w:tc>
          <w:tcPr>
            <w:tcW w:w="15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18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1</w:t>
            </w:r>
          </w:p>
        </w:tc>
        <w:tc>
          <w:tcPr>
            <w:tcW w:w="22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AECOPD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1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w:t>
            </w:r>
          </w:p>
        </w:tc>
        <w:tc>
          <w:tcPr>
            <w:tcW w:w="228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Acute Kidney Injury</w:t>
            </w:r>
          </w:p>
        </w:tc>
        <w:tc>
          <w:tcPr>
            <w:tcW w:w="1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1</w:t>
            </w:r>
          </w:p>
        </w:tc>
        <w:tc>
          <w:tcPr>
            <w:tcW w:w="228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AECOPD</w:t>
            </w:r>
          </w:p>
        </w:tc>
        <w:tc>
          <w:tcPr>
            <w:tcW w:w="15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4" w:lineRule="exact"/>
        <w:rPr>
          <w:sz w:val="20"/>
          <w:szCs w:val="20"/>
          <w:color w:val="auto"/>
        </w:rPr>
      </w:pPr>
    </w:p>
    <w:p>
      <w:pPr>
        <w:ind w:left="560" w:right="4900" w:hanging="444"/>
        <w:spacing w:after="0" w:line="399" w:lineRule="auto"/>
        <w:tabs>
          <w:tab w:leader="none" w:pos="5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Includes two company-initiated 16-patient drug-drug interaction studies. </w:t>
      </w:r>
      <w:r>
        <w:rPr>
          <w:rFonts w:ascii="Arial" w:cs="Arial" w:eastAsia="Arial" w:hAnsi="Arial"/>
          <w:sz w:val="18"/>
          <w:szCs w:val="18"/>
          <w:i w:val="1"/>
          <w:iCs w:val="1"/>
          <w:color w:val="auto"/>
        </w:rPr>
        <w:t>Phase 1 Clinical Trials</w:t>
      </w:r>
    </w:p>
    <w:p>
      <w:pPr>
        <w:ind w:left="120" w:right="80" w:firstLine="440"/>
        <w:spacing w:after="0" w:line="241" w:lineRule="auto"/>
        <w:rPr>
          <w:sz w:val="20"/>
          <w:szCs w:val="20"/>
          <w:color w:val="auto"/>
        </w:rPr>
      </w:pPr>
      <w:r>
        <w:rPr>
          <w:rFonts w:ascii="Arial" w:cs="Arial" w:eastAsia="Arial" w:hAnsi="Arial"/>
          <w:sz w:val="18"/>
          <w:szCs w:val="18"/>
          <w:color w:val="auto"/>
        </w:rPr>
        <w:t>Prior to our acquisition of acumapimod, Novartis performed three Phase 1 clinical trials. One of these trials was a three-part Phase 1 clinical trial in a total of 141 healthy volunteers designed to evaluate the safety and anti-inflammatory properties of acumapimod following lipopolysaccharide (“LPS”) challenge, a method of inducing an inflammatory response. Parts 1 and 2 of this trial assessed the ability of acumapimod to inhibit TNFa, a pro-inflammatory cytokine, ex vivo following LPS challenge and Part 3 assessed the same in vivo. In Part 1, which was a single ascending dose trial, TNFa was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inhibited by a mean of 50% by doses of at least 30 mg, and in Part 2, which was a multi-ascending dose trial, TNFa was inhibited by a mean of 70%.</w:t>
      </w:r>
    </w:p>
    <w:p>
      <w:pPr>
        <w:spacing w:after="0" w:line="170" w:lineRule="exact"/>
        <w:rPr>
          <w:sz w:val="20"/>
          <w:szCs w:val="20"/>
          <w:color w:val="auto"/>
        </w:rPr>
      </w:pPr>
    </w:p>
    <w:p>
      <w:pPr>
        <w:ind w:left="120" w:right="140" w:firstLine="440"/>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acumapimod, or 75 mg of acumapimod. Subjects were exposed to LPS three hours following dosing of acumapimod or placebo and the concentration of TNFa was measured. In this trial, acumapimod produced a statistically significant reduction in the levels of TNFa in the treated subjects versus placebo. The following graph shows that the TNFa response was seen in both doses of acumapimod.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 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174625</wp:posOffset>
            </wp:positionV>
            <wp:extent cx="4843145" cy="2674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431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that the results of this trial suggest that acumapimod has pharmacology appropriate for an oral drug taken either once a day or on alternate days.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Novartis conducted a double-blind, Phase 2 clinical trial in Europe comparing acumapimod to the steroid prednisolone and a placebo control. The trial was designed to assess the effect of single and repeated dose of acumapimod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acumapimod.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80" w:right="620" w:hanging="432"/>
        <w:spacing w:after="0" w:line="218" w:lineRule="auto"/>
        <w:tabs>
          <w:tab w:leader="none" w:pos="9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acumapimod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acumapimod or placebo on day one of the trial. The ratio of patients receiving acumapimod to patients receiving placebo was five to one;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20" w:hanging="432"/>
        <w:spacing w:after="0" w:line="218" w:lineRule="auto"/>
        <w:tabs>
          <w:tab w:leader="none" w:pos="9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acumapimod or placebo on days one and six of the trial. The ratio of patients receiving acumapimod to patients receiving placebo was five to one; and</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acumapimod or placebo on days one and six of the trial. The ratio of patients receiving acumapimod to patients receiving placebo was five to one.</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acumapimod, during a 14-day period, consistent with the duration of most AECOPDs. The following graph summarizes the mean change from baseline in FEV1 values for each dose arm. The change was greatest in the group that received two doses of 75 mg of acumapimod, reaching statistical significance in this group at day 8 (p=0.022). On analysis of the area under the curve to Day 14, two doses of 75 mg of acumapimod demonstrated a statistically significant improvement in FEV1 versus placebo and prednisolone (p=0.0198 and 0.0102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Mean Change in FEV1 from Baseline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163195</wp:posOffset>
            </wp:positionV>
            <wp:extent cx="4517390" cy="2837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1739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trials conducted by Novartis, acumapimod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acumapimod.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Dose-Ranging Clinical Trial in Severe AECOPD</w:t>
      </w:r>
    </w:p>
    <w:p>
      <w:pPr>
        <w:spacing w:after="0" w:line="95"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conducted a dose-ranging Phase 2 clinical trial in the United States and Europe to identify the most effective dosing regimen for severe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This dose-ranging trial assessed two dosing regimens of acumapimod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20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80" w:hanging="432"/>
        <w:spacing w:after="0"/>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dosing regimens of acumapimod showed a statistically significant change in FEV1 from baseline to Day 7 (p=0.012 and p £</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0.001), meeting the trial’s primary endpoint on an intent-to-treat patient population basis. The standard of care plus placebo group did not</w:t>
      </w:r>
    </w:p>
    <w:p>
      <w:pPr>
        <w:ind w:left="120"/>
        <w:spacing w:after="0" w:line="234" w:lineRule="auto"/>
        <w:rPr>
          <w:sz w:val="20"/>
          <w:szCs w:val="20"/>
          <w:color w:val="auto"/>
        </w:rPr>
      </w:pPr>
      <w:r>
        <w:rPr>
          <w:rFonts w:ascii="Arial" w:cs="Arial" w:eastAsia="Arial" w:hAnsi="Arial"/>
          <w:sz w:val="18"/>
          <w:szCs w:val="18"/>
          <w:color w:val="auto"/>
        </w:rPr>
        <w:t>show a significant change from baseline (p=0.102). The high- and low-dosage acumapimod groups showed a mean improvement in FEV1</w:t>
      </w:r>
    </w:p>
    <w:p>
      <w:pPr>
        <w:ind w:left="120"/>
        <w:spacing w:after="0" w:line="235" w:lineRule="auto"/>
        <w:rPr>
          <w:sz w:val="20"/>
          <w:szCs w:val="20"/>
          <w:color w:val="auto"/>
        </w:rPr>
      </w:pPr>
      <w:r>
        <w:rPr>
          <w:rFonts w:ascii="Arial" w:cs="Arial" w:eastAsia="Arial" w:hAnsi="Arial"/>
          <w:sz w:val="18"/>
          <w:szCs w:val="18"/>
          <w:color w:val="auto"/>
        </w:rPr>
        <w:t>of 84 ml and 115 ml, respectively, compared to 57 ml for the standard of care plus placebo group. While the acumapimod groups showed</w:t>
      </w:r>
    </w:p>
    <w:p>
      <w:pPr>
        <w:ind w:left="120"/>
        <w:spacing w:after="0" w:line="235" w:lineRule="auto"/>
        <w:rPr>
          <w:sz w:val="20"/>
          <w:szCs w:val="20"/>
          <w:color w:val="auto"/>
        </w:rPr>
      </w:pPr>
      <w:r>
        <w:rPr>
          <w:rFonts w:ascii="Arial" w:cs="Arial" w:eastAsia="Arial" w:hAnsi="Arial"/>
          <w:sz w:val="18"/>
          <w:szCs w:val="18"/>
          <w:color w:val="auto"/>
        </w:rPr>
        <w:t>greater improvement when compared to the standard of care plus placebo group, the difference in improvement was not statistically</w:t>
      </w:r>
    </w:p>
    <w:p>
      <w:pPr>
        <w:ind w:left="120"/>
        <w:spacing w:after="0"/>
        <w:rPr>
          <w:sz w:val="20"/>
          <w:szCs w:val="20"/>
          <w:color w:val="auto"/>
        </w:rPr>
      </w:pPr>
      <w:r>
        <w:rPr>
          <w:rFonts w:ascii="Arial" w:cs="Arial" w:eastAsia="Arial" w:hAnsi="Arial"/>
          <w:sz w:val="18"/>
          <w:szCs w:val="18"/>
          <w:color w:val="auto"/>
        </w:rPr>
        <w:t>significant.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Dose-dependent, statistically significant reductions in both hsCRP and fibrinogen were shown with treatment with acumapimod, with hsCRP remaining suppressed through the 26-week observation period. The graphs below show these reductions during the period when patients were experiencing their first occurrence of AECOPD, or their index AECOPD.</w:t>
      </w:r>
    </w:p>
    <w:p>
      <w:pPr>
        <w:spacing w:after="0" w:line="181" w:lineRule="exact"/>
        <w:rPr>
          <w:sz w:val="20"/>
          <w:szCs w:val="20"/>
          <w:color w:val="auto"/>
        </w:rPr>
      </w:pPr>
    </w:p>
    <w:p>
      <w:pPr>
        <w:jc w:val="center"/>
        <w:ind w:left="500" w:right="120"/>
        <w:spacing w:after="0" w:line="271" w:lineRule="auto"/>
        <w:rPr>
          <w:sz w:val="20"/>
          <w:szCs w:val="20"/>
          <w:color w:val="auto"/>
        </w:rPr>
      </w:pPr>
      <w:r>
        <w:rPr>
          <w:rFonts w:ascii="Arial" w:cs="Arial" w:eastAsia="Arial" w:hAnsi="Arial"/>
          <w:sz w:val="18"/>
          <w:szCs w:val="18"/>
          <w:b w:val="1"/>
          <w:bCs w:val="1"/>
          <w:color w:val="auto"/>
        </w:rPr>
        <w:t>Absolute Change from Baseline in hsCRP During the First 14 days of the Study While Patients Were Experiencing their Index AECOPD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80" w:right="120"/>
        <w:spacing w:after="0" w:line="271" w:lineRule="auto"/>
        <w:rPr>
          <w:sz w:val="20"/>
          <w:szCs w:val="20"/>
          <w:color w:val="auto"/>
        </w:rPr>
      </w:pPr>
      <w:r>
        <w:rPr>
          <w:rFonts w:ascii="Arial" w:cs="Arial" w:eastAsia="Arial" w:hAnsi="Arial"/>
          <w:sz w:val="18"/>
          <w:szCs w:val="18"/>
          <w:b w:val="1"/>
          <w:bCs w:val="1"/>
          <w:color w:val="auto"/>
        </w:rPr>
        <w:t>Absolute Change from Baseline in Fibrinogen During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128905</wp:posOffset>
            </wp:positionV>
            <wp:extent cx="4208780" cy="2057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087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0" w:firstLine="440"/>
        <w:spacing w:after="0" w:line="262" w:lineRule="auto"/>
        <w:rPr>
          <w:sz w:val="20"/>
          <w:szCs w:val="20"/>
          <w:color w:val="auto"/>
        </w:rPr>
      </w:pPr>
      <w:r>
        <w:rPr>
          <w:rFonts w:ascii="Arial" w:cs="Arial" w:eastAsia="Arial" w:hAnsi="Arial"/>
          <w:sz w:val="17"/>
          <w:szCs w:val="17"/>
          <w:color w:val="auto"/>
        </w:rPr>
        <w:t>As shown in the chart below, the high-dose acumapimod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acumapimod group.</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Percentage of Patients Rehospitalized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165735</wp:posOffset>
            </wp:positionV>
            <wp:extent cx="5194935" cy="2828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9493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165735</wp:posOffset>
            </wp:positionV>
            <wp:extent cx="2871470" cy="2297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7147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Consistent with the results from this trial, there was a reduction in the number of patients receiving antibiotic and systemic steroids in the high-dose group versus placebo of 46% observed in the long-term follow-up portion of the trial.</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this trial, acumapimod was observed to be well tolerated. Adverse events included two cases of acneiform rash, which were resolved. No induced liver injuries were observed. 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Leflutrozole (BGS-649) for the Treatment of Hypogonadotropic Hypogonadism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are developing leflutrozole for the treatment of HH in obese men. In obese men, a decline in testosterone is exacerbated by high levels of the aromatase enzyme in the fat tissue. The aromatase enzyme converts testosterone to estradiol, thereby reducing testosterone levels. Leflutrozole is a novel once-weekly oral aromatase inhibitor designed to normalize testosterone levels and improve HH without causing the excessively high testosterone levels and impaired fertility that may result from TRT, the primary treatment for HH. 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120" w:right="80" w:firstLine="436"/>
        <w:spacing w:after="0" w:line="236" w:lineRule="auto"/>
        <w:tabs>
          <w:tab w:leader="none" w:pos="8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WHO estimates and scientific data, we believe that there are approximately seven million cases of HH in obese men, generally defined as men with a body mass index (“BMI”) of 30 kilograms per meter squared or more, in the United States.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85"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5"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The leading testosterone replacement product candidates on the market are AbbVie’s AndroGel and Lilly’s Axiron, both of which carry a black box warning. Both product candidates are administered transdermally by applying a gel formulation. Allergan, Inc.’s Androderm is the leading transdermal patch on the market. The most frequently prescribed intramuscular injections are Bayer AG’s Nebido and Endo Pharmaceutical Inc.’s (“Endo”) Aveed. The leading implant on the market is Endo’s Testopel.</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120" w:right="360" w:firstLine="440"/>
        <w:spacing w:after="0" w:line="237" w:lineRule="auto"/>
        <w:rPr>
          <w:sz w:val="20"/>
          <w:szCs w:val="20"/>
          <w:color w:val="auto"/>
        </w:rPr>
      </w:pPr>
      <w:r>
        <w:rPr>
          <w:rFonts w:ascii="Arial" w:cs="Arial" w:eastAsia="Arial" w:hAnsi="Arial"/>
          <w:sz w:val="18"/>
          <w:szCs w:val="18"/>
          <w:color w:val="auto"/>
        </w:rPr>
        <w:t>Our product candidate for treating HH in obese men is leflutrozole,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Leflutrozole is intended to restore normal levels of testosterone without causing the excessively high testosterone levels that may result from TRT. In addition, we believe that the long half-life of leflutrozole of 22 days may allow for convenient weekly dosing.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leflutrozole is designed to inhibit aromatase and restore testosterone without disturbing the physiological feedback in the HPT axis, thereby maintaining or increasing LH and FSH with minimal risk of reaching supraphysiological levels of testosterone.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151765</wp:posOffset>
            </wp:positionV>
            <wp:extent cx="3943350" cy="32918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4335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Leflutrozole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table of the historical and planned clinical trials of leflutrozole: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20" w:type="dxa"/>
            <w:vAlign w:val="bottom"/>
            <w:gridSpan w:val="5"/>
          </w:tcPr>
          <w:p>
            <w:pPr>
              <w:ind w:left="1220"/>
              <w:spacing w:after="0"/>
              <w:rPr>
                <w:sz w:val="20"/>
                <w:szCs w:val="20"/>
                <w:color w:val="auto"/>
              </w:rPr>
            </w:pPr>
            <w:r>
              <w:rPr>
                <w:rFonts w:ascii="Arial" w:cs="Arial" w:eastAsia="Arial" w:hAnsi="Arial"/>
                <w:sz w:val="14"/>
                <w:szCs w:val="14"/>
                <w:b w:val="1"/>
                <w:bCs w:val="1"/>
                <w:color w:val="auto"/>
              </w:rPr>
              <w:t>Historical Trials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ind w:left="72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Treated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196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Studies</w:t>
            </w: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Population</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Leflutrozole</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Phase</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90"/>
        </w:trPr>
        <w:tc>
          <w:tcPr>
            <w:tcW w:w="2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Phase 1</w:t>
            </w:r>
          </w:p>
        </w:tc>
        <w:tc>
          <w:tcPr>
            <w:tcW w:w="1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Healthy Women / Endometriosis</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Phase 3</w:t>
            </w:r>
          </w:p>
        </w:tc>
        <w:tc>
          <w:tcPr>
            <w:tcW w:w="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98"/>
              </w:rPr>
              <w:t>HH obese men</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20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9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HH obese men</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2b</w:t>
            </w:r>
          </w:p>
        </w:tc>
        <w:tc>
          <w:tcPr>
            <w:tcW w:w="2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9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HH obese men</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200</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Phase 2b (ext)</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HH obese men</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Proof-of-Concept Clinical Trial in Hypogonadotropic Hypogonadism</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leflutrozole in obese men. Fourteen patients were enrolled in this 12-week trial with a three-month follow-up phase. Patients received a first dose of leflutrozole,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Consistent with the goal of the trial, leflutrozole treatment increased testosterone into the normal range of 300 to 1,000 nanograms per deciliter (“ng/dl”) in all patients exposed in Part 1. Mean baseline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testosterone was 239 ng/dl, and rose to a mean of 514 ng/dl at week 12 of the trial. Both FSH and LH levels also increased in the leflutrozole group.</w:t>
      </w:r>
    </w:p>
    <w:p>
      <w:pPr>
        <w:spacing w:after="0" w:line="197" w:lineRule="exact"/>
        <w:rPr>
          <w:sz w:val="20"/>
          <w:szCs w:val="20"/>
          <w:color w:val="auto"/>
        </w:rPr>
      </w:pPr>
    </w:p>
    <w:p>
      <w:pPr>
        <w:jc w:val="both"/>
        <w:ind w:left="120" w:right="300" w:firstLine="440"/>
        <w:spacing w:after="0" w:line="261" w:lineRule="auto"/>
        <w:rPr>
          <w:sz w:val="20"/>
          <w:szCs w:val="20"/>
          <w:color w:val="auto"/>
        </w:rPr>
      </w:pPr>
      <w:r>
        <w:rPr>
          <w:rFonts w:ascii="Arial" w:cs="Arial" w:eastAsia="Arial" w:hAnsi="Arial"/>
          <w:sz w:val="17"/>
          <w:szCs w:val="17"/>
          <w:color w:val="auto"/>
        </w:rPr>
        <w:t>Part 2 was a two-arm, randomized, placebo-controlled, double-blind 12-week trial, with a three-month follow-up trial. The primary objectives were to evaluate the ability of leflutrozole to normalize testosterone and examine if normalized testosterone benefits insulin sensitivity. The secondary endpoints were safety, tolerability, pharmacodynamic effects on glucose, insulin and lipid metabolism.</w:t>
      </w:r>
    </w:p>
    <w:p>
      <w:pPr>
        <w:spacing w:after="0" w:line="18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leflutrozole. The error was identified after testosterone levels in these three patients normalized, and was confirmed by the presence of leflutrozole in these patients’ plasma. The patients who were inadvertently given an initial dose of leflutrozole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jc w:val="both"/>
        <w:ind w:left="120" w:right="120" w:firstLine="440"/>
        <w:spacing w:after="0" w:line="238" w:lineRule="auto"/>
        <w:rPr>
          <w:sz w:val="20"/>
          <w:szCs w:val="20"/>
          <w:color w:val="auto"/>
        </w:rPr>
      </w:pPr>
      <w:r>
        <w:rPr>
          <w:rFonts w:ascii="Arial" w:cs="Arial" w:eastAsia="Arial" w:hAnsi="Arial"/>
          <w:sz w:val="18"/>
          <w:szCs w:val="18"/>
          <w:color w:val="auto"/>
        </w:rPr>
        <w:t>Of the seven patients treated with leflutrozole,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leflutrozole normalized testosterone levels in all patients treated.</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treated patients received a loading dose of leflutrozole on day one, followed by a lower weekly dose of leflutrozole. The testosterone levels of all patients treated with leflutrozole normalized after one dose and remained in the normal range throughout the treatment period, with the exception of one patient on day 21, whose level dropped to 279 ng/dl but recovered to a level of 480 ng/dl on day 27. Testosterone levels in the placebo patients occasionally reached the normal range, but this effect was not consistent or sustained. In the leflutrozole arm, the mean testosterone level increased from 273 ng/dl at baseline to 423 ng/dl at week 12. Both FSH and LH levels also increased in the leflutrozole group.</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leflutrozole or placebo. The testosterone increase was statistically significant in the leflutrozole group from day 4 (p=0.012), with a trend towards return to baseline by the end of the trial, with no evidence of increased total testosterone levels beyond the upper limit of the normal range in any patient exposed to leflutrozole.</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094730" cy="26320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9473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40" w:right="100" w:hanging="424"/>
        <w:spacing w:after="0" w:line="234"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(“rn”) is provided in this graph.</w:t>
      </w:r>
    </w:p>
    <w:p>
      <w:pPr>
        <w:spacing w:after="0" w:line="2" w:lineRule="exact"/>
        <w:rPr>
          <w:rFonts w:ascii="Arial" w:cs="Arial" w:eastAsia="Arial" w:hAnsi="Arial"/>
          <w:sz w:val="18"/>
          <w:szCs w:val="18"/>
          <w:color w:val="auto"/>
        </w:rPr>
      </w:pPr>
    </w:p>
    <w:p>
      <w:pPr>
        <w:ind w:left="540" w:right="540" w:hanging="424"/>
        <w:spacing w:after="0" w:line="234"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540" w:right="12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In addition, patients receiving a weekly dose of leflutrozole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In the clinical trials conducted by Novartis, leflutrozole was well tolerated in the 131 treated patients, with no treatment-related serious adverse events. In the Phase 2 proof-of-concept trial in HH, there were 41 adverse events, 16 in the leflutrozole group and 25 in the placebo group. In the leflutrozole group, six of the adverse events were moderate and 10 were mild.</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spontaneous penile erection, three patients reported an episode of a headache and two patients reported abnormal hair growth, which were suspected of being related to leflutrozole.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leflutrozole and placebo groups. None of these adverse events occurred in more than three patients. Special safety parameters, including prostate specific antigen, haematocrit, hemoglobin, high-density lipoprotein, and bone turnover markers, showed no significant effect of leflutrozole. We are monitoring these parameters in the current trial.</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leflutrozole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9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March 2018, we announced top-line data from our Phase 2b clinical trial of leflutrozole for the treatment of HH in obese men. We enrolled 271 patients in the trial in the United States and Europe. The trial was a multi-center, randomized double-blind, dose-ranging, placebo-controlled trial of leflutrozole in obese males with HH with a BMI of over 30. Subjects were divided into four groups, with 71 receiving placebo and 67, 66 and 67, receiving the low, intermediate or high dose, respectively, of leflutrozole.</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secondary endpoints were:</w:t>
      </w:r>
    </w:p>
    <w:p>
      <w:pPr>
        <w:spacing w:after="0" w:line="202" w:lineRule="exact"/>
        <w:rPr>
          <w:sz w:val="20"/>
          <w:szCs w:val="20"/>
          <w:color w:val="auto"/>
        </w:rPr>
      </w:pPr>
    </w:p>
    <w:p>
      <w:pPr>
        <w:ind w:left="980" w:hanging="432"/>
        <w:spacing w:after="0"/>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leflutrozole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leflutrozole on LH and FSH;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the trial was designed:</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23"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(“PROs”), including the Patient-Reported Outcomes Measurement Information System (“PROMIS”), Brief Fatigue Inventory, PROMIS SexSF and International Index of Erectile Function, which examine the most common complaints HH patients present to a doctor, fatigue and sexual dysfunction;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leflutrozole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80" w:right="600" w:hanging="432"/>
        <w:spacing w:after="0" w:line="218"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included analysis of lipid profiles, haematocrit bone turnover markers, and bone mineral density measured by DXA score.</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trial involved a four-week screening phase followed by a 24-week treatment phase and a 12-week follow-up period. All doses of leflutrozole met the primary endpoint, normalizing total testosterone levels in over 75% of subjects after 24 weeks of treatment (p&lt;0.001 versus placebo). Normalization of testosterone was observed at the first measurement following the initial dosing of leflutrozole at day 8 in more than 80% of subjects at all three doses. A dose response was also observed in absolute total testosterone levels and over the dosing period, with mean testosterone reaching 458.0 ng/dl (low dose), 512.5 ng/dl (intermediate dose) and 586.5 ng/dl (high dose).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following graph illustrates the increase in mean total testosterone levels from baseline in patients in each of the three dosing arms of leflutrozole and receiving placebo.</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342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two highest doses also met the secondary endpoint of normalizing testosterone in 90% of patients at week 24 with the lowest dose normalizing testosterone in 88% of patients at week 24. All three doses of leflutrozole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leflutrozole and receiving placebo.</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170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25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 70 million, 14 million and 58 million for the high, intermediate and low doses of leflutrozole, respectively, compared with a decrease of 23 million for placebo. Although the trial was not designed to detect statistical significance for this exploratory endpoint, a statistically significant improvement was shown at the highest dose of leflutrozole (p=0.03). No subjects on leflutrozole had testosterone levels greater than 1500 ng/dl at any time during the study.</w:t>
      </w:r>
    </w:p>
    <w:p>
      <w:pPr>
        <w:spacing w:after="0" w:line="20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w:t>
      </w:r>
    </w:p>
    <w:p>
      <w:pPr>
        <w:spacing w:after="0" w:line="197"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Leflutrozole was observed to be well tolerated during the trial. An increased incidence of elevated haematocrit levels was observed in each of the treatment arms of the trial, which is consistent with increasing testosterone levels.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Extension Study to the Phase 2b Clinical Trial in Hypogonadotropic Hypogonadism</w:t>
      </w:r>
    </w:p>
    <w:p>
      <w:pPr>
        <w:spacing w:after="0" w:line="9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subset of 143 patients entered into a six-month extension study to the Phase 2b Clinical Trial for leflutrozole, to gain long-term data on both efficacy and safety. 88 patients completed the additional six months of treatment.</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safety extension study was designed to examine if leflutrozole resulted in a pre-specified reduction in bone mineral density (BMD) at 48 weeks following the initial 24 weeks treatment. The primary end point of this safety extension study was decrease in bone mineral density.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Consistent with this finding, none of the doses of leflutrozole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208"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Consistent with the top-line data announced by us in March 2018, treatment with leflutrozole resulted in normalization of total testosterone levels in over 75% of subjects at all three doses tested 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LH and FSH levels. The extension study continued to demonstrate a clear dose-response in both the primary and secondary endpoints. There was an increased incidence of raised haematocrit levels in patients receiving leflutrozole and small increases in blood pressure at the two highest doses consistent with increasing testosterone.</w:t>
      </w:r>
    </w:p>
    <w:p>
      <w:pPr>
        <w:spacing w:after="0" w:line="205"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Therapeutic Candidates Acquired in the Merger with OncoMed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 for the Treatment of Solid Tumors and Anti-PD1</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acquired etigilimab in the Merger with OncoMed. TIGIT (T-cell immunoreceptor with Ig and ITIM domains) is an inhibitory receptor and via interactions with its ligands may block T-cells from attacking tumor cells. The anti-TIGIT therapeutic candidate, etigilimab, is intended to activate the immune system, through multiple mechanisms, and enable anti-tumor activity. Etigilimab completed the single-agent Phase 1a portion of a Phase 1a/b clinical trial, which enrolled patients with advanced or metastatic solid tumors, and also completed enrollment of the Phase 1b portion of the clinical trial, which combined etigilimab with anti-PD1 (nivolumab).</w:t>
      </w:r>
    </w:p>
    <w:p>
      <w:pPr>
        <w:spacing w:after="0" w:line="202" w:lineRule="exact"/>
        <w:rPr>
          <w:sz w:val="20"/>
          <w:szCs w:val="20"/>
          <w:color w:val="auto"/>
        </w:rPr>
      </w:pPr>
    </w:p>
    <w:p>
      <w:pPr>
        <w:ind w:left="120" w:right="80" w:firstLine="440"/>
        <w:spacing w:after="0" w:line="235" w:lineRule="auto"/>
        <w:rPr>
          <w:sz w:val="20"/>
          <w:szCs w:val="20"/>
          <w:color w:val="auto"/>
        </w:rPr>
      </w:pPr>
      <w:r>
        <w:rPr>
          <w:rFonts w:ascii="Arial" w:cs="Arial" w:eastAsia="Arial" w:hAnsi="Arial"/>
          <w:sz w:val="18"/>
          <w:szCs w:val="18"/>
          <w:color w:val="auto"/>
        </w:rPr>
        <w:t>The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seven other tumor types. No dose limiting toxicities were observed in the Phase 1a or 1b portions of the study and the recommended Phase 2 dose was the top dose of 20mg/kg biweekly. The only treatment-related adverse event with an incidence rate greater than 20% in the Phase 1a portion of the study was rash (39%), and the most common treatment-related adverse events in the Phase 1b portion of the study were rash (40%), fatigue (30%) and pruritus (20%). There was only one treatment-related serious adverse event in the Phase 1a portion (autoimmune hepatitis) and there were no treatment-related serious adverse events in the Phase 1b portion of the study. None of the patients in the Phase 1a portion had a response and 30% had stable disease. Ten percent of the patients in the Phase 1b portion had a response and 10% had stable disease. The study has now completed enrollment and a CSR is being drafted.</w:t>
      </w:r>
    </w:p>
    <w:p>
      <w:pPr>
        <w:spacing w:after="0" w:line="21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treatment reduced the abundance of regulatory T-cells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(Tregs) within tumors in animal models, and mechanistic studies demonstrated an important contribution of effector function for anti-tumor efficacy in animal models was presented.</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TIGIT program was previously subject to an exclusive license option with Celgene as part of the Collaboration Agreement. See “Business—Material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“—Material Agreements— Collaboration Agreement with Celgene.” As a result, we have worldwide rights to the etigilimab program.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 for Treatment of Ovarian Cancer and Taxol</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acquired Navi in the Merger with OncoMed. Subsequently in January 2020, we out-licensed Navi to Oncologie. See “—Material Agreements—Licensing Agreement for Navicixizumab.” In addition, Navi is the subject of the CVR Agreement which sets forth certain rights and obligations of us with respect to Navi. See “—Material Agreements—CVR Agreement Between Us and Computershare—The NAVI Milestones.”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connection with the acquisition of the Novartis Assets, we issued 3,849,000 ordinary shares to Novartis pursuant to a subscription agreement. See “Related Party Transactions—Subscription Agreement” for more information.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 Candidates. We have agreed to use commercially reasonable efforts to develop at least one Acquired Novartis Product. In addition, Novartis agreed to a three-year non-competition restriction in relation to clinical trial activities for the therapeutic treatment of HH in obese men in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respect of the leflutrozole Compound and sclerostin in respect of the BGS-804 Compound, subject to exceptions, including where Novartis does not have the ability to control such clinical trial activity and for any of Novartis’ existing contracts or relationships.</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202"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Upon entering into the License Agreement, we made a payment of $ 3.0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 with Celgene</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December 2013, OncoMed entered into the Collaboration Agreement with Celgene pursuant to which OncoMed and Celgene were to collaborate on research and development programs directed to the discovery and development of novel biologic therapeutics, and, if Celgene exercised its option to do so, the discovery, development and commercialization of novel small molecule therapeutics. We acquired OncoMed in the Merger.</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OncoMed’s etigilimab program was the last remaining biologic therapeutic program that was active under the Collaboration Agreement. Pursuant to the Collaboration Agreement, Celgene had an option to obtain an exclusive license to develop further and commercialize biologic therapeutics in the etigilimab program, which could be exercised during time periods specified in the Collaboration Agreement through the earlier of completion of a certain clinical trial or the twelfth anniversary of the date of the Collaboration Agreement. In turn, OncoMed agreed to lead the development of etigilimab prior to Celgene’s exercise of the option for the program and was also responsible for funding all research and development activities for therapeutics in the etigilimab program prior to such exercise. OncoMed was eligible to receive a $35.0 million opt-in payment upon Celgene’s exercise of the option for the etigilimab program. In addition, the Collaboration Agreement also included milestone payments for achievement of specified development, regulatory and commercial milestones which could have totaled up to $437.5 million (net of past milestone payments) for product candidates in the etigilimab program, including the $35.0 million opt-in payment. In addition, if the program had been successfully commercialized by Celgene, OncoMed would have been eligible to receive tiered royalties equal to a percentage of net product sales worldwide in the high-single digits to the mid-teens, subject to certain reductions.</w:t>
      </w:r>
    </w:p>
    <w:p>
      <w:pPr>
        <w:spacing w:after="0" w:line="204"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203"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Navi was previously a part of the Collaboration Agreement, but the Collaboration Agreement was terminated with respect to Navi effective on January 23, 2019. As a result of this termination, we received worldwide rights to the Navi program, which we subsequently out-licensed to Oncologie. See “—Licensing Agreement for Navicixizumab.”</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85"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17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a consequence of the license agreement with Oncologie,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Us and Computershare</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w:t>
      </w:r>
    </w:p>
    <w:p>
      <w:pPr>
        <w:spacing w:after="0" w:line="205"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Except in limited circumstances, the CVRs may not be transferred, pledged, hypothecated, encumbered, assigned or otherwise disposed of.</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Milestone Events and Payments</w:t>
      </w:r>
    </w:p>
    <w:p>
      <w:pPr>
        <w:spacing w:after="0" w:line="8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CVR milestones relate to OncoMed’s etigilimab and Navi therapeutic candidates, though the milestone relevant to etigilimab can no longer be achieved. The contingent payments would become payable to the rights agent, for subsequent distribution to the holders of the CVRs, upon the achievement of a milestone as follows: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TIGIT Milestone</w:t>
      </w:r>
    </w:p>
    <w:p>
      <w:pPr>
        <w:spacing w:after="0" w:line="63"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A payment, in the form of our ADSs, would have been made to CVR holders if, following April 23, 2019 but prior to December 31, 2019, Celgene had exercised its exclusive option granted by OncoMed to Celgene in relation to reaching a milestore of OncoMed’s etigilimab product candidate pursuant to the Collaboration Agreement (the “TIGIT Milestore”), and OncoMed had actually received the cash payment payable by Celgene pursuant to such Celgene option exercise.</w:t>
      </w:r>
    </w:p>
    <w:p>
      <w:pPr>
        <w:spacing w:after="0" w:line="20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“—Collaboration Agreement with Celgene” above. As a result, no payments are expected to become due or payable to CVR holders pursuant to the TIGIT Milestone.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NAVI Milestones</w:t>
      </w:r>
    </w:p>
    <w:p>
      <w:pPr>
        <w:spacing w:after="0" w:line="7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NAVI Subsidiary, Inc. (“NAVI Sub”), a wholly-owned subsidiary of OncoMed and an indirect wholly-owned subsidiary of our Company, has been established to hold all of our right, title and interest in and to Navi. For a period of 18 months following the closing of the Merger, we will permit certain individuals associated with NAVI Sub and identified on a confidential schedule to the CVR Agreement (the “NAVI Team”) to (i) solicit third party interest with respect to a NAVI Agreement (as defined in the CVR Agreement), such that the NAVI Sub or a third party, as applicable, will advance Navi, and (ii) recommend, by written notice to the chief executive officer of our Company, that we enter into discussions with one or more such third parties that have expressed interest with respect to a NAVI Agreement; provided that, notwithstanding anything to the contrary in the CVR Agreement, we will have no obligation or liability to fund or otherwise support or incur any cost or expense relating to NAVI Sub or Navi in excess of the commitments provided for on a confidential schedule to the CVR Agreement (except in respect of clinical trials commenced prior to the date thereof).</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entry into a NAVI Agreement by us or any of our subsidiaries (including NAVI Sub) shall be subject to, and contingent upon, a determination by our Board, having consulted with outside counsel, that the NAVI Agreement is fair to, advisable and in the best interests of our Company and our shareholders. Without limiting the foregoing, neither us nor any of our subsidiaries (including NAVI Sub) shall be compelled to enter into any investment agreement, stock sale agreement, or similar agreement with respect to NAVI Sub or Navi if, immediately following the execution of such agreement, our Company or one or more of our subsidiaries (other than NAVI Sub) would hold less than 19.5% of the issued and outstanding equity interests of NAVI Sub on a fully-diluted basis.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Eligible cash milestone payments will include each cash milestone payment payable to our Company or one or more of our subsidiaries pursuant to a NAVI Agreement (or any agreement contemplated by such NAVI Agreement), except for any (i) royalty or similar sales-based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(which, for the avoidance of doubt, shall include (x) any costs, reasonable out-of-pocket fees, expenses or charges incurred by us or our subsidiaries in excess of the commitments provided for in the budget set forth on a confidential schedule to the CVR Agreement, (y) any costs, reasonable out-of-pocket fees, expenses or charges incurred by us or our subsidiaries under the NAVI Agreement,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and (z) any costs, reasonable out-of-pocket fees, expenses or charges incurred by us or our subsidiaries, or for which our Company or one or more of our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a NAVI Milestone occurs at any time prior to the fifth anniversary of the closing of the Merger, and on each such occurrence, then, thirty days following the achievement thereof, our Company, or a person nominated by us (with written notice thereof from us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206"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receipt of the upfront milestone payment of $4.0 million by us under the Navi License Agreement with Oncologie in January 2020 will result in a payment to CVR holders of approximately 1.2 cents per CVR, a total of approximately $462,748 (after deductions of costs, charges and expenditures). It is expected this distribution will be made to CVR holders by March 17,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OncoMed and Computershare</w:t>
      </w:r>
    </w:p>
    <w:p>
      <w:pPr>
        <w:spacing w:after="0" w:line="99"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On March 14, 2019, OncoMed entered into a Contingent Value Rights Agreement, by and between OncoMed and Computershare (the “OncoMed CVR Agreement”). As a result of the Merger, OncoMed became a wholly-owned indirect subsidiary of our Company.</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the OncoMed CVR Agreement, each holder of OncoMed common stock as of the close of business on April 5, 2019, received one contingent value right (each, an “OncoMed CVR”) for each share of OncoMed common stock held by such stockholder as of such date. The OncoMed CVRs each represented the non-transferable contractual right to receive cash payments from OncoMed upon the actual receipt by OncoMed or its affiliates of certain contingent cash payments from Celgene in respect of the achievement of specified approval and sales milestones or the payment of royalties pursuant to the Collaboration Agreement in connection with OncoMed’s etigilimab therapeutic candidate. As stated above, in June 2019, Celgene notified OncoMed, pursuant to the Collaboration Agreement, of Celgene’s decision not to exercise its option to license etigilimab. See “—Collaboration Agreement with Celgene.” As a result, no payments are expected to become due or payable to OncoMed CVR holders pursuant to the TIGIT Milestone.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10, 2020, we entered into a Purchase Agreement with Aspire Capital, which provides that, upon the terms and subject to the conditions and limitations set forth therein, Aspire Capital 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 See “The Aspire Capital Transaction.”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Boxer Capital Private Placement</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Under the terms of the agreement, Boxer Capital agreed to make an investment of $3.0 million to purchase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acumapimod, leflutrozole, and etigilimab and we intend to enter into additional manufacturing agreements as necessary. Following our license of alvelestat,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 candidates to late stage trials.</w:t>
      </w:r>
    </w:p>
    <w:p>
      <w:pPr>
        <w:spacing w:after="0" w:line="203"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We intend to enter into contractual relationships for the manufacture of commercial supplies for setrusumab and alvelestat.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8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rare disease product candidates, if approved for commercial sale, we must either develop a sales and marketing infrastructure or collaborate with third parties that have sales and marketing experience.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 We intend to seek to enter into one or more strategic relationships with third parties for our non-rare disease product candidates, acumapimod, leflutrozole and etigilimab to undertake the next phase of clinical development and, if approved, for commercialization.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AECOPD or HH, as well as those that address solid tumor cancers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hematologic cancers.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acumapimod, leflutrozole and etigilimab that we successfully develop and commercialize will compete with existing therapies and new therapies that may become available in the future.</w:t>
      </w:r>
    </w:p>
    <w:p>
      <w:pPr>
        <w:spacing w:after="0" w:line="205"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We consider setrusumab’s current closest potential competitors in development for the treatment of OI to be Amgen’s denosumab (Prolia) an anti-resorptive agent, and Amgen and UCB’s anti-sclerostin antibody, romosozumab (Evenity), which was approved in the United States in April 2019 for osteoporosis. The FDA, however, required a Black Box warning that there may be an increase in risk of MI, stroke or cardiovascular death and that Evenity should not be initiated in patients who have had an MI or stroke in the last year. We believe that there is no increased risk of MI or stroke for patients with severe OI and the patient population we are studying is younger, with a mean age in the MBPS205 study of 44 years in the adult study and a maximum age of 17 will be allowed in the pediatric study. In the adult study there have been no events of MI or stroke, or other ischaemic pathology.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The CHMP’s recommendation will now be reviewed by the European Commission and a decision is expected by year-end 2019. In addition, Jiangsu Hengrui has commenced Phase 1 development of an anti-sclerostin antibody for osteoporosis, and Transcenta Holding has licensed the anti-sclerostin antibody blosozumab from Lilly and plans to develop it for osteoporosis. Additionally, Bone Therapeutics is developing osteoblastic cell therapy product candidates. Baylor College of Medicine is also conducting a Phase 1 open label trial of fresolimumab, a TGF-B inhibitor, in adult OI patients.</w:t>
      </w:r>
    </w:p>
    <w:p>
      <w:pPr>
        <w:spacing w:after="0" w:line="21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Currently, there are four inhibitors on the market in the United States and the EU: Grifols’ Prolastin-C, Shire’s Aralast, CSL’s Zemaira and Kamada’s Glassia. Kamada is also investigating an inhaled version of augmentation therapy, InhibRx is in Phase 1 development of INBRX-101, a recombinant human alpha-1 antitrypsin Fc fusion protein (rhAAT-Fc) for replacement therapy and Apic Bio is in the early stages of developing gene-therapy approaches for AATD. Vertex has a small molecule corrector program for AATD with VX-814 and VX-864 in Phase 1 development. Santhera has in-licensed an inhaled NE inhibitor and is planning a multiple ascending dose study, with the initial indication targeted being CF; and CHF-6333 is an inhaled human NE inhibitor in Phase 1 development by Chiesi for the treatment of non-cystic fibrosis bronchiectasis and CF.</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to reduce recurrent AECOPDs. There are a number of product candidates currently in development, with Verona Pharma, GlaxoSmithKline, and AstraZeneca each conducting Phase 2 clinical trials of drugs for the treatment of COPD. In addition, Pulmatrix has PUR1800, a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205"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We consider leflutrozole’s current closest potential competitors for the treatment of HH to be TRT. These include Androgel from AbbVie, and Lilly’s Axiron, both administered transdermally by applying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gel formulation, which are approved in the United States and Europe, Andriol from Merck, an oral testosterone therapy, which is approved in Europe but not in the United States and Jatenzo from Clarus approved in the United States in March 2019. There are also other approved TRT product candidates that are administered via injection and other oral TRTs that are still in the development or registration stages, such as Tlando from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consider etigilimab’s competitors to be existing cancer treatments such as the commercially available immuno-oncology agents (e.g., Yervoy, Keytruda, and Opdivo), chemotherapeutic agents, and antibody based therapeutics such as Avastin and Erbitux. In addition, other potential competitors include several other etigilimab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202"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208" w:lineRule="exact"/>
        <w:rPr>
          <w:sz w:val="20"/>
          <w:szCs w:val="20"/>
          <w:color w:val="auto"/>
        </w:rPr>
      </w:pPr>
    </w:p>
    <w:p>
      <w:pPr>
        <w:jc w:val="both"/>
        <w:ind w:left="120" w:right="220" w:firstLine="440"/>
        <w:spacing w:after="0" w:line="261" w:lineRule="auto"/>
        <w:rPr>
          <w:sz w:val="20"/>
          <w:szCs w:val="20"/>
          <w:color w:val="auto"/>
        </w:rPr>
      </w:pPr>
      <w:r>
        <w:rPr>
          <w:rFonts w:ascii="Arial" w:cs="Arial" w:eastAsia="Arial" w:hAnsi="Arial"/>
          <w:sz w:val="17"/>
          <w:szCs w:val="17"/>
          <w:color w:val="auto"/>
        </w:rPr>
        <w:t>The key competitive factors affecting the success of setrusumab, alvelestat, acumapimod, leflutrozole and etigilimab,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8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acumapimod, leflutrozole or etigilimab achieve marketing approval, they may be priced at a significant premium over competing product candidates if any have been approved by then.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acquired or exclusively licensed our intellectual property portfolio from Novartis, OncoMed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proprietary technology, inventions, improvements, platforms and our product candidates that are important to the development and implementation of our business.</w:t>
      </w:r>
    </w:p>
    <w:p>
      <w:pPr>
        <w:spacing w:after="0" w:line="19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intellectual property is held by Mereo BioPharma 1 Limited, Mereo BioPharma 2 Limited, Mereo BioPharma 3 Limited, Mereo BioPharma 4 Limited and OncoMed, each of which is a wholly-owned subsidiary of our Company and holds the intellectual property for our product candidates acumapimod, leflutrozole, setrusumab, alvelestat and etigilimab respectively. As of March 1, 2020 and following the Merger, our patent portfolio comprises approximately 553 issued patents and approximately 184 pending patent applications on a global basis.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Setrusumab (BPS-804)</w:t>
      </w:r>
    </w:p>
    <w:p>
      <w:pPr>
        <w:spacing w:after="0" w:line="99"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setrusumab consisted of three issued U.S. patents, three pending U.S. patent applications, 86 issued foreign patents, 26 pending foreign patent applications and one pending international patent application filed under the Patent Cooperation Treaty (“PCT”). These issued patents and patent applications, if issued, include claims directed to the setrusumab antibody as well as nucleic acids encoding the antibody and the antibody’s use as a medicament; the use of anti-sclerostin antibodies in the treatment of OI; the use of the setrusumab antibody in the treatment of OI with a specific dosing regimen; and use of a sclerostin antagonist in the treatment of a myopathy with expected expiry dates between 2028 and 2039.</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setrusumab includes three patent families:</w:t>
      </w:r>
    </w:p>
    <w:p>
      <w:pPr>
        <w:spacing w:after="0" w:line="239" w:lineRule="exact"/>
        <w:rPr>
          <w:sz w:val="20"/>
          <w:szCs w:val="20"/>
          <w:color w:val="auto"/>
        </w:rPr>
      </w:pPr>
    </w:p>
    <w:p>
      <w:pPr>
        <w:ind w:left="980" w:right="40" w:hanging="432"/>
        <w:spacing w:after="0" w:line="243" w:lineRule="auto"/>
        <w:tabs>
          <w:tab w:leader="none" w:pos="980" w:val="left"/>
        </w:tabs>
        <w:numPr>
          <w:ilvl w:val="0"/>
          <w:numId w:val="9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first of these patent families relates to the setrusumab antibody as well as nucleic acids encoding the antibody and the antibody’s use as a medicament. As of March 1, 2020, this patent family included issued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the Gulf Cooperation Council countries, Hong Kong, India, Indonesia, Israel, Japan, Macau, Mexico, New Zealand, Russia, Singapore, South Africa, South Korea and the United States. We expect issued patents in this family to expire in 2028.</w:t>
      </w:r>
    </w:p>
    <w:p>
      <w:pPr>
        <w:spacing w:after="0" w:line="25" w:lineRule="exact"/>
        <w:rPr>
          <w:rFonts w:ascii="MS PGothic" w:cs="MS PGothic" w:eastAsia="MS PGothic" w:hAnsi="MS PGothic"/>
          <w:sz w:val="24"/>
          <w:szCs w:val="24"/>
          <w:color w:val="auto"/>
          <w:vertAlign w:val="superscript"/>
        </w:rPr>
      </w:pPr>
    </w:p>
    <w:p>
      <w:pPr>
        <w:ind w:left="980" w:right="60" w:hanging="432"/>
        <w:spacing w:after="0" w:line="226" w:lineRule="auto"/>
        <w:tabs>
          <w:tab w:leader="none" w:pos="9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setrusumab antibody in the treatment of OI at a specific dosing regimen. As of March 1, 2020, this patent family included three pending U.S. patent applications and 22 pending foreign patent applications. We expect patents in this family, if issued, to expire in 2036.</w:t>
      </w:r>
    </w:p>
    <w:p>
      <w:pPr>
        <w:spacing w:after="0" w:line="27"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the use of an anti-sclerostin antagonist in the treatment of a myopathy. As of March 1, 2020, this patent family included one pending international patent application filed under the PCT. We expect patents in this family, if issued, to expire in 2039.</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Alvelestat (MPH-966)</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candidate alvelestat consisted of three issued U.S. patents, no pending U.S. patent applications, 35 issued or allowed foreign patents and three pending foreign patent applications. These patents have all been licensed under our agreement with AstraZeneca. See “Business—Material Agreements—AstraZeneca Agreement.” These issued patents and patent applications, if issued, include claims directed to 2-pyridone derivatives as NE inhibitors and their uses as well as claims to polymorphs of the tosylate salt of a 5-pyrazolyl-2-pyridone derivative, with expected expiry dates between 2024 and 2030. Our patent portfolio relating to our product candidate alvelestat also includes two pending foreign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applications which have been filed subsequent to the license agreement with AstraZeneca. These patent applications, if issued, include claims directed to dosage regimens of alvelestat with expected expiry dates in 2040.</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Finally, our patent portfolio relating to our product candidate alvelestat includes one pending U.S. patent application which has been filed subsequent to the license agreement with AstraZeneca. This patent application, if issued, includes claims directed to methods of treatment using alvelestat with expected expiry date of 2040.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candidate alvelestat includes four patent families:</w:t>
      </w:r>
    </w:p>
    <w:p>
      <w:pPr>
        <w:spacing w:after="0" w:line="239" w:lineRule="exact"/>
        <w:rPr>
          <w:sz w:val="20"/>
          <w:szCs w:val="20"/>
          <w:color w:val="auto"/>
        </w:rPr>
      </w:pPr>
    </w:p>
    <w:p>
      <w:pPr>
        <w:ind w:left="980" w:right="80" w:hanging="432"/>
        <w:spacing w:after="0" w:line="226"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March 1, 2020, this patent family included issued patents in Australia, Brazil, Canada, China, Europe (France, Germany, Italy, Netherlands, Spain, Sweden, Switzerland, Turkey and United Kingdom), Hong Kong, India, Japan, Mexico, Russia, South Korea and the United States. We expect issued patents in this family to expire in 2024.</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26"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March 1, 2020, this patent family included issued patents in Australia, Canada, China, Europe (France, Germany, Italy, Netherlands, Spain, Sweden, Switzerland, Turkey and United Kingdom), Hong Kong, Japan, Mexico, Russia and the United States. We expect issued patents in this family to expire in 2030.</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regiments of alvelestat. As of March 1, 2020, this patent family included two pending U.K. patent applications. We expect patents in this family, if issued, to expire in 2040.</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methods of treatment using alvelestat. As of March 1, 2020, this family included one pending U.S. patent application. We expect patents in this family, if issued, to expire in 2040.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Acumapimod (BCT-197)</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acumapimod consisted of 6 issued U.S. patents, 5 pending U.S. patent applications, 136 issued and allowed foreign patents, 44 pending foreign applications, and five pending international patent applications filed under the PCT.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2038.</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acumapimod includes six patent families:</w:t>
      </w:r>
    </w:p>
    <w:p>
      <w:pPr>
        <w:spacing w:after="0" w:line="239" w:lineRule="exact"/>
        <w:rPr>
          <w:sz w:val="20"/>
          <w:szCs w:val="20"/>
          <w:color w:val="auto"/>
        </w:rPr>
      </w:pPr>
    </w:p>
    <w:p>
      <w:pPr>
        <w:ind w:left="980" w:right="20" w:hanging="432"/>
        <w:spacing w:after="0" w:line="229" w:lineRule="auto"/>
        <w:tabs>
          <w:tab w:leader="none" w:pos="9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March 1, 2020, this patent family included issued patents 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issued patents in this family to expire in 2024.</w:t>
      </w:r>
    </w:p>
    <w:p>
      <w:pPr>
        <w:spacing w:after="0" w:line="31"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March 1, 2020, this patent family included issued patents in Algeria,</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spacing w:after="0" w:line="252" w:lineRule="auto"/>
        <w:rPr>
          <w:sz w:val="20"/>
          <w:szCs w:val="20"/>
          <w:color w:val="auto"/>
        </w:rPr>
      </w:pPr>
      <w:r>
        <w:rPr>
          <w:rFonts w:ascii="Arial" w:cs="Arial" w:eastAsia="Arial" w:hAnsi="Arial"/>
          <w:sz w:val="17"/>
          <w:szCs w:val="17"/>
          <w:color w:val="auto"/>
        </w:rPr>
        <w:t>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Indonesia, Israel, Japan, Mexico, New Zealand, Philippines, Russia, Singapore, South Africa, South Korea, Taiwan, the United Arab Emirates and the United States. We expect issued patents in this family to expire in 2033.</w:t>
      </w:r>
    </w:p>
    <w:p>
      <w:pPr>
        <w:spacing w:after="0" w:line="27" w:lineRule="exact"/>
        <w:rPr>
          <w:sz w:val="20"/>
          <w:szCs w:val="20"/>
          <w:color w:val="auto"/>
        </w:rPr>
      </w:pPr>
    </w:p>
    <w:p>
      <w:pPr>
        <w:ind w:left="980" w:right="12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acumapimod. As of March 1, 2020, this patent family included one granted U.S. patent application, two granted foreign patent applications and 14 pending foreign patent applications. We expect patents in this family, if issued, to expire in 2036.</w:t>
      </w:r>
    </w:p>
    <w:p>
      <w:pPr>
        <w:spacing w:after="0" w:line="28"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acumapimod. As of March 1, 2020, this patent family included two pending U.S. patent applications and 26 pending foreign patent applications. We expect patents in this family, if issued, to expire in 2037.</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acumapimod in a specific patient subpopulation. As of March 1, 2020, this patent family included two PCT patent applications. We expect patents in this family, if issued, to expire in 2038.</w:t>
      </w:r>
    </w:p>
    <w:p>
      <w:pPr>
        <w:spacing w:after="0" w:line="28"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sixth of these patent families relates to synthetic methods for the production of acumapimod. As of March 1, 2020, this patent family included three PCT patent applications. We expect patents in this family, if issued, to expire in 2039.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Leflutrozole (BGS-649)</w:t>
      </w:r>
    </w:p>
    <w:p>
      <w:pPr>
        <w:spacing w:after="0" w:line="99" w:lineRule="exact"/>
        <w:rPr>
          <w:sz w:val="20"/>
          <w:szCs w:val="20"/>
          <w:color w:val="auto"/>
        </w:rPr>
      </w:pPr>
    </w:p>
    <w:p>
      <w:pPr>
        <w:jc w:val="both"/>
        <w:ind w:left="120" w:right="80" w:firstLine="440"/>
        <w:spacing w:after="0" w:line="238" w:lineRule="auto"/>
        <w:rPr>
          <w:sz w:val="20"/>
          <w:szCs w:val="20"/>
          <w:color w:val="auto"/>
        </w:rPr>
      </w:pPr>
      <w:r>
        <w:rPr>
          <w:rFonts w:ascii="Arial" w:cs="Arial" w:eastAsia="Arial" w:hAnsi="Arial"/>
          <w:sz w:val="18"/>
          <w:szCs w:val="18"/>
          <w:color w:val="auto"/>
        </w:rPr>
        <w:t>As of March 1, 2020, our patent portfolio relating to our product leflutrozole consisted of four issued U.S. patents, one pending U.S. patent application, 90 issued foreign patents, and 11 pending foreign patent applications. These issued patents and patent applications, if issued, include claims directed to leflutrozole formulations the use of leflutrozole in treating hypogonadism according to a specific dosing regimen and combination drug regimens of leflutrozole, with expected expiry dates between 2032 and 2040.</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leflutrozole includes three patent families:</w:t>
      </w:r>
    </w:p>
    <w:p>
      <w:pPr>
        <w:spacing w:after="0" w:line="239" w:lineRule="exact"/>
        <w:rPr>
          <w:sz w:val="20"/>
          <w:szCs w:val="20"/>
          <w:color w:val="auto"/>
        </w:rPr>
      </w:pPr>
    </w:p>
    <w:p>
      <w:pPr>
        <w:ind w:left="980" w:right="260" w:hanging="432"/>
        <w:spacing w:after="0" w:line="229"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leflutrozole formulations and to the use of leflutrozole in treating hypogonadism according to a specific dosing regimen. As of March 1, 2020, this patent family included issued patents in Algeria, Australia, Brazil,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We expect issued patents in this family to expire in 2032.</w:t>
      </w:r>
    </w:p>
    <w:p>
      <w:pPr>
        <w:spacing w:after="0" w:line="31"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leflutrozole in treating endometriosis according to a specific dosing regimen. As of March 1, 2020, this patent family included one pending U.S. patent application and three pending foreign patent applications. We expect patents in this family, if issued, to expire in 2037.</w:t>
      </w:r>
    </w:p>
    <w:p>
      <w:pPr>
        <w:spacing w:after="0" w:line="28"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combination drug regimens of leflutrozole. As of March 1, 2020, this patent family included two pending U.K. national patent applications. We expect patents in this family, if issued, to expire in 2040.</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 2020, following the Merger, our patent portfolio relating to our therapeutic candidate etigilimab consisted of two</w:t>
      </w:r>
    </w:p>
    <w:p>
      <w:pPr>
        <w:ind w:left="120"/>
        <w:spacing w:after="0"/>
        <w:rPr>
          <w:sz w:val="20"/>
          <w:szCs w:val="20"/>
          <w:color w:val="auto"/>
        </w:rPr>
      </w:pPr>
      <w:r>
        <w:rPr>
          <w:rFonts w:ascii="Arial" w:cs="Arial" w:eastAsia="Arial" w:hAnsi="Arial"/>
          <w:sz w:val="18"/>
          <w:szCs w:val="18"/>
          <w:color w:val="auto"/>
        </w:rPr>
        <w:t>granted U.S. patents and one pending U.S. patent application, as well as corresponding patent applications in major foreign jurisdictions.</w:t>
      </w:r>
    </w:p>
    <w:p>
      <w:pPr>
        <w:spacing w:after="0" w:line="21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patent portfolio relating to our therapeutic candidate etigilimab contains one core patent family that covers the product per se as well as medical uses thereof. Patents that issue from this core family are generally expected to expire in 2036.</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portfolio also includes a second patent family that relates to specific methods of treatment using etigilimab. This patent family currently consists of one pending U.S. application, one granted foreign patent application and 12 pending foreign patent applications. Any patents that issue from this family are generally expected to expire in 2037.</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w:t>
      </w:r>
    </w:p>
    <w:p>
      <w:pPr>
        <w:spacing w:after="0" w:line="8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As of March 1, 2020, following the Merger, our patent portfolio relating to Navi consisted of 16 issued U.S. patents and six pending U.S. patent applications, as well as corresponding patents or patent applications in major foreign jurisdictions.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patent portfolio relating to Navi contains two core patent families, both of which cover the product per se as well as medical uses thereof. Patents and patent applications, if issued, in these core families are expected to expire between 2030 and 2032.</w:t>
      </w:r>
    </w:p>
    <w:p>
      <w:pPr>
        <w:spacing w:after="0" w:line="197" w:lineRule="exact"/>
        <w:rPr>
          <w:sz w:val="20"/>
          <w:szCs w:val="20"/>
          <w:color w:val="auto"/>
        </w:rPr>
      </w:pPr>
    </w:p>
    <w:p>
      <w:pPr>
        <w:jc w:val="both"/>
        <w:ind w:left="120" w:right="460" w:firstLine="440"/>
        <w:spacing w:after="0"/>
        <w:rPr>
          <w:sz w:val="20"/>
          <w:szCs w:val="20"/>
          <w:color w:val="auto"/>
        </w:rPr>
      </w:pPr>
      <w:r>
        <w:rPr>
          <w:rFonts w:ascii="Arial" w:cs="Arial" w:eastAsia="Arial" w:hAnsi="Arial"/>
          <w:sz w:val="18"/>
          <w:szCs w:val="18"/>
          <w:color w:val="auto"/>
        </w:rPr>
        <w:t>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w:t>
      </w:r>
    </w:p>
    <w:p>
      <w:pPr>
        <w:spacing w:after="0" w:line="20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In the United States, the FDA regulates drugs under the FDCA and its implementing regulations, and biological product candidates (“biologics”), under both the FDCA and the PHSA and its implementing regulations.</w:t>
      </w:r>
    </w:p>
    <w:p>
      <w:pPr>
        <w:spacing w:after="0" w:line="197"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39" w:lineRule="exact"/>
        <w:rPr>
          <w:sz w:val="20"/>
          <w:szCs w:val="20"/>
          <w:color w:val="auto"/>
        </w:rPr>
      </w:pPr>
    </w:p>
    <w:p>
      <w:pPr>
        <w:ind w:left="980" w:right="90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7"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(an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3"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if applicable,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ind w:left="980" w:right="40" w:hanging="432"/>
        <w:spacing w:after="0" w:line="223"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80" w:right="160" w:hanging="432"/>
        <w:spacing w:after="0" w:line="223"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80" w:right="200" w:hanging="432"/>
        <w:spacing w:after="0" w:line="226"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application in six months, compared to 10 months for a standard review. Most product candidates that are eligible for fast-track or breakthrough therapy designation are also likely to be considered appropriate to receive a priority review.</w:t>
      </w:r>
    </w:p>
    <w:p>
      <w:pPr>
        <w:spacing w:after="0" w:line="197"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Priority Review Voucher Program</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FDA Priority Review Voucher program is intended to encourage development of new drug and biological products for prevention and treatment of certain rare pediatric diseases. Under this program, a sponsor who receives an approval for a drug or biologic designated as a “rare pediatric disease” may qualify for a voucher that can be redeemed to receive a priority review of a subsequent marketing application for a different product. Priority review means that the FDA aims to render a decision in six months. The sponsor receives the priority review voucher upon approval of the rare pediatric disease product application and it can be sold or transferred.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setrusumab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2"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20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80" w:right="280" w:hanging="432"/>
        <w:spacing w:after="0" w:line="218" w:lineRule="auto"/>
        <w:tabs>
          <w:tab w:leader="none" w:pos="98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order to market our future product candidates in the European Economic Area (which is comprised of the 28 Member States of the EU plus Norway, Iceland and Liechtenstein) (the “EEA”), and many other foreign jurisdictions, we must obtain separate regulatory approvals. More concretely, in the EEA, medicinal product candidates can only be commercialized after obtaining a Marketing Authorization (“MA”). There are two types of marketing authorizations:</w:t>
      </w:r>
    </w:p>
    <w:p>
      <w:pPr>
        <w:spacing w:after="0" w:line="232" w:lineRule="exact"/>
        <w:rPr>
          <w:sz w:val="20"/>
          <w:szCs w:val="20"/>
          <w:color w:val="auto"/>
        </w:rPr>
      </w:pPr>
    </w:p>
    <w:p>
      <w:pPr>
        <w:ind w:left="980" w:hanging="432"/>
        <w:spacing w:after="0" w:line="229" w:lineRule="auto"/>
        <w:tabs>
          <w:tab w:leader="none" w:pos="98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 candidates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w:t>
      </w:r>
    </w:p>
    <w:p>
      <w:pPr>
        <w:spacing w:after="0" w:line="31"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 candidates authorized for marketing, or reference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1"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 candidates not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 or, in the case of orphan medicinal products, a two-year extension of orphan market exclusivity.</w:t>
      </w:r>
    </w:p>
    <w:p>
      <w:pPr>
        <w:spacing w:after="0" w:line="186"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orphan medicinal products that have also complied with an agreed PIP.</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Granting of an authorization for another similar orphan medicinal product where another product has market exclusivity can happen only in selected cases, such as, for example, demonstration of “clinical superiority” by a similar medicinal product, inability of a manufacturer to supply sufficient quantities of the first product or where the manufacturer itself gives consent. A company may voluntarily remove a product from the orphan register. Medicinal products or medicinal product candidates designated as orphan are eligible for incentives made available by the EU and its Member States to support research into, development and availability of orphan medicinal products. In March 2016, we obtained orphan drug designation for setrusumab for the treatment of OI in the EU. We intend to pursue orphan designation for alvelestat and for future, eligible rare disease programs.</w:t>
      </w:r>
    </w:p>
    <w:p>
      <w:pPr>
        <w:spacing w:after="0" w:line="188"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i w:val="1"/>
          <w:iCs w:val="1"/>
          <w:color w:val="auto"/>
        </w:rPr>
        <w:t>Adaptive pathways</w:t>
      </w:r>
      <w:r>
        <w:rPr>
          <w:rFonts w:ascii="Arial" w:cs="Arial" w:eastAsia="Arial" w:hAnsi="Arial"/>
          <w:sz w:val="18"/>
          <w:szCs w:val="18"/>
          <w:color w:val="auto"/>
        </w:rPr>
        <w:t>. 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4" w:lineRule="exact"/>
        <w:rPr>
          <w:sz w:val="20"/>
          <w:szCs w:val="20"/>
          <w:color w:val="auto"/>
        </w:rPr>
      </w:pPr>
    </w:p>
    <w:p>
      <w:pPr>
        <w:jc w:val="both"/>
        <w:ind w:left="120" w:right="640" w:firstLine="440"/>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setrusumab was accepted into the adaptive pathways program.</w:t>
      </w:r>
    </w:p>
    <w:p>
      <w:pPr>
        <w:spacing w:after="0" w:line="185"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PRIME scheme</w:t>
      </w:r>
      <w:r>
        <w:rPr>
          <w:rFonts w:ascii="Arial" w:cs="Arial" w:eastAsia="Arial" w:hAnsi="Arial"/>
          <w:sz w:val="18"/>
          <w:szCs w:val="18"/>
          <w:color w:val="auto"/>
        </w:rPr>
        <w:t>. In July 2016, the EMA launched the PRIME scheme. PRIME is a voluntary scheme aimed at enhancing the EMA’s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 candidates for Human Use before submission of an MAA, early dialogue and scientific advice at key development milestones, and the potential to qualify product candidates for accelerated review earlier in the application process. In November 2017, the EMA granted PRIME designation for setrusumab for the treatment of OI.</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FCA. The majority of states also have anti-kickback laws, which establish similar prohibitions and in some cases may apply to items or services reimbursed by any third-party payor, including commercial insurers, or to self-pay patients.</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Violations of the civil FCA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14"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supervision of local data protection authorities in those jurisdictions where we are established, where we offer goods or services to EU residents and where we monitor the behavior of individuals in the EU (i.e.,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e-Privacy Regulation (once in force) and the national laws and regulations implementing or supplementing each of them.</w:t>
      </w:r>
    </w:p>
    <w:p>
      <w:pPr>
        <w:spacing w:after="0" w:line="20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and imposes additional obligations on us when we are contracting with service providers.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EU, we do so in compliance with the relevant data export requirements from time to time. We take our data protection obligations seriously, as any improper, unlawful or accidental disclosure, loss, alteration or access to, personal data, particularly sensitive personal data (i.e., special category), could negatively impact our business and/or our reputation.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also subject to EU laws on personal data export, as we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EU-U.S. Privacy Shield (the “Privacy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Shield”) is currently under review by the European Commission. As such, it is uncertain whether the Privacy Shield framework and/or model clauses will be invalidated in the near future. These changes may require us to find alternative bases for the compliant transfer of personal data from the EU to the United States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EU is in the process of replacing the e -Privacy Directive with a new set of rules taking the form of a regulation, which will be directly applicable to the laws of each European member state, without the need for further implementation.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 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euros or 4% of global turnover. 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7" w:lineRule="auto"/>
        <w:rPr>
          <w:sz w:val="20"/>
          <w:szCs w:val="20"/>
          <w:color w:val="auto"/>
        </w:rPr>
      </w:pPr>
      <w:r>
        <w:rPr>
          <w:rFonts w:ascii="Arial" w:cs="Arial" w:eastAsia="Arial" w:hAnsi="Arial"/>
          <w:sz w:val="18"/>
          <w:szCs w:val="18"/>
          <w:color w:val="auto"/>
        </w:rPr>
        <w:t>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the EEA, governments set the price of product candidates through their health technology assessment, and reimbursement rules and control of national health care systems that fund a large part of the cost of those product candidates to consumers. Some jurisdictions operate positive and negative list systems under which product candidates may only be marketed once a reimbursement price has been agreed to by the government.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permissable cross-border imports from low-priced markets within the EU single market exert a commercial pressure on pricing within a country.</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 candidates. The implementation of cost containment measures or other healthcare reforms may prevent us from being able to generate revenue, attain profitability or commercialize our product candidates.</w:t>
      </w:r>
    </w:p>
    <w:p>
      <w:pPr>
        <w:spacing w:after="0" w:line="205"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206"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As of December 31, 2018, 2017 and 2016, we had 37, 31 and 24 employees, respectively. Following the Merger, we had 50 employees.</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As of March 1, 2020, we had 44 employees, excluding non-executive directors. All of our employees were engaged in either general and administrative or research and development functions. None of our employees is subject to a collective bargaining agreement or represented by a trade or labor union. We consider our relationship with our employees to be good.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we are aware) that may have, or have had in the recent past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(covering the 12 months immediately preceding the date of this prospectus), significant effects on our financial position or profitability.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9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were formed as a private limited company organized under the laws of England and Wales on March 10, 2015 and re-registered as a public limited company on June 3, 2016. We have the following wholly-owned direct or indirect subsidiaries: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20" w:type="dxa"/>
            <w:vAlign w:val="bottom"/>
            <w:gridSpan w:val="2"/>
          </w:tcPr>
          <w:p>
            <w:pPr>
              <w:ind w:left="1880"/>
              <w:spacing w:after="0"/>
              <w:rPr>
                <w:sz w:val="20"/>
                <w:szCs w:val="20"/>
                <w:color w:val="auto"/>
              </w:rPr>
            </w:pPr>
            <w:r>
              <w:rPr>
                <w:rFonts w:ascii="Arial" w:cs="Arial" w:eastAsia="Arial" w:hAnsi="Arial"/>
                <w:sz w:val="14"/>
                <w:szCs w:val="14"/>
                <w:b w:val="1"/>
                <w:bCs w:val="1"/>
                <w:color w:val="auto"/>
              </w:rPr>
              <w:t>Legal Name of Subsidiary</w:t>
            </w: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rPr>
              <w:t>Jurisdiction of Organization</w:t>
            </w:r>
          </w:p>
        </w:tc>
      </w:tr>
      <w:tr>
        <w:trPr>
          <w:trHeight w:val="196"/>
        </w:trPr>
        <w:tc>
          <w:tcPr>
            <w:tcW w:w="5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Mereo BioPharma 1 Limited</w:t>
            </w:r>
          </w:p>
        </w:tc>
        <w:tc>
          <w:tcPr>
            <w:tcW w:w="12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2 Limited</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2"/>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3 Limited</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4 Limited</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Ireland Limited</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Ireland</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US Holdings Inc.</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OncoMed Pharmaceuticals, Inc.</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Delaware</w:t>
            </w: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NAVI Subsidiary, Inc.</w:t>
            </w:r>
          </w:p>
        </w:tc>
        <w:tc>
          <w:tcPr>
            <w:tcW w:w="54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As a result of the Merger, we lease approximately 45,000 square feet in Redwood City, California of which approximately 15,000 square feet is subject to third party sub-leases. We intend to add new facilities as we add employees, and we believe that suitable additional or substitute space will be available as needed to accommodate any such expansion of our operations.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4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6"/>
                <w:szCs w:val="16"/>
                <w:color w:val="auto"/>
              </w:rPr>
            </w:pPr>
          </w:p>
        </w:tc>
        <w:tc>
          <w:tcPr>
            <w:tcW w:w="562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4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20" w:type="dxa"/>
            <w:vAlign w:val="bottom"/>
            <w:tcBorders>
              <w:top w:val="single" w:sz="8" w:color="auto"/>
            </w:tcBorders>
          </w:tcPr>
          <w:p>
            <w:pPr>
              <w:spacing w:after="0"/>
              <w:rPr>
                <w:sz w:val="15"/>
                <w:szCs w:val="15"/>
                <w:color w:val="auto"/>
              </w:rPr>
            </w:pP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Denise Scots-Knight,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Jill Henrich</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Senior Vice President of Regulatory Affairs</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Richard Jones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Alastair MacKinnon, MBBS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John Richard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Head of Corporate Development</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Charles Sermon</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Alexandra (Wills) Hughes-Wilson</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Head of Patient Access and Commercial Planning</w:t>
            </w:r>
          </w:p>
        </w:tc>
      </w:tr>
      <w:tr>
        <w:trPr>
          <w:trHeight w:val="29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Fellner,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Chairman of the Board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Bains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Paul Blackburn</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Anders Ekblom, M.D.,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Kunal Kashyap</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Deepika R. Pakianathan,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Michael S. Wyzga</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bl>
    <w:p>
      <w:pPr>
        <w:spacing w:after="0" w:line="199"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since our formation. From 2010 until joining us, Dr. Scots-Knight was the Managing Partner of Phase4 Partners Ltd. (“Phase4”), a global life science venture capital firm. Dr. Scots-Knight is currently a board member of Phase4 and of Elanco Animal Health Incorporated (NYSE: ELAN). Dr. Scots-Knight previously served as a member of the board of directors of Idenix Pharmaceuticals, Nabriva, Albireo and OncoMed. Dr. Scots-Knight holds a B.Sc. (Hons.) and a Ph.D. from Birmingham University.</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b w:val="1"/>
          <w:bCs w:val="1"/>
          <w:i w:val="1"/>
          <w:iCs w:val="1"/>
          <w:color w:val="auto"/>
        </w:rPr>
        <w:t xml:space="preserve">Jill Henrich. </w:t>
      </w:r>
      <w:r>
        <w:rPr>
          <w:rFonts w:ascii="Arial" w:cs="Arial" w:eastAsia="Arial" w:hAnsi="Arial"/>
          <w:sz w:val="18"/>
          <w:szCs w:val="18"/>
          <w:color w:val="auto"/>
        </w:rPr>
        <w:t>Ms. Henrich serves as our U.S. Site Head and Senior Vice President of Regulatory Affairs. Prior to the Merger she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of Regulatory Affairs and QA at OncoMed Pharmaceuticals Inc. Prior to joining OncoMed, Ms. Henrich was at PDL BioPharma, Inc. (Facet Biotech, acquired by AbbVie) as Executive Director of Regulatory Affairs with additional responsibility for Regulatory Operations, Corporate Document Control, Medical Writing and Quality Assurance Compliance. She was Senior Director of Regulatory Affairs at Corixa Corporation (formerly Coulter Pharmaceutical, Inc.), and held various positions in Research (Cell Genetics/Molecular Biology) and Regulatory Affairs at Genentech. Ms. Henrich received her Bachelor of Science degree in Biological Sciences/Microbiology from the University of Connecticut.</w:t>
      </w:r>
    </w:p>
    <w:p>
      <w:pPr>
        <w:spacing w:after="0" w:line="185"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b w:val="1"/>
          <w:bCs w:val="1"/>
          <w:i w:val="1"/>
          <w:iCs w:val="1"/>
          <w:color w:val="auto"/>
        </w:rPr>
        <w:t xml:space="preserve">Richard Jones. </w:t>
      </w:r>
      <w:r>
        <w:rPr>
          <w:rFonts w:ascii="Arial" w:cs="Arial" w:eastAsia="Arial" w:hAnsi="Arial"/>
          <w:sz w:val="18"/>
          <w:szCs w:val="18"/>
          <w:color w:val="auto"/>
        </w:rPr>
        <w:t>Mr. Jones has served as our Chief Financial Officer and as a member of our Board since January 2017. From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joining us, Mr. Jones was the Chief Financial Officer and Company Secretary of Shield Therapeutics plc, where he also served as a Non-Executive Director from 2010 to 2011. Mr. Jones serves as a non-executive director on the board of Alliance Pharma plc.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Mr. Jones is a qualified chartered accountant (ACA) with the Institute of Chartered Accountants in England and Wales (ICAEW) and holds a B.Eng. (Hons.) from the University of Newcastle upon Tyne.</w:t>
      </w:r>
    </w:p>
    <w:p>
      <w:pPr>
        <w:spacing w:after="0" w:line="175" w:lineRule="exact"/>
        <w:rPr>
          <w:sz w:val="20"/>
          <w:szCs w:val="20"/>
          <w:color w:val="auto"/>
        </w:rPr>
      </w:pPr>
    </w:p>
    <w:p>
      <w:pPr>
        <w:jc w:val="both"/>
        <w:ind w:left="120" w:right="200" w:firstLine="440"/>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our Head of Corporate Development since July 2015.</w:t>
      </w:r>
    </w:p>
    <w:p>
      <w:pPr>
        <w:spacing w:after="0" w:line="1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Prior to joining us, he was a consultant for Nomura, a global investment bank, and Phase4, and previously served as the head of business development for Sequus Pharmaceuticals Inc., VIVUS Inc. and Genome Therapeutics Corporation. Mr. Richard serves on the boards of Catalyst Biosciences, QUE Oncology, and Phase4, and previously served on the boards of Vaxart, Inc., Aviragen Therapeutics, Inc., and Targacept, Inc. Mr. Richard holds a B.S. from Stanford University and an MBA from Harvard Business School.</w:t>
      </w:r>
    </w:p>
    <w:p>
      <w:pPr>
        <w:spacing w:after="0" w:line="183"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74" w:lineRule="exact"/>
        <w:rPr>
          <w:sz w:val="20"/>
          <w:szCs w:val="20"/>
          <w:color w:val="auto"/>
        </w:rPr>
      </w:pPr>
    </w:p>
    <w:p>
      <w:pPr>
        <w:jc w:val="both"/>
        <w:ind w:left="120" w:right="40" w:firstLine="440"/>
        <w:spacing w:after="0" w:line="244" w:lineRule="auto"/>
        <w:rPr>
          <w:sz w:val="20"/>
          <w:szCs w:val="20"/>
          <w:color w:val="auto"/>
        </w:rPr>
      </w:pPr>
      <w:r>
        <w:rPr>
          <w:rFonts w:ascii="Arial" w:cs="Arial" w:eastAsia="Arial" w:hAnsi="Arial"/>
          <w:sz w:val="18"/>
          <w:szCs w:val="18"/>
          <w:b w:val="1"/>
          <w:bCs w:val="1"/>
          <w:i w:val="1"/>
          <w:iCs w:val="1"/>
          <w:color w:val="auto"/>
        </w:rPr>
        <w:t>Alexandra (Wills) Hughes-Wilson</w:t>
      </w:r>
      <w:r>
        <w:rPr>
          <w:rFonts w:ascii="Arial" w:cs="Arial" w:eastAsia="Arial" w:hAnsi="Arial"/>
          <w:sz w:val="18"/>
          <w:szCs w:val="18"/>
          <w:color w:val="auto"/>
        </w:rPr>
        <w:t>. Ms. Hughes-Wilson has served as our Head of Patient Access and Commercial Planning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7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since July 2015. He served as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Consort Medical plc from May 2009 until April 2019 and was Chairman of the board of directors of Ablynx NV from November 2013 until January 2018 and Vernalis plc until October 2018. Dr. Fellner was previously Chairman of the board of directors of Acambis plc from 2006 until its acquisition by Sanofi Pasteur and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85"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since July 2015. Mr. Bains was a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Japanese listed biotechnology company until 31 December 2018. Previously, he was Chief Executive Officer of Syngene International Ltd, a BSE listed contract research organization, where he served as a Non-Executive Director until 2016. Mr. Bains also served as Non-Executive Chairman of Fermenta Biotech Ltd, an Indian speciality manufacturing company until April 2018. Mr. Bains currently serves as a Non-Executive Director for MiNA Therapeutics Ltd and Apterna Ltd, both privately held UK biotechnology companies, Phase4, and Indivior PLC, a FTSE listed speciality pharmaceuticals company. Mr. Bains holds a B.Sc. (Hons.) from Sheffield University.</w:t>
      </w:r>
    </w:p>
    <w:p>
      <w:pPr>
        <w:spacing w:after="0" w:line="185"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Paul Blackburn. </w:t>
      </w:r>
      <w:r>
        <w:rPr>
          <w:rFonts w:ascii="Arial" w:cs="Arial" w:eastAsia="Arial" w:hAnsi="Arial"/>
          <w:sz w:val="17"/>
          <w:szCs w:val="17"/>
          <w:color w:val="auto"/>
        </w:rPr>
        <w:t>Mr. Blackburn has served on our Board since October 2015. Mr. Blackburn was Senior Vice President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Projects and Financial Controller at GlaxoSmithKline. Mr. Blackburn currently serves on the Board of Directors of Syngene. Mr. Blackburn is a member of the Chartered Institute of Managed Accountants. Mr. Blackburn holds a B.Sc. from Warwick University.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b w:val="1"/>
          <w:bCs w:val="1"/>
          <w:i w:val="1"/>
          <w:iCs w:val="1"/>
          <w:color w:val="auto"/>
        </w:rPr>
        <w:t xml:space="preserve">Anders Ekblom, M.D., Ph.D. </w:t>
      </w:r>
      <w:r>
        <w:rPr>
          <w:rFonts w:ascii="Arial" w:cs="Arial" w:eastAsia="Arial" w:hAnsi="Arial"/>
          <w:sz w:val="17"/>
          <w:szCs w:val="17"/>
          <w:color w:val="auto"/>
        </w:rPr>
        <w:t>Dr. Ekblom has served on our Board since July 2015. Dr. Ekblom has held a number of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of Elypta AB, as Vice Chairman of the Board of LEO Pharma A/S, and on the boards of directors of Alligator Bioscience AB and AnaMar AB. Dr. Ekblom is a board-certified medical doctor and an Associate Professor at the Karolinska Institutet. Dr. Ekblom holds a D.D.S., M.D. and Ph.D. from Karolinska Institutet.</w:t>
      </w:r>
    </w:p>
    <w:p>
      <w:pPr>
        <w:spacing w:after="0" w:line="16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since July 2015. Mr. Kashyap is Chairman and Managing Director of Allegro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Advisors and a Non-Executive Director of Phase4. He had also served as an Independent Director of GlaxoSmithKline Consumer Healthcare Ltd until June 2019.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i w:val="1"/>
          <w:iCs w:val="1"/>
          <w:color w:val="auto"/>
        </w:rPr>
        <w:t xml:space="preserve">Deepika R. Pakianathan, Ph.D. </w:t>
      </w:r>
      <w:r>
        <w:rPr>
          <w:rFonts w:ascii="Arial" w:cs="Arial" w:eastAsia="Arial" w:hAnsi="Arial"/>
          <w:sz w:val="18"/>
          <w:szCs w:val="18"/>
          <w:color w:val="auto"/>
        </w:rPr>
        <w:t>Dr. Pakianathan has served on our Board since April 2019 following completion of the Merger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director of OncoMed since December 2008 until the closing of the Merger. Since 2001, Dr. Pakianathan has been a Managing Member at Delphi Ventures, a venture capital firm focused on biotechnology and medical device investments. Dr. Pakianathan serves on the boards of directors of Karyopharm Therapeutics, Inc., and Calithera Biosciences, Inc. Dr. Pakianathan previously served on the boards of directors of Alexza Pharmaceuticals, Inc., Alder Biopharmaceuticals,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85"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b w:val="1"/>
          <w:bCs w:val="1"/>
          <w:i w:val="1"/>
          <w:iCs w:val="1"/>
          <w:color w:val="auto"/>
        </w:rPr>
        <w:t xml:space="preserve">Michael S. Wyzga. </w:t>
      </w:r>
      <w:r>
        <w:rPr>
          <w:rFonts w:ascii="Arial" w:cs="Arial" w:eastAsia="Arial" w:hAnsi="Arial"/>
          <w:sz w:val="18"/>
          <w:szCs w:val="18"/>
          <w:color w:val="auto"/>
        </w:rPr>
        <w:t>Mr. Wyzga has served on our Board since April 2019 following completion of the Merger and had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OncoMed since October 2013 until the closing of the Merger.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accordance with our Articles, our directors serve for three-year terms. The current term for all of our directors expires in 2021, except for Mr. Jones, whose current term expires in 2020 and for Michael S. Wyzga and Deepika R. Pakianathan whose current terms expire in 2022 following their re-appointment at our last annual general meeting held on June 19, 2019. Our shareholders elect directors in accordance with our Articles of Association. If our shareholders do not elect a new director, then the retiring director may, if willing to serve, continue as a director. See “Description of Share Capital and Articles of Association—Articles of Association—Directors— Appointment of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As a “foreign private issuer,” as defined by the SEC, we are permitted to follow home country corporate governance practices, instead of certain corporate governance practices required by Nasdaq</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for U.S. domestic issuers. While we intend to follow most Nasdaq corporate governance rules, we intend to follow U.K. corporate governance practices in lieu of Nasdaq corporate governance rules as follows:</w:t>
      </w:r>
    </w:p>
    <w:p>
      <w:pPr>
        <w:spacing w:after="0" w:line="224" w:lineRule="exact"/>
        <w:rPr>
          <w:sz w:val="20"/>
          <w:szCs w:val="20"/>
          <w:color w:val="auto"/>
        </w:rPr>
      </w:pPr>
    </w:p>
    <w:p>
      <w:pPr>
        <w:jc w:val="both"/>
        <w:ind w:left="980" w:right="40" w:hanging="432"/>
        <w:spacing w:after="0" w:line="223" w:lineRule="auto"/>
        <w:tabs>
          <w:tab w:leader="none" w:pos="98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5"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the Quoted Companies Alliance Corporate Governance Code</w:t>
      </w:r>
    </w:p>
    <w:p>
      <w:pPr>
        <w:spacing w:after="0" w:line="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Since September 28, 2018, all companies with securities admitted to trading on AIM are required to include on their website details of a recognized corporate governance code that the Board of the company has decided to apply, how the company complies with that code, and where it departs from its chosen corporate governance code an explanation of the reasons for doing so. This information is required to be reviewed annually.</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We have decided to apply the Corporate Governance Code published by the Quoted Companies Alliance or the QCA Code. The QCA Code sets out a standard of minimum best practice for small and midsize quoted companies.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Our Board currently consists of nine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w:t>
      </w:r>
    </w:p>
    <w:p>
      <w:pPr>
        <w:spacing w:after="0" w:line="8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Our Board has four standing committees: an audit and risk committee, a remuneration committee, a nomination committee, and a research and development committee.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99"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 audit and risk committee, which consists of Paul Blackburn, Kunal Kashyap and Michael S. Wyzga, assists the board in overseeing our accounting and financial reporting processes and the audits of our financial statements. Mr. Blackburn serves as Chairman of the committee. The audit and risk committee consists exclusively of members of our board who are financially literate, and</w:t>
      </w:r>
    </w:p>
    <w:p>
      <w:pPr>
        <w:spacing w:after="0" w:line="2"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Mr. Blackburn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remuneration committee, which consists of Peter Bains, Deepika R. Pakianathan and Anders Ekblom, assists the board in determining senior management compensation. Mr. Bains serves as Chairman of the committee. Under SEC and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Mr. Bains, Dr.Pakianathan and Dr. Ekblom meet this heightened standard. The remuneration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80" w:hanging="432"/>
        <w:spacing w:after="0" w:line="218" w:lineRule="auto"/>
        <w:tabs>
          <w:tab w:leader="none" w:pos="98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nomination committee, which consists of Peter Bains, Anders Ekblom and Peter Fellner, assists our board in identifying individuals qualified to become members of our board and senior management consistent with criteria established by our board and in developing our corporate governance principles. Dr. Fellner serves as Chairman of the nomination committee. The nomination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nomination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research and development committee, which consists of Peter Bains,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2"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 candidates,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 candidates.</w:t>
      </w:r>
    </w:p>
    <w:p>
      <w:pPr>
        <w:spacing w:after="0" w:line="20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The full text of the Code of Business Conduct and Ethics and the Anti-Bribery and Anti-Corruption Policy can be found on our website at www.mereobiopharma.com. Information contained on, or that can be accessed through, our website does not constitute a part of this prospectus and is not incorporated by reference herein. If we make any amendment to the Code of Business Conduct and Ethics or the Anti-Bribery and Anti-Corruption Policy or grant any waivers,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including any implicit waiver, from a provision of the code of ethics, we will disclose the nature of such amendment or waiver on our website to the extent required by the rules and regulations of the SEC. If a waiver or amendment of the Code of Business Conduct and Ethics applies to our principal executive officer, principal financial officer, principal accounting officer or controller and relates to certain standards, we will disclose such waiver or amendment on our website.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“—Equity Compensation Arrangements” below.</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8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2019, 2018 and 2017 to our current executive officers.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Bonus(1)</w:t>
            </w:r>
          </w:p>
        </w:tc>
        <w:tc>
          <w:tcPr>
            <w:tcW w:w="1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Compensation(2)</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Total(3)</w:t>
            </w:r>
          </w:p>
        </w:tc>
        <w:tc>
          <w:tcPr>
            <w:tcW w:w="0" w:type="dxa"/>
            <w:vAlign w:val="bottom"/>
          </w:tcPr>
          <w:p>
            <w:pPr>
              <w:spacing w:after="0"/>
              <w:rPr>
                <w:sz w:val="1"/>
                <w:szCs w:val="1"/>
                <w:color w:val="auto"/>
              </w:rPr>
            </w:pPr>
          </w:p>
        </w:tc>
      </w:tr>
      <w:tr>
        <w:trPr>
          <w:trHeight w:val="162"/>
        </w:trPr>
        <w:tc>
          <w:tcPr>
            <w:tcW w:w="5060" w:type="dxa"/>
            <w:vAlign w:val="bottom"/>
            <w:gridSpan w:val="3"/>
            <w:vMerge w:val="continue"/>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Denise Scots-Knight, Ph.D.</w:t>
            </w:r>
          </w:p>
        </w:tc>
        <w:tc>
          <w:tcPr>
            <w:tcW w:w="4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365,000</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242,725</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64,196</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671,921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379,600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303,680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64,560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747,840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390,988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293,241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67,145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751,374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Jill Henrich(4)</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SVP of Regulatory Affairs</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199,800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81,181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286,926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166,250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29,224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Financial Officer</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260,000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33,481</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501,481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291,200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218,400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37,288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546,888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Alastair MacKinnon, MBBS</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256,000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170,240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27,916</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454,156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281,600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225,280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30,698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537,578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290,048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217,536</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32,537</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540,121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Richard(5)</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218,727</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Head of Corporate Development</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277,861</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230,053</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507,914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295,985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210,227</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512,985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Charles Sermon</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271,625</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180,631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33,164</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485,420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Counsel</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282,490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225,992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34,975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543,457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290,964</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218,223</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36,492</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545,679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Alexandra (Wills) Hughes-Wilson</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Head of Patient Access and Commercial Planning</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63,750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6,375</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178,551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69,525</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17,855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2018, 30% of the annual cash bonus awarded was made (after deduction of income tax and the relevant employee’s national insurance contributions) to Mereo’s current executive officers to acquire Mereo ordinary shares under the 2019 DBP (as defined below). In 2019, 30% of the annual cash bonus awarded which has not yet been paid will be made (after deduction of income tax and the relevant employee’s national insurance contributions) to Mereo’s current executive officers to acquire Mereo ordinary shares under the 2019 DBP.</w:t>
      </w:r>
    </w:p>
    <w:p>
      <w:pPr>
        <w:spacing w:after="0" w:line="3"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40" w:right="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the DBSP or the value of options to acquire Mereo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Appointed in 2019.</w:t>
      </w:r>
    </w:p>
    <w:p>
      <w:pPr>
        <w:ind w:left="540" w:right="260" w:hanging="424"/>
        <w:spacing w:after="0" w:line="24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Richard provided services to us in 2018 and 2019 pursuant to a consultancy agreement and currently provides services to us pursuant to an employment agreement. See “—Executive Officer Employment Agreements—John Richard.”</w:t>
      </w: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40"/>
          </w:cols>
          <w:pgMar w:left="32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Denise Scots-Knight, Ph.D.</w:t>
      </w:r>
    </w:p>
    <w:p>
      <w:pPr>
        <w:spacing w:after="0" w:line="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entered into an employment agreement with Dr. Scots-Knight on July 29, 2015. This agreement entitles Dr. Scots-Knight to receive an initial annual base salary of £275,000 (which was subsequently increased to £379,600 for 2018 and £390,988 for 2019)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Jill Henrich</w:t>
      </w:r>
    </w:p>
    <w:p>
      <w:pPr>
        <w:spacing w:after="0" w:line="14"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OncoMed entered into an employment agreement with Ms. Henrich on May 22, 2008, pursuant to which she commenced employment with OncoMed on January 5, 2009. This agreement was subsequently amended on October 27, 2015. Following the acquisition of OncoMed, Ms. Henrich became our Senior Vice President of Regulatory Affairs. On November 1, 2019, we entered into a letter agreement with Ms. Henrich amending all prior employment agreements between Ms. Henrich and OncoMed.</w:t>
      </w:r>
    </w:p>
    <w:p>
      <w:pPr>
        <w:spacing w:after="0" w:line="20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7"/>
          <w:szCs w:val="17"/>
          <w:color w:val="auto"/>
        </w:rPr>
        <w:t>The employment agreement between us and Ms. Henrich entitles Ms. Henrich to receive an annual base salary of $357,200 per year and an opportunity to earn an annual discretionary performance-based bonus, subject to achievement of corporate goals. Either party may terminate the employment agreement at any time, with or without cause. Ms. Henrich’s employment agreement also contains restrictive covenants pursuant to which she has agreed to refrain from soliciting our employees for one year following her termination of employment.</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Upon termination of Ms. Henrich’s employment prior to or twelve months following a change in control of OncoMed, Ms. Henrich is entitled to (i) severance payments of nine months of her then-current annual base salary, (ii) nine months of her then-current target annual bonus for the year in which the termination occurs, and (iii) reimbursement for healthcare premium payments for nine months. In each case, the nine-month severance package increases to twelve months if Ms. Henrich executes a release of all claims arising out of her employment with OncoMed.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Richard Jones</w:t>
      </w:r>
    </w:p>
    <w:p>
      <w:pPr>
        <w:spacing w:after="0" w:line="81"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 receive an initial annual base salary of £250,000 (which was subsequently increased to £ 260,000 for 2018 and £291,200 for 2019)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Alastair MacKinnon, MBBS</w:t>
      </w:r>
    </w:p>
    <w:p>
      <w:pPr>
        <w:spacing w:after="0" w:line="9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£281,600 for 2018 and £290,048 for 2019) and an opportunity to earn an annual discretionary performance-based bonus, subject to the achievement of performance goals determined in accordance with our annual bonus plan.</w:t>
      </w:r>
    </w:p>
    <w:p>
      <w:pPr>
        <w:spacing w:after="0" w:line="205"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w:t>
      </w:r>
    </w:p>
    <w:p>
      <w:pPr>
        <w:spacing w:after="0" w:line="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Dr. MacKinnon that we instead pay his basic salary for any 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John Richard</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entered into a consultancy agreement with Mr. Richard on January 23, 2019, pursuant to which he provided services to us during</w:t>
      </w:r>
    </w:p>
    <w:p>
      <w:pPr>
        <w:spacing w:after="0" w:line="7"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2019 and which terminated on September 1, 2019. Mr. Richard currently provides services to us pursuant to a revised and restated employment agreement dated September 1, 2019 (the “Richard Employment Agreement”).</w:t>
      </w:r>
    </w:p>
    <w:p>
      <w:pPr>
        <w:spacing w:after="0" w:line="197"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Richard Employment Agreement entitles Mr. Richard to receive a base salary of $370,000 per year,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£282,490 for 2018 and £ 290,964 for 2019)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employees for a period of six months following his termination of employment or soliciting our customers for a period of nine months following his termination of employment.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Alexandra (Wills) Hughes-Wilson</w:t>
      </w:r>
    </w:p>
    <w:p>
      <w:pPr>
        <w:spacing w:after="0" w:line="9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entered into a part-time employment agreement with Ms. Alexandra (Wills) Hughes-Wilson on February 19, 2018, and subsequently amended the agreement on May 29, 2018 and on March 8, 2019. Ms. Hughes-Wilson commenced part-time employment with us as our Head of Patient Access and Commercial Planning on March 5, 2018. The employment agreement entitles Ms. Hughes-Wilson to receive an initial annual base salary of £185,400 and an opportunity to earn an annual discretionary performance-based bonus, subject to the achievement of performance goals determined in accordance with our annual bonus plan.</w:t>
      </w:r>
    </w:p>
    <w:p>
      <w:pPr>
        <w:spacing w:after="0" w:line="20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Ms. Hughes-Wilson is also eligible to participate in our group personal pension scheme and we have agreed to contribute to the pension scheme an amount equal to 10% of Ms. Hughes-Wilson annual salary provided that she contributes 4% or more of her annual salary to that scheme. In lieu of a pension contribution, we may, at Ms. Hughes-Wilson’s request, pay a pro-rata amount equal to 10% of her base salary as additional compensation. Either party may terminate the employment agreement by giving the other party not less than six months’ written notice, provided that we may terminate Ms. Hughes-Wilson at any time with immediate effect for cause or by giving written notice to Ms. Hughes-Wilson that we will instead pay her basic salary for any remaining notice period. Ms. Hughes-Wilson’s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Arrangements</w:t>
      </w:r>
    </w:p>
    <w:p>
      <w:pPr>
        <w:spacing w:after="0" w:line="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have granted or may grant or intend to grant share options and awards under the following seven equity award plans (the “Share Plans”): (i) the 2015 Plan; (ii) the Share Option Plan; (iii) the LTIP; (iv) the DBSP; (v) the Mereo 2019 Deferred Bonus Plan (the “2019 DBP”); (vi) the Mereo 2019 EIP, and (vii) the 2019 NED EIP.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Prior to the admission of our ordinary shares to trading on AIM (“Admission”), we granted options under the 2015 Plan. No further grants have been made under the 2015 Plan since Admission.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5"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determines and communicates to the option holder at that time (except upon death, in which case, options may be exercised for a period of one year), after which time they will lapse.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may determine.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without the consent of option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Share Option Plan</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Our Board adopted the Share Option Plan on June 9, 2016, and has subsequently amended it. Except where the context indicates otherwise, references to our ordinary shares shall be deemed to include a number of ADSs representing a right to receive such ordinary shares.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 Plan is administered by our Board who also set the terms and conditions of all options granted under the Share Option Plan, including any vesting and vesting acceleration conditions. Options are granted under the Share Option Plan at the discretion of our Board.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the Share Option Plan, our Board may determine the vesting schedule of an option and whether the vesting of an option will be subject to the satisfaction of a performance condition, although options are not currently granted subject to performance conditions other than continued service with us. Once an option has vested, it may be exercised during the period ending on the tenth anniversary of the date of grant, after which time it will lapse. The exercise price of an option may not be less than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greater of: (i) the market value of a share on the date of grant; or (ii) if the shares are to be subscribed, the nominal value of a share.</w:t>
      </w:r>
    </w:p>
    <w:p>
      <w:pPr>
        <w:ind w:left="120"/>
        <w:spacing w:after="0"/>
        <w:rPr>
          <w:sz w:val="20"/>
          <w:szCs w:val="20"/>
          <w:color w:val="auto"/>
        </w:rPr>
      </w:pPr>
      <w:r>
        <w:rPr>
          <w:rFonts w:ascii="Arial" w:cs="Arial" w:eastAsia="Arial" w:hAnsi="Arial"/>
          <w:sz w:val="18"/>
          <w:szCs w:val="18"/>
          <w:color w:val="auto"/>
        </w:rPr>
        <w:t>Our Board may determine that an option be settled in cash or by net exercise of the option.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If a participant ceases to hold office or employment with us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determines that the option will vest on the date of cessation of services. Where an option vests in these circumstances, any performance condition will be taken into account and, unless our Board determines otherwise, will be pro-rated for time.</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Under the Share Option Plan, if certain changes are made in, or events occur with respect to our ordinary shares (including any variation of share capital, demerger, delisting, special dividend, rights issue or any other event, which may, in the opinion of our Board affect the current or future value of our ordinary shares), the number of shares subject to an option or the exercise price of an option may be adjusted as determined by our Board. In addition, upon such an event, our Board will determine: (i) whether and to what extent options which have not yet vested will vest; and (ii) the period of time during which any vested option may be exercised.</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after which they will be exercisable for one month (or such longer period as determined by our Board, but not exceeding six months), following which they will lapse. However, if there is an internal reorganization, unless our Board determines otherwise, an option will generally be exchanged in consideration of the grant of a new option which, as determined by our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Our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w:t>
      </w:r>
    </w:p>
    <w:p>
      <w:pPr>
        <w:spacing w:after="0" w:line="2" w:lineRule="exact"/>
        <w:rPr>
          <w:sz w:val="20"/>
          <w:szCs w:val="20"/>
          <w:color w:val="auto"/>
        </w:rPr>
      </w:pPr>
    </w:p>
    <w:p>
      <w:pPr>
        <w:ind w:left="120" w:hanging="4"/>
        <w:spacing w:after="0" w:line="246" w:lineRule="auto"/>
        <w:tabs>
          <w:tab w:leader="none" w:pos="3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would prevent the Share Option Plan from being an employees’ share scheme in accordance with the U.K. Companies Act 2006. No options may be granted pursuant to the Share Option Plan after the tenth anniversary of the date of our Admission.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LTIP</w:t>
      </w:r>
    </w:p>
    <w:p>
      <w:pPr>
        <w:spacing w:after="0" w:line="99"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 order to further incentivize our employees and align their interests with shareholders, our Board adopted the LTIP on June 9, 2016 and has subsequently amended it.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our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may determine that the LTIP Awards are settled in cash.</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LTIP Awards are subject to a vesting schedule as determined by our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9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jc w:val="both"/>
        <w:ind w:left="120" w:right="100" w:firstLine="440"/>
        <w:spacing w:after="0" w:line="238"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discretion, except where the participant is summarily dismissed, in which case any unvested LTIP Awards will usually continue until the normal vesting date, unless our Board determines otherwise.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 event which may in the opinion of our Board, affect the current or future value of our ordinary shares), the number of shares subject to a LTIP Award, or any performance condition, may be adjusted as determined by our Board. In addition, upon such an event, our Board will determine: (i) whether and to what extent Awards which have not yet vested will vest; and (ii) the period of time during which any vested option may be exercised.</w:t>
      </w:r>
    </w:p>
    <w:p>
      <w:pPr>
        <w:spacing w:after="0" w:line="20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by our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our Board), following which they will lapse. However, if there is an internal reorganization, a LTIP Award will be exchanged in consideration of the grant of a new award which, as determined by our Board, is equivalent to the LTIP Award but relates to shares in a different company (whether the acquiring company or a different company). Any LTIP Award that does not vest or is not exchanged will lapse immediately.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may, at any time, amend the rules of the LTIP or the terms of any LTIP Award, except that no amendment may be made:</w:t>
      </w:r>
    </w:p>
    <w:p>
      <w:pPr>
        <w:ind w:left="120" w:right="120" w:hanging="4"/>
        <w:spacing w:after="0" w:line="238" w:lineRule="auto"/>
        <w:tabs>
          <w:tab w:leader="none" w:pos="3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DBSP</w:t>
      </w:r>
    </w:p>
    <w:p>
      <w:pPr>
        <w:spacing w:after="0" w:line="85"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Our Board adopted the DBSP on June 9, 2016 and has subsequently amended it. Following the adoption of the 2019 DBP in January 2019, no further grants are expected to be made under the DBSP.</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employees into the right to acquire shares equal in value to the amount deferred, free of charge.</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DBSP, conditional awards or nil-cost options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equal to the deferred bonus (the amount of bonus which is to be delivered in the form of a conditional award or a nil-cost option).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determines, after which time it will lapse.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No eligible employee may be granted DBSP Awards that, at the time they are granted, would cause the market value of shares subject to the DBSP Awards granted to the employee in respect of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year to exceed 100% of the employee’s salary. The DBSP Awards may, prior to the third anniversary of the grant date, be:</w:t>
      </w:r>
    </w:p>
    <w:p>
      <w:pPr>
        <w:ind w:left="120" w:hanging="4"/>
        <w:spacing w:after="0" w:line="238" w:lineRule="auto"/>
        <w:tabs>
          <w:tab w:leader="none" w:pos="3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reduced; or (ii) where the underlying shares or cash have already been transferred to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affect the current or future value of our ordinary shares), the number of shares subject to a DBSP Award may be adjusted as determined by our Board. In addition, upon such an event, our Board will determine: (i) whether and to what extent DBSP Awards which have not yet vested will vest; and (ii) the period of time during which any vested option may be exercised.</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after which, the DBSP Awards will be exercisable for one month (or such other period as or determined by our Board), following which they will lapse. However, if there is an internal reorganization, a DBSP Award will be exchanged in consideration of the grant of a new award which, as determined by our Board, is equivalent to the DBSP Award but relates to shares in a different company (whether the acquiring company or a different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Board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DBSP from being an employees’ share scheme in accordance with the U.K. Companies Act 2006.</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DBSP Awards may be granted pursuant to the DBSP after the tenth anniversary of the date of Admission.</w:t>
      </w:r>
    </w:p>
    <w:p>
      <w:pPr>
        <w:spacing w:after="0" w:line="21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7"/>
          <w:szCs w:val="17"/>
          <w:color w:val="auto"/>
        </w:rPr>
        <w:t>Our Remuneration Committee has approved awards under the DBSP in respect of bonuses awarded to certain of our executive officers for 2017. These awards are in the form of nil-cost option grants under the DBSP in the following amounts: Dr. Scots-Knight: 32,205 shares subject to the option; Mr. Jones: 22,058 shares subject to the option; Dr. MacKinnon: 22,588 shares subject to the option; and Mr. Sermon: 23,966 shares subject to the option. The options are scheduled to vest on the third anniversary of the date of grant.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9"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DBP</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adopted the 2019 DBP on January 15, 2019.</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Holding of Deferred Shares</w:t>
      </w:r>
    </w:p>
    <w:p>
      <w:pPr>
        <w:spacing w:after="0" w:line="81"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Under the 2019 DBP, our ordinary shares may be purchased by participants using an after-tax bonus amount paid to them pursuant to Mereo’s annual bonus plan or Deferred Shares.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Deferred Shares</w:t>
      </w:r>
    </w:p>
    <w:p>
      <w:pPr>
        <w:spacing w:after="0" w:line="81"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our Board. The 2019 DBP permits participants to transfer Deferred Shares to an immediate family member or nominee to hold for them or as a beneficiary, or to a personal representative in the event of the participant’s death.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Cessation of Employment</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If a participant ceases employment with us, he or she must continue to hold the Deferred Shares in accordance with the restrictions under the 2019 DBP unless our Board disapply some or all of the restrictions in respect of some or all of that participant’s Deferred Shares. Our Board will not have discretion to disapply any of the restrictions in the case of a participant who has been dismissed lawfully without notice or could have been so dismissed if he or she had not resigned.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Under the 2019 DBP, if any person obtains control of us (by means of holding shares, the possession of voting power, or as a result of any powers conferred by our Articles or other document relating to us), the restrictions on Deferred Shares under the 2019 DBP will cease to apply from that date unless our Board determines otherwise. Our Board may not extend the restrictions under the 2019 DBP.</w:t>
      </w:r>
    </w:p>
    <w:p>
      <w:pPr>
        <w:spacing w:after="0" w:line="18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Issues</w:t>
      </w:r>
    </w:p>
    <w:p>
      <w:pPr>
        <w:spacing w:after="0" w:line="81"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purchase or transfer of our ordinary shares under the 2019 DBP will be subject to obtaining any approval or consent required by AIM or Nasdaq (or any other relevant authority) and any restrictions imposed by our share dealing code, the AIM rules, or any applicable laws or regulations which impose restrictions on share dealing.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Our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DBP will terminate on the tenth anniversary of its adoption by our Board or at any earlier time by resolution of our Board.</w:t>
      </w:r>
    </w:p>
    <w:p>
      <w:pPr>
        <w:ind w:left="120"/>
        <w:spacing w:after="0"/>
        <w:rPr>
          <w:sz w:val="20"/>
          <w:szCs w:val="20"/>
          <w:color w:val="auto"/>
        </w:rPr>
      </w:pPr>
      <w:r>
        <w:rPr>
          <w:rFonts w:ascii="Arial" w:cs="Arial" w:eastAsia="Arial" w:hAnsi="Arial"/>
          <w:sz w:val="18"/>
          <w:szCs w:val="18"/>
          <w:color w:val="auto"/>
        </w:rPr>
        <w:t>Termination of the 2019 DBP will be without prejudice to the existing rights of participants.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99"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Our Board adopted the 2019 EIP on April 4, 2019. The Remuneration Committee of the Board (the “Remuneration Committee”) made minor amendments to the rules of the 2019 EIP on May 16, 2019 prior to the first awards noted below.</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EIP provides for the grant of the following types of awards to executive directors and employees: (i) market value options;</w:t>
      </w:r>
    </w:p>
    <w:p>
      <w:pPr>
        <w:ind w:left="120" w:right="140" w:hanging="4"/>
        <w:spacing w:after="0" w:line="246" w:lineRule="auto"/>
        <w:tabs>
          <w:tab w:leader="none" w:pos="3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share appreciation rights; (iii) restricted stock / restricted stock unit awards; (iv) performance awards (awards subject to performance conditions) and (v) other share-based awards.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the terms of the 2019 EIP, awards can be granted in respect of ordinary shares, ADSs, cash or a combination thereof.</w:t>
      </w:r>
    </w:p>
    <w:p>
      <w:pPr>
        <w:ind w:left="120"/>
        <w:spacing w:after="0"/>
        <w:rPr>
          <w:sz w:val="20"/>
          <w:szCs w:val="20"/>
          <w:color w:val="auto"/>
        </w:rPr>
      </w:pPr>
      <w:r>
        <w:rPr>
          <w:rFonts w:ascii="Arial" w:cs="Arial" w:eastAsia="Arial" w:hAnsi="Arial"/>
          <w:sz w:val="18"/>
          <w:szCs w:val="18"/>
          <w:color w:val="auto"/>
        </w:rPr>
        <w:t>References in this section to ordinary shares will be deemed references to ADSs, as applicable.</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2019 EIP is administered by the Remuneration Committee unless the Remuneration Committee designates one or more directors as a subcommittee who may act for the Remuneration Committee if necessary. The Board may also choose to administer the 2019 EIP itself.</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9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May 20, 2019, the Remuneration Committee of the Board agreed to grant awards in respect of market value options over an aggregate of 255,500 ADSs to executives, at an exercise price of $5.40 per ADS. On July 23, 2019, the Remuneration Committee of the Board agreed to grant awards in respect of market value options over an additional 215,500 ADSs to executives, at an exercise price of $3.00 per ADS. On February 20, 2020, the Remuneration Committee of the Board agreed to grant awards in respect of market value options over an additional 565,000 ADSs to executives, at an exercise price of $1.84 per ADS.</w:t>
      </w:r>
    </w:p>
    <w:p>
      <w:pPr>
        <w:spacing w:after="0" w:line="202" w:lineRule="exact"/>
        <w:rPr>
          <w:sz w:val="20"/>
          <w:szCs w:val="20"/>
          <w:color w:val="auto"/>
        </w:rPr>
      </w:pPr>
    </w:p>
    <w:p>
      <w:pPr>
        <w:jc w:val="both"/>
        <w:ind w:left="120" w:right="280" w:firstLine="440"/>
        <w:spacing w:after="0" w:line="238" w:lineRule="auto"/>
        <w:rPr>
          <w:sz w:val="20"/>
          <w:szCs w:val="20"/>
          <w:color w:val="auto"/>
        </w:rPr>
      </w:pPr>
      <w:r>
        <w:rPr>
          <w:rFonts w:ascii="Arial" w:cs="Arial" w:eastAsia="Arial" w:hAnsi="Arial"/>
          <w:sz w:val="18"/>
          <w:szCs w:val="18"/>
          <w:color w:val="auto"/>
        </w:rPr>
        <w:t>In the normal course of events and subject to the participant’s continued employment through each applicable vesting date, one fourth of each such market value option grant shall vest on the first anniversary of the grant date and the remainder shall vest in equal monthly installments over the three year period following the first anniversary. No performance conditions apply to such market value options.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9,590,180 ordinary shares. Beginning in the 2021 calendar year, the total number of ordinary shares available for issuance under the 2019 EIP and the 2019 NED EIP is increased on January 1st of each year in an amount equal to the lesser of (i) 4.5%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20"/>
          </w:cols>
          <w:pgMar w:left="320" w:top="459" w:right="5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9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Unvested awards will usually lapse on termination of service (including voluntary departure) save for potentially different good leaver treatment. The effect of a participant’s termination of service on outstanding awards, including whether the awards may be exercised, settled, vested, paid or forfeited, will be determined by the Remuneration Committee and may be set forth in the participant’s award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jc w:val="both"/>
        <w:ind w:left="120" w:right="580" w:firstLine="440"/>
        <w:spacing w:after="0"/>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203"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520" w:firstLine="440"/>
        <w:spacing w:after="0"/>
        <w:rPr>
          <w:sz w:val="20"/>
          <w:szCs w:val="20"/>
          <w:color w:val="auto"/>
        </w:rPr>
      </w:pPr>
      <w:r>
        <w:rPr>
          <w:rFonts w:ascii="Arial" w:cs="Arial" w:eastAsia="Arial" w:hAnsi="Arial"/>
          <w:sz w:val="18"/>
          <w:szCs w:val="18"/>
          <w:color w:val="auto"/>
        </w:rPr>
        <w:t>The Board may amend, alter, suspend, discontinue or terminate the 2019 EIP or any portion thereof at any time, subject to shareholder approval where required by applicable law or the rules of the stock market or exchange, if any, on which the shares are principally quoted or traded.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w:t>
      </w:r>
    </w:p>
    <w:p>
      <w:pPr>
        <w:spacing w:after="0" w:line="20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adopted the 2019 NED EIP on April 4, 2019. The Remuneration Committee made minor amendments to the rules of the</w:t>
      </w:r>
    </w:p>
    <w:p>
      <w:pPr>
        <w:ind w:left="120"/>
        <w:spacing w:after="0"/>
        <w:rPr>
          <w:sz w:val="20"/>
          <w:szCs w:val="20"/>
          <w:color w:val="auto"/>
        </w:rPr>
      </w:pPr>
      <w:r>
        <w:rPr>
          <w:rFonts w:ascii="Arial" w:cs="Arial" w:eastAsia="Arial" w:hAnsi="Arial"/>
          <w:sz w:val="18"/>
          <w:szCs w:val="18"/>
          <w:color w:val="auto"/>
        </w:rPr>
        <w:t>2019 NED EIP on May 16, 2019 prior to the first awards noted below.</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NED EIP provides for the grant of the following types of awards to non-executive directors: (i) market value options;</w:t>
      </w:r>
    </w:p>
    <w:p>
      <w:pPr>
        <w:ind w:left="120" w:right="200" w:hanging="4"/>
        <w:spacing w:after="0" w:line="246" w:lineRule="auto"/>
        <w:tabs>
          <w:tab w:leader="none" w:pos="3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 appreciation rights; (iii) restricted stock / restricted stock unit awards; (iv) performance awards (awards subject to performance conditions) and (v) other share-based awards.</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Subject to the terms of the 2019 NED EIP awards can be granted in respect of ordinary shares, ADSs, cash or a combination thereof. References in this section to ordinary shares will be deemed references to ADSs, as applicable.</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The 2019 NED EIP is administered by the Remuneration Committee unless the Remuneration Committee designates one or more directors as a subcommittee who may act for the Remuneration Committee if necessary. The Board may also choose to administer the 2019 NED EIP itself.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8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Awards were granted under the 2019 NED EIP to non-executive directors on May 20, 2019 in respect of (in aggregate) 38,500 ADSs at a per ADS exercise price of $5.40. The terms of the awards include that, at our discretion, the awards will be settled either in ADSs (for payment of the exercise price) or in cash (by reference to the growth in value in excess of the reference exercise price). On July 23, 2019, the Remuneration Committee of the Board agreed to grant awards in respect of market value options over an additional 38,500 ADSs to non-executive directors, at an exercise price of $3.00 per ADS. On February 20, 2020, the Remuneration Committee of the Board agreed to grant awards in respect of market value options over an additional 77,000 ADSs to non-executive directors, at an exercise price of $1.84 per ADS.</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the normal course of events and subject to the participant holding the participant’s current office (or being otherwise employed) through each applicable vesting date, such awards shall vest in equal monthly installments over the one year period following their grant date. No performance conditions apply to such awards.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4.5% of our issued and outstanding ordinary shares (such limit will be measured as of the date of grant of an award).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95"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jc w:val="both"/>
        <w:ind w:left="120" w:right="620" w:firstLine="440"/>
        <w:spacing w:after="0"/>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w:t>
      </w:r>
    </w:p>
    <w:p>
      <w:pPr>
        <w:spacing w:after="0" w:line="20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directors, executive officers, and non-executive directors, as of March 1, 2020:</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Price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(including</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those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ADSs</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vMerge w:val="restart"/>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represented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 ADS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by ADSs)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00" w:type="dxa"/>
            <w:vAlign w:val="bottom"/>
          </w:tcPr>
          <w:p>
            <w:pPr>
              <w:ind w:left="4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Denise Scots-Knight, Ph.D.</w:t>
            </w: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1,544,745</w:t>
            </w:r>
          </w:p>
        </w:tc>
        <w:tc>
          <w:tcPr>
            <w:tcW w:w="8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346,154</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25,319</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32,205</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935,999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Jill Henrich</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Jones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185,950</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22,058</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66,915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 MBBS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175,622</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17,127</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22,588</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507,920</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John Richard</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June 1, 2016</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314,658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202,347</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19,734</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23,966</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569,859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(including</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those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vMerge w:val="restart"/>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represented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by ADSs)</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40" w:type="dxa"/>
            <w:vAlign w:val="bottom"/>
            <w:gridSpan w:val="2"/>
          </w:tcPr>
          <w:p>
            <w:pPr>
              <w:spacing w:after="0" w:line="175" w:lineRule="exact"/>
              <w:rPr>
                <w:sz w:val="20"/>
                <w:szCs w:val="20"/>
                <w:color w:val="auto"/>
              </w:rPr>
            </w:pPr>
            <w:r>
              <w:rPr>
                <w:rFonts w:ascii="Arial" w:cs="Arial" w:eastAsia="Arial" w:hAnsi="Arial"/>
                <w:sz w:val="16"/>
                <w:szCs w:val="16"/>
                <w:color w:val="auto"/>
              </w:rPr>
              <w:t>Alexandra (Wills) Hughes-Wilson</w:t>
            </w: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30,769</w:t>
            </w:r>
          </w:p>
        </w:tc>
        <w:tc>
          <w:tcPr>
            <w:tcW w:w="6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9,231</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16,250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Peter Fellner</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1,692,673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65,500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Peter Bains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710,583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206,796</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Paul Blackburn</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236,974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22,624</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Anders Ekblom</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216,264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189,702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Kunal Kashyap</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216,264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1,497,735</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Deepika R. Pakianathan, Ph.D</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1,283,670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Michael S. Wyzga</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-5413375</wp:posOffset>
            </wp:positionV>
            <wp:extent cx="699516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-5164455</wp:posOffset>
            </wp:positionV>
            <wp:extent cx="6995160"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-4924425</wp:posOffset>
            </wp:positionV>
            <wp:extent cx="6995160" cy="120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-4684395</wp:posOffset>
            </wp:positionV>
            <wp:extent cx="6995160" cy="120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-4444365</wp:posOffset>
            </wp:positionV>
            <wp:extent cx="6995160" cy="120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-4204335</wp:posOffset>
            </wp:positionV>
            <wp:extent cx="6995160" cy="1200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-3964305</wp:posOffset>
            </wp:positionV>
            <wp:extent cx="6995160"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-3724275</wp:posOffset>
            </wp:positionV>
            <wp:extent cx="699516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-3484245</wp:posOffset>
            </wp:positionV>
            <wp:extent cx="6995160" cy="1200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-3244215</wp:posOffset>
            </wp:positionV>
            <wp:extent cx="699516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-3004185</wp:posOffset>
            </wp:positionV>
            <wp:extent cx="6995160"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-2764155</wp:posOffset>
            </wp:positionV>
            <wp:extent cx="699516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-2524125</wp:posOffset>
            </wp:positionV>
            <wp:extent cx="699516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-2284095</wp:posOffset>
            </wp:positionV>
            <wp:extent cx="699516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-2044065</wp:posOffset>
            </wp:positionV>
            <wp:extent cx="6995160" cy="1200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-1804035</wp:posOffset>
            </wp:positionV>
            <wp:extent cx="6995160"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-1564005</wp:posOffset>
            </wp:positionV>
            <wp:extent cx="699516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-1323975</wp:posOffset>
            </wp:positionV>
            <wp:extent cx="699516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-1083945</wp:posOffset>
            </wp:positionV>
            <wp:extent cx="6995160"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-843915</wp:posOffset>
            </wp:positionV>
            <wp:extent cx="699516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-603885</wp:posOffset>
            </wp:positionV>
            <wp:extent cx="6995160" cy="120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-363855</wp:posOffset>
            </wp:positionV>
            <wp:extent cx="6995160"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ADSs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Underlying</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 ADS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5"/>
                <w:szCs w:val="15"/>
                <w:color w:val="auto"/>
              </w:rPr>
            </w:pP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Expiration Date</w:t>
            </w:r>
          </w:p>
        </w:tc>
      </w:tr>
      <w:tr>
        <w:trPr>
          <w:trHeight w:val="184"/>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 2018</w:t>
            </w:r>
          </w:p>
        </w:tc>
        <w:tc>
          <w:tcPr>
            <w:tcW w:w="1700" w:type="dxa"/>
            <w:vAlign w:val="bottom"/>
          </w:tcPr>
          <w:p>
            <w:pPr>
              <w:ind w:left="60"/>
              <w:spacing w:after="0"/>
              <w:rPr>
                <w:sz w:val="20"/>
                <w:szCs w:val="20"/>
                <w:color w:val="auto"/>
              </w:rPr>
            </w:pPr>
            <w:r>
              <w:rPr>
                <w:rFonts w:ascii="Arial" w:cs="Arial" w:eastAsia="Arial" w:hAnsi="Arial"/>
                <w:sz w:val="16"/>
                <w:szCs w:val="16"/>
                <w:color w:val="auto"/>
              </w:rPr>
              <w:t>May 2, 2028</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 2018</w:t>
            </w:r>
          </w:p>
        </w:tc>
        <w:tc>
          <w:tcPr>
            <w:tcW w:w="1700" w:type="dxa"/>
            <w:vAlign w:val="bottom"/>
          </w:tcPr>
          <w:p>
            <w:pPr>
              <w:ind w:left="60"/>
              <w:spacing w:after="0"/>
              <w:rPr>
                <w:sz w:val="20"/>
                <w:szCs w:val="20"/>
                <w:color w:val="auto"/>
              </w:rPr>
            </w:pPr>
            <w:r>
              <w:rPr>
                <w:rFonts w:ascii="Arial" w:cs="Arial" w:eastAsia="Arial" w:hAnsi="Arial"/>
                <w:sz w:val="16"/>
                <w:szCs w:val="16"/>
                <w:color w:val="auto"/>
              </w:rPr>
              <w:t>May 2, 2028</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11, 2016</w:t>
            </w:r>
          </w:p>
        </w:tc>
        <w:tc>
          <w:tcPr>
            <w:tcW w:w="1700" w:type="dxa"/>
            <w:vAlign w:val="bottom"/>
          </w:tcPr>
          <w:p>
            <w:pPr>
              <w:ind w:left="60"/>
              <w:spacing w:after="0"/>
              <w:rPr>
                <w:sz w:val="20"/>
                <w:szCs w:val="20"/>
                <w:color w:val="auto"/>
              </w:rPr>
            </w:pPr>
            <w:r>
              <w:rPr>
                <w:rFonts w:ascii="Arial" w:cs="Arial" w:eastAsia="Arial" w:hAnsi="Arial"/>
                <w:sz w:val="16"/>
                <w:szCs w:val="16"/>
                <w:color w:val="auto"/>
              </w:rPr>
              <w:t>May 11, 2026</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95"/>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bl>
    <w:p>
      <w:pPr>
        <w:spacing w:after="0" w:line="186" w:lineRule="exact"/>
        <w:rPr>
          <w:sz w:val="20"/>
          <w:szCs w:val="20"/>
          <w:color w:val="auto"/>
        </w:rPr>
      </w:pPr>
    </w:p>
    <w:p>
      <w:pPr>
        <w:sectPr>
          <w:pgSz w:w="11900" w:h="16838" w:orient="portrait"/>
          <w:cols w:equalWidth="0" w:num="2">
            <w:col w:w="5580" w:space="160"/>
            <w:col w:w="5320"/>
          </w:cols>
          <w:pgMar w:left="320" w:top="459" w:right="51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Incentive Award Arrangements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no incentive award arrangements in place as of the date of this prospectus.</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320" w:top="459" w:right="51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 Remuneration</w:t>
      </w:r>
    </w:p>
    <w:p>
      <w:pPr>
        <w:spacing w:after="0" w:line="9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following table sets forth the remuneration paid during 2019 to the current non-executive directors, all of which was in the form of annual fees: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9720" w:type="dxa"/>
            <w:vAlign w:val="bottom"/>
            <w:vMerge w:val="restart"/>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9720" w:type="dxa"/>
            <w:vAlign w:val="bottom"/>
            <w:vMerge w:val="continue"/>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189"/>
        </w:trPr>
        <w:tc>
          <w:tcPr>
            <w:tcW w:w="10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Bains</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46,667</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120" w:type="dxa"/>
            <w:vAlign w:val="bottom"/>
            <w:gridSpan w:val="2"/>
          </w:tcPr>
          <w:p>
            <w:pPr>
              <w:spacing w:after="0" w:line="202" w:lineRule="exact"/>
              <w:rPr>
                <w:sz w:val="20"/>
                <w:szCs w:val="20"/>
                <w:color w:val="auto"/>
              </w:rPr>
            </w:pPr>
            <w:r>
              <w:rPr>
                <w:rFonts w:ascii="Arial" w:cs="Arial" w:eastAsia="Arial" w:hAnsi="Arial"/>
                <w:sz w:val="18"/>
                <w:szCs w:val="18"/>
                <w:color w:val="auto"/>
              </w:rPr>
              <w:t>Paul Blackburn</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3"/>
        </w:trPr>
        <w:tc>
          <w:tcPr>
            <w:tcW w:w="10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Ekblom</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3"/>
        </w:trPr>
        <w:tc>
          <w:tcPr>
            <w:tcW w:w="10120" w:type="dxa"/>
            <w:vAlign w:val="bottom"/>
            <w:gridSpan w:val="2"/>
          </w:tcPr>
          <w:p>
            <w:pPr>
              <w:spacing w:after="0" w:line="202" w:lineRule="exact"/>
              <w:rPr>
                <w:sz w:val="20"/>
                <w:szCs w:val="20"/>
                <w:color w:val="auto"/>
              </w:rPr>
            </w:pPr>
            <w:r>
              <w:rPr>
                <w:rFonts w:ascii="Arial" w:cs="Arial" w:eastAsia="Arial" w:hAnsi="Arial"/>
                <w:sz w:val="18"/>
                <w:szCs w:val="18"/>
                <w:color w:val="auto"/>
              </w:rPr>
              <w:t>Peter Fellner</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3"/>
        </w:trPr>
        <w:tc>
          <w:tcPr>
            <w:tcW w:w="10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Kunal Kashyap</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3"/>
        </w:trPr>
        <w:tc>
          <w:tcPr>
            <w:tcW w:w="10120" w:type="dxa"/>
            <w:vAlign w:val="bottom"/>
            <w:gridSpan w:val="2"/>
          </w:tcPr>
          <w:p>
            <w:pPr>
              <w:spacing w:after="0" w:line="202" w:lineRule="exact"/>
              <w:rPr>
                <w:sz w:val="20"/>
                <w:szCs w:val="20"/>
                <w:color w:val="auto"/>
              </w:rPr>
            </w:pPr>
            <w:r>
              <w:rPr>
                <w:rFonts w:ascii="Arial" w:cs="Arial" w:eastAsia="Arial" w:hAnsi="Arial"/>
                <w:sz w:val="18"/>
                <w:szCs w:val="18"/>
                <w:color w:val="auto"/>
              </w:rPr>
              <w:t>Michael S. Wyzga</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27,590</w:t>
            </w:r>
          </w:p>
        </w:tc>
        <w:tc>
          <w:tcPr>
            <w:tcW w:w="0" w:type="dxa"/>
            <w:vAlign w:val="bottom"/>
          </w:tcPr>
          <w:p>
            <w:pPr>
              <w:spacing w:after="0"/>
              <w:rPr>
                <w:sz w:val="1"/>
                <w:szCs w:val="1"/>
                <w:color w:val="auto"/>
              </w:rPr>
            </w:pPr>
          </w:p>
        </w:tc>
      </w:tr>
      <w:tr>
        <w:trPr>
          <w:trHeight w:val="217"/>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Deepika R. Pakianathan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0" w:type="dxa"/>
            <w:vAlign w:val="bottom"/>
            <w:shd w:val="clear" w:color="auto" w:fill="CCEEFF"/>
          </w:tcPr>
          <w:p>
            <w:pPr>
              <w:spacing w:after="0"/>
              <w:rPr>
                <w:sz w:val="21"/>
                <w:szCs w:val="21"/>
                <w:color w:val="auto"/>
              </w:rPr>
            </w:pPr>
          </w:p>
        </w:tc>
        <w:tc>
          <w:tcPr>
            <w:tcW w:w="97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Frank Armstrong served as a non-executive director until his resignation on February 11, 2019. Between January 1, 2019 and February 11, 2019 Frank Armstrong was paid total remuneration of £19,959.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 Service Contracts</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or her appointment.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2018 was £145,724, which represents contributions made by us in 2018 in respect of a defined contribution scheme.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99"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w:t>
      </w:r>
    </w:p>
    <w:p>
      <w:pPr>
        <w:spacing w:after="0" w:line="203"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following table sets forth information relating to the beneficial ownership of our ordinary shares as of March 1, 2020 (except as otherwise indicated) by:</w:t>
      </w:r>
    </w:p>
    <w:p>
      <w:pPr>
        <w:spacing w:after="0" w:line="188" w:lineRule="exact"/>
        <w:rPr>
          <w:sz w:val="20"/>
          <w:szCs w:val="20"/>
          <w:color w:val="auto"/>
        </w:rPr>
      </w:pPr>
    </w:p>
    <w:p>
      <w:pPr>
        <w:ind w:left="980" w:hanging="432"/>
        <w:spacing w:after="0"/>
        <w:tabs>
          <w:tab w:leader="none" w:pos="98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and each of our other executive officers.</w:t>
      </w:r>
    </w:p>
    <w:p>
      <w:pPr>
        <w:spacing w:after="0" w:line="20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0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percentage of ordinary shares beneficially owned before the offering is computed on the basis of 124,507,857 ordinary shares outstanding as of March 1, 2020. As of the date of this prospectus, our share capital consists of 124,507,857 fully subscribed and paid up shares. Ordinary shares that a person has the right to acquire within 60 days of March 1, 2020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Number of</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Ordinary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Shares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Beneficially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Owned as of</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8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March 1,</w:t>
            </w:r>
          </w:p>
        </w:tc>
        <w:tc>
          <w:tcPr>
            <w:tcW w:w="2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 of Ordinary Shares</w:t>
            </w:r>
          </w:p>
        </w:tc>
        <w:tc>
          <w:tcPr>
            <w:tcW w:w="0" w:type="dxa"/>
            <w:vAlign w:val="bottom"/>
          </w:tcPr>
          <w:p>
            <w:pPr>
              <w:spacing w:after="0"/>
              <w:rPr>
                <w:sz w:val="1"/>
                <w:szCs w:val="1"/>
                <w:color w:val="auto"/>
              </w:rPr>
            </w:pPr>
          </w:p>
        </w:tc>
      </w:tr>
      <w:tr>
        <w:trPr>
          <w:trHeight w:val="182"/>
        </w:trPr>
        <w:tc>
          <w:tcPr>
            <w:tcW w:w="2620" w:type="dxa"/>
            <w:vAlign w:val="bottom"/>
            <w:tcBorders>
              <w:bottom w:val="single" w:sz="8" w:color="auto"/>
            </w:tcBorders>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3220" w:type="dxa"/>
            <w:vAlign w:val="bottom"/>
            <w:gridSpan w:val="2"/>
          </w:tcPr>
          <w:p>
            <w:pPr>
              <w:jc w:val="center"/>
              <w:ind w:left="2191"/>
              <w:spacing w:after="0"/>
              <w:rPr>
                <w:sz w:val="20"/>
                <w:szCs w:val="20"/>
                <w:color w:val="auto"/>
              </w:rPr>
            </w:pPr>
            <w:r>
              <w:rPr>
                <w:rFonts w:ascii="Arial" w:cs="Arial" w:eastAsia="Arial" w:hAnsi="Arial"/>
                <w:sz w:val="14"/>
                <w:szCs w:val="14"/>
                <w:b w:val="1"/>
                <w:bCs w:val="1"/>
                <w:color w:val="auto"/>
              </w:rPr>
              <w:t>2020(1)</w:t>
            </w:r>
          </w:p>
        </w:tc>
        <w:tc>
          <w:tcPr>
            <w:tcW w:w="1060" w:type="dxa"/>
            <w:vAlign w:val="bottom"/>
          </w:tcPr>
          <w:p>
            <w:pPr>
              <w:spacing w:after="0"/>
              <w:rPr>
                <w:sz w:val="15"/>
                <w:szCs w:val="15"/>
                <w:color w:val="auto"/>
              </w:rPr>
            </w:pPr>
          </w:p>
        </w:tc>
        <w:tc>
          <w:tcPr>
            <w:tcW w:w="2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3% or Greater Shareholders:</w:t>
            </w:r>
          </w:p>
        </w:tc>
        <w:tc>
          <w:tcPr>
            <w:tcW w:w="2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Link Fund Solutions Limited(2)</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19,031,915</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Invesco Asset Management(3)</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17,392,000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Novartis Pharma AG(4)</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15,703,871</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Aspire Capital Fund, LLC(5)</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14,295,520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Boxer Capital, LLC(6)</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12,252,715</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Schroder UK Public Private Trust PLC(7)</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7,845,873</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Denise Scots-Knight, Ph.D.(8)</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2,480,744</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Richard Jones</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66,915</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Alastair MacKinnon, MBBS(9)</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1,280,291</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John Richard(10)</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1,130,789</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Charles Sermon(11)</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1,342,230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Jill Henrich</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10,380</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Peter Fellner, Ph.D.(12)</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1,758,173</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Peter Bains(13)</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917,379</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Paul Blackburn(14)</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259,598</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Anders Ekblom, M.D., Ph.D.(15)</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259,598</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Kunal Kashyap(16)</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1,713,999</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Alexandra (Wills) Hughes-Wilson(17)</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16,250</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Deepika R. Pakianathan, Ph.D (18)</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1,283,670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Michael S. Wyzga</w:t>
            </w:r>
          </w:p>
        </w:tc>
        <w:tc>
          <w:tcPr>
            <w:tcW w:w="2260" w:type="dxa"/>
            <w:vAlign w:val="bottom"/>
          </w:tcPr>
          <w:p>
            <w:pPr>
              <w:spacing w:after="0"/>
              <w:rPr>
                <w:sz w:val="18"/>
                <w:szCs w:val="18"/>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jc w:val="right"/>
              <w:ind w:right="911"/>
              <w:spacing w:after="0"/>
              <w:rPr>
                <w:sz w:val="20"/>
                <w:szCs w:val="20"/>
                <w:color w:val="auto"/>
              </w:rPr>
            </w:pPr>
            <w:r>
              <w:rPr>
                <w:rFonts w:ascii="Arial" w:cs="Arial" w:eastAsia="Arial" w:hAnsi="Arial"/>
                <w:sz w:val="18"/>
                <w:szCs w:val="18"/>
                <w:color w:val="auto"/>
              </w:rPr>
              <w:t>211</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18173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w:t>
      </w:r>
    </w:p>
    <w:p>
      <w:pPr>
        <w:spacing w:after="0" w:line="3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Ordinary shares figures include ordinary shares represented by ADSs.</w:t>
      </w:r>
    </w:p>
    <w:p>
      <w:pPr>
        <w:spacing w:after="0" w:line="36" w:lineRule="exact"/>
        <w:rPr>
          <w:rFonts w:ascii="Arial" w:cs="Arial" w:eastAsia="Arial" w:hAnsi="Arial"/>
          <w:sz w:val="18"/>
          <w:szCs w:val="18"/>
          <w:color w:val="auto"/>
        </w:rPr>
      </w:pPr>
    </w:p>
    <w:p>
      <w:pPr>
        <w:ind w:left="540" w:hanging="424"/>
        <w:spacing w:after="0" w:line="235"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Until October 15, 2019, consisted of (i) 19,153,667 ordinary shares held by LF Woodford Equity Income Fund, a subfund of LF Woodford Investment Fund (the “Fund”) and (ii) 7,845,873 Mereo ordinary shares held by Woodford Patient Capital Trust, Plc (“WPCT”). On October 15, 2019, Link Fund Solutions Limited (“Link”), as authorized corporate director of the Fund, announced its decision to wind the Fund up as soon as practicable by way of an orderly realization of the Fund’s assets (the “Winding-up Announcement”). This decision came after Link’s decision on June 3, 2019 to suspend redemptions and other dealings in shares in the Fund as a result of an increased level of redemptions from the Fund. Also on October 15, 2019, Woodford Investment Management Limited ceased to be the investment manager for the Fund. It was further announced that Link has allocated the Fund’s assets into two portfolios, one comprised of listed assets and one comprised of unlisted and certain highly illiquid listed assets. According to the Winding-Up Announcement, BlackRock Advisors (UK) Limited has been appointed to sell the assets in the first portfolio during the period until winding up of the Fund commences. In addition, PJT Partners (UK) Limited will continue to assist Link in selling the assets in the second portfolio. On January 18, 2020, the Fund was formally moved into wind-up, Schroder Investment Management succeeded Woodford as investment manager of WPCT, and WPCT was renamed Schroder UK Public Private Trust PLC. See footnote (5) below. The first capital distribution by Link was paid to investors on January 30, 2020, and further capital distributions are expected to be made as and when suitable amounts of cash have been raised from the sale of the remaining assets of the Fund. As a direct or indirect result of the foregoing, all or part of the shares previously held and managed by Woodford may be sold or otherwise disposed of, any of which may occur imminently. In addition, while Link retains control over approximately 15.3% of our shares (consisting of the shares previously held by the Fund), it will continue to exert significant influence over all matters requiring shareholder approval, including the election of directors and approval of significant corporate transactions. Link’s interests may conflict with your interests, including as a direct or indirect result of the above-described developments. Based on information known to Mereo and a Form TR 1 provided to Mereo in February 2020, the share holdings consist of (i) 16,478,248 ordinary shares held by BlackRock Investment Management (Transition) and (ii) 2,553,667 ordinary shares held by Link. The address of Link is 6th Floor, 65 Gresham Street, London, EC2V 7NQ, United Kingdom.</w:t>
      </w:r>
    </w:p>
    <w:p>
      <w:pPr>
        <w:spacing w:after="0" w:line="36" w:lineRule="exact"/>
        <w:rPr>
          <w:rFonts w:ascii="Arial" w:cs="Arial" w:eastAsia="Arial" w:hAnsi="Arial"/>
          <w:sz w:val="18"/>
          <w:szCs w:val="18"/>
          <w:color w:val="auto"/>
        </w:rPr>
      </w:pPr>
    </w:p>
    <w:p>
      <w:pPr>
        <w:ind w:left="540" w:right="340" w:hanging="424"/>
        <w:spacing w:after="0" w:line="23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share holdings of Invesco Asset Management consist of (i) 12,546,466 ordinary shares beneficially owned by Invesco High Income Fund and (ii) 4,843,534 ordinary shares beneficially owned by Invesco Income Fund. Beneficial ownership information is based on information known to Mereo. The address of Invesco Asset Management Limited is 30 Finsbury Square, London EC2A 1AG, United Kingdom.</w:t>
      </w:r>
    </w:p>
    <w:p>
      <w:pPr>
        <w:spacing w:after="0" w:line="29"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15,703,871 ordinary shares held by Novartis. Beneficial ownership information is based on information known to Mereo. The address of Novartis AG is Lichtstrasse 35, 4056 Basel, Switzerland.</w:t>
      </w:r>
    </w:p>
    <w:p>
      <w:pPr>
        <w:spacing w:after="0" w:line="21" w:lineRule="exact"/>
        <w:rPr>
          <w:rFonts w:ascii="Arial" w:cs="Arial" w:eastAsia="Arial" w:hAnsi="Arial"/>
          <w:sz w:val="18"/>
          <w:szCs w:val="18"/>
          <w:color w:val="auto"/>
        </w:rPr>
      </w:pPr>
    </w:p>
    <w:p>
      <w:pPr>
        <w:ind w:left="540" w:right="80" w:hanging="424"/>
        <w:spacing w:after="0" w:line="236"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entirely of ordinary shares held by Aspire Capital, which consists of the Initial Shares and the Commission Shares purchased by Aspire Capital pursuant to the Purchase Agreement. See “The Aspire Capital Transaction.” Aspire Capital Partners LLC (“Aspire Partners”) is the Managing Member of Aspire Capital. SGM Holdings Corp. (“SGM”) is the managing member of Aspire Partners. Mr. Steven G. Martin is the president and sole shareholder of SGM, as well as a principal of Aspire Partners. Mr. Erik J. Brown is the president and sole shareholder of Red Cedar Capital Corp. (“Red Cedar”) which is a principal of Aspire Partners. Mr. Christos Komissopoulos is president and sole shareholder of Chrisko Investors Inc. (“Chrisko”), which is a principal of Aspire Partners. Mr. William F. Blank, III is president and sole shareholder of WML Ventures Corp. (“WML Ventures”), which is a principal of Aspire Partners. Each of Aspire Partners, SGM, Red Cedar, Chrisko, WML Ventures, Mr. Martin, Mr. Brown, Mr. Komissopoulos and Mr. Blank may be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right="160"/>
        <w:spacing w:after="0"/>
        <w:rPr>
          <w:sz w:val="20"/>
          <w:szCs w:val="20"/>
          <w:color w:val="auto"/>
        </w:rPr>
      </w:pPr>
      <w:r>
        <w:rPr>
          <w:rFonts w:ascii="Arial" w:cs="Arial" w:eastAsia="Arial" w:hAnsi="Arial"/>
          <w:sz w:val="18"/>
          <w:szCs w:val="18"/>
          <w:color w:val="auto"/>
        </w:rPr>
        <w:t>deemed to be a beneficial owner of the ordinary shares held by Aspire Capital. Each of Aspire Partners, SGM, Red Cedar, Chrisko, WML Ventures, Mr. Martin, Mr. Brown, Mr. Komissopoulos and Mr. Blank disclaims beneficial ownership of the ordinary shares held by Aspire Capital. The address of Aspire Capital is 155 North Wacker Dr. Suite 1600, Chicago, IL 60606.</w:t>
      </w:r>
    </w:p>
    <w:p>
      <w:pPr>
        <w:spacing w:after="0" w:line="27" w:lineRule="exact"/>
        <w:rPr>
          <w:sz w:val="20"/>
          <w:szCs w:val="20"/>
          <w:color w:val="auto"/>
        </w:rPr>
      </w:pPr>
    </w:p>
    <w:p>
      <w:pPr>
        <w:ind w:left="540" w:right="1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12,252,715 ordinary shares held by Boxer Capital based on a report on Form 13G filed with the SEC on March 2, 2020. See also “Prospectus Summary—Recent Developments—Boxer Capital Transaction.” The address of Boxer Capital is 11682 El Camino Real, Suite 320, San Diego, CA 92130.</w:t>
      </w:r>
    </w:p>
    <w:p>
      <w:pPr>
        <w:spacing w:after="0" w:line="27" w:lineRule="exact"/>
        <w:rPr>
          <w:rFonts w:ascii="Arial" w:cs="Arial" w:eastAsia="Arial" w:hAnsi="Arial"/>
          <w:sz w:val="18"/>
          <w:szCs w:val="18"/>
          <w:color w:val="auto"/>
        </w:rPr>
      </w:pPr>
    </w:p>
    <w:p>
      <w:pPr>
        <w:ind w:left="540" w:right="38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entirely of ordinary shares. Beneficial ownership information for Schroder UK Public Private Trust PLC is based on information known to Mereo. Schroder Investment Management is the investment manager for Schroder UK Public Private Trust PLC. The address of Schroder Investment Management Ltd. is 1 London Wall Place, London, EC2Y 5AU, UK.</w:t>
      </w:r>
    </w:p>
    <w:p>
      <w:pPr>
        <w:spacing w:after="0" w:line="27"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1,544,745 ordinary shares that are or will be immediately exercisable within 60 days of March 1, 2020. Includes 6,300 ordinary shares held by Dr. Scots-Knight’s husband.</w:t>
      </w:r>
    </w:p>
    <w:p>
      <w:pPr>
        <w:spacing w:after="0" w:line="21"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772,371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816,131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772,371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1,692,673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710,583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236,974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216,264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216,264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8,000 ordinary shares held by Ms. Hughes-Wilson’s husband.</w:t>
      </w:r>
    </w:p>
    <w:p>
      <w:pPr>
        <w:spacing w:after="0" w:line="36" w:lineRule="exact"/>
        <w:rPr>
          <w:rFonts w:ascii="Arial" w:cs="Arial" w:eastAsia="Arial" w:hAnsi="Arial"/>
          <w:sz w:val="18"/>
          <w:szCs w:val="18"/>
          <w:color w:val="auto"/>
        </w:rPr>
      </w:pPr>
    </w:p>
    <w:p>
      <w:pPr>
        <w:ind w:left="540" w:right="40" w:hanging="424"/>
        <w:spacing w:after="0" w:line="23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Delphi Ventures VIII, L.P. (“Delphi VIII”) directly holds 254,327 ADSs. Delphi BioInvestments VIII, L.P. (“DBI VIII”) directly holds 2,407 ADSs. Delphi Management Partners VIII, L.L.C. (“DMP VIII”) is the general partner of Delphi VIII and DBI VIII (together, the “Delphi VIII Funds”), and may be deemed to have sole voting and dispositive power over the ADSs held by the Delphi VIII Funds. DMP VIII and each of James J. Bochnowski, David L. Douglass, Douglas A. Roeder and Deepika R. Pakianathan, Ph.D., the Managing Members of DMP VIII who may be deemed to share voting and dispositive power over the reported securities, disclaim beneficial ownership of the reported securities held by the Delphi VIII Funds except to the extent of any pecuniary interest therein.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 Merger and the transactions with Aspire Capital and Boxer Capital, there has been no significant change in the percentage ownership held by the major shareholders listed above in the last three years, except as discussed under the heading “Related Party Transactions.”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120" w:right="400" w:firstLine="440"/>
        <w:spacing w:after="0" w:line="274" w:lineRule="auto"/>
        <w:rPr>
          <w:sz w:val="20"/>
          <w:szCs w:val="20"/>
          <w:color w:val="auto"/>
        </w:rPr>
      </w:pPr>
      <w:r>
        <w:rPr>
          <w:rFonts w:ascii="Arial" w:cs="Arial" w:eastAsia="Arial" w:hAnsi="Arial"/>
          <w:sz w:val="17"/>
          <w:szCs w:val="17"/>
          <w:color w:val="auto"/>
        </w:rPr>
        <w:t>The following is a description of related party transactions we have entered into with the beneficial owners of 3% or more of our ordinary shares, which are our only voting securities, and senior management and members of our Board, since our incorporation.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(the “Subscription Agreement”), with Invesco Perpetual High Income Fund, Woodford Patient Capital Trust plc and LF Equity Income Fund (collectively, the “Investors”), and Novartis. Under the Subscription Agreement, we initially issued 10,869,566 ordinary shares to the Investors at a price per ordinary share of £1.84 for total aggregate cash proceeds of £ 20.0 million, and 3,849,000 ordinary shares to Novartis in connection with the asset purchase agreements described under “—Other Transactions with Novartis.”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become entitled to receive additional shares upon conversion of the Novartis Notes (part of which were converted into ordinary shares in April 2017, and the remainder of which were converted into ordinary shares in June 2019). See “—Other Transactions with Novartis—Novartis Notes.”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 with Novartis</w:t>
      </w:r>
    </w:p>
    <w:p>
      <w:pPr>
        <w:spacing w:after="0" w:line="85"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On July 28, 2015, we entered into asset purchase agreements with Novartis to purchase each of setrusumab, acumapimod, and leflutrozole. See “Business—Material Agreements—Novartis Agreements.” As consideration, we issued 3,849,000 ordinary shares to Novartis.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June 3, 2016, we issued 3,463,563 Novartis Notes to Novartis, for aggregate proceeds to us of £3.5 million. See “Management’s Discussion and Analysis of Financial Condition and Results of Operations—Liquidity and Capital Resources—Indebtedness—Novartis Notes” for additional information on the terms of the Novartis Notes.</w:t>
      </w:r>
    </w:p>
    <w:p>
      <w:pPr>
        <w:spacing w:after="0" w:line="203"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£ 2.21 per share. Additionally, in connection with such conversion, we issued 864,988 Bonus Shares to Novartis. At June 30, 2019, there was no further liability under the Novartis Notes which were converted in full as at that date.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9"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 No payments were made from Mereo to Novartis in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Pursuant to our Articles, for as long as Novartis holds not less than one percent of our issued share capital, Novartis may appoint one observer who may attend, but not participate or vote in, any meeting of our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Agreements.”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deeds of indemnity with each of our directors. See “Management—Insurance and Indemnification.”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As of March 1, 2020, our issued share capital was £373,523 equivalent to 124,507,857 ordinary shares. The nominal value of our ordinary shares, including ordinary shares in the form of ADSs, is £0.003 per ordinary share. Each issued ordinary share is fully paid. 22,102,085 of our ordinary shares are represented by 4,420,417 ADSs.</w:t>
      </w:r>
    </w:p>
    <w:p>
      <w:pPr>
        <w:spacing w:after="0" w:line="20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According to the resolutions passed in our annual general meeting held on June 19, 2019, our Board was authorized to (i) allot new shares or grant rights to subscribe for, or convert other securities into, shares up to an amount equal to 100% of our total issued ordinary share capital as at May 17, 2019,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In addition, according to written resolutions of our shareholders passed on June 2, 2016, our Board was authorized (i) to allot new ordinary shares up to a maximum nominal value of £350,000.00; and (ii) allot equity securities for cash without first being required to offer them to existing ordinary shareholders up to the same aggregate maximum nominal amount of £350,000.00. In each case, the authorization will last until the fifth anniversary of the passing of these written resolutions. The Initial Shares, the Commission Shares and the 12,252,715 ordinary Shares issued to Boxer capital in February 2020 were issued using part of the June 19, 2019 authority. As of March 1, 2020, authorization to allot ordinary shares up to a maximum aggregate nominal amount of £323,768 remained under the June 19, 2019 and June 2, 2016 authorities, representing up to 107,922,693 ordinary shares. To the extent that ordinary shares are issued pursuant to this offering during the remaining periods of the June 19, 2019 and June 2, 2016 authorities, those issuances will utilize the unutilized amount from time to time of whichever authority is used for the relevant issuance. If either authority is exhausted or expires, further shareholder authorities may be required for the future issuances of ordinary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As of December 31, 2019, there were options to purchase 12,430,806 ordinary shares outstanding under our equity incentive plans with a weighted average exercise price of £1.45 per ordinary share. The options generally lapse after 10 years from the date of the grant.</w:t>
      </w:r>
    </w:p>
    <w:p>
      <w:pPr>
        <w:spacing w:after="0" w:line="17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As of December 31, 2019, there were options to purchase 782,400 ADSs outstanding under our equity incentive plans with a weighted average exercise price of $3.51 per ADS. The options generally lapse after 4 years from the date of grant.</w:t>
      </w:r>
    </w:p>
    <w:p>
      <w:pPr>
        <w:spacing w:after="0" w:line="197"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60"/>
          </w:cols>
          <w:pgMar w:left="320" w:top="459" w:right="5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On February 20, 2020, we issued options to purchase 565,000 ADSs with an exercise price of $1.84 per ADS to employees pursuant to the 2019 EIP. One quarter of the options become exercisable on the first anniversary of their grant date and, thereafter, vest in equal monthly installments over three years.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Following the issuance of the New Novartis Notes and the Initial Shares under the Aspire Purchase Agreement, we expect to issue an additional 203,878 warrants at an average exercise price of £2.95 per ordinary share, including 101,939 warrants exercisable by Silicon Valley Bank and 101,939 warrants exercisable by Kreos Capital V (UK) Limited.</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As of December 31, 2019, there were warrants to purchase 41,286 ordinary shares at an exercise price of £0.003 per ordinary share exercisable by The Alpha-1 Project, Inc.</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£0.265 per ordinary share. These warrants will be capable of exercise until February 10, 2025. The warrants include an adjustment provision to prevent the dilution of the ordinary shares issuable to Novartis under certain circumstances.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right="60" w:hanging="432"/>
        <w:spacing w:after="0" w:line="226"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8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June 19, 2019, our shareholders, in addition to the authorization noted above, authorized our Board to exclude pre-emptive rights for a period until the end of our next annual general meeting or, if earlier, 15 months from June 19, 2019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 On May 26, 2016, our shareholders authorized our Board to exclude pre-emptive rights up to a maximum aggregate nominal amount of £350,000, which expires on May 26, 2021.</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at March 1, 2020, non pre-emptive authorization up to a maximum aggregate nominal amount of £323,768 remained available to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41"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4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100" w:hanging="432"/>
        <w:spacing w:after="0" w:line="218"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29"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3" w:lineRule="exact"/>
        <w:rPr>
          <w:sz w:val="20"/>
          <w:szCs w:val="20"/>
          <w:color w:val="auto"/>
        </w:rPr>
      </w:pPr>
    </w:p>
    <w:p>
      <w:pPr>
        <w:ind w:left="980" w:hanging="432"/>
        <w:spacing w:after="0"/>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41"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4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5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5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5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54"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23"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Directors’ Interests</w:t>
      </w:r>
    </w:p>
    <w:p>
      <w:pPr>
        <w:spacing w:after="0" w:line="4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us), the board may authorize in accordance with the U.K. Companies Act 2006 the director’s interest and the continuing performance by the relevant director of his or her duties as a director on such terms as the board may determine.</w:t>
      </w:r>
    </w:p>
    <w:p>
      <w:pPr>
        <w:spacing w:after="0" w:line="20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 director shall not be accountable to us for any benefit which he or she derives from or in connection with a relationship involving a conflict of interest or possible conflict of interest which has been authorized by the directors or by us in a general meeting and any such transaction or arrangement shall not be liable to be avoided on the grounds of any such benefit.</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207" w:lineRule="exact"/>
        <w:rPr>
          <w:sz w:val="20"/>
          <w:szCs w:val="20"/>
          <w:color w:val="auto"/>
        </w:rPr>
      </w:pPr>
    </w:p>
    <w:p>
      <w:pPr>
        <w:ind w:left="980" w:hanging="432"/>
        <w:spacing w:after="0"/>
        <w:tabs>
          <w:tab w:leader="none" w:pos="980" w:val="left"/>
        </w:tabs>
        <w:numPr>
          <w:ilvl w:val="0"/>
          <w:numId w:val="126"/>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director’s interest arises solely through an interest in shares, debentures or other securities of or otherwise in or through us;</w:t>
      </w:r>
    </w:p>
    <w:p>
      <w:pPr>
        <w:spacing w:after="0" w:line="26" w:lineRule="exact"/>
        <w:rPr>
          <w:rFonts w:ascii="MS PGothic" w:cs="MS PGothic" w:eastAsia="MS PGothic" w:hAnsi="MS PGothic"/>
          <w:sz w:val="24"/>
          <w:szCs w:val="24"/>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ours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20" w:right="120" w:hanging="427"/>
        <w:spacing w:after="0" w:line="218"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us or any of our subsidiaries;</w:t>
      </w:r>
    </w:p>
    <w:p>
      <w:pPr>
        <w:spacing w:after="0" w:line="27" w:lineRule="exact"/>
        <w:rPr>
          <w:rFonts w:ascii="MS PGothic" w:cs="MS PGothic" w:eastAsia="MS PGothic" w:hAnsi="MS PGothic"/>
          <w:sz w:val="25"/>
          <w:szCs w:val="25"/>
          <w:color w:val="auto"/>
          <w:vertAlign w:val="superscript"/>
        </w:rPr>
      </w:pPr>
    </w:p>
    <w:p>
      <w:pPr>
        <w:ind w:left="1420" w:right="80" w:hanging="427"/>
        <w:spacing w:after="0" w:line="223"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us or any of our subsidiaries, or to underwrite, sub-underwrite or guarantee an offer of any such shares or securities by us or any of our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20" w:right="520" w:hanging="427"/>
        <w:spacing w:after="0" w:line="218"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available to employees and directors, or former employees and directors, of us or any of our subsidiaries which do not provide special benefits for directors or former directors;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420" w:hanging="427"/>
        <w:spacing w:after="0"/>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we are empowered to purchase or maintain for directors or officers;</w:t>
      </w:r>
    </w:p>
    <w:p>
      <w:pPr>
        <w:spacing w:after="0" w:line="26" w:lineRule="exact"/>
        <w:rPr>
          <w:rFonts w:ascii="MS PGothic" w:cs="MS PGothic" w:eastAsia="MS PGothic" w:hAnsi="MS PGothic"/>
          <w:sz w:val="25"/>
          <w:szCs w:val="25"/>
          <w:color w:val="auto"/>
          <w:vertAlign w:val="superscript"/>
        </w:rPr>
      </w:pPr>
    </w:p>
    <w:p>
      <w:pPr>
        <w:ind w:left="1420" w:right="240" w:hanging="427"/>
        <w:spacing w:after="0" w:line="218"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or her duties;</w:t>
      </w:r>
    </w:p>
    <w:p>
      <w:pPr>
        <w:spacing w:after="0" w:line="27" w:lineRule="exact"/>
        <w:rPr>
          <w:rFonts w:ascii="MS PGothic" w:cs="MS PGothic" w:eastAsia="MS PGothic" w:hAnsi="MS PGothic"/>
          <w:sz w:val="25"/>
          <w:szCs w:val="25"/>
          <w:color w:val="auto"/>
          <w:vertAlign w:val="superscript"/>
        </w:rPr>
      </w:pPr>
    </w:p>
    <w:p>
      <w:pPr>
        <w:ind w:left="1420" w:right="40" w:hanging="427"/>
        <w:spacing w:after="0" w:line="223"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28" w:lineRule="exact"/>
        <w:rPr>
          <w:rFonts w:ascii="MS PGothic" w:cs="MS PGothic" w:eastAsia="MS PGothic" w:hAnsi="MS PGothic"/>
          <w:sz w:val="25"/>
          <w:szCs w:val="25"/>
          <w:color w:val="auto"/>
          <w:vertAlign w:val="superscript"/>
        </w:rPr>
      </w:pPr>
    </w:p>
    <w:p>
      <w:pPr>
        <w:ind w:left="1420" w:right="100" w:hanging="427"/>
        <w:spacing w:after="0" w:line="227"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or she is not entitled to vote by reason of his or her interest.</w:t>
      </w:r>
    </w:p>
    <w:p>
      <w:pPr>
        <w:spacing w:after="0" w:line="197"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Directors’ Fees and Remuneration</w:t>
      </w:r>
    </w:p>
    <w:p>
      <w:pPr>
        <w:spacing w:after="0" w:line="41" w:lineRule="exact"/>
        <w:rPr>
          <w:sz w:val="20"/>
          <w:szCs w:val="20"/>
          <w:color w:val="auto"/>
        </w:rPr>
      </w:pPr>
    </w:p>
    <w:p>
      <w:pPr>
        <w:ind w:left="120" w:right="780" w:firstLine="440"/>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us.</w:t>
      </w:r>
    </w:p>
    <w:p>
      <w:pPr>
        <w:spacing w:after="0" w:line="197"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Each director may be paid his or her reasonable expenses in connection with such director’s attendance at meetings of the board or committees of the board or general meetings or separate meetings of the holders of any class of shares or of debentures, or otherwise in connection with the exercise of powers and the discharge of responsibilities in relation to us.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or her in connection with any negligence, default, breach of duty, or breach of trust by him or her in relation to us or in connection with our activities as a trustee of an occupational pension scheme, in the actual or purported exercise of his or her powers or duties or otherwise as our officer, to the extent permitted under the U.K. Companies Act 2006.</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w:t>
      </w:r>
    </w:p>
    <w:p>
      <w:pPr>
        <w:spacing w:after="0" w:line="175"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5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5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5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202"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980" w:right="560" w:hanging="432"/>
        <w:spacing w:after="0" w:line="218" w:lineRule="auto"/>
        <w:tabs>
          <w:tab w:leader="none" w:pos="98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9" w:lineRule="auto"/>
        <w:tabs>
          <w:tab w:leader="none" w:pos="98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80" w:hanging="432"/>
        <w:spacing w:after="0"/>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5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980" w:right="80" w:hanging="432"/>
        <w:spacing w:after="0" w:line="218" w:lineRule="auto"/>
        <w:tabs>
          <w:tab w:leader="none" w:pos="98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5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67"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Number of</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29660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the U.K. Companies Act 2006, a public limited company must have at least two directors. Our Articles further provide that, unless otherwise determined by an ordinary resolution, the number of our directors shall be not less than two nor more than nine in number.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nine members.</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w:t>
      </w:r>
    </w:p>
    <w:p>
      <w:pPr>
        <w:spacing w:after="0" w:line="13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3">
            <w:col w:w="1160" w:space="720"/>
            <w:col w:w="4640" w:space="140"/>
            <w:col w:w="4400"/>
          </w:cols>
          <w:pgMar w:left="320" w:top="459" w:right="519" w:bottom="1440" w:gutter="0" w:footer="0" w:header="0"/>
          <w:type w:val="continuous"/>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participate or vote in, any meeting of our board of</w:t>
            </w:r>
          </w:p>
        </w:tc>
      </w:tr>
      <w:tr>
        <w:trPr>
          <w:trHeight w:val="217"/>
        </w:trPr>
        <w:tc>
          <w:tcPr>
            <w:tcW w:w="134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directors.</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Removal of</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Under the U.K. Companies Act 2006, a company may</w:t>
            </w: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remove a director without cause at a general meeting by</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way of an ordinary resolution of shareholders (which is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passed by a simple majority of those voting in person or</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by proxy at a general meeting), irrespective of any</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provision of any agreement or service contract between</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the director and the company, provided that 28 clear days’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notice of the proposed resolution to remove the director is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given and certain other procedural requirements under the</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U.K. Companies Act 2006 are followed (such as allowing</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the director to make representations against his or her</w:t>
            </w:r>
          </w:p>
        </w:tc>
      </w:tr>
      <w:tr>
        <w:trPr>
          <w:trHeight w:val="217"/>
        </w:trPr>
        <w:tc>
          <w:tcPr>
            <w:tcW w:w="134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removal either at the meeting or in writing).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80" w:right="160"/>
        <w:spacing w:after="0" w:line="236" w:lineRule="auto"/>
        <w:rPr>
          <w:sz w:val="20"/>
          <w:szCs w:val="20"/>
          <w:color w:val="auto"/>
        </w:rPr>
      </w:pPr>
      <w:r>
        <w:rPr>
          <w:rFonts w:ascii="Arial" w:cs="Arial" w:eastAsia="Arial" w:hAnsi="Arial"/>
          <w:sz w:val="18"/>
          <w:szCs w:val="18"/>
          <w:color w:val="auto"/>
        </w:rPr>
        <w:t>In addition to any power of removal under the U.K. Companies Act 2006, under our Articles, we may, by special resolution or ordinary resolution (of which special notice has been given in accordance with section 312 of the U.K. Companies Act 2006) remove any director from office (but without prejudice to any claim he or she may have for damages for breach of any agreement between us and the relevant director) and, by ordinary resolution, appoint another person to act as director in his or her place.</w:t>
      </w:r>
    </w:p>
    <w:p>
      <w:pPr>
        <w:spacing w:after="0" w:line="53"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Vacancies on the</w:t>
      </w:r>
      <w:r>
        <w:rPr>
          <w:sz w:val="20"/>
          <w:szCs w:val="20"/>
          <w:color w:val="auto"/>
        </w:rPr>
        <w:tab/>
      </w:r>
      <w:r>
        <w:rPr>
          <w:rFonts w:ascii="Arial" w:cs="Arial" w:eastAsia="Arial" w:hAnsi="Arial"/>
          <w:sz w:val="18"/>
          <w:szCs w:val="18"/>
          <w:color w:val="auto"/>
        </w:rPr>
        <w:t>Under our Articles, we may by ordinary resolution appoint</w:t>
      </w:r>
    </w:p>
    <w:p>
      <w:pPr>
        <w:ind w:left="120"/>
        <w:spacing w:after="0"/>
        <w:tabs>
          <w:tab w:leader="none" w:pos="1860" w:val="left"/>
        </w:tabs>
        <w:rPr>
          <w:sz w:val="20"/>
          <w:szCs w:val="20"/>
          <w:color w:val="auto"/>
        </w:rPr>
      </w:pPr>
      <w:r>
        <w:rPr>
          <w:rFonts w:ascii="Arial" w:cs="Arial" w:eastAsia="Arial" w:hAnsi="Arial"/>
          <w:sz w:val="18"/>
          <w:szCs w:val="18"/>
          <w:color w:val="auto"/>
        </w:rPr>
        <w:t>Board of</w:t>
      </w:r>
      <w:r>
        <w:rPr>
          <w:sz w:val="20"/>
          <w:szCs w:val="20"/>
          <w:color w:val="auto"/>
        </w:rPr>
        <w:tab/>
      </w:r>
      <w:r>
        <w:rPr>
          <w:rFonts w:ascii="Arial" w:cs="Arial" w:eastAsia="Arial" w:hAnsi="Arial"/>
          <w:sz w:val="17"/>
          <w:szCs w:val="17"/>
          <w:color w:val="auto"/>
        </w:rPr>
        <w:t>a person who is willing to act to be a director, either to fill a</w:t>
      </w:r>
    </w:p>
    <w:p>
      <w:pPr>
        <w:ind w:left="120"/>
        <w:spacing w:after="0" w:line="235" w:lineRule="auto"/>
        <w:tabs>
          <w:tab w:leader="none" w:pos="186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vacancy or as an additional director and our board of</w:t>
      </w:r>
    </w:p>
    <w:p>
      <w:pPr>
        <w:spacing w:after="0" w:line="1" w:lineRule="exact"/>
        <w:rPr>
          <w:sz w:val="20"/>
          <w:szCs w:val="20"/>
          <w:color w:val="auto"/>
        </w:rPr>
      </w:pPr>
    </w:p>
    <w:p>
      <w:pPr>
        <w:ind w:left="1880" w:right="20"/>
        <w:spacing w:after="0" w:line="237" w:lineRule="auto"/>
        <w:rPr>
          <w:sz w:val="20"/>
          <w:szCs w:val="20"/>
          <w:color w:val="auto"/>
        </w:rPr>
      </w:pPr>
      <w:r>
        <w:rPr>
          <w:rFonts w:ascii="Arial" w:cs="Arial" w:eastAsia="Arial" w:hAnsi="Arial"/>
          <w:sz w:val="18"/>
          <w:szCs w:val="18"/>
          <w:color w:val="auto"/>
        </w:rPr>
        <w:t>directors may appoint a person who is willing to act to be a director, either to fill a vacancy or as an additional director, provided in each case that the appointment does not cause the number of directors to exceed the number fixed by or in accordance with our Articles as the maximum number of directors.</w:t>
      </w:r>
    </w:p>
    <w:p>
      <w:pPr>
        <w:spacing w:after="0" w:line="1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w:t>
      </w:r>
    </w:p>
    <w:p>
      <w:pPr>
        <w:spacing w:after="0" w:line="3" w:lineRule="exact"/>
        <w:rPr>
          <w:sz w:val="20"/>
          <w:szCs w:val="20"/>
          <w:color w:val="auto"/>
        </w:rPr>
      </w:pPr>
    </w:p>
    <w:p>
      <w:pPr>
        <w:ind w:firstLine="3"/>
        <w:spacing w:after="0" w:line="236"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w:t>
      </w:r>
    </w:p>
    <w:p>
      <w:pPr>
        <w:sectPr>
          <w:pgSz w:w="11900" w:h="16838" w:orient="portrait"/>
          <w:cols w:equalWidth="0" w:num="2">
            <w:col w:w="6560" w:space="100"/>
            <w:col w:w="4460"/>
          </w:cols>
          <w:pgMar w:left="320" w:top="459" w:right="459" w:bottom="1440" w:gutter="0" w:footer="0" w:header="0"/>
          <w:type w:val="continuous"/>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Borders>
              <w:bottom w:val="single" w:sz="8" w:color="auto"/>
            </w:tcBorders>
          </w:tcPr>
          <w:p>
            <w:pPr>
              <w:jc w:val="right"/>
              <w:ind w:right="1608"/>
              <w:spacing w:after="0"/>
              <w:rPr>
                <w:sz w:val="20"/>
                <w:szCs w:val="20"/>
                <w:color w:val="auto"/>
              </w:rPr>
            </w:pPr>
            <w:r>
              <w:rPr>
                <w:rFonts w:ascii="Arial" w:cs="Arial" w:eastAsia="Arial" w:hAnsi="Arial"/>
                <w:sz w:val="14"/>
                <w:szCs w:val="14"/>
                <w:b w:val="1"/>
                <w:bCs w:val="1"/>
                <w:color w:val="auto"/>
              </w:rPr>
              <w:t>England and Wales</w:t>
            </w:r>
          </w:p>
        </w:tc>
      </w:tr>
      <w:tr>
        <w:trPr>
          <w:trHeight w:val="668"/>
        </w:trPr>
        <w:tc>
          <w:tcPr>
            <w:tcW w:w="1580" w:type="dxa"/>
            <w:vAlign w:val="bottom"/>
          </w:tcPr>
          <w:p>
            <w:pPr>
              <w:spacing w:after="0"/>
              <w:rPr>
                <w:sz w:val="20"/>
                <w:szCs w:val="20"/>
                <w:color w:val="auto"/>
              </w:rPr>
            </w:pPr>
            <w:r>
              <w:rPr>
                <w:rFonts w:ascii="Arial" w:cs="Arial" w:eastAsia="Arial" w:hAnsi="Arial"/>
                <w:sz w:val="18"/>
                <w:szCs w:val="18"/>
                <w:color w:val="auto"/>
              </w:rPr>
              <w:t>Annual General</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80" w:type="dxa"/>
            <w:vAlign w:val="bottom"/>
          </w:tcPr>
          <w:p>
            <w:pPr>
              <w:spacing w:after="0"/>
              <w:rPr>
                <w:sz w:val="20"/>
                <w:szCs w:val="20"/>
                <w:color w:val="auto"/>
              </w:rPr>
            </w:pPr>
            <w:r>
              <w:rPr>
                <w:rFonts w:ascii="Arial" w:cs="Arial" w:eastAsia="Arial" w:hAnsi="Arial"/>
                <w:sz w:val="18"/>
                <w:szCs w:val="18"/>
                <w:color w:val="auto"/>
              </w:rPr>
              <w:t>General Meeting</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shareholders of a public limited company may be</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called by the directors.</w:t>
            </w:r>
          </w:p>
        </w:tc>
      </w:tr>
      <w:tr>
        <w:trPr>
          <w:trHeight w:val="458"/>
        </w:trPr>
        <w:tc>
          <w:tcPr>
            <w:tcW w:w="1580" w:type="dxa"/>
            <w:vAlign w:val="bottom"/>
          </w:tcPr>
          <w:p>
            <w:pPr>
              <w:spacing w:after="0"/>
              <w:rPr>
                <w:sz w:val="24"/>
                <w:szCs w:val="24"/>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Subject to the notice requirements of the U.K. Companies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Act 2006 outlined below and subject to our Articles,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meeting of our shareholders may be called by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board of directors whenever and at such times and places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as it shall determine.</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 general meeting may also be convened by our board of</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directors on the requisition of not less than two of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who hold at least 5% of our voting share</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capital.</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General meetings at which special resolutions are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proposed and passed generally involve proposals to</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 the name of the company, permit the company to</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pre-emptive right, amend the company’s</w:t>
            </w:r>
          </w:p>
        </w:tc>
      </w:tr>
      <w:tr>
        <w:trPr>
          <w:trHeight w:val="202"/>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articles of association, or carry out other matters where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either the company’s articles of association or the U.K.</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Companies Act 2006 prescribe that a special resolution is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required.</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proposals relating to the ordinary course of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company’s business, such as the election of directors,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would generally be the subject of an ordinary resolution</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and subject to our Articles.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Notice of General</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least 21 clear</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days’ notice must be given for an annual general meeting</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and any resolutions to be proposed at that</w:t>
            </w:r>
          </w:p>
        </w:tc>
      </w:tr>
      <w:tr>
        <w:trPr>
          <w:trHeight w:val="351"/>
        </w:trPr>
        <w:tc>
          <w:tcPr>
            <w:tcW w:w="1580" w:type="dxa"/>
            <w:vAlign w:val="bottom"/>
          </w:tcPr>
          <w:p>
            <w:pPr>
              <w:spacing w:after="0"/>
              <w:rPr>
                <w:sz w:val="24"/>
                <w:szCs w:val="24"/>
                <w:color w:val="auto"/>
              </w:rPr>
            </w:pPr>
          </w:p>
        </w:tc>
        <w:tc>
          <w:tcPr>
            <w:tcW w:w="4860" w:type="dxa"/>
            <w:vAlign w:val="bottom"/>
            <w:gridSpan w:val="2"/>
          </w:tcPr>
          <w:p>
            <w:pPr>
              <w:jc w:val="right"/>
              <w:ind w:right="708"/>
              <w:spacing w:after="0"/>
              <w:rPr>
                <w:sz w:val="20"/>
                <w:szCs w:val="20"/>
                <w:color w:val="auto"/>
              </w:rPr>
            </w:pPr>
            <w:r>
              <w:rPr>
                <w:rFonts w:ascii="Arial" w:cs="Arial" w:eastAsia="Arial" w:hAnsi="Arial"/>
                <w:sz w:val="18"/>
                <w:szCs w:val="18"/>
                <w:color w:val="auto"/>
              </w:rPr>
              <w:t>229</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sole remaining director elected by such class, will fill such vacancy.</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w:t>
      </w:r>
    </w:p>
    <w:p>
      <w:pPr>
        <w:sectPr>
          <w:pgSz w:w="11900" w:h="16838" w:orient="portrait"/>
          <w:cols w:equalWidth="0" w:num="2">
            <w:col w:w="6560" w:space="100"/>
            <w:col w:w="4440"/>
          </w:cols>
          <w:pgMar w:left="320" w:top="459" w:right="47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meeting. At least 14 clear days’ notice is required for any</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other general meeting.</w:t>
            </w:r>
          </w:p>
        </w:tc>
      </w:tr>
      <w:tr>
        <w:trPr>
          <w:trHeight w:val="661"/>
        </w:trPr>
        <w:tc>
          <w:tcPr>
            <w:tcW w:w="1400" w:type="dxa"/>
            <w:vAlign w:val="bottom"/>
          </w:tcPr>
          <w:p>
            <w:pPr>
              <w:spacing w:after="0"/>
              <w:rPr>
                <w:sz w:val="24"/>
                <w:szCs w:val="24"/>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In addition, certain matters, such as the removal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or auditors, require special notice, which is 28</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clear days’ notice.</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Quorum</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Our Articles provide that no business shall be transacted</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any general meeting unless a quorum is present. Two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qualifying persons present at a meeting and entitled to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vote on the business to be transacted shall be a quorum,</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unless (1) each is a qualifying person only because he or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she is authorized under the U.K. Companies Act 2006 to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act as a representative of a corporation in relation to the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meeting, and they are representatives of the same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corporation, or (2) each is a qualifying person only</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because he or she is appointed as proxy of a shareholder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relation to the meeting, and they are proxies of the</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same shareholder.</w:t>
            </w:r>
          </w:p>
        </w:tc>
      </w:tr>
      <w:tr>
        <w:trPr>
          <w:trHeight w:val="256"/>
        </w:trPr>
        <w:tc>
          <w:tcPr>
            <w:tcW w:w="1400" w:type="dxa"/>
            <w:vAlign w:val="bottom"/>
          </w:tcPr>
          <w:p>
            <w:pPr>
              <w:spacing w:after="0"/>
              <w:rPr>
                <w:sz w:val="22"/>
                <w:szCs w:val="22"/>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A “qualifying person” means (1) a person who is one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shareholders, (2) a person authorized under the U.K.</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Act 2006 to act as a representative of the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corporation in relation to the meeting, or (3) a person</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appointed as proxy of a shareholder in relation to the</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meeting.</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Proxy</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shareholders, a shareholder may designate another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person to attend, speak and vote at the meeting on their</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behalf by proxy.</w:t>
            </w:r>
          </w:p>
        </w:tc>
      </w:tr>
      <w:tr>
        <w:trPr>
          <w:trHeight w:val="863"/>
        </w:trPr>
        <w:tc>
          <w:tcPr>
            <w:tcW w:w="1400" w:type="dxa"/>
            <w:vAlign w:val="bottom"/>
          </w:tcPr>
          <w:p>
            <w:pPr>
              <w:spacing w:after="0"/>
              <w:rPr>
                <w:sz w:val="20"/>
                <w:szCs w:val="20"/>
                <w:color w:val="auto"/>
              </w:rPr>
            </w:pPr>
            <w:r>
              <w:rPr>
                <w:rFonts w:ascii="Arial" w:cs="Arial" w:eastAsia="Arial" w:hAnsi="Arial"/>
                <w:sz w:val="18"/>
                <w:szCs w:val="18"/>
                <w:color w:val="auto"/>
              </w:rPr>
              <w:t>Issue of New</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company must not exercise any power to allot shares or</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grant rights to subscribe for, or to convert any security</w:t>
            </w:r>
          </w:p>
        </w:tc>
      </w:tr>
      <w:tr>
        <w:trPr>
          <w:trHeight w:val="351"/>
        </w:trPr>
        <w:tc>
          <w:tcPr>
            <w:tcW w:w="1400" w:type="dxa"/>
            <w:vAlign w:val="bottom"/>
          </w:tcPr>
          <w:p>
            <w:pPr>
              <w:spacing w:after="0"/>
              <w:rPr>
                <w:sz w:val="24"/>
                <w:szCs w:val="24"/>
                <w:color w:val="auto"/>
              </w:rPr>
            </w:pPr>
          </w:p>
        </w:tc>
        <w:tc>
          <w:tcPr>
            <w:tcW w:w="5040" w:type="dxa"/>
            <w:vAlign w:val="bottom"/>
            <w:gridSpan w:val="2"/>
          </w:tcPr>
          <w:p>
            <w:pPr>
              <w:jc w:val="right"/>
              <w:ind w:right="699"/>
              <w:spacing w:after="0"/>
              <w:rPr>
                <w:sz w:val="20"/>
                <w:szCs w:val="20"/>
                <w:color w:val="auto"/>
              </w:rPr>
            </w:pPr>
            <w:r>
              <w:rPr>
                <w:rFonts w:ascii="Arial" w:cs="Arial" w:eastAsia="Arial" w:hAnsi="Arial"/>
                <w:sz w:val="18"/>
                <w:szCs w:val="18"/>
                <w:color w:val="auto"/>
              </w:rPr>
              <w:t>230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w:t>
      </w:r>
    </w:p>
    <w:p>
      <w:pPr>
        <w:sectPr>
          <w:pgSz w:w="11900" w:h="16838" w:orient="portrait"/>
          <w:cols w:equalWidth="0" w:num="2">
            <w:col w:w="6560" w:space="100"/>
            <w:col w:w="4460"/>
          </w:cols>
          <w:pgMar w:left="320" w:top="459" w:right="45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into, shares unless they are authorized to do so by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company’s articles of association or by an ordinary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resolution of the shareholders. Any authorization given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must state the maximum amount of shares that may 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allotted under it and specify the date on which it will</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expire, which must be not more than five years from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date the authorization was given. The authority can be</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renewed by a further resolution of the shareholders.</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Pre-emptive</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Act 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Authority to Allot</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company must not allot shares or grant rights to subscribe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 or to convert any security into shares unless those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are alloted, or those rights to subscribe or convert</w:t>
            </w:r>
          </w:p>
        </w:tc>
      </w:tr>
      <w:tr>
        <w:trPr>
          <w:trHeight w:val="202"/>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any security into shares are granted (as applicable)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pursuant to an employee share scheme, an ordinary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resolution to the contrary has been passed by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shareholders in a general meeting, or the articles of</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association provide otherwise, in each case, in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accordance with the provisions of the U.K. Companies Act</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Liability of</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(whether contained in a company’s articles of association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or any contract or otherwise) that purports to exempt a</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director of a company (to any</w:t>
            </w:r>
          </w:p>
        </w:tc>
      </w:tr>
      <w:tr>
        <w:trPr>
          <w:trHeight w:val="351"/>
        </w:trPr>
        <w:tc>
          <w:tcPr>
            <w:tcW w:w="1540" w:type="dxa"/>
            <w:vAlign w:val="bottom"/>
          </w:tcPr>
          <w:p>
            <w:pPr>
              <w:spacing w:after="0"/>
              <w:rPr>
                <w:sz w:val="24"/>
                <w:szCs w:val="24"/>
                <w:color w:val="auto"/>
              </w:rPr>
            </w:pPr>
          </w:p>
        </w:tc>
        <w:tc>
          <w:tcPr>
            <w:tcW w:w="4900" w:type="dxa"/>
            <w:vAlign w:val="bottom"/>
            <w:gridSpan w:val="2"/>
          </w:tcPr>
          <w:p>
            <w:pPr>
              <w:jc w:val="right"/>
              <w:ind w:right="699"/>
              <w:spacing w:after="0"/>
              <w:rPr>
                <w:sz w:val="20"/>
                <w:szCs w:val="20"/>
                <w:color w:val="auto"/>
              </w:rPr>
            </w:pPr>
            <w:r>
              <w:rPr>
                <w:rFonts w:ascii="Arial" w:cs="Arial" w:eastAsia="Arial" w:hAnsi="Arial"/>
                <w:sz w:val="18"/>
                <w:szCs w:val="18"/>
                <w:color w:val="auto"/>
              </w:rPr>
              <w:t>231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6"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w:t>
      </w:r>
    </w:p>
    <w:p>
      <w:pPr>
        <w:sectPr>
          <w:pgSz w:w="11900" w:h="16838" w:orient="portrait"/>
          <w:cols w:equalWidth="0" w:num="2">
            <w:col w:w="6560" w:space="100"/>
            <w:col w:w="4460"/>
          </w:cols>
          <w:pgMar w:left="320" w:top="459" w:right="459" w:bottom="1440" w:gutter="0" w:footer="0" w:header="0"/>
          <w:type w:val="continuous"/>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jc w:val="both"/>
        <w:ind w:left="1880"/>
        <w:spacing w:after="0"/>
        <w:rPr>
          <w:sz w:val="20"/>
          <w:szCs w:val="20"/>
          <w:color w:val="auto"/>
        </w:rPr>
      </w:pPr>
      <w:r>
        <w:rPr>
          <w:rFonts w:ascii="Arial" w:cs="Arial" w:eastAsia="Arial" w:hAnsi="Arial"/>
          <w:sz w:val="18"/>
          <w:szCs w:val="18"/>
          <w:color w:val="auto"/>
        </w:rPr>
        <w:t>extent) from any liability that would otherwise attach to him in connection with any negligence, default, breach of duty or breach of trust in relation to the company is void.</w:t>
      </w:r>
    </w:p>
    <w:p>
      <w:pPr>
        <w:spacing w:after="0" w:line="54" w:lineRule="exact"/>
        <w:rPr>
          <w:sz w:val="20"/>
          <w:szCs w:val="20"/>
          <w:color w:val="auto"/>
        </w:rPr>
      </w:pPr>
    </w:p>
    <w:p>
      <w:pPr>
        <w:ind w:left="1880"/>
        <w:spacing w:after="0" w:line="236" w:lineRule="auto"/>
        <w:rPr>
          <w:sz w:val="20"/>
          <w:szCs w:val="20"/>
          <w:color w:val="auto"/>
        </w:rPr>
      </w:pPr>
      <w:r>
        <w:rPr>
          <w:rFonts w:ascii="Arial" w:cs="Arial" w:eastAsia="Arial" w:hAnsi="Arial"/>
          <w:sz w:val="18"/>
          <w:szCs w:val="18"/>
          <w:color w:val="auto"/>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damages arising from a breach of fiduciary duty as a director. However, no provision can limit the liability of a director for:</w:t>
      </w:r>
    </w:p>
    <w:p>
      <w:pPr>
        <w:spacing w:after="0" w:line="54" w:lineRule="exact"/>
        <w:rPr>
          <w:sz w:val="20"/>
          <w:szCs w:val="20"/>
          <w:color w:val="auto"/>
        </w:rPr>
      </w:pPr>
    </w:p>
    <w:p>
      <w:pPr>
        <w:ind w:left="320" w:right="30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320" w:right="30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320" w:right="16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70" w:lineRule="exact"/>
        <w:rPr>
          <w:sz w:val="20"/>
          <w:szCs w:val="20"/>
          <w:color w:val="auto"/>
        </w:rPr>
      </w:pPr>
    </w:p>
    <w:p>
      <w:pPr>
        <w:sectPr>
          <w:pgSz w:w="11900" w:h="16838" w:orient="portrait"/>
          <w:cols w:equalWidth="0" w:num="2">
            <w:col w:w="6540" w:space="120"/>
            <w:col w:w="4460"/>
          </w:cols>
          <w:pgMar w:left="320" w:top="459" w:right="459" w:bottom="1440" w:gutter="0" w:footer="0" w:header="0"/>
          <w:type w:val="continuous"/>
        </w:sectPr>
      </w:pPr>
    </w:p>
    <w:p>
      <w:pPr>
        <w:spacing w:after="0" w:line="7" w:lineRule="exact"/>
        <w:rPr>
          <w:sz w:val="20"/>
          <w:szCs w:val="20"/>
          <w:color w:val="auto"/>
        </w:rPr>
      </w:pPr>
    </w:p>
    <w:p>
      <w:pPr>
        <w:ind w:left="2200" w:right="4620" w:hanging="316"/>
        <w:spacing w:after="0" w:line="237" w:lineRule="auto"/>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15" w:lineRule="exact"/>
        <w:rPr>
          <w:rFonts w:ascii="MS PGothic" w:cs="MS PGothic" w:eastAsia="MS PGothic" w:hAnsi="MS PGothic"/>
          <w:sz w:val="13"/>
          <w:szCs w:val="13"/>
          <w:color w:val="auto"/>
        </w:rPr>
      </w:pPr>
    </w:p>
    <w:p>
      <w:pPr>
        <w:ind w:left="2200" w:right="4580" w:hanging="316"/>
        <w:spacing w:after="0" w:line="236" w:lineRule="auto"/>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4" w:lineRule="exact"/>
        <w:rPr>
          <w:rFonts w:ascii="MS PGothic" w:cs="MS PGothic" w:eastAsia="MS PGothic" w:hAnsi="MS PGothic"/>
          <w:sz w:val="13"/>
          <w:szCs w:val="13"/>
          <w:color w:val="auto"/>
        </w:rPr>
      </w:pPr>
    </w:p>
    <w:p>
      <w:pPr>
        <w:ind w:left="2200" w:right="5020" w:hanging="316"/>
        <w:spacing w:after="0"/>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919"/>
        <w:spacing w:after="0"/>
        <w:tabs>
          <w:tab w:leader="none" w:pos="62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58718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with the company’s activities as trustee of an</w:t>
      </w:r>
    </w:p>
    <w:p>
      <w:pPr>
        <w:ind w:left="2200"/>
        <w:spacing w:after="0" w:line="234" w:lineRule="auto"/>
        <w:rPr>
          <w:sz w:val="20"/>
          <w:szCs w:val="20"/>
          <w:color w:val="auto"/>
        </w:rPr>
      </w:pPr>
      <w:r>
        <w:rPr>
          <w:rFonts w:ascii="Arial" w:cs="Arial" w:eastAsia="Arial" w:hAnsi="Arial"/>
          <w:sz w:val="18"/>
          <w:szCs w:val="18"/>
          <w:color w:val="auto"/>
        </w:rPr>
        <w:t>occupational pension plan. Such indemnity must not</w:t>
      </w:r>
    </w:p>
    <w:p>
      <w:pPr>
        <w:ind w:left="2200"/>
        <w:spacing w:after="0" w:line="235" w:lineRule="auto"/>
        <w:rPr>
          <w:sz w:val="20"/>
          <w:szCs w:val="20"/>
          <w:color w:val="auto"/>
        </w:rPr>
      </w:pPr>
      <w:r>
        <w:rPr>
          <w:rFonts w:ascii="Arial" w:cs="Arial" w:eastAsia="Arial" w:hAnsi="Arial"/>
          <w:sz w:val="18"/>
          <w:szCs w:val="18"/>
          <w:color w:val="auto"/>
        </w:rPr>
        <w:t>cover a fine imposed in criminal proceedings, or sum</w:t>
      </w:r>
    </w:p>
    <w:p>
      <w:pPr>
        <w:ind w:left="2200"/>
        <w:spacing w:after="0" w:line="235" w:lineRule="auto"/>
        <w:rPr>
          <w:sz w:val="20"/>
          <w:szCs w:val="20"/>
          <w:color w:val="auto"/>
        </w:rPr>
      </w:pPr>
      <w:r>
        <w:rPr>
          <w:rFonts w:ascii="Arial" w:cs="Arial" w:eastAsia="Arial" w:hAnsi="Arial"/>
          <w:sz w:val="18"/>
          <w:szCs w:val="18"/>
          <w:color w:val="auto"/>
        </w:rPr>
        <w:t>payable to a regulatory authority by way of a penalty</w:t>
      </w:r>
    </w:p>
    <w:p>
      <w:pPr>
        <w:ind w:left="2200"/>
        <w:spacing w:after="0" w:line="235" w:lineRule="auto"/>
        <w:rPr>
          <w:sz w:val="20"/>
          <w:szCs w:val="20"/>
          <w:color w:val="auto"/>
        </w:rPr>
      </w:pPr>
      <w:r>
        <w:rPr>
          <w:rFonts w:ascii="Arial" w:cs="Arial" w:eastAsia="Arial" w:hAnsi="Arial"/>
          <w:sz w:val="18"/>
          <w:szCs w:val="18"/>
          <w:color w:val="auto"/>
        </w:rPr>
        <w:t>in respect of non-compliance with any requirement of</w:t>
      </w:r>
    </w:p>
    <w:p>
      <w:pPr>
        <w:ind w:left="2200"/>
        <w:spacing w:after="0" w:line="235" w:lineRule="auto"/>
        <w:rPr>
          <w:sz w:val="20"/>
          <w:szCs w:val="20"/>
          <w:color w:val="auto"/>
        </w:rPr>
      </w:pPr>
      <w:r>
        <w:rPr>
          <w:rFonts w:ascii="Arial" w:cs="Arial" w:eastAsia="Arial" w:hAnsi="Arial"/>
          <w:sz w:val="18"/>
          <w:szCs w:val="18"/>
          <w:color w:val="auto"/>
        </w:rPr>
        <w:t>a regulatory nature (however arising), or any liability</w:t>
      </w:r>
    </w:p>
    <w:p>
      <w:pPr>
        <w:ind w:left="2200"/>
        <w:spacing w:after="0" w:line="234" w:lineRule="auto"/>
        <w:rPr>
          <w:sz w:val="20"/>
          <w:szCs w:val="20"/>
          <w:color w:val="auto"/>
        </w:rPr>
      </w:pPr>
      <w:r>
        <w:rPr>
          <w:rFonts w:ascii="Arial" w:cs="Arial" w:eastAsia="Arial" w:hAnsi="Arial"/>
          <w:sz w:val="18"/>
          <w:szCs w:val="18"/>
          <w:color w:val="auto"/>
        </w:rPr>
        <w:t>incurred by the director in defending criminal</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proceedings in which he or she is convicted.</w:t>
      </w:r>
    </w:p>
    <w:p>
      <w:pPr>
        <w:spacing w:after="0" w:line="1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Our Articles provide that it may indemnify each of our</w:t>
      </w:r>
    </w:p>
    <w:p>
      <w:pPr>
        <w:ind w:left="1880"/>
        <w:spacing w:after="0"/>
        <w:rPr>
          <w:sz w:val="20"/>
          <w:szCs w:val="20"/>
          <w:color w:val="auto"/>
        </w:rPr>
      </w:pPr>
      <w:r>
        <w:rPr>
          <w:rFonts w:ascii="Arial" w:cs="Arial" w:eastAsia="Arial" w:hAnsi="Arial"/>
          <w:sz w:val="18"/>
          <w:szCs w:val="18"/>
          <w:color w:val="auto"/>
        </w:rPr>
        <w:t>directors against:</w:t>
      </w:r>
    </w:p>
    <w:p>
      <w:pPr>
        <w:spacing w:after="0" w:line="212" w:lineRule="exact"/>
        <w:rPr>
          <w:sz w:val="20"/>
          <w:szCs w:val="20"/>
          <w:color w:val="auto"/>
        </w:rPr>
      </w:pPr>
    </w:p>
    <w:p>
      <w:pPr>
        <w:ind w:left="2200" w:right="3619" w:hanging="316"/>
        <w:spacing w:after="0"/>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any negligence, default, breach of duty or breach of trust in relation to us or an associated company;</w:t>
      </w:r>
    </w:p>
    <w:p>
      <w:pPr>
        <w:spacing w:after="0" w:line="27" w:lineRule="exact"/>
        <w:rPr>
          <w:rFonts w:ascii="MS PGothic" w:cs="MS PGothic" w:eastAsia="MS PGothic" w:hAnsi="MS PGothic"/>
          <w:sz w:val="13"/>
          <w:szCs w:val="13"/>
          <w:color w:val="auto"/>
        </w:rPr>
      </w:pPr>
    </w:p>
    <w:p>
      <w:pPr>
        <w:ind w:left="2200" w:right="3619" w:hanging="316"/>
        <w:spacing w:after="0" w:line="238" w:lineRule="auto"/>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the activities of us or an associated company in the capacity of trustee of an occupational pension scheme; and</w:t>
      </w:r>
    </w:p>
    <w:p>
      <w:pPr>
        <w:spacing w:after="0" w:line="29" w:lineRule="exact"/>
        <w:rPr>
          <w:rFonts w:ascii="MS PGothic" w:cs="MS PGothic" w:eastAsia="MS PGothic" w:hAnsi="MS PGothic"/>
          <w:sz w:val="13"/>
          <w:szCs w:val="13"/>
          <w:color w:val="auto"/>
        </w:rPr>
      </w:pPr>
    </w:p>
    <w:p>
      <w:pPr>
        <w:ind w:left="2200" w:right="3619" w:hanging="316"/>
        <w:spacing w:after="0" w:line="237" w:lineRule="auto"/>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other liability incurred by that director in the actual or purported execution or discharge of his or her duties, the exercise or purported exercise of his or her powers or otherwise in relation to his or her duties or powers as an officer of the Company or an associated company.</w:t>
      </w:r>
    </w:p>
    <w:p>
      <w:pPr>
        <w:spacing w:after="0" w:line="1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U.K. Companies Act 2006 also provides that we may</w:t>
      </w:r>
    </w:p>
    <w:p>
      <w:pPr>
        <w:ind w:left="1880"/>
        <w:spacing w:after="0" w:line="234" w:lineRule="auto"/>
        <w:rPr>
          <w:sz w:val="20"/>
          <w:szCs w:val="20"/>
          <w:color w:val="auto"/>
        </w:rPr>
      </w:pPr>
      <w:r>
        <w:rPr>
          <w:rFonts w:ascii="Arial" w:cs="Arial" w:eastAsia="Arial" w:hAnsi="Arial"/>
          <w:sz w:val="18"/>
          <w:szCs w:val="18"/>
          <w:color w:val="auto"/>
        </w:rPr>
        <w:t>lend each of our directors funds to meet expenditure</w:t>
      </w:r>
    </w:p>
    <w:p>
      <w:pPr>
        <w:ind w:left="1880"/>
        <w:spacing w:after="0" w:line="235" w:lineRule="auto"/>
        <w:rPr>
          <w:sz w:val="20"/>
          <w:szCs w:val="20"/>
          <w:color w:val="auto"/>
        </w:rPr>
      </w:pPr>
      <w:r>
        <w:rPr>
          <w:rFonts w:ascii="Arial" w:cs="Arial" w:eastAsia="Arial" w:hAnsi="Arial"/>
          <w:sz w:val="18"/>
          <w:szCs w:val="18"/>
          <w:color w:val="auto"/>
        </w:rPr>
        <w:t>incurred by him or her in defending any criminal or civil</w:t>
      </w:r>
    </w:p>
    <w:p>
      <w:pPr>
        <w:ind w:left="1880"/>
        <w:spacing w:after="0" w:line="235" w:lineRule="auto"/>
        <w:rPr>
          <w:sz w:val="20"/>
          <w:szCs w:val="20"/>
          <w:color w:val="auto"/>
        </w:rPr>
      </w:pPr>
      <w:r>
        <w:rPr>
          <w:rFonts w:ascii="Arial" w:cs="Arial" w:eastAsia="Arial" w:hAnsi="Arial"/>
          <w:sz w:val="18"/>
          <w:szCs w:val="18"/>
          <w:color w:val="auto"/>
        </w:rPr>
        <w:t>proceedings in connection with any alleged negligence,</w:t>
      </w:r>
    </w:p>
    <w:p>
      <w:pPr>
        <w:ind w:left="1880"/>
        <w:spacing w:after="0" w:line="235" w:lineRule="auto"/>
        <w:rPr>
          <w:sz w:val="20"/>
          <w:szCs w:val="20"/>
          <w:color w:val="auto"/>
        </w:rPr>
      </w:pPr>
      <w:r>
        <w:rPr>
          <w:rFonts w:ascii="Arial" w:cs="Arial" w:eastAsia="Arial" w:hAnsi="Arial"/>
          <w:sz w:val="18"/>
          <w:szCs w:val="18"/>
          <w:color w:val="auto"/>
        </w:rPr>
        <w:t>default, breach of duty or breach of trust by him or her in</w:t>
      </w:r>
    </w:p>
    <w:p>
      <w:pPr>
        <w:ind w:left="1880"/>
        <w:spacing w:after="0" w:line="235" w:lineRule="auto"/>
        <w:rPr>
          <w:sz w:val="20"/>
          <w:szCs w:val="20"/>
          <w:color w:val="auto"/>
        </w:rPr>
      </w:pPr>
      <w:r>
        <w:rPr>
          <w:rFonts w:ascii="Arial" w:cs="Arial" w:eastAsia="Arial" w:hAnsi="Arial"/>
          <w:sz w:val="18"/>
          <w:szCs w:val="18"/>
          <w:color w:val="auto"/>
        </w:rPr>
        <w:t>relation to us or an associated company, or in connection</w:t>
      </w:r>
    </w:p>
    <w:p>
      <w:pPr>
        <w:ind w:left="1880"/>
        <w:spacing w:after="0" w:line="234" w:lineRule="auto"/>
        <w:rPr>
          <w:sz w:val="20"/>
          <w:szCs w:val="20"/>
          <w:color w:val="auto"/>
        </w:rPr>
      </w:pPr>
      <w:r>
        <w:rPr>
          <w:rFonts w:ascii="Arial" w:cs="Arial" w:eastAsia="Arial" w:hAnsi="Arial"/>
          <w:sz w:val="18"/>
          <w:szCs w:val="18"/>
          <w:color w:val="auto"/>
        </w:rPr>
        <w:t>with an application for certain specified relief, subject to</w:t>
      </w:r>
    </w:p>
    <w:p>
      <w:pPr>
        <w:ind w:left="1880"/>
        <w:spacing w:after="0" w:line="235" w:lineRule="auto"/>
        <w:rPr>
          <w:sz w:val="20"/>
          <w:szCs w:val="20"/>
          <w:color w:val="auto"/>
        </w:rPr>
      </w:pPr>
      <w:r>
        <w:rPr>
          <w:rFonts w:ascii="Arial" w:cs="Arial" w:eastAsia="Arial" w:hAnsi="Arial"/>
          <w:sz w:val="18"/>
          <w:szCs w:val="18"/>
          <w:color w:val="auto"/>
        </w:rPr>
        <w:t>the requirement that the loan must be on terms that it is to</w:t>
      </w:r>
    </w:p>
    <w:p>
      <w:pPr>
        <w:ind w:left="1880"/>
        <w:spacing w:after="0" w:line="235" w:lineRule="auto"/>
        <w:rPr>
          <w:sz w:val="20"/>
          <w:szCs w:val="20"/>
          <w:color w:val="auto"/>
        </w:rPr>
      </w:pPr>
      <w:r>
        <w:rPr>
          <w:rFonts w:ascii="Arial" w:cs="Arial" w:eastAsia="Arial" w:hAnsi="Arial"/>
          <w:sz w:val="18"/>
          <w:szCs w:val="18"/>
          <w:color w:val="auto"/>
        </w:rPr>
        <w:t>be repaid if the defense or the application for relief is</w:t>
      </w:r>
    </w:p>
    <w:p>
      <w:pPr>
        <w:ind w:left="1880"/>
        <w:spacing w:after="0"/>
        <w:rPr>
          <w:sz w:val="20"/>
          <w:szCs w:val="20"/>
          <w:color w:val="auto"/>
        </w:rPr>
      </w:pPr>
      <w:r>
        <w:rPr>
          <w:rFonts w:ascii="Arial" w:cs="Arial" w:eastAsia="Arial" w:hAnsi="Arial"/>
          <w:sz w:val="18"/>
          <w:szCs w:val="18"/>
          <w:color w:val="auto"/>
        </w:rPr>
        <w:t>unsuccessful.</w:t>
      </w: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0139"/>
          </w:cols>
          <w:pgMar w:left="320" w:top="459" w:right="1440"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Voting Rights</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For a description of the voting rights contained in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Articles see “Description of the Share Capital and Articles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of Association—Articles of Association—Shares and</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Rights Attaching to Them—Voting Rights” in this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prospectus.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Shareholder Vote</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on Certain</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These arrangements require: (1) the approval, at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or creditors’ meeting convened by order of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court of England and Wales, of a majority in number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representing not less than 75% in value of the creditors or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class of creditors or members or class of members (as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case may be) present and voting, either in person or by</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proxy; and (2) the approval of a court of England and</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Wales.</w:t>
            </w:r>
          </w:p>
        </w:tc>
      </w:tr>
      <w:tr>
        <w:trPr>
          <w:trHeight w:val="350"/>
        </w:trPr>
        <w:tc>
          <w:tcPr>
            <w:tcW w:w="1580" w:type="dxa"/>
            <w:vAlign w:val="bottom"/>
          </w:tcPr>
          <w:p>
            <w:pPr>
              <w:spacing w:after="0"/>
              <w:rPr>
                <w:sz w:val="20"/>
                <w:szCs w:val="20"/>
                <w:color w:val="auto"/>
              </w:rPr>
            </w:pPr>
            <w:r>
              <w:rPr>
                <w:rFonts w:ascii="Arial" w:cs="Arial" w:eastAsia="Arial" w:hAnsi="Arial"/>
                <w:sz w:val="18"/>
                <w:szCs w:val="18"/>
                <w:color w:val="auto"/>
              </w:rPr>
              <w:t>Standard of</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Directors</w:t>
            </w:r>
          </w:p>
        </w:tc>
        <w:tc>
          <w:tcPr>
            <w:tcW w:w="18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 good faith,</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would be most likely to promote the success of the</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company for the benefit of its members as a whole;</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 has, or can</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have, a direct or indirect interest that conflicts, or</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possibly conflicts, with the interests of the company;</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and only exercise his or her powers for the purposes</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for which they are conferred;</w:t>
            </w:r>
          </w:p>
        </w:tc>
      </w:tr>
      <w:tr>
        <w:trPr>
          <w:trHeight w:val="243"/>
        </w:trPr>
        <w:tc>
          <w:tcPr>
            <w:tcW w:w="1580" w:type="dxa"/>
            <w:vAlign w:val="bottom"/>
          </w:tcPr>
          <w:p>
            <w:pPr>
              <w:spacing w:after="0"/>
              <w:rPr>
                <w:sz w:val="21"/>
                <w:szCs w:val="21"/>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580" w:type="dxa"/>
            <w:vAlign w:val="bottom"/>
          </w:tcPr>
          <w:p>
            <w:pPr>
              <w:spacing w:after="0"/>
              <w:rPr>
                <w:sz w:val="21"/>
                <w:szCs w:val="21"/>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 by</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reason of his or</w:t>
            </w:r>
          </w:p>
        </w:tc>
      </w:tr>
      <w:tr>
        <w:trPr>
          <w:trHeight w:val="769"/>
        </w:trPr>
        <w:tc>
          <w:tcPr>
            <w:tcW w:w="1580" w:type="dxa"/>
            <w:vAlign w:val="bottom"/>
          </w:tcPr>
          <w:p>
            <w:pPr>
              <w:spacing w:after="0"/>
              <w:rPr>
                <w:sz w:val="24"/>
                <w:szCs w:val="24"/>
                <w:color w:val="auto"/>
              </w:rPr>
            </w:pPr>
          </w:p>
        </w:tc>
        <w:tc>
          <w:tcPr>
            <w:tcW w:w="4860" w:type="dxa"/>
            <w:vAlign w:val="bottom"/>
            <w:gridSpan w:val="2"/>
          </w:tcPr>
          <w:p>
            <w:pPr>
              <w:jc w:val="right"/>
              <w:ind w:right="692"/>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7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229" w:lineRule="exact"/>
        <w:rPr>
          <w:sz w:val="20"/>
          <w:szCs w:val="20"/>
          <w:color w:val="auto"/>
        </w:rPr>
      </w:pPr>
    </w:p>
    <w:p>
      <w:pPr>
        <w:ind w:left="320" w:hanging="317"/>
        <w:spacing w:after="0"/>
        <w:tabs>
          <w:tab w:leader="none" w:pos="320" w:val="left"/>
        </w:tabs>
        <w:numPr>
          <w:ilvl w:val="0"/>
          <w:numId w:val="137"/>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320" w:right="40" w:hanging="317"/>
        <w:spacing w:after="0" w:line="237" w:lineRule="auto"/>
        <w:tabs>
          <w:tab w:leader="none" w:pos="322" w:val="left"/>
        </w:tabs>
        <w:numPr>
          <w:ilvl w:val="0"/>
          <w:numId w:val="137"/>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7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w:t>
      </w:r>
    </w:p>
    <w:p>
      <w:pPr>
        <w:sectPr>
          <w:pgSz w:w="11900" w:h="16838" w:orient="portrait"/>
          <w:cols w:equalWidth="0" w:num="2">
            <w:col w:w="6560" w:space="100"/>
            <w:col w:w="4460"/>
          </w:cols>
          <w:pgMar w:left="320" w:top="459" w:right="459" w:bottom="1440" w:gutter="0" w:footer="0" w:header="0"/>
          <w:type w:val="continuous"/>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ind w:left="2200" w:right="20"/>
        <w:spacing w:after="0" w:line="246" w:lineRule="auto"/>
        <w:rPr>
          <w:sz w:val="20"/>
          <w:szCs w:val="20"/>
          <w:color w:val="auto"/>
        </w:rPr>
      </w:pPr>
      <w:r>
        <w:rPr>
          <w:rFonts w:ascii="Arial" w:cs="Arial" w:eastAsia="Arial" w:hAnsi="Arial"/>
          <w:sz w:val="18"/>
          <w:szCs w:val="18"/>
          <w:color w:val="auto"/>
        </w:rPr>
        <w:t>her being a director or doing, or not doing, anything as a director; and</w:t>
      </w:r>
    </w:p>
    <w:p>
      <w:pPr>
        <w:spacing w:after="0" w:line="21" w:lineRule="exact"/>
        <w:rPr>
          <w:sz w:val="20"/>
          <w:szCs w:val="20"/>
          <w:color w:val="auto"/>
        </w:rPr>
      </w:pPr>
    </w:p>
    <w:p>
      <w:pPr>
        <w:ind w:left="2200" w:right="60" w:hanging="316"/>
        <w:spacing w:after="0" w:line="261" w:lineRule="auto"/>
        <w:tabs>
          <w:tab w:leader="none" w:pos="2202" w:val="left"/>
        </w:tabs>
        <w:numPr>
          <w:ilvl w:val="0"/>
          <w:numId w:val="138"/>
        </w:numPr>
        <w:rPr>
          <w:rFonts w:ascii="MS PGothic" w:cs="MS PGothic" w:eastAsia="MS PGothic" w:hAnsi="MS PGothic"/>
          <w:sz w:val="12"/>
          <w:szCs w:val="12"/>
          <w:color w:val="auto"/>
        </w:rPr>
      </w:pPr>
      <w:r>
        <w:rPr>
          <w:rFonts w:ascii="Arial" w:cs="Arial" w:eastAsia="Arial" w:hAnsi="Arial"/>
          <w:sz w:val="17"/>
          <w:szCs w:val="17"/>
          <w:color w:val="auto"/>
        </w:rPr>
        <w:t>a duty to declare any interest that he or she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 rather than its</w:t>
      </w:r>
    </w:p>
    <w:p>
      <w:pPr>
        <w:jc w:val="right"/>
        <w:spacing w:after="0" w:line="234" w:lineRule="auto"/>
        <w:rPr>
          <w:sz w:val="20"/>
          <w:szCs w:val="20"/>
          <w:color w:val="auto"/>
        </w:rPr>
      </w:pPr>
      <w:r>
        <w:rPr>
          <w:rFonts w:ascii="Arial" w:cs="Arial" w:eastAsia="Arial" w:hAnsi="Arial"/>
          <w:sz w:val="18"/>
          <w:szCs w:val="18"/>
          <w:color w:val="auto"/>
        </w:rPr>
        <w:t>shareholders, is the proper claimant in an action in respect</w:t>
      </w:r>
    </w:p>
    <w:p>
      <w:pPr>
        <w:ind w:left="1880"/>
        <w:spacing w:after="0" w:line="235" w:lineRule="auto"/>
        <w:rPr>
          <w:sz w:val="20"/>
          <w:szCs w:val="20"/>
          <w:color w:val="auto"/>
        </w:rPr>
      </w:pPr>
      <w:r>
        <w:rPr>
          <w:rFonts w:ascii="Arial" w:cs="Arial" w:eastAsia="Arial" w:hAnsi="Arial"/>
          <w:sz w:val="18"/>
          <w:szCs w:val="18"/>
          <w:color w:val="auto"/>
        </w:rPr>
        <w:t>of a wrong done to the company or where there is an</w:t>
      </w:r>
    </w:p>
    <w:p>
      <w:pPr>
        <w:ind w:left="1880"/>
        <w:spacing w:after="0" w:line="235" w:lineRule="auto"/>
        <w:rPr>
          <w:sz w:val="20"/>
          <w:szCs w:val="20"/>
          <w:color w:val="auto"/>
        </w:rPr>
      </w:pPr>
      <w:r>
        <w:rPr>
          <w:rFonts w:ascii="Arial" w:cs="Arial" w:eastAsia="Arial" w:hAnsi="Arial"/>
          <w:sz w:val="18"/>
          <w:szCs w:val="18"/>
          <w:color w:val="auto"/>
        </w:rPr>
        <w:t>irregularity in the company’s internal management.</w:t>
      </w:r>
    </w:p>
    <w:p>
      <w:pPr>
        <w:ind w:left="1880"/>
        <w:spacing w:after="0" w:line="235" w:lineRule="auto"/>
        <w:rPr>
          <w:sz w:val="20"/>
          <w:szCs w:val="20"/>
          <w:color w:val="auto"/>
        </w:rPr>
      </w:pPr>
      <w:r>
        <w:rPr>
          <w:rFonts w:ascii="Arial" w:cs="Arial" w:eastAsia="Arial" w:hAnsi="Arial"/>
          <w:sz w:val="18"/>
          <w:szCs w:val="18"/>
          <w:color w:val="auto"/>
        </w:rPr>
        <w:t>Notwithstanding this general position, the U.K. Companies</w:t>
      </w:r>
    </w:p>
    <w:p>
      <w:pPr>
        <w:jc w:val="right"/>
        <w:spacing w:after="0" w:line="235" w:lineRule="auto"/>
        <w:rPr>
          <w:sz w:val="20"/>
          <w:szCs w:val="20"/>
          <w:color w:val="auto"/>
        </w:rPr>
      </w:pPr>
      <w:r>
        <w:rPr>
          <w:rFonts w:ascii="Arial" w:cs="Arial" w:eastAsia="Arial" w:hAnsi="Arial"/>
          <w:sz w:val="18"/>
          <w:szCs w:val="18"/>
          <w:color w:val="auto"/>
        </w:rPr>
        <w:t>Act 2006 provides that (1) a court may allow a shareholder</w:t>
      </w:r>
    </w:p>
    <w:p>
      <w:pPr>
        <w:ind w:left="1880"/>
        <w:spacing w:after="0" w:line="234" w:lineRule="auto"/>
        <w:rPr>
          <w:sz w:val="20"/>
          <w:szCs w:val="20"/>
          <w:color w:val="auto"/>
        </w:rPr>
      </w:pPr>
      <w:r>
        <w:rPr>
          <w:rFonts w:ascii="Arial" w:cs="Arial" w:eastAsia="Arial" w:hAnsi="Arial"/>
          <w:sz w:val="18"/>
          <w:szCs w:val="18"/>
          <w:color w:val="auto"/>
        </w:rPr>
        <w:t>to bring a derivative claim (that is, an action in respect of</w:t>
      </w:r>
    </w:p>
    <w:p>
      <w:pPr>
        <w:ind w:left="1880"/>
        <w:spacing w:after="0" w:line="235" w:lineRule="auto"/>
        <w:rPr>
          <w:sz w:val="20"/>
          <w:szCs w:val="20"/>
          <w:color w:val="auto"/>
        </w:rPr>
      </w:pPr>
      <w:r>
        <w:rPr>
          <w:rFonts w:ascii="Arial" w:cs="Arial" w:eastAsia="Arial" w:hAnsi="Arial"/>
          <w:sz w:val="18"/>
          <w:szCs w:val="18"/>
          <w:color w:val="auto"/>
        </w:rPr>
        <w:t>and on behalf of the company) in respect of a cause of</w:t>
      </w:r>
    </w:p>
    <w:p>
      <w:pPr>
        <w:ind w:left="1880"/>
        <w:spacing w:after="0" w:line="235" w:lineRule="auto"/>
        <w:rPr>
          <w:sz w:val="20"/>
          <w:szCs w:val="20"/>
          <w:color w:val="auto"/>
        </w:rPr>
      </w:pPr>
      <w:r>
        <w:rPr>
          <w:rFonts w:ascii="Arial" w:cs="Arial" w:eastAsia="Arial" w:hAnsi="Arial"/>
          <w:sz w:val="18"/>
          <w:szCs w:val="18"/>
          <w:color w:val="auto"/>
        </w:rPr>
        <w:t>action arising from a director’s negligence, default, breach</w:t>
      </w:r>
    </w:p>
    <w:p>
      <w:pPr>
        <w:ind w:left="1880"/>
        <w:spacing w:after="0" w:line="235" w:lineRule="auto"/>
        <w:rPr>
          <w:sz w:val="20"/>
          <w:szCs w:val="20"/>
          <w:color w:val="auto"/>
        </w:rPr>
      </w:pPr>
      <w:r>
        <w:rPr>
          <w:rFonts w:ascii="Arial" w:cs="Arial" w:eastAsia="Arial" w:hAnsi="Arial"/>
          <w:sz w:val="18"/>
          <w:szCs w:val="18"/>
          <w:color w:val="auto"/>
        </w:rPr>
        <w:t>of duty or breach of trust and (2) a shareholder may bring</w:t>
      </w:r>
    </w:p>
    <w:p>
      <w:pPr>
        <w:ind w:left="1880"/>
        <w:spacing w:after="0" w:line="235" w:lineRule="auto"/>
        <w:rPr>
          <w:sz w:val="20"/>
          <w:szCs w:val="20"/>
          <w:color w:val="auto"/>
        </w:rPr>
      </w:pPr>
      <w:r>
        <w:rPr>
          <w:rFonts w:ascii="Arial" w:cs="Arial" w:eastAsia="Arial" w:hAnsi="Arial"/>
          <w:sz w:val="18"/>
          <w:szCs w:val="18"/>
          <w:color w:val="auto"/>
        </w:rPr>
        <w:t>a claim for a court order on the ground that the company’s</w:t>
      </w:r>
    </w:p>
    <w:p>
      <w:pPr>
        <w:ind w:left="1880"/>
        <w:spacing w:after="0" w:line="234" w:lineRule="auto"/>
        <w:rPr>
          <w:sz w:val="20"/>
          <w:szCs w:val="20"/>
          <w:color w:val="auto"/>
        </w:rPr>
      </w:pPr>
      <w:r>
        <w:rPr>
          <w:rFonts w:ascii="Arial" w:cs="Arial" w:eastAsia="Arial" w:hAnsi="Arial"/>
          <w:sz w:val="18"/>
          <w:szCs w:val="18"/>
          <w:color w:val="auto"/>
        </w:rPr>
        <w:t>affairs have been or are being conducted in a manner that</w:t>
      </w:r>
    </w:p>
    <w:p>
      <w:pPr>
        <w:ind w:left="1880"/>
        <w:spacing w:after="0" w:line="235" w:lineRule="auto"/>
        <w:rPr>
          <w:sz w:val="20"/>
          <w:szCs w:val="20"/>
          <w:color w:val="auto"/>
        </w:rPr>
      </w:pPr>
      <w:r>
        <w:rPr>
          <w:rFonts w:ascii="Arial" w:cs="Arial" w:eastAsia="Arial" w:hAnsi="Arial"/>
          <w:sz w:val="18"/>
          <w:szCs w:val="18"/>
          <w:color w:val="auto"/>
        </w:rPr>
        <w:t>is unfairly prejudicial to the interests of its shareholders</w:t>
      </w:r>
    </w:p>
    <w:p>
      <w:pPr>
        <w:ind w:left="1880"/>
        <w:spacing w:after="0" w:line="235" w:lineRule="auto"/>
        <w:rPr>
          <w:sz w:val="20"/>
          <w:szCs w:val="20"/>
          <w:color w:val="auto"/>
        </w:rPr>
      </w:pPr>
      <w:r>
        <w:rPr>
          <w:rFonts w:ascii="Arial" w:cs="Arial" w:eastAsia="Arial" w:hAnsi="Arial"/>
          <w:sz w:val="18"/>
          <w:szCs w:val="18"/>
          <w:color w:val="auto"/>
        </w:rPr>
        <w:t>generally or of some of its shareholders, or that an actual</w:t>
      </w:r>
    </w:p>
    <w:p>
      <w:pPr>
        <w:ind w:left="1880"/>
        <w:spacing w:after="0"/>
        <w:rPr>
          <w:sz w:val="20"/>
          <w:szCs w:val="20"/>
          <w:color w:val="auto"/>
        </w:rPr>
      </w:pPr>
      <w:r>
        <w:rPr>
          <w:rFonts w:ascii="Arial" w:cs="Arial" w:eastAsia="Arial" w:hAnsi="Arial"/>
          <w:sz w:val="17"/>
          <w:szCs w:val="17"/>
          <w:color w:val="auto"/>
        </w:rPr>
        <w:t>or proposed act or omission of the company is or would be</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so prejudicial.</w:t>
      </w:r>
    </w:p>
    <w:p>
      <w:pPr>
        <w:spacing w:after="0" w:line="117" w:lineRule="exact"/>
        <w:rPr>
          <w:sz w:val="20"/>
          <w:szCs w:val="20"/>
          <w:color w:val="auto"/>
        </w:rPr>
      </w:pPr>
    </w:p>
    <w:p>
      <w:pPr>
        <w:ind w:left="1880" w:right="140"/>
        <w:spacing w:after="0" w:line="246" w:lineRule="auto"/>
        <w:rPr>
          <w:sz w:val="20"/>
          <w:szCs w:val="20"/>
          <w:color w:val="auto"/>
        </w:rPr>
      </w:pPr>
      <w:r>
        <w:rPr>
          <w:rFonts w:ascii="Arial" w:cs="Arial" w:eastAsia="Arial" w:hAnsi="Arial"/>
          <w:sz w:val="18"/>
          <w:szCs w:val="18"/>
          <w:color w:val="auto"/>
        </w:rPr>
        <w:t>The U.K. Limitation Act 1980 imposes a limitation period, with certain exceptions,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32" w:lineRule="exact"/>
        <w:rPr>
          <w:sz w:val="20"/>
          <w:szCs w:val="20"/>
          <w:color w:val="auto"/>
        </w:rPr>
      </w:pPr>
    </w:p>
    <w:p>
      <w:pPr>
        <w:ind w:left="320" w:right="60" w:hanging="317"/>
        <w:spacing w:after="0" w:line="238" w:lineRule="auto"/>
        <w:tabs>
          <w:tab w:leader="none" w:pos="282"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9" w:lineRule="exact"/>
        <w:rPr>
          <w:rFonts w:ascii="MS PGothic" w:cs="MS PGothic" w:eastAsia="MS PGothic" w:hAnsi="MS PGothic"/>
          <w:sz w:val="13"/>
          <w:szCs w:val="13"/>
          <w:color w:val="auto"/>
        </w:rPr>
      </w:pPr>
    </w:p>
    <w:p>
      <w:pPr>
        <w:ind w:left="320" w:right="40" w:hanging="317"/>
        <w:spacing w:after="0" w:line="238" w:lineRule="auto"/>
        <w:tabs>
          <w:tab w:leader="none" w:pos="322"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9" w:lineRule="exact"/>
        <w:rPr>
          <w:rFonts w:ascii="MS PGothic" w:cs="MS PGothic" w:eastAsia="MS PGothic" w:hAnsi="MS PGothic"/>
          <w:sz w:val="13"/>
          <w:szCs w:val="13"/>
          <w:color w:val="auto"/>
        </w:rPr>
      </w:pPr>
    </w:p>
    <w:p>
      <w:pPr>
        <w:ind w:left="280" w:hanging="277"/>
        <w:spacing w:after="0"/>
        <w:tabs>
          <w:tab w:leader="none" w:pos="280"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Additionally, the plaintiff must remain a stockholder through the duration of the derivative suit. The action will not be dismissed or compromised without the</w:t>
      </w:r>
    </w:p>
    <w:p>
      <w:pPr>
        <w:sectPr>
          <w:pgSz w:w="11900" w:h="16838" w:orient="portrait"/>
          <w:cols w:equalWidth="0" w:num="2">
            <w:col w:w="6540" w:space="120"/>
            <w:col w:w="4460"/>
          </w:cols>
          <w:pgMar w:left="320" w:top="459" w:right="459" w:bottom="1440" w:gutter="0" w:footer="0" w:header="0"/>
          <w:type w:val="continuous"/>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20"/>
          </w:cols>
          <w:pgMar w:left="320" w:top="459" w:right="135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ind w:left="1880"/>
        <w:spacing w:after="0" w:line="253" w:lineRule="auto"/>
        <w:rPr>
          <w:sz w:val="20"/>
          <w:szCs w:val="20"/>
          <w:color w:val="auto"/>
        </w:rPr>
      </w:pPr>
      <w:r>
        <w:rPr>
          <w:rFonts w:ascii="Arial" w:cs="Arial" w:eastAsia="Arial" w:hAnsi="Arial"/>
          <w:sz w:val="17"/>
          <w:szCs w:val="17"/>
          <w:color w:val="auto"/>
        </w:rPr>
        <w:t>in respect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1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approval of the Delaware Court of Chancery.</w:t>
      </w:r>
    </w:p>
    <w:p>
      <w:pPr>
        <w:sectPr>
          <w:pgSz w:w="11900" w:h="16838" w:orient="portrait"/>
          <w:cols w:equalWidth="0" w:num="2">
            <w:col w:w="6540" w:space="120"/>
            <w:col w:w="3560"/>
          </w:cols>
          <w:pgMar w:left="320" w:top="459" w:right="135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You may obtain a copy of the deposit agreement from the SEC’s website (www.sec.gov). Please refer to registration number 333-223890 when retrieving such copy.</w:t>
      </w:r>
    </w:p>
    <w:p>
      <w:pPr>
        <w:spacing w:after="0" w:line="203"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90"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60"/>
          </w:cols>
          <w:pgMar w:left="32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0" w:lineRule="exact"/>
        <w:rPr>
          <w:sz w:val="20"/>
          <w:szCs w:val="20"/>
          <w:color w:val="auto"/>
        </w:rPr>
      </w:pPr>
    </w:p>
    <w:p>
      <w:pPr>
        <w:ind w:left="980" w:hanging="432"/>
        <w:spacing w:after="0"/>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120" w:right="74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0" w:lineRule="exact"/>
        <w:rPr>
          <w:sz w:val="20"/>
          <w:szCs w:val="20"/>
          <w:color w:val="auto"/>
        </w:rPr>
      </w:pPr>
    </w:p>
    <w:p>
      <w:pPr>
        <w:ind w:left="980" w:hanging="432"/>
        <w:spacing w:after="0"/>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99"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85"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20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224" w:lineRule="exact"/>
        <w:rPr>
          <w:sz w:val="20"/>
          <w:szCs w:val="20"/>
          <w:color w:val="auto"/>
        </w:rPr>
      </w:pPr>
    </w:p>
    <w:p>
      <w:pPr>
        <w:ind w:left="980" w:right="140" w:hanging="432"/>
        <w:spacing w:after="0" w:line="218"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40" w:hanging="432"/>
        <w:spacing w:after="0" w:line="218"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180" w:hanging="432"/>
        <w:spacing w:after="0" w:line="223"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your cost and expense, take any and all actions necessary to correct the consequences of the misrepresentation.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12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You assume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239" w:lineRule="exact"/>
        <w:rPr>
          <w:sz w:val="20"/>
          <w:szCs w:val="20"/>
          <w:color w:val="auto"/>
        </w:rPr>
      </w:pPr>
    </w:p>
    <w:p>
      <w:pPr>
        <w:ind w:left="980" w:right="480" w:hanging="432"/>
        <w:spacing w:after="0" w:line="218"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2"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9"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hanging="432"/>
        <w:spacing w:after="0" w:line="230" w:lineRule="auto"/>
        <w:tabs>
          <w:tab w:leader="none" w:pos="98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100" w:hanging="432"/>
        <w:spacing w:after="0" w:line="231" w:lineRule="auto"/>
        <w:tabs>
          <w:tab w:leader="none" w:pos="98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00"/>
          </w:cols>
          <w:pgMar w:left="320" w:top="459" w:right="5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p>
      <w:pPr>
        <w:ind w:left="120"/>
        <w:spacing w:after="0"/>
        <w:tabs>
          <w:tab w:leader="none" w:pos="9400" w:val="left"/>
        </w:tabs>
        <w:rPr>
          <w:sz w:val="20"/>
          <w:szCs w:val="20"/>
          <w:color w:val="auto"/>
        </w:rPr>
      </w:pPr>
      <w:r>
        <w:rPr>
          <w:rFonts w:ascii="Arial" w:cs="Arial" w:eastAsia="Arial" w:hAnsi="Arial"/>
          <w:sz w:val="13"/>
          <w:szCs w:val="13"/>
          <w:b w:val="1"/>
          <w:bCs w:val="1"/>
          <w:u w:val="single" w:color="auto"/>
          <w:color w:val="auto"/>
        </w:rPr>
        <w:t>Service</w:t>
      </w:r>
      <w:r>
        <w:rPr>
          <w:sz w:val="20"/>
          <w:szCs w:val="20"/>
          <w:color w:val="auto"/>
        </w:rPr>
        <w:tab/>
      </w:r>
      <w:r>
        <w:rPr>
          <w:rFonts w:ascii="Arial" w:cs="Arial" w:eastAsia="Arial" w:hAnsi="Arial"/>
          <w:sz w:val="13"/>
          <w:szCs w:val="13"/>
          <w:b w:val="1"/>
          <w:bCs w:val="1"/>
          <w:color w:val="auto"/>
        </w:rPr>
        <w:t>Fee</w:t>
      </w:r>
    </w:p>
    <w:p>
      <w:pPr>
        <w:sectPr>
          <w:pgSz w:w="11900" w:h="16838" w:orient="portrait"/>
          <w:cols w:equalWidth="0" w:num="1">
            <w:col w:w="10960"/>
          </w:cols>
          <w:pgMar w:left="320" w:top="459" w:right="619" w:bottom="1440" w:gutter="0" w:footer="0" w:header="0"/>
        </w:sectPr>
      </w:pPr>
    </w:p>
    <w:p>
      <w:pPr>
        <w:spacing w:after="0" w:line="38" w:lineRule="exact"/>
        <w:rPr>
          <w:sz w:val="20"/>
          <w:szCs w:val="20"/>
          <w:color w:val="auto"/>
        </w:rPr>
      </w:pPr>
    </w:p>
    <w:p>
      <w:pPr>
        <w:jc w:val="both"/>
        <w:ind w:left="300" w:hanging="179"/>
        <w:spacing w:after="0" w:line="234"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3860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ind w:left="300" w:right="180" w:hanging="179"/>
        <w:spacing w:after="0" w:line="242"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1" w:lineRule="exact"/>
        <w:rPr>
          <w:sz w:val="20"/>
          <w:szCs w:val="20"/>
          <w:color w:val="auto"/>
        </w:rPr>
      </w:pPr>
    </w:p>
    <w:p>
      <w:pPr>
        <w:ind w:left="300" w:right="300" w:hanging="179"/>
        <w:spacing w:after="0" w:line="242"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300" w:right="860" w:hanging="179"/>
        <w:spacing w:after="0" w:line="242"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1" w:lineRule="exact"/>
        <w:rPr>
          <w:sz w:val="20"/>
          <w:szCs w:val="20"/>
          <w:color w:val="auto"/>
        </w:rPr>
      </w:pPr>
    </w:p>
    <w:p>
      <w:pPr>
        <w:ind w:left="300" w:right="320" w:hanging="179"/>
        <w:spacing w:after="0" w:line="242"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1" w:lineRule="exact"/>
        <w:rPr>
          <w:sz w:val="20"/>
          <w:szCs w:val="20"/>
          <w:color w:val="auto"/>
        </w:rPr>
      </w:pPr>
    </w:p>
    <w:p>
      <w:pPr>
        <w:ind w:left="300" w:right="20" w:hanging="179"/>
        <w:spacing w:after="0" w:line="242"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300" w:right="100" w:hanging="179"/>
        <w:spacing w:after="0"/>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issued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cancelled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 to $5.00 per 100 ADSs (or fraction thereof) held on the applicable record date(s) established by the depositary Up to $5.00 per 100 ADSs (or fraction thereof) transferred</w:t>
      </w:r>
    </w:p>
    <w:p>
      <w:pPr>
        <w:spacing w:after="0" w:line="20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Up to $5.00 per 100 ADSs (or fraction thereof) converted</w:t>
      </w:r>
    </w:p>
    <w:p>
      <w:pPr>
        <w:spacing w:after="0" w:line="603" w:lineRule="exact"/>
        <w:rPr>
          <w:sz w:val="20"/>
          <w:szCs w:val="20"/>
          <w:color w:val="auto"/>
        </w:rPr>
      </w:pPr>
    </w:p>
    <w:p>
      <w:pPr>
        <w:sectPr>
          <w:pgSz w:w="11900" w:h="16838" w:orient="portrait"/>
          <w:cols w:equalWidth="0" w:num="2">
            <w:col w:w="7800" w:space="140"/>
            <w:col w:w="3020"/>
          </w:cols>
          <w:pgMar w:left="320" w:top="459" w:right="619" w:bottom="1440" w:gutter="0" w:footer="0" w:header="0"/>
          <w:type w:val="continuous"/>
        </w:sectPr>
      </w:pPr>
    </w:p>
    <w:p>
      <w:pPr>
        <w:spacing w:after="0" w:line="2" w:lineRule="exact"/>
        <w:rPr>
          <w:sz w:val="20"/>
          <w:szCs w:val="20"/>
          <w:color w:val="auto"/>
        </w:rPr>
      </w:pPr>
    </w:p>
    <w:p>
      <w:pPr>
        <w:ind w:left="980" w:hanging="432"/>
        <w:spacing w:after="0"/>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400" w:hanging="432"/>
        <w:spacing w:after="0" w:line="223"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0960"/>
          </w:cols>
          <w:pgMar w:left="320" w:top="459" w:right="61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3"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120" w:right="300" w:firstLine="440"/>
        <w:spacing w:after="0" w:line="261"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80" w:right="140" w:hanging="432"/>
        <w:spacing w:after="0" w:line="218"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hanging="432"/>
        <w:spacing w:after="0" w:line="227"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you as an ADS holder.</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6"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99" w:lineRule="exact"/>
        <w:rPr>
          <w:sz w:val="20"/>
          <w:szCs w:val="20"/>
          <w:color w:val="auto"/>
        </w:rPr>
      </w:pPr>
    </w:p>
    <w:p>
      <w:pPr>
        <w:jc w:val="both"/>
        <w:ind w:left="120" w:right="320" w:firstLine="440"/>
        <w:spacing w:after="0" w:line="238"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5" w:lineRule="exact"/>
        <w:rPr>
          <w:sz w:val="20"/>
          <w:szCs w:val="20"/>
          <w:color w:val="auto"/>
        </w:rPr>
      </w:pPr>
    </w:p>
    <w:p>
      <w:pPr>
        <w:ind w:left="120" w:right="28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8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deposit agreement. You may have to pay fees and expenses incurred in converting foreign currency, such as fees and expenses incurred in complying with currency exchange controls and other governmental requirements.</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500" w:hanging="432"/>
        <w:spacing w:after="0" w:line="218"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20"/>
          </w:cols>
          <w:pgMar w:left="320" w:top="459" w:right="5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9"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7"/>
          <w:szCs w:val="17"/>
          <w:color w:val="auto"/>
        </w:rPr>
        <w:t>The following are material U.S. federal income tax consequences to the U.S. Holders (as defined below) of purchasing, owning and disposing of the ADSs and ordinary shares acquired pursuant to this offering, but it does not purport to be a comprehensive description of all tax considerations that may be relevant to a particular person’s decision to acquire the securities. This discussion applies only to a U.S. Holder that acquires ADSs in this offering and holds the ADSs or ordinary shares as capital assets for U.S. federal income tax purposes.</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193" w:lineRule="exact"/>
        <w:rPr>
          <w:sz w:val="20"/>
          <w:szCs w:val="20"/>
          <w:color w:val="auto"/>
        </w:rPr>
      </w:pPr>
    </w:p>
    <w:p>
      <w:pPr>
        <w:ind w:left="980" w:hanging="432"/>
        <w:spacing w:after="0"/>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15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432"/>
        <w:spacing w:after="0" w:line="218"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could be a PFIC under the asset test. We believe we will be a PFIC for the year ended December 31, 2019 and we were a PFIC for the year ended December 31, 2018. In addition, it is not clear how to apply the income test to a company like us, which for any particular taxable year may have gross income that is either entirely passive or that significantly exceed any active gross income, but the overall losses of which from research and development activities exceed the overall amount of its gross income for that year. We currently do not earn income from sales of drugs. Accordingly, U.S. Holders should invest in our ADSs only if they are willing to bear the U.S. federal income tax consequences associated with investments in PFICs.</w:t>
      </w:r>
    </w:p>
    <w:p>
      <w:pPr>
        <w:spacing w:after="0" w:line="204"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205"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right="360" w:firstLine="440"/>
        <w:spacing w:after="0" w:line="245"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Mark-to-Market Election</w:t>
      </w:r>
    </w:p>
    <w:p>
      <w:pPr>
        <w:spacing w:after="0" w:line="9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8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Any such gain or loss will be long-term capital gain or loss if at the time of the sale or disposition the U.S. Holder has owned our ADSs or ordinary shares for more than one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 consult their tax advisers regarding any potential foreign currency gain or loss that may have to be recognized.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Financial Asset Information Reporting</w:t>
      </w:r>
    </w:p>
    <w:p>
      <w:pPr>
        <w:spacing w:after="0" w:line="8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7"/>
          <w:szCs w:val="17"/>
          <w:color w:val="auto"/>
        </w:rPr>
        <w:t>Certain U.S. Holders who are individuals (or certain specified entities) may be required to report information relating to their ownership of our ADSs or ordinary shares, or non-U.S. accounts through which our ADSs or ordinary shares are held.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 of Dividends</w:t>
      </w:r>
    </w:p>
    <w:p>
      <w:pPr>
        <w:spacing w:after="0" w:line="9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ASPIRE CAPITAL TRANSACTION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February 10, 2020, we entered into the Purchase Agreement, which provides that, upon the terms and subject to the conditions and limitations set forth therein, Aspire Capital is committed to purchase up to an aggregate of $28.0 million of our ordinary shares that are exchangeable for ADSs, which includes the Initial Shares sold by us to the selling shareholder for $ 3.0 million, over the term of the Purchase Agreement. In consideration for entering into the Purchase Agreement, concurrently with the execution of the Purchase Agreement, we paid to Aspire Capital a $300,000 commitment fee, which was satisfied wholly by the issuance to Aspire Capital of 2,862,595 ordinary shares that are exchangeable for 572,519 ADSs. Concurrently with entering into the Purchase Agreement, we also entered into the Registration Rights Agreement, in which we agreed to file one or more registration statements as permissible and necessary to register under the Securities Act, the sale of the ADSs that have been and may be issued to Aspire Capital under the Purchase Agreement.</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 -affiliates), excluding the $25.0 million worth of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issued to the selling shareholder and exchangeable for 2,286,585 ADSs, (ii) the Commission Shares of 2,862,595 ordinary shares exchangeable for 572,519 ADSs issued to the selling shareholder in satisfaction of the commission fee due to Aspire Capital under the Purchase Agreement, and (iii) up to an additional $25.0 million worth of ordinary shares that are exchangeable for ADSs, which we may issue to Aspire Capital after this registration statement is declared effective under the Securities Act. All $28.3 million ordinary shares that are exchangeable for ADSs issued or issuable to Aspire Capital pursuant to the Purchase Agreement are being offered pursuant to this prospectus.</w:t>
      </w:r>
    </w:p>
    <w:p>
      <w:pPr>
        <w:spacing w:after="0" w:line="20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$0.25 per share, we have the right, in our sole discretion, to present Aspire Capital with a Purchase Notice, directing Aspire Capital (as principal) to purchase up to 150,000 ADSs per business day, up to $25.0 million worth of our ordinary shares exchangeable for ADSs in the aggregate over the term of the Purchase Agreement, at a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VWAP Purchase Notice directing Aspire Capital to purchase an amount of ADSs equal to up to 30% of the aggregate of the Company’s ADSs traded on the Nasdaq on the next business day, subject to the VWAP Purchase ADS Volume Maximum and the VWAP Minimum Price Threshold and subject to a maximum of 250,000 ADSs. The VWAP Purchase Price is calculated by reference to the prevailing market price of our ADSs (as more specifically described below).</w:t>
      </w:r>
    </w:p>
    <w:p>
      <w:pPr>
        <w:spacing w:after="0" w:line="202"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the Floor Price. There are no trading volume requirements or restrictions under the Purchase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color w:val="auto"/>
        </w:rPr>
        <w:t>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ADSs under the Purchase Agreement</w:t>
      </w:r>
    </w:p>
    <w:p>
      <w:pPr>
        <w:spacing w:after="0" w:line="99"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Under the Purchase Agreement, on any business day selected by us on which the closing sale price of our ADSs is at least $0.25 per share, we may direct Aspire Capital to purchase up to 150,000 ADSs representing 750,000 ordinary shares per business day. The Purchase Price of such ADSs is equal to the lesser of:</w:t>
      </w:r>
    </w:p>
    <w:p>
      <w:pPr>
        <w:spacing w:after="0" w:line="193" w:lineRule="exact"/>
        <w:rPr>
          <w:sz w:val="20"/>
          <w:szCs w:val="20"/>
          <w:color w:val="auto"/>
        </w:rPr>
      </w:pPr>
    </w:p>
    <w:p>
      <w:pPr>
        <w:ind w:left="980" w:hanging="432"/>
        <w:spacing w:after="0"/>
        <w:tabs>
          <w:tab w:leader="none" w:pos="98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lowest sale price of our ADSs on the purchase date;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arithmetic average of the three lowest closing sale prices for our ADSs during the 10 consecutive business days ending on the business day immediately preceding the purchase date.</w:t>
      </w:r>
    </w:p>
    <w:p>
      <w:pPr>
        <w:spacing w:after="0" w:line="203"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In addition, on any date on which we submit a Purchase Notice to Aspire Capital for purchase of 150,000 ADSs, we also have the right to direct Aspire Capital to purchase an amount of ADSs equal to up to 30% of the aggregate of our ADSs traded on the Nasdaq on the next business day, subject to a maximum number of 250,000 ADSs and subject to the VWAP Purchase ADS Volume Maximum and the VWAP Minimum Price Threshold, which is equal to the greater of (a) 80% of the closing price of our ADSs on the business day immediately preceding the VWAP Purchase Date or (b) such higher price as set forth by us in the VWAP Purchase Notice. The VWAP Purchase Price of such ADSs is the lower of:</w:t>
      </w:r>
    </w:p>
    <w:p>
      <w:pPr>
        <w:spacing w:after="0" w:line="195" w:lineRule="exact"/>
        <w:rPr>
          <w:sz w:val="20"/>
          <w:szCs w:val="20"/>
          <w:color w:val="auto"/>
        </w:rPr>
      </w:pPr>
    </w:p>
    <w:p>
      <w:pPr>
        <w:ind w:left="980" w:hanging="432"/>
        <w:spacing w:after="0"/>
        <w:tabs>
          <w:tab w:leader="none" w:pos="98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closing sale price on the VWAP Purchase Date;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97% of the volume-weighted average price for our ADSs traded on the Nasdaq:</w:t>
      </w:r>
    </w:p>
    <w:p>
      <w:pPr>
        <w:spacing w:after="0" w:line="26" w:lineRule="exact"/>
        <w:rPr>
          <w:rFonts w:ascii="MS PGothic" w:cs="MS PGothic" w:eastAsia="MS PGothic" w:hAnsi="MS PGothic"/>
          <w:sz w:val="25"/>
          <w:szCs w:val="25"/>
          <w:color w:val="auto"/>
          <w:vertAlign w:val="superscript"/>
        </w:rPr>
      </w:pPr>
    </w:p>
    <w:p>
      <w:pPr>
        <w:ind w:left="1420" w:right="700" w:hanging="427"/>
        <w:spacing w:after="0" w:line="218" w:lineRule="auto"/>
        <w:tabs>
          <w:tab w:leader="none" w:pos="1420" w:val="left"/>
        </w:tabs>
        <w:numPr>
          <w:ilvl w:val="1"/>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the VWAP Purchase Date, if the aggregate ADSs to be purchased on that date have not exceeded the VWAP Purchase Share Volume Maximum; or</w:t>
      </w:r>
    </w:p>
    <w:p>
      <w:pPr>
        <w:spacing w:after="0" w:line="27" w:lineRule="exact"/>
        <w:rPr>
          <w:rFonts w:ascii="MS PGothic" w:cs="MS PGothic" w:eastAsia="MS PGothic" w:hAnsi="MS PGothic"/>
          <w:sz w:val="25"/>
          <w:szCs w:val="25"/>
          <w:color w:val="auto"/>
          <w:vertAlign w:val="superscript"/>
        </w:rPr>
      </w:pPr>
    </w:p>
    <w:p>
      <w:pPr>
        <w:ind w:left="1420" w:right="180" w:hanging="427"/>
        <w:spacing w:after="0" w:line="223" w:lineRule="auto"/>
        <w:tabs>
          <w:tab w:leader="none" w:pos="1420" w:val="left"/>
        </w:tabs>
        <w:numPr>
          <w:ilvl w:val="1"/>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during that portion of the VWAP Purchase Date until such time as the sooner to occur of (i) the time at which the aggregate ADSs traded on the Nasdaq exceed the VWAP Purchase ADS Volume Maximum or (ii) the time at which the sale price of our ADSs falls below the VWAP Minimum Price Threshold.</w:t>
      </w:r>
    </w:p>
    <w:p>
      <w:pPr>
        <w:spacing w:after="0" w:line="204"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business day(s) used to compute the Purchase Price. We may deliver multiple Purchase Notices and VWAP Purchase Notices to Aspire Capital from time to time during the term of the Purchase Agreement, so long as the most recent purchase has been completed.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Share Price</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Under the Purchase Agreement, we and Aspire Capital may not effect any sales of our ADSs under the Purchase Agreement on any business day that the closing sale price of our ADSs is less than $0.25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No sales are permitted to be made under the Purchase Agreement upon the occurrence of any of the following, among other, events of default:</w:t>
      </w:r>
    </w:p>
    <w:p>
      <w:pPr>
        <w:spacing w:after="0" w:line="224" w:lineRule="exact"/>
        <w:rPr>
          <w:sz w:val="20"/>
          <w:szCs w:val="20"/>
          <w:color w:val="auto"/>
        </w:rPr>
      </w:pPr>
    </w:p>
    <w:p>
      <w:pPr>
        <w:ind w:left="980" w:right="20" w:hanging="432"/>
        <w:spacing w:after="0" w:line="229"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any registration statement that is required to be maintained effective pursuant to the terms of the Registration Rights Agreement between us and Aspire Capital lapses for any reason (including, without limitation, the issuance of a stop order) or is unavailable to Aspire Capital for sale of our ADSs, and such lapse or unavailability continues for a period of 10 consecutive business days or for more than an aggregate of 30 business days in any 365-day period, which is not in connection with a post-effective amendment to any such registration statement; in connection with any post-effective amendment to such registration statement that is required to be declared effective by the SEC such lapse or unavailability may continue for a period of no more than 30 consecutive business days;</w:t>
      </w:r>
    </w:p>
    <w:p>
      <w:pPr>
        <w:spacing w:after="0" w:line="31"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suspension from trading or failure of our ADSs to be listed on our principal market for a period of three consecutive business days;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3"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delisting of our ADSs from our principal market, provided our ADSs are not immediately thereafter trading on the New York Stock Exchange, the NYSE American, the Nasdaq Capital Market, the Nasdaq Global Select Market, the Nasdaq Global Market, the OTB Bulletin Board or the OTCQB marketplace or OTCQX marketplace of the OTC Markets Group;</w:t>
      </w:r>
    </w:p>
    <w:p>
      <w:pPr>
        <w:spacing w:after="0" w:line="28"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transfer agent’s failure to issue to Aspire Capital ADSs which Aspire Capital is entitled to receive under the Purchase Agreement within five business days after an applicable purchase date;</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by us of the representations or warranties or covenants contained in the Purchase Agreement or any related agreements which could have a material adverse effect on us, subject to a cure period of five business days;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become insolvent or are generally unable to pay our debts as they become due;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participation or threatened participation in insolvency or bankruptcy proceedings by or against us.</w:t>
      </w:r>
    </w:p>
    <w:p>
      <w:pPr>
        <w:spacing w:after="0" w:line="20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Purchase Agreement will be automatically terminated in the event of any participation in insolvency or bankruptcy proceedings by or against us.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Termination Rights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Agreement may be terminated by us at any time, at our discretion, without any penalty or cost to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Short-Selling or Hedging by Aspire Capital</w:t>
      </w:r>
    </w:p>
    <w:p>
      <w:pPr>
        <w:spacing w:after="0" w:line="8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Aspire Capital has agreed that neither it nor any of its agents, representatives and affiliates shall engage in any direct or indirect short-selling or hedging of our securities during any time prior to the termination of the Purchase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Performance of the Purchase Agreement on Our Shareholders</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Purchase Agreement does not limit the ability of Aspire Capital to sell any or all of the $25.0 million worth of ordinary shares exchangeable for ADSs registered in this offering. It is anticipated that shares registered in this offering will be sold over a period of up to approximately 30 months from the date of this prospectus. The sale by Aspire Capital of a significant amount of ADSs registered in this offering at any given time could cause the market price of our ADSs to decline and/or to be highly volatile. Aspire Capital may ultimately purchase all, some or none of the $25.0 million worth of ordinary shares exchangeable for ADSs not yet issued but registered in this offering. After it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has acquired such shares, it may sell all, some or none of such ADSs. Therefore, sales to Aspire Capital by us pursuant to the Purchase Agreement also may result in substantial dilution to the interests of other holders of our ADSs. However, we have the right to control the timing and amount of any sales of our ADSs to Aspire Capital and the Purchase Agreement may be terminated by us at any time at our discretion without any penalty or cost to us.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0940"/>
          </w:cols>
          <w:pgMar w:left="320" w:top="459" w:right="6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selling shareholder may from time to time offer and sell any or all of the ADSs representing ordinary shares set forth below pursuant to this prospectus. When we refer to the “selling shareholder” in this prospectus, we mean the entity listed in the table below, and its respective pledgees, donees, permitted transferees, assignees, successors and others who later come to hold any of the selling shareholder’s interests in our ADSs other than through a public sale.</w:t>
      </w:r>
    </w:p>
    <w:p>
      <w:pPr>
        <w:spacing w:after="0" w:line="205" w:lineRule="exact"/>
        <w:rPr>
          <w:sz w:val="20"/>
          <w:szCs w:val="20"/>
          <w:color w:val="auto"/>
        </w:rPr>
      </w:pPr>
    </w:p>
    <w:p>
      <w:pPr>
        <w:ind w:left="120" w:right="300" w:firstLine="440"/>
        <w:spacing w:after="0" w:line="237" w:lineRule="auto"/>
        <w:rPr>
          <w:sz w:val="20"/>
          <w:szCs w:val="20"/>
          <w:color w:val="auto"/>
        </w:rPr>
      </w:pPr>
      <w:r>
        <w:rPr>
          <w:rFonts w:ascii="Arial" w:cs="Arial" w:eastAsia="Arial" w:hAnsi="Arial"/>
          <w:sz w:val="18"/>
          <w:szCs w:val="18"/>
          <w:color w:val="auto"/>
        </w:rPr>
        <w:t>The following table sets forth, as of the date of this prospectus, the name of the selling shareholder for whom we are registering shares for sale to the public, the number of ADSs beneficially owned by the selling shareholder prior to this offering, the total number of ADSs that the selling shareholder may offer pursuant to this prospectus and the number of ADSs that the selling shareholder will beneficially own after this offering. Except as noted below, the selling shareholder does not have, or within the past three years has not had, any material relationship with us or any of our predecessors or affiliates and the selling shareholder is not or was not affiliated with registered broker-dealers.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Based on the information provided to us by the selling shareholder, assuming that the selling shareholder sells all of the shares of our ADSs beneficially owned by it that have been registered by us and does not acquire any additional ADSs during the offering, the selling shareholder will not own any ADSs other than those appearing in the column entitled “Beneficial Ownership After This Offering.” We cannot advise you as to whether the selling shareholder will in fact sell any or all of such ADSs. In addition, the selling shareholder may have sold, transferred or otherwise disposed of, or may sell, transfer or otherwise dispose of, at any time and from time to time, the ADSs in transactions exempt from the registration requirements of the Securities Act after the date on which it provided the information set forth in the table below. Each ADS represents five of our ordinary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Beneficial Ownership</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Before this Offering(1)</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ADSs</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w w:val="96"/>
              </w:rPr>
              <w:t>After this Offering(2)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660" w:type="dxa"/>
            <w:vAlign w:val="bottom"/>
            <w:vMerge w:val="restart"/>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Being</w:t>
            </w: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ADSs</w:t>
            </w: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Offered</w:t>
            </w: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ADSs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Aspire Capital Fund, LLC(3)</w:t>
            </w:r>
          </w:p>
        </w:tc>
        <w:tc>
          <w:tcPr>
            <w:tcW w:w="9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2,859,104</w:t>
            </w:r>
          </w:p>
        </w:tc>
        <w:tc>
          <w:tcPr>
            <w:tcW w:w="500" w:type="dxa"/>
            <w:vAlign w:val="bottom"/>
            <w:vMerge w:val="continue"/>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12.7%</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2,859,104</w:t>
            </w:r>
          </w:p>
        </w:tc>
        <w:tc>
          <w:tcPr>
            <w:tcW w:w="5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ind w:left="920"/>
              <w:spacing w:after="0" w:line="189" w:lineRule="exact"/>
              <w:rPr>
                <w:sz w:val="20"/>
                <w:szCs w:val="20"/>
                <w:color w:val="auto"/>
              </w:rPr>
            </w:pPr>
            <w:r>
              <w:rPr>
                <w:rFonts w:ascii="Arial" w:cs="Arial" w:eastAsia="Arial" w:hAnsi="Arial"/>
                <w:sz w:val="18"/>
                <w:szCs w:val="18"/>
                <w:color w:val="auto"/>
                <w:w w:val="79"/>
              </w:rPr>
              <w:t>0</w:t>
            </w:r>
          </w:p>
        </w:tc>
        <w:tc>
          <w:tcPr>
            <w:tcW w:w="540" w:type="dxa"/>
            <w:vAlign w:val="bottom"/>
            <w:vMerge w:val="continue"/>
            <w:shd w:val="clear" w:color="auto" w:fill="CCEEFF"/>
          </w:tcPr>
          <w:p>
            <w:pPr>
              <w:spacing w:after="0"/>
              <w:rPr>
                <w:sz w:val="16"/>
                <w:szCs w:val="16"/>
                <w:color w:val="auto"/>
              </w:rPr>
            </w:pPr>
          </w:p>
        </w:tc>
        <w:tc>
          <w:tcPr>
            <w:tcW w:w="46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3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the Initial Shares of 14,295,520 ordinary shares (equivalent to 2,859,104 ADSs) that were issued to Aspire Capital pursuant to the Purchase Agreement, which includes (i) the Initial Shares of 11,432,925 ordinary shares exchangeable for 2,286,585 ADSs and (ii) the Commission Shares of 2,862,595 ordinary shares exchangeable for 572,519 ADSs. Each ADS represents five of our ordinary shares.</w:t>
      </w:r>
    </w:p>
    <w:p>
      <w:pPr>
        <w:spacing w:after="0" w:line="29" w:lineRule="exact"/>
        <w:rPr>
          <w:rFonts w:ascii="Arial" w:cs="Arial" w:eastAsia="Arial" w:hAnsi="Arial"/>
          <w:sz w:val="18"/>
          <w:szCs w:val="18"/>
          <w:color w:val="auto"/>
        </w:rPr>
      </w:pPr>
    </w:p>
    <w:p>
      <w:pPr>
        <w:ind w:left="540" w:hanging="424"/>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Assumes the sale of all Initial Shares and Commission Shares registered pursuant to this prospectus.</w:t>
      </w:r>
    </w:p>
    <w:p>
      <w:pPr>
        <w:spacing w:after="0" w:line="36" w:lineRule="exact"/>
        <w:rPr>
          <w:rFonts w:ascii="Arial" w:cs="Arial" w:eastAsia="Arial" w:hAnsi="Arial"/>
          <w:sz w:val="18"/>
          <w:szCs w:val="18"/>
          <w:color w:val="auto"/>
        </w:rPr>
      </w:pPr>
    </w:p>
    <w:p>
      <w:pPr>
        <w:ind w:left="540" w:right="60" w:hanging="424"/>
        <w:spacing w:after="0" w:line="234"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w:t>
      </w:r>
    </w:p>
    <w:p>
      <w:pPr>
        <w:spacing w:after="0" w:line="3" w:lineRule="exact"/>
        <w:rPr>
          <w:rFonts w:ascii="Arial" w:cs="Arial" w:eastAsia="Arial" w:hAnsi="Arial"/>
          <w:sz w:val="18"/>
          <w:szCs w:val="18"/>
          <w:color w:val="auto"/>
        </w:rPr>
      </w:pPr>
    </w:p>
    <w:p>
      <w:pPr>
        <w:ind w:left="540" w:right="20"/>
        <w:spacing w:after="0" w:line="234" w:lineRule="auto"/>
        <w:rPr>
          <w:rFonts w:ascii="Arial" w:cs="Arial" w:eastAsia="Arial" w:hAnsi="Arial"/>
          <w:sz w:val="18"/>
          <w:szCs w:val="18"/>
          <w:color w:val="auto"/>
        </w:rPr>
      </w:pPr>
      <w:r>
        <w:rPr>
          <w:rFonts w:ascii="Arial" w:cs="Arial" w:eastAsia="Arial" w:hAnsi="Arial"/>
          <w:sz w:val="18"/>
          <w:szCs w:val="18"/>
          <w:color w:val="auto"/>
        </w:rPr>
        <w:t>(“Mr. Blank”) is president and sole shareholder of WML Ventures Corp. (“WML Ventures”), which is a principal of Aspire Partners. Each of Aspire Partners, SGM, Red Cedar, Chrisko, WML Ventures, Mr. Martin, Mr. Brown, Mr. Komissopoulos and Mr. Blank may be deemed to be a beneficial owner of ADSs by Aspire Fund. Each of Aspire Partners, SGM, Red Cedar, Chrisko, WML Ventures,</w:t>
      </w:r>
    </w:p>
    <w:p>
      <w:pPr>
        <w:spacing w:after="0" w:line="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Mr. Martin, Mr. Brown, Mr. Komissopoulos and Mr. Blank disclaims beneficial ownership of the ADSs held by Aspire Fund.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hanging="424"/>
        <w:spacing w:after="0" w:line="23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of the date hereof, 14,295,520 ordinary shares which may be exchanged for 2,859,104 ADSs have been issued to Aspire Capital under the Purchase Agreement. We may elect in our sole discretion to sell to Aspire Capital up to an additional $25.0 million worth of ordinary shares exchangeable for ADSs under the Purchase Agreement, but Aspire Capital does not presently beneficially own those shares as determined in accordance with the rules of the SEC.</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securities offered by this prospectus are being offered by Aspire Capital, the selling shareholder. The securities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securities offered by this prospectus may be effected in one or more of the following methods:</w:t>
      </w:r>
    </w:p>
    <w:p>
      <w:pPr>
        <w:spacing w:after="0" w:line="193" w:lineRule="exact"/>
        <w:rPr>
          <w:sz w:val="20"/>
          <w:szCs w:val="20"/>
          <w:color w:val="auto"/>
        </w:rPr>
      </w:pPr>
    </w:p>
    <w:p>
      <w:pPr>
        <w:ind w:left="980" w:hanging="432"/>
        <w:spacing w:after="0"/>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brokers’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transactions involving cross or block trades;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brokers, dealers, or underwriters who may act solely as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the market” into an existing market for the ADSs;</w:t>
      </w:r>
    </w:p>
    <w:p>
      <w:pPr>
        <w:spacing w:after="0" w:line="26" w:lineRule="exact"/>
        <w:rPr>
          <w:rFonts w:ascii="MS PGothic" w:cs="MS PGothic" w:eastAsia="MS PGothic" w:hAnsi="MS PGothic"/>
          <w:sz w:val="25"/>
          <w:szCs w:val="25"/>
          <w:color w:val="auto"/>
          <w:vertAlign w:val="superscript"/>
        </w:rPr>
      </w:pPr>
    </w:p>
    <w:p>
      <w:pPr>
        <w:ind w:left="980" w:right="580" w:hanging="432"/>
        <w:spacing w:after="0" w:line="218"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privately negotiated transactions;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combination of the foregoing.</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In order to comply with the securities laws of certain states, if applicable, the securities may be sold only through registered or licensed brokers or dealers. In addition, in certain states, the securities may not be sold unless they have been registered or qualified for sale in the state or an exemption from the registration or qualification requirement is available and complied with.</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shareholder may transfer the securities by other means not described in this prospectus.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Brokers, dealers, underwriters, or agents participating in the distribution of the securities as agents may receive compensation in the form of commissions, discounts, or concessions from the selling shareholder and/or purchasers of the securities for whom the broker-dealers may act as agent. Aspire Capital has informed us that each such broker-dealer will receive commissions from Aspire Capital which will not exceed customary brokerage commissions.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Aspire Capital is an “underwriter” within the meaning of the Securities Act.</w:t>
      </w:r>
    </w:p>
    <w:p>
      <w:pPr>
        <w:spacing w:after="0" w:line="212" w:lineRule="exact"/>
        <w:rPr>
          <w:sz w:val="20"/>
          <w:szCs w:val="20"/>
          <w:color w:val="auto"/>
        </w:rPr>
      </w:pPr>
    </w:p>
    <w:p>
      <w:pPr>
        <w:ind w:left="120" w:right="640" w:firstLine="440"/>
        <w:spacing w:after="0"/>
        <w:rPr>
          <w:sz w:val="20"/>
          <w:szCs w:val="20"/>
          <w:color w:val="auto"/>
        </w:rPr>
      </w:pPr>
      <w:r>
        <w:rPr>
          <w:rFonts w:ascii="Arial" w:cs="Arial" w:eastAsia="Arial" w:hAnsi="Arial"/>
          <w:sz w:val="18"/>
          <w:szCs w:val="18"/>
          <w:color w:val="auto"/>
        </w:rPr>
        <w:t>Neither we nor Aspire Capital can presently estimate the amount of compensation that any agent will receive. We know of no existing arrangements between Aspire Capital, any other stockholder, broker, dealer, underwriter, or agent relating to the sale or distribution of the securities offered by this prospectus.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will pay all of the expenses incident to the registration, offering, and sale of the securities to the public other than commissions or discounts of underwriters, broker-dealers, or agents. We have agreed to indemnify Aspire Capital and certain other persons against certain liabilities in connection with the offering of securities offered hereby, including liabilities arising under the Securities Act or, if such indemnity is unavailable, to contribute amounts required to be paid in respect of such liabilities. Aspire Capital has agreed to indemnify us against liabilities under the Securities Act that may arise from certain written information furnished to us by Aspire Capital specifically for use in this prospectus or, if such indemnity is unavailable, to contribute amounts required to be paid in respect of such liabilities.</w:t>
      </w:r>
    </w:p>
    <w:p>
      <w:pPr>
        <w:spacing w:after="0" w:line="205"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Aspire Capital and its affiliates have agreed not to engage in any direct or indirect short selling or hedging of our securities during the term of the Purchase Agreement.</w:t>
      </w:r>
    </w:p>
    <w:p>
      <w:pPr>
        <w:spacing w:after="0" w:line="19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advised Aspire Capital that while it is engaged in a distribution of the securities included in this prospectus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may suspend the sale of securities by Aspire Capital pursuant to this prospectus for certain periods of time for certain reasons, including if the prospectus is required to be supplemented or amended to include additional material information.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Aspire Capital.</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EXPENSES OF THE OFFERING</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expenses in connection with the offering will be as follows: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Expenses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Legal fees and expenses</w:t>
      </w:r>
    </w:p>
    <w:p>
      <w:pPr>
        <w:ind w:left="44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-127000</wp:posOffset>
            </wp:positionV>
            <wp:extent cx="657479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Miscellaneous costs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
        <w:spacing w:after="0"/>
        <w:rPr>
          <w:sz w:val="20"/>
          <w:szCs w:val="20"/>
          <w:color w:val="auto"/>
        </w:rPr>
      </w:pPr>
      <w:r>
        <w:rPr>
          <w:rFonts w:ascii="Arial" w:cs="Arial" w:eastAsia="Arial" w:hAnsi="Arial"/>
          <w:sz w:val="14"/>
          <w:szCs w:val="14"/>
          <w:b w:val="1"/>
          <w:bCs w:val="1"/>
          <w:color w:val="auto"/>
        </w:rPr>
        <w:t>Amount</w:t>
      </w:r>
    </w:p>
    <w:p>
      <w:pPr>
        <w:spacing w:after="0" w:line="27" w:lineRule="exact"/>
        <w:rPr>
          <w:sz w:val="20"/>
          <w:szCs w:val="20"/>
          <w:color w:val="auto"/>
        </w:rPr>
      </w:pPr>
    </w:p>
    <w:p>
      <w:pPr>
        <w:ind w:left="494" w:hanging="494"/>
        <w:spacing w:after="0"/>
        <w:tabs>
          <w:tab w:leader="none" w:pos="4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3,835.00</w:t>
      </w:r>
    </w:p>
    <w:p>
      <w:pPr>
        <w:spacing w:after="0" w:line="7" w:lineRule="exact"/>
        <w:rPr>
          <w:rFonts w:ascii="Arial" w:cs="Arial" w:eastAsia="Arial" w:hAnsi="Arial"/>
          <w:sz w:val="17"/>
          <w:szCs w:val="17"/>
          <w:color w:val="auto"/>
        </w:rPr>
      </w:pPr>
    </w:p>
    <w:p>
      <w:pPr>
        <w:ind w:left="294" w:hanging="294"/>
        <w:spacing w:after="0"/>
        <w:tabs>
          <w:tab w:leader="none" w:pos="2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200,000.00</w:t>
      </w:r>
    </w:p>
    <w:p>
      <w:pPr>
        <w:spacing w:after="0" w:line="7" w:lineRule="exact"/>
        <w:rPr>
          <w:rFonts w:ascii="Arial" w:cs="Arial" w:eastAsia="Arial" w:hAnsi="Arial"/>
          <w:sz w:val="17"/>
          <w:szCs w:val="17"/>
          <w:color w:val="auto"/>
        </w:rPr>
      </w:pPr>
    </w:p>
    <w:p>
      <w:pPr>
        <w:ind w:left="394" w:hanging="394"/>
        <w:spacing w:after="0"/>
        <w:tabs>
          <w:tab w:leader="none" w:pos="3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65,000.00</w:t>
      </w:r>
    </w:p>
    <w:p>
      <w:pPr>
        <w:spacing w:after="0" w:line="7" w:lineRule="exact"/>
        <w:rPr>
          <w:rFonts w:ascii="Arial" w:cs="Arial" w:eastAsia="Arial" w:hAnsi="Arial"/>
          <w:sz w:val="17"/>
          <w:szCs w:val="17"/>
          <w:color w:val="auto"/>
        </w:rPr>
      </w:pPr>
    </w:p>
    <w:p>
      <w:pPr>
        <w:ind w:left="494" w:hanging="494"/>
        <w:spacing w:after="0"/>
        <w:tabs>
          <w:tab w:leader="none" w:pos="4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5,000.00</w:t>
      </w:r>
    </w:p>
    <w:p>
      <w:pPr>
        <w:spacing w:after="0" w:line="34" w:lineRule="exact"/>
        <w:rPr>
          <w:rFonts w:ascii="Arial" w:cs="Arial" w:eastAsia="Arial" w:hAnsi="Arial"/>
          <w:sz w:val="17"/>
          <w:szCs w:val="17"/>
          <w:color w:val="auto"/>
        </w:rPr>
      </w:pPr>
    </w:p>
    <w:p>
      <w:pPr>
        <w:ind w:left="294" w:hanging="294"/>
        <w:spacing w:after="0"/>
        <w:tabs>
          <w:tab w:leader="none" w:pos="294" w:val="left"/>
        </w:tabs>
        <w:numPr>
          <w:ilvl w:val="0"/>
          <w:numId w:val="1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273,835.00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543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7543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826" w:space="720"/>
            <w:col w:w="1194"/>
          </w:cols>
          <w:pgMar w:left="320" w:top="459" w:right="839" w:bottom="1440" w:gutter="0" w:footer="0" w:header="0"/>
        </w:sectPr>
      </w:pPr>
    </w:p>
    <w:p>
      <w:pPr>
        <w:spacing w:after="0" w:line="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amounts in the table are estimates except the SEC registration fee. We will pay all of the expenses referred to above.</w:t>
      </w:r>
    </w:p>
    <w:p>
      <w:pPr>
        <w:spacing w:after="0" w:line="1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0740"/>
          </w:cols>
          <w:pgMar w:left="320" w:top="459" w:right="83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consolidated financial statements of Mereo BioPharma Group plc at December 31, 2018 and 2017, and for each of the three years in the period ended December 31, 2018, appearing in this prospectus and registration statement, have been audited by Ernst &amp; Young LLP (UK), independent registered public accounting firm, as set forth in their report thereon appearing elsewhere herein, and are included in reliance upon such report given on the authority of such firm as experts in accounting and auditing.</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financial statements of OncoMed Pharmaceuticals, Inc. at December 31, 2018 and 2017, and for each of the three years in the period ended December 31, 2018,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16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16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Unaudited Interim Financial Results of Mereo BioPharma Group plc</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340" w:type="dxa"/>
            <w:vAlign w:val="bottom"/>
            <w:gridSpan w:val="24"/>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340" w:type="dxa"/>
            <w:vAlign w:val="bottom"/>
            <w:gridSpan w:val="24"/>
          </w:tcPr>
          <w:p>
            <w:pPr>
              <w:spacing w:after="0" w:line="176" w:lineRule="exact"/>
              <w:rPr>
                <w:rFonts w:ascii="Arial" w:cs="Arial" w:eastAsia="Arial" w:hAnsi="Arial"/>
                <w:sz w:val="18"/>
                <w:szCs w:val="18"/>
                <w:color w:val="0000EE"/>
              </w:rPr>
            </w:pPr>
            <w:hyperlink w:anchor="page277">
              <w:r>
                <w:rPr>
                  <w:rFonts w:ascii="Arial" w:cs="Arial" w:eastAsia="Arial" w:hAnsi="Arial"/>
                  <w:sz w:val="18"/>
                  <w:szCs w:val="18"/>
                  <w:color w:val="0000EE"/>
                </w:rPr>
                <w:t>Consolidated Statements of Comprehensive Loss for the years ended June 30, 2018 and 2019 (unaudited)</w:t>
              </w:r>
            </w:hyperlink>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56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278">
              <w:r>
                <w:rPr>
                  <w:rFonts w:ascii="Arial" w:cs="Arial" w:eastAsia="Arial" w:hAnsi="Arial"/>
                  <w:sz w:val="18"/>
                  <w:szCs w:val="18"/>
                  <w:color w:val="0000EE"/>
                  <w:w w:val="99"/>
                </w:rPr>
                <w:t>Consolidated Balance Sheet as at June 30, 2018 and 2019 (unaudited)</w:t>
              </w:r>
            </w:hyperlink>
          </w:p>
        </w:tc>
        <w:tc>
          <w:tcPr>
            <w:tcW w:w="2880" w:type="dxa"/>
            <w:vAlign w:val="bottom"/>
            <w:tcBorders>
              <w:top w:val="single" w:sz="8" w:color="0000EE"/>
            </w:tcBorders>
            <w:gridSpan w:val="12"/>
          </w:tcPr>
          <w:p>
            <w:pPr>
              <w:spacing w:after="0"/>
              <w:rPr>
                <w:sz w:val="15"/>
                <w:szCs w:val="15"/>
                <w:color w:val="auto"/>
              </w:rPr>
            </w:pPr>
          </w:p>
        </w:tc>
        <w:tc>
          <w:tcPr>
            <w:tcW w:w="180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79">
              <w:r>
                <w:rPr>
                  <w:rFonts w:ascii="Arial" w:cs="Arial" w:eastAsia="Arial" w:hAnsi="Arial"/>
                  <w:sz w:val="18"/>
                  <w:szCs w:val="18"/>
                  <w:color w:val="0000EE"/>
                  <w:w w:val="99"/>
                </w:rPr>
                <w:t>Consolidated Statement of Cash Flows for the six months ended June 30, 2019</w:t>
              </w:r>
            </w:hyperlink>
          </w:p>
        </w:tc>
        <w:tc>
          <w:tcPr>
            <w:tcW w:w="402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80">
              <w:r>
                <w:rPr>
                  <w:rFonts w:ascii="Arial" w:cs="Arial" w:eastAsia="Arial" w:hAnsi="Arial"/>
                  <w:sz w:val="18"/>
                  <w:szCs w:val="18"/>
                  <w:color w:val="0000EE"/>
                  <w:w w:val="99"/>
                </w:rPr>
                <w:t>Consolidated Statement of Changes in Equity for the six months ended June 30, 2019</w:t>
              </w:r>
            </w:hyperlink>
          </w:p>
        </w:tc>
        <w:tc>
          <w:tcPr>
            <w:tcW w:w="3500" w:type="dxa"/>
            <w:vAlign w:val="bottom"/>
            <w:gridSpan w:val="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281">
              <w:r>
                <w:rPr>
                  <w:rFonts w:ascii="Arial" w:cs="Arial" w:eastAsia="Arial" w:hAnsi="Arial"/>
                  <w:sz w:val="18"/>
                  <w:szCs w:val="18"/>
                  <w:color w:val="0000EE"/>
                </w:rPr>
                <w:t>Notes to the Interim Financial Results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Audited Financial Statements of Mereo BioPharma Group plc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297">
              <w:r>
                <w:rPr>
                  <w:rFonts w:ascii="Arial" w:cs="Arial" w:eastAsia="Arial" w:hAnsi="Arial"/>
                  <w:sz w:val="18"/>
                  <w:szCs w:val="18"/>
                  <w:color w:val="0000EE"/>
                  <w:w w:val="99"/>
                </w:rPr>
                <w:t>Report of Independent Registered Public Accounting Firm</w:t>
              </w:r>
            </w:hyperlink>
          </w:p>
        </w:tc>
        <w:tc>
          <w:tcPr>
            <w:tcW w:w="5720" w:type="dxa"/>
            <w:vAlign w:val="bottom"/>
            <w:gridSpan w:val="16"/>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298">
              <w:r>
                <w:rPr>
                  <w:rFonts w:ascii="Arial" w:cs="Arial" w:eastAsia="Arial" w:hAnsi="Arial"/>
                  <w:sz w:val="18"/>
                  <w:szCs w:val="18"/>
                  <w:color w:val="0000EE"/>
                </w:rPr>
                <w:t>Consolidated Statements of Comprehensive Loss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83"/>
        </w:trPr>
        <w:tc>
          <w:tcPr>
            <w:tcW w:w="5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299">
              <w:r>
                <w:rPr>
                  <w:rFonts w:ascii="Arial" w:cs="Arial" w:eastAsia="Arial" w:hAnsi="Arial"/>
                  <w:sz w:val="18"/>
                  <w:szCs w:val="18"/>
                  <w:color w:val="0000EE"/>
                  <w:w w:val="99"/>
                </w:rPr>
                <w:t>Consolidated Balance Sheet as at December 31, 2017 and 2018</w:t>
              </w:r>
            </w:hyperlink>
          </w:p>
        </w:tc>
        <w:tc>
          <w:tcPr>
            <w:tcW w:w="3380" w:type="dxa"/>
            <w:vAlign w:val="bottom"/>
            <w:tcBorders>
              <w:top w:val="single" w:sz="8" w:color="0000EE"/>
            </w:tcBorders>
            <w:gridSpan w:val="12"/>
          </w:tcPr>
          <w:p>
            <w:pPr>
              <w:spacing w:after="0"/>
              <w:rPr>
                <w:sz w:val="15"/>
                <w:szCs w:val="15"/>
                <w:color w:val="auto"/>
              </w:rPr>
            </w:pPr>
          </w:p>
        </w:tc>
        <w:tc>
          <w:tcPr>
            <w:tcW w:w="18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00">
              <w:r>
                <w:rPr>
                  <w:rFonts w:ascii="Arial" w:cs="Arial" w:eastAsia="Arial" w:hAnsi="Arial"/>
                  <w:sz w:val="18"/>
                  <w:szCs w:val="18"/>
                  <w:color w:val="0000EE"/>
                </w:rPr>
                <w:t>Consolidated Statement of Cash Flows for the years ended December 31, 2016,</w:t>
              </w:r>
            </w:hyperlink>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300">
              <w:r>
                <w:rPr>
                  <w:rFonts w:ascii="Arial" w:cs="Arial" w:eastAsia="Arial" w:hAnsi="Arial"/>
                  <w:sz w:val="18"/>
                  <w:szCs w:val="18"/>
                  <w:color w:val="0000EE"/>
                  <w:w w:val="98"/>
                </w:rPr>
                <w:t>2017 and 2018</w:t>
              </w:r>
            </w:hyperlink>
          </w:p>
        </w:tc>
        <w:tc>
          <w:tcPr>
            <w:tcW w:w="5000" w:type="dxa"/>
            <w:vAlign w:val="bottom"/>
            <w:tcBorders>
              <w:top w:val="single" w:sz="8" w:color="0000EE"/>
            </w:tcBorders>
            <w:gridSpan w:val="10"/>
          </w:tcPr>
          <w:p>
            <w:pPr>
              <w:spacing w:after="0"/>
              <w:rPr>
                <w:sz w:val="15"/>
                <w:szCs w:val="15"/>
                <w:color w:val="auto"/>
              </w:rPr>
            </w:pPr>
          </w:p>
        </w:tc>
        <w:tc>
          <w:tcPr>
            <w:tcW w:w="396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01">
              <w:r>
                <w:rPr>
                  <w:rFonts w:ascii="Arial" w:cs="Arial" w:eastAsia="Arial" w:hAnsi="Arial"/>
                  <w:sz w:val="18"/>
                  <w:szCs w:val="18"/>
                  <w:color w:val="0000EE"/>
                </w:rPr>
                <w:t>Consolidated Statement of Changes in Equity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303">
              <w:r>
                <w:rPr>
                  <w:rFonts w:ascii="Arial" w:cs="Arial" w:eastAsia="Arial" w:hAnsi="Arial"/>
                  <w:sz w:val="18"/>
                  <w:szCs w:val="18"/>
                  <w:color w:val="0000EE"/>
                  <w:w w:val="99"/>
                </w:rPr>
                <w:t>Notes to the Consolidated Financial Statements</w:t>
              </w:r>
            </w:hyperlink>
          </w:p>
        </w:tc>
        <w:tc>
          <w:tcPr>
            <w:tcW w:w="4400" w:type="dxa"/>
            <w:vAlign w:val="bottom"/>
            <w:tcBorders>
              <w:top w:val="single" w:sz="8" w:color="0000EE"/>
            </w:tcBorders>
            <w:gridSpan w:val="14"/>
          </w:tcPr>
          <w:p>
            <w:pPr>
              <w:spacing w:after="0"/>
              <w:rPr>
                <w:sz w:val="15"/>
                <w:szCs w:val="15"/>
                <w:color w:val="auto"/>
              </w:rPr>
            </w:pPr>
          </w:p>
        </w:tc>
        <w:tc>
          <w:tcPr>
            <w:tcW w:w="214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Audited Financial Statements of OncoMed Pharmaceuticals, Inc.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00" w:type="dxa"/>
            <w:vAlign w:val="bottom"/>
            <w:tcBorders>
              <w:bottom w:val="single" w:sz="8" w:color="0000EE"/>
            </w:tcBorders>
            <w:gridSpan w:val="7"/>
          </w:tcPr>
          <w:p>
            <w:pPr>
              <w:spacing w:after="0" w:line="176" w:lineRule="exact"/>
              <w:rPr>
                <w:rFonts w:ascii="Arial" w:cs="Arial" w:eastAsia="Arial" w:hAnsi="Arial"/>
                <w:sz w:val="18"/>
                <w:szCs w:val="18"/>
                <w:color w:val="0000EE"/>
                <w:w w:val="99"/>
              </w:rPr>
            </w:pPr>
            <w:hyperlink w:anchor="page347">
              <w:r>
                <w:rPr>
                  <w:rFonts w:ascii="Arial" w:cs="Arial" w:eastAsia="Arial" w:hAnsi="Arial"/>
                  <w:sz w:val="18"/>
                  <w:szCs w:val="18"/>
                  <w:color w:val="0000EE"/>
                  <w:w w:val="99"/>
                </w:rPr>
                <w:t>Report of Independent Registered Public Accounting Firm</w:t>
              </w:r>
            </w:hyperlink>
          </w:p>
        </w:tc>
        <w:tc>
          <w:tcPr>
            <w:tcW w:w="5740" w:type="dxa"/>
            <w:vAlign w:val="bottom"/>
            <w:gridSpan w:val="17"/>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48">
              <w:r>
                <w:rPr>
                  <w:rFonts w:ascii="Arial" w:cs="Arial" w:eastAsia="Arial" w:hAnsi="Arial"/>
                  <w:sz w:val="18"/>
                  <w:szCs w:val="18"/>
                  <w:color w:val="0000EE"/>
                </w:rPr>
                <w:t>Balance Sheets as of December 31,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49">
              <w:r>
                <w:rPr>
                  <w:rFonts w:ascii="Arial" w:cs="Arial" w:eastAsia="Arial" w:hAnsi="Arial"/>
                  <w:sz w:val="18"/>
                  <w:szCs w:val="18"/>
                  <w:color w:val="0000EE"/>
                </w:rPr>
                <w:t>Statements of Operations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50">
              <w:r>
                <w:rPr>
                  <w:rFonts w:ascii="Arial" w:cs="Arial" w:eastAsia="Arial" w:hAnsi="Arial"/>
                  <w:sz w:val="18"/>
                  <w:szCs w:val="18"/>
                  <w:color w:val="0000EE"/>
                </w:rPr>
                <w:t>Statements of Comprehensive Loss for the years ended December 31,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w:anchor="page351">
              <w:r>
                <w:rPr>
                  <w:rFonts w:ascii="Arial" w:cs="Arial" w:eastAsia="Arial" w:hAnsi="Arial"/>
                  <w:sz w:val="18"/>
                  <w:szCs w:val="18"/>
                  <w:color w:val="0000EE"/>
                </w:rPr>
                <w:t>Statements of Stockholders’ Equity (Deficit) for the years ended December 31, 2016, 2017 and 2018</w:t>
              </w:r>
            </w:hyperlink>
          </w:p>
        </w:tc>
        <w:tc>
          <w:tcPr>
            <w:tcW w:w="230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52">
              <w:r>
                <w:rPr>
                  <w:rFonts w:ascii="Arial" w:cs="Arial" w:eastAsia="Arial" w:hAnsi="Arial"/>
                  <w:sz w:val="18"/>
                  <w:szCs w:val="18"/>
                  <w:color w:val="0000EE"/>
                </w:rPr>
                <w:t>Statements of Cash Flows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183"/>
        </w:trPr>
        <w:tc>
          <w:tcPr>
            <w:tcW w:w="2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353">
              <w:r>
                <w:rPr>
                  <w:rFonts w:ascii="Arial" w:cs="Arial" w:eastAsia="Arial" w:hAnsi="Arial"/>
                  <w:sz w:val="18"/>
                  <w:szCs w:val="18"/>
                  <w:color w:val="0000EE"/>
                  <w:w w:val="99"/>
                </w:rPr>
                <w:t>Notes to the Financial Statements</w:t>
              </w:r>
            </w:hyperlink>
          </w:p>
        </w:tc>
        <w:tc>
          <w:tcPr>
            <w:tcW w:w="3920" w:type="dxa"/>
            <w:vAlign w:val="bottom"/>
            <w:tcBorders>
              <w:top w:val="single" w:sz="8" w:color="0000EE"/>
            </w:tcBorders>
            <w:gridSpan w:val="12"/>
          </w:tcPr>
          <w:p>
            <w:pPr>
              <w:spacing w:after="0"/>
              <w:rPr>
                <w:sz w:val="15"/>
                <w:szCs w:val="15"/>
                <w:color w:val="auto"/>
              </w:rPr>
            </w:pPr>
          </w:p>
        </w:tc>
        <w:tc>
          <w:tcPr>
            <w:tcW w:w="372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Unaudited Pro Forma Condensed Combined Financial Information of Mereo BioPharma Group plc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700" w:type="dxa"/>
            <w:vAlign w:val="bottom"/>
            <w:tcBorders>
              <w:bottom w:val="single" w:sz="8" w:color="0000EE"/>
            </w:tcBorders>
            <w:gridSpan w:val="23"/>
          </w:tcPr>
          <w:p>
            <w:pPr>
              <w:spacing w:after="0" w:line="176" w:lineRule="exact"/>
              <w:rPr>
                <w:rFonts w:ascii="Arial" w:cs="Arial" w:eastAsia="Arial" w:hAnsi="Arial"/>
                <w:sz w:val="18"/>
                <w:szCs w:val="18"/>
                <w:color w:val="0000EE"/>
                <w:w w:val="99"/>
              </w:rPr>
            </w:pPr>
            <w:hyperlink w:anchor="page382">
              <w:r>
                <w:rPr>
                  <w:rFonts w:ascii="Arial" w:cs="Arial" w:eastAsia="Arial" w:hAnsi="Arial"/>
                  <w:sz w:val="18"/>
                  <w:szCs w:val="18"/>
                  <w:color w:val="0000EE"/>
                  <w:w w:val="99"/>
                </w:rPr>
                <w:t>Unaudited Pro Forma Condensed Combined Statement of Operations for the year ended December 31, 2018</w:t>
              </w:r>
            </w:hyperlink>
          </w:p>
        </w:tc>
        <w:tc>
          <w:tcPr>
            <w:tcW w:w="16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F-107</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83">
              <w:r>
                <w:rPr>
                  <w:rFonts w:ascii="Arial" w:cs="Arial" w:eastAsia="Arial" w:hAnsi="Arial"/>
                  <w:sz w:val="18"/>
                  <w:szCs w:val="18"/>
                  <w:color w:val="0000EE"/>
                </w:rPr>
                <w:t>Unaudited Pro Forma Condensed Combined Statement of Operations for the period ended June 30, 2019</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F-108</w:t>
            </w:r>
          </w:p>
        </w:tc>
        <w:tc>
          <w:tcPr>
            <w:tcW w:w="0" w:type="dxa"/>
            <w:vAlign w:val="bottom"/>
          </w:tcPr>
          <w:p>
            <w:pPr>
              <w:spacing w:after="0"/>
              <w:rPr>
                <w:sz w:val="1"/>
                <w:szCs w:val="1"/>
                <w:color w:val="auto"/>
              </w:rPr>
            </w:pPr>
          </w:p>
        </w:tc>
      </w:tr>
      <w:tr>
        <w:trPr>
          <w:trHeight w:val="183"/>
        </w:trPr>
        <w:tc>
          <w:tcPr>
            <w:tcW w:w="84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84">
              <w:r>
                <w:rPr>
                  <w:rFonts w:ascii="Arial" w:cs="Arial" w:eastAsia="Arial" w:hAnsi="Arial"/>
                  <w:sz w:val="18"/>
                  <w:szCs w:val="18"/>
                  <w:color w:val="0000EE"/>
                </w:rPr>
                <w:t>Note to the Unaudited Pro Forma Condensed Combined Statement of Operations</w:t>
              </w:r>
            </w:hyperlink>
          </w:p>
        </w:tc>
        <w:tc>
          <w:tcPr>
            <w:tcW w:w="194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F-109</w:t>
            </w:r>
          </w:p>
        </w:tc>
        <w:tc>
          <w:tcPr>
            <w:tcW w:w="0" w:type="dxa"/>
            <w:vAlign w:val="bottom"/>
          </w:tcPr>
          <w:p>
            <w:pPr>
              <w:spacing w:after="0"/>
              <w:rPr>
                <w:sz w:val="1"/>
                <w:szCs w:val="1"/>
                <w:color w:val="auto"/>
              </w:rPr>
            </w:pPr>
          </w:p>
        </w:tc>
      </w:tr>
      <w:tr>
        <w:trPr>
          <w:trHeight w:val="371"/>
        </w:trPr>
        <w:tc>
          <w:tcPr>
            <w:tcW w:w="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gridSpan w:val="4"/>
          </w:tcPr>
          <w:p>
            <w:pPr>
              <w:ind w:left="220"/>
              <w:spacing w:after="0"/>
              <w:rPr>
                <w:sz w:val="20"/>
                <w:szCs w:val="20"/>
                <w:color w:val="auto"/>
              </w:rPr>
            </w:pPr>
            <w:r>
              <w:rPr>
                <w:rFonts w:ascii="Arial" w:cs="Arial" w:eastAsia="Arial" w:hAnsi="Arial"/>
                <w:sz w:val="18"/>
                <w:szCs w:val="18"/>
                <w:color w:val="auto"/>
              </w:rPr>
              <w:t>F-1</w:t>
            </w:r>
          </w:p>
        </w:tc>
        <w:tc>
          <w:tcPr>
            <w:tcW w:w="386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15"/>
                <w:szCs w:val="15"/>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Notes</w:t>
            </w:r>
          </w:p>
        </w:tc>
        <w:tc>
          <w:tcPr>
            <w:tcW w:w="2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8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top w:val="single" w:sz="8" w:color="auto"/>
              <w:bottom w:val="single" w:sz="8" w:color="auto"/>
            </w:tcBorders>
            <w:gridSpan w:val="3"/>
          </w:tcPr>
          <w:p>
            <w:pPr>
              <w:jc w:val="right"/>
              <w:ind w:right="813"/>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Borders>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(in £)</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(11,918,484)</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(10,864,310)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(22,703,553)</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(6,461,759)</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(7,101,760)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(12,504,887)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(18,380,243)</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(17,966,070)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(35,208,440)</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Net income recognised on acquisition of subsidiary</w:t>
            </w:r>
          </w:p>
        </w:tc>
        <w:tc>
          <w:tcPr>
            <w:tcW w:w="440" w:type="dxa"/>
            <w:vAlign w:val="bottom"/>
          </w:tcPr>
          <w:p>
            <w:pPr>
              <w:jc w:val="right"/>
              <w:ind w:right="99"/>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1,035,379</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137,014</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151,467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306,831</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(1,454,222)</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(1,587,150)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(2,360,648)</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(20,127)</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49,305</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(18,682,199)</w:t>
            </w:r>
          </w:p>
        </w:tc>
        <w:tc>
          <w:tcPr>
            <w:tcW w:w="340" w:type="dxa"/>
            <w:vAlign w:val="bottom"/>
            <w:vMerge w:val="continue"/>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(19,352,448)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(37,306,120)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2,458,567</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2,364,904</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5,277,380</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(16,223,632)</w:t>
            </w:r>
          </w:p>
        </w:tc>
        <w:tc>
          <w:tcPr>
            <w:tcW w:w="340" w:type="dxa"/>
            <w:vAlign w:val="bottom"/>
            <w:vMerge w:val="continue"/>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(16,987,544)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(32,028,740)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and diluted loss per share for the period</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(0.22)</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(0.24)</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Other comprehensive income/(loss)</w:t>
      </w:r>
    </w:p>
    <w:p>
      <w:pPr>
        <w:spacing w:after="0" w:line="8" w:lineRule="exact"/>
        <w:rPr>
          <w:sz w:val="20"/>
          <w:szCs w:val="20"/>
          <w:color w:val="auto"/>
        </w:rPr>
      </w:pPr>
    </w:p>
    <w:p>
      <w:pPr>
        <w:ind w:left="120" w:right="840"/>
        <w:spacing w:after="0" w:line="273" w:lineRule="auto"/>
        <w:rPr>
          <w:sz w:val="20"/>
          <w:szCs w:val="20"/>
          <w:color w:val="auto"/>
        </w:rPr>
      </w:pPr>
      <w:r>
        <w:rPr>
          <w:rFonts w:ascii="Arial" w:cs="Arial" w:eastAsia="Arial" w:hAnsi="Arial"/>
          <w:sz w:val="17"/>
          <w:szCs w:val="17"/>
          <w:i w:val="1"/>
          <w:iCs w:val="1"/>
          <w:color w:val="auto"/>
        </w:rPr>
        <w:t xml:space="preserve">Items that may be subsequently reclassified to the income statement </w:t>
      </w:r>
      <w:r>
        <w:rPr>
          <w:rFonts w:ascii="Arial" w:cs="Arial" w:eastAsia="Arial" w:hAnsi="Arial"/>
          <w:sz w:val="17"/>
          <w:szCs w:val="17"/>
          <w:color w:val="auto"/>
        </w:rPr>
        <w:t>Fair value changes on investments held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-281305</wp:posOffset>
            </wp:positionV>
            <wp:extent cx="699516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Currency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right="320" w:hanging="179"/>
        <w:spacing w:after="0" w:line="271" w:lineRule="auto"/>
        <w:rPr>
          <w:sz w:val="20"/>
          <w:szCs w:val="20"/>
          <w:color w:val="auto"/>
        </w:rPr>
      </w:pPr>
      <w:r>
        <w:rPr>
          <w:rFonts w:ascii="Arial" w:cs="Arial" w:eastAsia="Arial" w:hAnsi="Arial"/>
          <w:sz w:val="18"/>
          <w:szCs w:val="18"/>
          <w:b w:val="1"/>
          <w:bCs w:val="1"/>
          <w:color w:val="auto"/>
        </w:rPr>
        <w:t>Total comprehensive loss for the period, attributable to equity holders of the parent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420"/>
        <w:spacing w:after="0"/>
        <w:tabs>
          <w:tab w:leader="none" w:pos="2100" w:val="left"/>
          <w:tab w:leader="none" w:pos="3560" w:val="left"/>
        </w:tabs>
        <w:rPr>
          <w:sz w:val="20"/>
          <w:szCs w:val="20"/>
          <w:color w:val="auto"/>
        </w:rPr>
      </w:pPr>
      <w:r>
        <w:rPr>
          <w:rFonts w:ascii="Arial" w:cs="Arial" w:eastAsia="Arial" w:hAnsi="Arial"/>
          <w:sz w:val="18"/>
          <w:szCs w:val="18"/>
          <w:b w:val="1"/>
          <w:bCs w:val="1"/>
          <w:color w:val="auto"/>
        </w:rPr>
        <w:t>88,033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320"/>
        <w:spacing w:after="0"/>
        <w:tabs>
          <w:tab w:leader="none" w:pos="2100" w:val="left"/>
          <w:tab w:leader="none" w:pos="3560" w:val="left"/>
        </w:tabs>
        <w:rPr>
          <w:sz w:val="20"/>
          <w:szCs w:val="20"/>
          <w:color w:val="auto"/>
        </w:rPr>
      </w:pPr>
      <w:r>
        <w:rPr>
          <w:rFonts w:ascii="Arial" w:cs="Arial" w:eastAsia="Arial" w:hAnsi="Arial"/>
          <w:sz w:val="18"/>
          <w:szCs w:val="18"/>
          <w:b w:val="1"/>
          <w:bCs w:val="1"/>
          <w:color w:val="auto"/>
        </w:rPr>
        <w:t>710,830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 w:leader="none" w:pos="2880" w:val="left"/>
        </w:tabs>
        <w:rPr>
          <w:sz w:val="20"/>
          <w:szCs w:val="20"/>
          <w:color w:val="auto"/>
        </w:rPr>
      </w:pPr>
      <w:r>
        <w:rPr>
          <w:rFonts w:ascii="Arial" w:cs="Arial" w:eastAsia="Arial" w:hAnsi="Arial"/>
          <w:sz w:val="18"/>
          <w:szCs w:val="18"/>
          <w:b w:val="1"/>
          <w:bCs w:val="1"/>
          <w:u w:val="single" w:color="auto"/>
          <w:color w:val="auto"/>
        </w:rPr>
        <w:t>(15,424,769</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u w:val="single" w:color="auto"/>
          <w:color w:val="auto"/>
        </w:rPr>
        <w:t>(16,987,544</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(32,028,740)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0315" cy="26035"/>
                    </a:xfrm>
                    <a:prstGeom prst="rect">
                      <a:avLst/>
                    </a:prstGeom>
                    <a:noFill/>
                  </pic:spPr>
                </pic:pic>
              </a:graphicData>
            </a:graphic>
          </wp:anchor>
        </w:drawing>
      </w:r>
    </w:p>
    <w:p>
      <w:pPr>
        <w:sectPr>
          <w:pgSz w:w="11900" w:h="16838" w:orient="portrait"/>
          <w:cols w:equalWidth="0" w:num="2">
            <w:col w:w="6420" w:space="720"/>
            <w:col w:w="4000"/>
          </w:cols>
          <w:pgMar w:left="320" w:top="459" w:right="439" w:bottom="1440" w:gutter="0" w:footer="0" w:header="0"/>
          <w:type w:val="continuous"/>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top w:val="single" w:sz="8" w:color="auto"/>
              <w:bottom w:val="single" w:sz="8" w:color="auto"/>
            </w:tcBorders>
            <w:gridSpan w:val="3"/>
          </w:tcPr>
          <w:p>
            <w:pPr>
              <w:jc w:val="center"/>
              <w:ind w:left="912"/>
              <w:spacing w:after="0" w:line="155" w:lineRule="exact"/>
              <w:rPr>
                <w:sz w:val="20"/>
                <w:szCs w:val="20"/>
                <w:color w:val="auto"/>
              </w:rPr>
            </w:pPr>
            <w:r>
              <w:rPr>
                <w:rFonts w:ascii="Arial" w:cs="Arial" w:eastAsia="Arial" w:hAnsi="Arial"/>
                <w:sz w:val="14"/>
                <w:szCs w:val="14"/>
                <w:b w:val="1"/>
                <w:bCs w:val="1"/>
                <w:color w:val="auto"/>
              </w:rPr>
              <w:t>Unaudited</w:t>
            </w:r>
          </w:p>
        </w:tc>
        <w:tc>
          <w:tcPr>
            <w:tcW w:w="100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Audited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(in £)</w:t>
            </w: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13,100,261</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151,996</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45,156,708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32,690,229</w:t>
            </w:r>
          </w:p>
        </w:tc>
        <w:tc>
          <w:tcPr>
            <w:tcW w:w="34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32,632,229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58,256,969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32,842,225</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32,781,164</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3,068,326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1,225,744</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1,066,932</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7,744,634</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10,516,989</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5,277,380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1,953,886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584,821</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608,893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7,828,066</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2,500,000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28,289,504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34,412,363</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25,041,945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48,884,416</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49,239,917</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34,495,150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107,141,385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82,082,142</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67,276,314</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293,879</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213,435</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213,721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121,684,154</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118,369,523</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118,492,073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58,003,847</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17,746,031</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18,592,618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 Trust shares</w:t>
            </w:r>
          </w:p>
        </w:tc>
        <w:tc>
          <w:tcPr>
            <w:tcW w:w="2160" w:type="dxa"/>
            <w:vAlign w:val="bottom"/>
            <w:gridSpan w:val="2"/>
            <w:shd w:val="clear" w:color="auto" w:fill="CCEEFF"/>
          </w:tcPr>
          <w:p>
            <w:pPr>
              <w:jc w:val="center"/>
              <w:ind w:left="1670"/>
              <w:spacing w:after="0" w:line="202" w:lineRule="exact"/>
              <w:rPr>
                <w:sz w:val="20"/>
                <w:szCs w:val="20"/>
                <w:color w:val="auto"/>
              </w:rPr>
            </w:pPr>
            <w:r>
              <w:rPr>
                <w:rFonts w:ascii="Arial" w:cs="Arial" w:eastAsia="Arial" w:hAnsi="Arial"/>
                <w:sz w:val="18"/>
                <w:szCs w:val="18"/>
                <w:color w:val="auto"/>
                <w:w w:val="99"/>
              </w:rPr>
              <w:t>11</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(1,304,842)</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7,000,000</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7,000,000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loss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(127,356,393)</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(96,179,599)</w:t>
            </w: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(111,220,794)</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Translation reserve</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710,830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59,031,475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47,149,390</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32,770,780</w:t>
            </w: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1,926,916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3,993,058</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2,641,353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11,720,999</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15,260,753</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14,646.753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34,289</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34,289</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2160" w:type="dxa"/>
            <w:vAlign w:val="bottom"/>
            <w:gridSpan w:val="2"/>
          </w:tcPr>
          <w:p>
            <w:pPr>
              <w:jc w:val="center"/>
              <w:ind w:left="1670"/>
              <w:spacing w:after="0" w:line="202" w:lineRule="exact"/>
              <w:rPr>
                <w:sz w:val="20"/>
                <w:szCs w:val="20"/>
                <w:color w:val="auto"/>
              </w:rPr>
            </w:pPr>
            <w:r>
              <w:rPr>
                <w:rFonts w:ascii="Arial" w:cs="Arial" w:eastAsia="Arial" w:hAnsi="Arial"/>
                <w:sz w:val="18"/>
                <w:szCs w:val="18"/>
                <w:color w:val="auto"/>
                <w:w w:val="99"/>
              </w:rPr>
              <w:t>10</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225,473</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1,534,964</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1,005,613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13,138,521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27,046,198</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20,788,775</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18,328,008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6,758,235</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4,983,626</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4,570,307</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5,960,684</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3,222,982</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4,437,321</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333,556</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293,000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8,011,237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5,644,369</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6,837,884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21,063,712</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14,143,977</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16,177,526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48,109,910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34,932,752</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34,505,534</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107,141,385</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82,082,142</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67,276,314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80" w:type="dxa"/>
            <w:vAlign w:val="bottom"/>
            <w:gridSpan w:val="3"/>
            <w:vMerge w:val="restart"/>
          </w:tcPr>
          <w:p>
            <w:pPr>
              <w:ind w:left="1160"/>
              <w:spacing w:after="0"/>
              <w:rPr>
                <w:sz w:val="20"/>
                <w:szCs w:val="20"/>
                <w:color w:val="auto"/>
              </w:rPr>
            </w:pPr>
            <w:r>
              <w:rPr>
                <w:rFonts w:ascii="Arial" w:cs="Arial" w:eastAsia="Arial" w:hAnsi="Arial"/>
                <w:sz w:val="18"/>
                <w:szCs w:val="18"/>
                <w:color w:val="auto"/>
              </w:rPr>
              <w:t>F-3</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238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Six months ended</w:t>
            </w:r>
          </w:p>
        </w:tc>
        <w:tc>
          <w:tcPr>
            <w:tcW w:w="18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June 30, 2018</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Unaudited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Loss before tax</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(18,682,199)</w:t>
            </w: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(19,352,448)</w:t>
            </w:r>
          </w:p>
        </w:tc>
        <w:tc>
          <w:tcPr>
            <w:tcW w:w="14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(37,306,120)</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Adjustments to reconcile loss before tax to net cash flows from</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operating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line="159" w:lineRule="exact"/>
              <w:rPr>
                <w:sz w:val="20"/>
                <w:szCs w:val="20"/>
                <w:color w:val="auto"/>
              </w:rPr>
            </w:pPr>
            <w:r>
              <w:rPr>
                <w:rFonts w:ascii="Arial" w:cs="Arial" w:eastAsia="Arial" w:hAnsi="Arial"/>
                <w:sz w:val="15"/>
                <w:szCs w:val="15"/>
                <w:color w:val="auto"/>
              </w:rPr>
              <w:t>– Depreciation and impairment of property, plant and</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724,221</w:t>
            </w: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tcPr>
          <w:p>
            <w:pPr>
              <w:ind w:left="140"/>
              <w:spacing w:after="0" w:line="166" w:lineRule="exact"/>
              <w:rPr>
                <w:sz w:val="20"/>
                <w:szCs w:val="20"/>
                <w:color w:val="auto"/>
              </w:rPr>
            </w:pPr>
            <w:r>
              <w:rPr>
                <w:rFonts w:ascii="Arial" w:cs="Arial" w:eastAsia="Arial" w:hAnsi="Arial"/>
                <w:sz w:val="15"/>
                <w:szCs w:val="15"/>
                <w:color w:val="auto"/>
              </w:rPr>
              <w:t>equipment</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6" w:lineRule="exact"/>
              <w:rPr>
                <w:sz w:val="20"/>
                <w:szCs w:val="20"/>
                <w:color w:val="auto"/>
              </w:rPr>
            </w:pPr>
            <w:r>
              <w:rPr>
                <w:rFonts w:ascii="Arial" w:cs="Arial" w:eastAsia="Arial" w:hAnsi="Arial"/>
                <w:sz w:val="15"/>
                <w:szCs w:val="15"/>
                <w:color w:val="auto"/>
              </w:rPr>
              <w:t>20,196</w:t>
            </w:r>
          </w:p>
        </w:tc>
        <w:tc>
          <w:tcPr>
            <w:tcW w:w="140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37,796</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Share-based payment expense</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b w:val="1"/>
                <w:bCs w:val="1"/>
                <w:color w:val="auto"/>
              </w:rPr>
              <w:t>492,801</w:t>
            </w: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1,386,862</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2,189,293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Net foreign exchange (gain)/loss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20,127</w:t>
            </w:r>
          </w:p>
        </w:tc>
        <w:tc>
          <w:tcPr>
            <w:tcW w:w="640" w:type="dxa"/>
            <w:vAlign w:val="bottom"/>
          </w:tcPr>
          <w:p>
            <w:pPr>
              <w:spacing w:after="0"/>
              <w:rPr>
                <w:sz w:val="14"/>
                <w:szCs w:val="14"/>
                <w:color w:val="auto"/>
              </w:rPr>
            </w:pP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(49,305)</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 Provision for social security contributions on employee share</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90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5"/>
                <w:szCs w:val="15"/>
                <w:b w:val="1"/>
                <w:bCs w:val="1"/>
                <w:color w:val="auto"/>
              </w:rPr>
              <w:t>(722,895)</w:t>
            </w: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options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vMerge w:val="continue"/>
            <w:shd w:val="clear" w:color="auto" w:fill="CCEEFF"/>
          </w:tcPr>
          <w:p>
            <w:pPr>
              <w:spacing w:after="0"/>
              <w:rPr>
                <w:sz w:val="14"/>
                <w:szCs w:val="14"/>
                <w:color w:val="auto"/>
              </w:rPr>
            </w:pPr>
          </w:p>
        </w:tc>
        <w:tc>
          <w:tcPr>
            <w:tcW w:w="1880" w:type="dxa"/>
            <w:vAlign w:val="bottom"/>
            <w:gridSpan w:val="2"/>
            <w:shd w:val="clear" w:color="auto" w:fill="CCEEFF"/>
          </w:tcPr>
          <w:p>
            <w:pPr>
              <w:jc w:val="right"/>
              <w:ind w:right="640"/>
              <w:spacing w:after="0" w:line="166" w:lineRule="exact"/>
              <w:rPr>
                <w:sz w:val="20"/>
                <w:szCs w:val="20"/>
                <w:color w:val="auto"/>
              </w:rPr>
            </w:pPr>
            <w:r>
              <w:rPr>
                <w:rFonts w:ascii="Arial" w:cs="Arial" w:eastAsia="Arial" w:hAnsi="Arial"/>
                <w:sz w:val="15"/>
                <w:szCs w:val="15"/>
                <w:color w:val="auto"/>
              </w:rPr>
              <w:t>29,672</w:t>
            </w:r>
          </w:p>
        </w:tc>
        <w:tc>
          <w:tcPr>
            <w:tcW w:w="140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(1,446,019)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Provision for deferred cash consideration</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9</w:t>
            </w: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179,000</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222,000</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443,000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Interest earned</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(137,014)</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(151,467)</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(306,831)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Finance Charges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1,275,222</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1,005,253</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1,917,649</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Modification loss on bank loan</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730,037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Gain on bargain purchase</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w:t>
            </w: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(3,680,053)</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Working capital adjustments: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(Increase) / decrease in trade and other receivables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(1,483,344)</w:t>
            </w: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720,819</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804,306</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Increase / (decrease) in trade and other payables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(5,619,217)</w:t>
            </w: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1,137,082</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1,603,828</w:t>
            </w:r>
          </w:p>
        </w:tc>
        <w:tc>
          <w:tcPr>
            <w:tcW w:w="0" w:type="dxa"/>
            <w:vAlign w:val="bottom"/>
          </w:tcPr>
          <w:p>
            <w:pPr>
              <w:spacing w:after="0"/>
              <w:rPr>
                <w:sz w:val="1"/>
                <w:szCs w:val="1"/>
                <w:color w:val="auto"/>
              </w:rPr>
            </w:pPr>
          </w:p>
        </w:tc>
      </w:tr>
      <w:tr>
        <w:trPr>
          <w:trHeight w:val="169"/>
        </w:trPr>
        <w:tc>
          <w:tcPr>
            <w:tcW w:w="4820" w:type="dxa"/>
            <w:vAlign w:val="bottom"/>
          </w:tcPr>
          <w:p>
            <w:pPr>
              <w:spacing w:after="0" w:line="162" w:lineRule="exact"/>
              <w:rPr>
                <w:sz w:val="20"/>
                <w:szCs w:val="20"/>
                <w:color w:val="auto"/>
              </w:rPr>
            </w:pPr>
            <w:r>
              <w:rPr>
                <w:rFonts w:ascii="Arial" w:cs="Arial" w:eastAsia="Arial" w:hAnsi="Arial"/>
                <w:sz w:val="15"/>
                <w:szCs w:val="15"/>
                <w:color w:val="auto"/>
              </w:rPr>
              <w:t>– Tax received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tcPr>
          <w:p>
            <w:pPr>
              <w:spacing w:after="0"/>
              <w:rPr>
                <w:sz w:val="14"/>
                <w:szCs w:val="14"/>
                <w:color w:val="auto"/>
              </w:rPr>
            </w:pPr>
          </w:p>
        </w:tc>
        <w:tc>
          <w:tcPr>
            <w:tcW w:w="124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8,152,085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flows from operating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(27,633,350)</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(15,031,336)</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(23,137,113)</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plant and equipment</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(19,917)</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(35,536)</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Purchase of license</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Disposal of property, plant and equipment</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1,084</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2,166</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sale of short-term investments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12,463,487</w:t>
            </w:r>
          </w:p>
        </w:tc>
        <w:tc>
          <w:tcPr>
            <w:tcW w:w="640" w:type="dxa"/>
            <w:vAlign w:val="bottom"/>
          </w:tcPr>
          <w:p>
            <w:pPr>
              <w:spacing w:after="0"/>
              <w:rPr>
                <w:sz w:val="14"/>
                <w:szCs w:val="14"/>
                <w:color w:val="auto"/>
              </w:rPr>
            </w:pP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Conversion of short-term investments into cash and cash</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11,428,963</w:t>
            </w:r>
          </w:p>
        </w:tc>
        <w:tc>
          <w:tcPr>
            <w:tcW w:w="6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740"/>
              <w:spacing w:after="0" w:line="166"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Acquisition of subsidiary</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w:t>
            </w: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10,074,297</w:t>
            </w:r>
          </w:p>
        </w:tc>
        <w:tc>
          <w:tcPr>
            <w:tcW w:w="640" w:type="dxa"/>
            <w:vAlign w:val="bottom"/>
          </w:tcPr>
          <w:p>
            <w:pPr>
              <w:spacing w:after="0"/>
              <w:rPr>
                <w:sz w:val="14"/>
                <w:szCs w:val="14"/>
                <w:color w:val="auto"/>
              </w:rPr>
            </w:pP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earned</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42,633</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125,838</w:t>
            </w:r>
          </w:p>
        </w:tc>
        <w:tc>
          <w:tcPr>
            <w:tcW w:w="64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284,928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flows received / (used) in investing activities</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34,009,380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80" w:type="dxa"/>
            <w:vAlign w:val="bottom"/>
            <w:gridSpan w:val="2"/>
          </w:tcPr>
          <w:p>
            <w:pPr>
              <w:jc w:val="right"/>
              <w:ind w:right="640"/>
              <w:spacing w:after="0" w:line="169" w:lineRule="exact"/>
              <w:rPr>
                <w:sz w:val="20"/>
                <w:szCs w:val="20"/>
                <w:color w:val="auto"/>
              </w:rPr>
            </w:pPr>
            <w:r>
              <w:rPr>
                <w:rFonts w:ascii="Arial" w:cs="Arial" w:eastAsia="Arial" w:hAnsi="Arial"/>
                <w:sz w:val="15"/>
                <w:szCs w:val="15"/>
                <w:color w:val="auto"/>
              </w:rPr>
              <w:t>107,005</w:t>
            </w:r>
          </w:p>
        </w:tc>
        <w:tc>
          <w:tcPr>
            <w:tcW w:w="14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251,558</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issue of ordinary shares</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8</w:t>
            </w: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150,228</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273,064</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Transaction costs on issue of shares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(760,692)</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(7,511)</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(7,511)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issue of bank loan</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455,000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Transaction costs on bank loan</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(920,859)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TAP agreement</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78,445</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treasury shares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(998,004)</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(306,838)</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Interest paid on bank loan</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(864,509)</w:t>
            </w: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(900,000)</w:t>
            </w:r>
          </w:p>
        </w:tc>
        <w:tc>
          <w:tcPr>
            <w:tcW w:w="14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(1,644,610)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lease liabilities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(776,000)</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Net cash flows from financing activities</w:t>
            </w: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(3,399,205)</w:t>
            </w:r>
          </w:p>
        </w:tc>
        <w:tc>
          <w:tcPr>
            <w:tcW w:w="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8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(757,283)</w:t>
            </w:r>
          </w:p>
        </w:tc>
        <w:tc>
          <w:tcPr>
            <w:tcW w:w="14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(2,073,309)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 (decrease) in cash and cash 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2,976,825</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(15,681,614)</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(24,958,864)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the beginning of the period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25,041,945</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50,044,672</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50,044,672</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Effect of exchange rate changes on cash and cash 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270,734</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49,305</w:t>
            </w:r>
          </w:p>
        </w:tc>
        <w:tc>
          <w:tcPr>
            <w:tcW w:w="6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 at the end of the period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28,289,504</w:t>
            </w:r>
          </w:p>
        </w:tc>
        <w:tc>
          <w:tcPr>
            <w:tcW w:w="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34,412,363</w:t>
            </w:r>
          </w:p>
        </w:tc>
        <w:tc>
          <w:tcPr>
            <w:tcW w:w="64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25,041,945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Issued</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Share</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capital</w:t>
            </w:r>
          </w:p>
        </w:tc>
        <w:tc>
          <w:tcPr>
            <w:tcW w:w="94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Other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capital</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premium</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reserves</w:t>
            </w:r>
          </w:p>
        </w:tc>
        <w:tc>
          <w:tcPr>
            <w:tcW w:w="9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reserves</w:t>
            </w:r>
          </w:p>
        </w:tc>
        <w:tc>
          <w:tcPr>
            <w:tcW w:w="10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Own</w:t>
            </w: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losses</w:t>
            </w: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Translation</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00" w:type="dxa"/>
            <w:vAlign w:val="bottom"/>
          </w:tcPr>
          <w:p>
            <w:pPr>
              <w:ind w:left="3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reserve</w:t>
            </w:r>
          </w:p>
        </w:tc>
        <w:tc>
          <w:tcPr>
            <w:tcW w:w="980" w:type="dxa"/>
            <w:vAlign w:val="bottom"/>
          </w:tcPr>
          <w:p>
            <w:pPr>
              <w:jc w:val="right"/>
              <w:ind w:right="38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At January 1, 2018—Audited</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213,285</w:t>
            </w: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118,226,956</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16,359,169</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b w:val="1"/>
                <w:bCs w:val="1"/>
                <w:color w:val="auto"/>
                <w:w w:val="99"/>
              </w:rPr>
              <w:t>7,000,000</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62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(79,315,920)</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62,483,490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Loss for the period</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(16,987,545)</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(16,987,545)</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IFRS 9 restatement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123,866</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123,866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1,136,916</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1,136,916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159,669</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159,669</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Share-based payments—deferred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90,277</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90,277</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June 1, 2018</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150</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150,078</w:t>
            </w:r>
          </w:p>
        </w:tc>
        <w:tc>
          <w:tcPr>
            <w:tcW w:w="11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150,227</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Transaction costs on issuance of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capital (Note 8)</w:t>
            </w:r>
          </w:p>
        </w:tc>
        <w:tc>
          <w:tcPr>
            <w:tcW w:w="660" w:type="dxa"/>
            <w:vAlign w:val="bottom"/>
          </w:tcPr>
          <w:p>
            <w:pPr>
              <w:ind w:left="4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(7,511)</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June 30, 2018—Unaudited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213,435</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118,369,523</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17,746,031</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(96,179,599)</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47,149,390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Loss for the period</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(15,041,195)</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(15,041,195)</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733,039</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733,039</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159,669</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159,669</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payments—deferred</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(90,277)</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(90,277)</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Issue of share capital on August 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2018 on exercise of options (Note 8)</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30</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12,870</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October 22,</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2018 on exercise of options (Note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256</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109,680</w:t>
            </w:r>
          </w:p>
        </w:tc>
        <w:tc>
          <w:tcPr>
            <w:tcW w:w="11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109,936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Issue of warrants for TAP agreement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44,156</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44,156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(306,838)</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(306,838)</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 2018—Audited</w:t>
            </w: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213,721</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118,492,073</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18,592,618</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(306,838)</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(111,220,794)</w:t>
            </w:r>
          </w:p>
        </w:tc>
        <w:tc>
          <w:tcPr>
            <w:tcW w:w="94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32,770,780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(16,223,632)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(16,223,632)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88,033</w:t>
            </w: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710,830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798,863</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354,128</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354,128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138,673</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138,673</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April 23, 2019</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 acquisition of OncoMed</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Pharmaceuticals Inc (Note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74,350</w:t>
            </w: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40,818,128</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40,892,478</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Issue of share capital on conversion of</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loan note</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3,213</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2,363,790</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2,367,003</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for Novartis</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2,595</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1,588,983</w:t>
            </w:r>
          </w:p>
        </w:tc>
        <w:tc>
          <w:tcPr>
            <w:tcW w:w="11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(1,591,578)</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Transaction costs on issuance of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capital (Note 8)</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(760,692)</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(760,692)</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Equity element of convertible loan</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(308,122)</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(308,122)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(998,004)</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(998,004)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June 30, 2019—Unaudited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293,879</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121,684,154</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58,003,847</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(1,304,842)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(127,356,393)</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710,830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59,031,475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interim report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financial statements are the unaudited interim consolidated financial statements of Mereo BioPharma Group plc and its</w:t>
      </w:r>
    </w:p>
    <w:p>
      <w:pPr>
        <w:ind w:left="120"/>
        <w:spacing w:after="0" w:line="234" w:lineRule="auto"/>
        <w:rPr>
          <w:sz w:val="20"/>
          <w:szCs w:val="20"/>
          <w:color w:val="auto"/>
        </w:rPr>
      </w:pPr>
      <w:r>
        <w:rPr>
          <w:rFonts w:ascii="Arial" w:cs="Arial" w:eastAsia="Arial" w:hAnsi="Arial"/>
          <w:sz w:val="18"/>
          <w:szCs w:val="18"/>
          <w:color w:val="auto"/>
        </w:rPr>
        <w:t>subsidiaries (collectively, the “Group”) for the six months ended June 30, 2019 were authorised for issue by the Directors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13, 2019. Mereo BioPharma Group plc (the “Company” or the “parent”) is a public limited company incorporated and domiciled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Kingdom and whose shares are publicly traded on the AIM Market of the London Stock Exchange with a secondary listing of</w:t>
      </w:r>
    </w:p>
    <w:p>
      <w:pPr>
        <w:ind w:left="120"/>
        <w:spacing w:after="0"/>
        <w:rPr>
          <w:sz w:val="20"/>
          <w:szCs w:val="20"/>
          <w:color w:val="auto"/>
        </w:rPr>
      </w:pPr>
      <w:r>
        <w:rPr>
          <w:rFonts w:ascii="Arial" w:cs="Arial" w:eastAsia="Arial" w:hAnsi="Arial"/>
          <w:sz w:val="18"/>
          <w:szCs w:val="18"/>
          <w:color w:val="auto"/>
        </w:rPr>
        <w:t>its American Depositary Receipts (ADR’s) on the Nasdaq Global Market.</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On April 23, 2019 the Group completed the acquisition of OncoMed Pharmaceuticals, Inc. (“OncoMed”) a California-based and Nasdaq-listed company at which time OncoMed became a US subsidiary of Mereo. The registered office is located at Fourth Floor, 1 Cavendish Place, London W1G 0QF.</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is principally engaged in the research and development of novel pharmaceuticals.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preparation</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 xml:space="preserve">The interim condensed consolidated financial statements for the six-month period ended June 30, 2019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They do not include all the information required for a complete set of IFRS financial statements. However, selected explanatory notes are included to explain events and transactions that are significant to an understanding of the changes in the Group since the most recent annual financial statements (December 31, 2018). For comparative purposes a consolidated balance sheet as at June 30, 2018 has also been presented.</w:t>
      </w:r>
    </w:p>
    <w:p>
      <w:pPr>
        <w:spacing w:after="0" w:line="202" w:lineRule="exact"/>
        <w:rPr>
          <w:sz w:val="20"/>
          <w:szCs w:val="20"/>
          <w:color w:val="auto"/>
        </w:rPr>
      </w:pPr>
    </w:p>
    <w:p>
      <w:pPr>
        <w:jc w:val="both"/>
        <w:ind w:left="120" w:right="160" w:firstLine="440"/>
        <w:spacing w:after="0" w:line="261"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Group’s consolidated financial statements for the year ended December 31, 2018, except for the new accounting polices described in Note 3 (Changes in accounting policies) below. The financial information is presented in Sterling.</w:t>
      </w:r>
    </w:p>
    <w:p>
      <w:pPr>
        <w:spacing w:after="0" w:line="18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These condensed interim financial statements are unaudited and do not constitute statutory accounts of the Group as defined in section 434 of the Companies Act 2006.</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financial information for the year ended December 31, 2018 has been extracted from the Group’s published financial statements for that year, and a copy of the statutory accounts for that financial year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Segmental information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Management views the business as a single portfolio of product candidates. Only R&amp;D expenses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U.K. and U.S.</w:t>
      </w:r>
    </w:p>
    <w:p>
      <w:pPr>
        <w:spacing w:after="0" w:line="205"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Group’s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9" w:right="49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operations of the Group are not prone to seasonal or cyclical variations.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26"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These consolidated interim financial statements have been prepared on a going concern basis, which contemplates the realisation of assets and the payment of liabilities in the ordinary course of business. The Group incurred net losses of £16.2 million and £17.0 million for the periods ended 30 June 2019 and 30 June 2018 respectively. As at 30 June 2019, the Group had total cash resources</w:t>
      </w:r>
      <w:r>
        <w:rPr>
          <w:rFonts w:ascii="Arial" w:cs="Arial" w:eastAsia="Arial" w:hAnsi="Arial"/>
          <w:sz w:val="15"/>
          <w:szCs w:val="15"/>
          <w:color w:val="auto"/>
        </w:rPr>
        <w:t>1</w:t>
      </w:r>
      <w:r>
        <w:rPr>
          <w:rFonts w:ascii="Arial" w:cs="Arial" w:eastAsia="Arial" w:hAnsi="Arial"/>
          <w:sz w:val="18"/>
          <w:szCs w:val="18"/>
          <w:color w:val="auto"/>
        </w:rPr>
        <w:t xml:space="preserve"> of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£36.1 million and net current assets of £27.8 million.</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As part of the going concern review, the Directors have considered the funding requirements of the Group through consideration of the Group’s current business plan and the preparation of detailed cash flow forecasts. The going concern review prepared by the Directors extends through to December 2022 from the date of approval of these consolidated interim financial statements.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Under the current business plan and detailed cash flow forecasts, with ongoing R&amp;D efforts focused on our rare disease products, setrusumab and alvelestat, we expect that our current on-hand cash resources will extend to the end of Q2 2020. Therefore, the Group requires additional external funding within the next 12 months to be able to continue as a going concern. Principally, this funding will be required to complete our current trials, fund our ongoing administrative costs and other general working capital and contractual financing requirements (see Note 7(b) below) and to commence our pivotal pediatric study and the manufacturing scale up activities for setrusumab as we progress with our development plans for that program.</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Further funding to continue to develop our rare disease products is most likely to come from a mix of additional equity funding and partnering transactions with third parties, where discussions with a wide range of partners is already underway. The Directors remain confident of raising additional funding through either or both of these routes by mid-2020 which will provide the Group with additional funding to enable it to continue as a going concern. In terms of further equity finance, the Company has the existing approval to issue new shares on a non-pre-emptive basis and whilst it is not possible to predict market conditions and noting that 19.6% of our issued share capital is held by the Woodford Equity Income Fund, the Directors and its advisors believe sufficient progress is being made with our development programs to be able to complete an equity raise. In addition, the upcoming newsflow from the Phase 2b top-line data in adults for setrusumab in Q4 2019 should provide an enhanced opportunity to raise further equity finance if the data is positive. Because the additional finance that may result from partnering and/or further equity funding is not committed at the date of approval of these consolidated interim financial statements, these circumstances represent a material uncertainty as to the Group’s ability to continue as a going concern.</w:t>
      </w:r>
    </w:p>
    <w:p>
      <w:pPr>
        <w:spacing w:after="0" w:line="205"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auto"/>
        </w:rPr>
        <w:t>These consolidated interim financial statements do not include the adjustments that would arise if the Group were unable to continue as a going concern. Should the Group be unable to obtain further finance such that the going concern basis of preparation were no longer appropriate, adjustments would be required which would include reducing the balance sheet values of assets to their recoverable amounts and to provide for further liabilities that might arise.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Changes in accounting policies</w:t>
      </w:r>
    </w:p>
    <w:p>
      <w:pPr>
        <w:spacing w:after="0" w:line="126"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Except as noted below, these interim consolidated financial statements have been prepared using the same accounting policies and methods of computation as compared with the most recent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2"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24"/>
          <w:szCs w:val="24"/>
          <w:color w:val="auto"/>
          <w:vertAlign w:val="superscript"/>
        </w:rPr>
      </w:pPr>
      <w:r>
        <w:rPr>
          <w:rFonts w:ascii="Arial" w:cs="Arial" w:eastAsia="Arial" w:hAnsi="Arial"/>
          <w:sz w:val="14"/>
          <w:szCs w:val="14"/>
          <w:color w:val="auto"/>
        </w:rPr>
        <w:t>Cash resources is defined as the aggregate of cash and short-term deposits and short-term investments</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On January 1, 2019 the Group adopted IFRS 16 (Leases). The nature and effect of the changes from implementing IFRS 16 (Leases) most relevant to the Group’s financial statements are given below.</w:t>
      </w:r>
    </w:p>
    <w:p>
      <w:pPr>
        <w:spacing w:after="0" w:line="19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Where relevant the Group has also implemented other amendments to existing standards and interpretations which became effective in the six-month period ended June 30, 2019. This included IFRIC 23 (Uncertainty over Income Tax Treatments). None of these amendments had a material impact on the Group’s overall result and financial position.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IFRS 16 Leases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impact of application of IFRS 16</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In the current year, the Group, for the first time, has applied IFRS 16 Leases. The date of initial application of IFRS 16 for the Group is January 1, 2019.</w:t>
      </w:r>
    </w:p>
    <w:p>
      <w:pPr>
        <w:spacing w:after="0" w:line="197" w:lineRule="exact"/>
        <w:rPr>
          <w:sz w:val="20"/>
          <w:szCs w:val="20"/>
          <w:color w:val="auto"/>
        </w:rPr>
      </w:pPr>
    </w:p>
    <w:p>
      <w:pPr>
        <w:jc w:val="both"/>
        <w:ind w:left="120" w:right="80" w:firstLine="440"/>
        <w:spacing w:after="0" w:line="238" w:lineRule="auto"/>
        <w:rPr>
          <w:sz w:val="20"/>
          <w:szCs w:val="20"/>
          <w:color w:val="auto"/>
        </w:rPr>
      </w:pPr>
      <w:r>
        <w:rPr>
          <w:rFonts w:ascii="Arial" w:cs="Arial" w:eastAsia="Arial" w:hAnsi="Arial"/>
          <w:sz w:val="18"/>
          <w:szCs w:val="18"/>
          <w:color w:val="auto"/>
        </w:rPr>
        <w:t>IFRS 16 introduces new or amended requirements with respect to lease accounting. It introduces significant changes to the lessee accounting by removing the distinction between operating and finance lease, requiring the recognition of a right-of-use asset and a lease liability at commencement for all leases, except for short-term leases and leases of low value assets. In contrast to lessee accounting, the requirements for lessor accounting have remained largely unchanged.</w:t>
      </w:r>
    </w:p>
    <w:p>
      <w:pPr>
        <w:spacing w:after="0" w:line="205"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The Group is lessee under a number of property and equipment leases, and also acts as the sublessor of two sublease agreements under one of its property leases. Details of the Group’s accounting policies under IFRS 16 are set out below.</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Significant judgements and estimates applied in the adoption of IFRS 16 included determining the lease term for those leases with termination or extension options, the classification of subleases as operating or finance subleases, and the incremental borrowing rate where the rate implicit in a lease could not be readily determined.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Approach to transition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Group has applied IFRS 16 using the modified retrospective approach, without restatement of the comparative information. In respect of those leases the Group previously treated as operating leases, the Group has elected to measure its right of use assets using the approach set out in IFRS 16.C8(b)(ii). Under IFRS 16.C8(b)(ii) right of use assets are set equal to the lease liability, adjusted for prepaid or accrued lease payments.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Group’s weighted average incremental borrowing rate applied to lease liabilities as at January 1, 2019 is 15%.</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of a lease</w:t>
      </w:r>
    </w:p>
    <w:p>
      <w:pPr>
        <w:spacing w:after="0" w:line="108"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 xml:space="preserve">Previously, the Group determined at contract inception whether an arrangement was or contained a lease under IFRC 4 </w:t>
      </w:r>
      <w:r>
        <w:rPr>
          <w:rFonts w:ascii="Arial" w:cs="Arial" w:eastAsia="Arial" w:hAnsi="Arial"/>
          <w:sz w:val="18"/>
          <w:szCs w:val="18"/>
          <w:i w:val="1"/>
          <w:iCs w:val="1"/>
          <w:color w:val="auto"/>
        </w:rPr>
        <w:t>Determining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Whether an Arrangement contains a Lease. </w:t>
      </w:r>
      <w:r>
        <w:rPr>
          <w:rFonts w:ascii="Arial" w:cs="Arial" w:eastAsia="Arial" w:hAnsi="Arial"/>
          <w:sz w:val="18"/>
          <w:szCs w:val="18"/>
          <w:color w:val="auto"/>
        </w:rPr>
        <w:t>The Group now assesses whether a contract is or contains a lease based on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lease under IFRS 16. Under IFRS 16, a contract is or contains a lease, if the contract conveys a right to control the use of an identified asset in exchange for consideration.</w:t>
      </w:r>
    </w:p>
    <w:p>
      <w:pPr>
        <w:spacing w:after="0" w:line="199"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transition to IFRS 16, the Group elected to apply the practical expedient to grandfather the assessment of which transactions are leases. It applied IFRS 16 only to contracts that were previously not identified as leases. Contracts that were not identified as leases under IAS 17 and IFRIC 4 were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not reassessed. In preparation for the first-time application of IFRS 16, the Group has carried out an implementation project. The new definition in IFRS 16 will not significantly change the scope of contracts that meet the definition of a lease for the Group.</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At inception or on reassessment of a contract that contains a lease component, the Group allocates the consideration in the contract to each lease and non-lease component on the basis of their relative stand-alone prices.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Practical expedients adopted on transition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practical expedients permitted by IFRS 16 are used by the Group, notably:</w:t>
      </w:r>
    </w:p>
    <w:p>
      <w:pPr>
        <w:spacing w:after="0" w:line="117"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(grandfather the previous assessment of whether a transaction was a lease under IAS 17 or IFRIC 4). The definition of a lease under IFRS 16 has been applied only to contracts entered into or changed on or after 1 January 2019;</w:t>
      </w:r>
    </w:p>
    <w:p>
      <w:pPr>
        <w:spacing w:after="0" w:line="108"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leases of low-value assets;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Used hindsight when determining the lease term if the contract contains options to extend or terminate the lease.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lessee accounting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Former operating leases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Applying IFRS 16, for all leases, the Group:</w:t>
      </w:r>
    </w:p>
    <w:p>
      <w:pPr>
        <w:spacing w:after="0" w:line="117" w:lineRule="exact"/>
        <w:rPr>
          <w:sz w:val="20"/>
          <w:szCs w:val="20"/>
          <w:color w:val="auto"/>
        </w:rPr>
      </w:pPr>
    </w:p>
    <w:p>
      <w:pPr>
        <w:ind w:left="1080" w:hanging="532"/>
        <w:spacing w:after="0" w:line="24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Recognises right-of-use assets and lease liabilities in the consolidated statement of financial position, initially measured at the present value of future lease payments;</w:t>
      </w:r>
    </w:p>
    <w:p>
      <w:pPr>
        <w:spacing w:after="0" w:line="102"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Recognises depreciation of right-of-use assets and interest on lease liabilities in the consolidated statement of profit or loss; and</w:t>
      </w:r>
    </w:p>
    <w:p>
      <w:pPr>
        <w:spacing w:after="0" w:line="102" w:lineRule="exact"/>
        <w:rPr>
          <w:rFonts w:ascii="Arial" w:cs="Arial" w:eastAsia="Arial" w:hAnsi="Arial"/>
          <w:sz w:val="18"/>
          <w:szCs w:val="18"/>
          <w:color w:val="auto"/>
        </w:rPr>
      </w:pPr>
    </w:p>
    <w:p>
      <w:pPr>
        <w:ind w:left="1080" w:right="120" w:hanging="532"/>
        <w:spacing w:after="0" w:line="24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97"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Lease incentives (e.g. rent-free periods) are recognised as part of the measurement of the right-of-use assets and lease liabilities whereas under IAS 17 they resulted in the recognition of a lease incentive liability, amortised as a reduction of rental expenses on a straight-line basis.</w:t>
      </w:r>
    </w:p>
    <w:p>
      <w:pPr>
        <w:spacing w:after="0" w:line="203"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replaces the previous requirement to recognise a provision for onerous lease contracts.</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short-term leases (lease term of 12 months or less) and leases of low-value assets (such as those with a value less than</w:t>
      </w:r>
    </w:p>
    <w:p>
      <w:pPr>
        <w:ind w:left="120" w:right="180"/>
        <w:spacing w:after="0" w:line="246" w:lineRule="auto"/>
        <w:rPr>
          <w:sz w:val="20"/>
          <w:szCs w:val="20"/>
          <w:color w:val="auto"/>
        </w:rPr>
      </w:pPr>
      <w:r>
        <w:rPr>
          <w:rFonts w:ascii="Arial" w:cs="Arial" w:eastAsia="Arial" w:hAnsi="Arial"/>
          <w:sz w:val="18"/>
          <w:szCs w:val="18"/>
          <w:color w:val="auto"/>
        </w:rPr>
        <w:t>£5,000), the Group has opted to recognise a lease expense on a straight-line basis as permitted by IFRS 16. This expense is presented within Other operating expenses in the consolidated income statement.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2018, the Group did not hold any finance leases.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Lessor Accounting</w:t>
      </w:r>
    </w:p>
    <w:p>
      <w:pPr>
        <w:spacing w:after="0" w:line="126"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IFRS 16 does not change substantially how a lessor accounts for leases. Under IFRS 16, a lessor continues to classify leases as either finance leases or operating leases and account for those two types of leases differently. However, IFRS 16 has changed and expanded the disclosures required, in particular regarding how a lessor manages the risks arising from its residual interest in leased assets.</w:t>
      </w:r>
    </w:p>
    <w:p>
      <w:pPr>
        <w:spacing w:after="0" w:line="20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Under IFRS 16, an intermediate lessor accounts for the head lease and the sublease as two separate contracts. The intermediate lessor is required to classify the sublease as a finance or operating lease by reference to the right-of-use asset arising from the head lease (and not by reference to the underlying asset as was the case under IAS 17).</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As the Group continues to account for its subleases as operating leases, there has been no material impact as a result of this change.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impact</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application of IFRS 16 to leases previously classified as operating leases under IAS 17 resulted in the recognition of right-of-use assets and lease liabilities. Prepaid rental previously recognised as assets and accrued rental previously recognised as liabilities have been derecognised and factored into the measurement of the right-of-use assets.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has chosen to use the table below to set out the adjustments recognised at the date of initial application of IFRS 16.</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previously</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 at</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Impact of</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 restated at</w:t>
            </w:r>
          </w:p>
        </w:tc>
      </w:t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December 31, 2018</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IFRS 16</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January 1, 2019</w:t>
            </w:r>
          </w:p>
        </w:tc>
      </w:tr>
      <w:tr>
        <w:trPr>
          <w:trHeight w:val="175"/>
        </w:trPr>
        <w:tc>
          <w:tcPr>
            <w:tcW w:w="66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83"/>
        </w:trPr>
        <w:tc>
          <w:tcPr>
            <w:tcW w:w="66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Non-current assets</w:t>
            </w:r>
          </w:p>
        </w:tc>
        <w:tc>
          <w:tcPr>
            <w:tcW w:w="1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148,935</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2,551,810</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2,700,745</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 and other</w:t>
            </w:r>
          </w:p>
        </w:tc>
        <w:tc>
          <w:tcPr>
            <w:tcW w:w="17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1,066,932</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(50,253)</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1,016,679</w:t>
            </w:r>
          </w:p>
        </w:tc>
      </w:tr>
      <w:tr>
        <w:trPr>
          <w:trHeight w:val="217"/>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impact on assets</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2,051,557</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4,570,307</w:t>
            </w: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4,570,307</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78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606,525</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606,525</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78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1,927,122</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1,927,122</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4,437,321</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(32,090)</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4,405,231</w:t>
            </w:r>
          </w:p>
        </w:tc>
      </w:tr>
      <w:tr>
        <w:trPr>
          <w:trHeight w:val="27"/>
        </w:trPr>
        <w:tc>
          <w:tcPr>
            <w:tcW w:w="6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impact on liabilities</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b w:val="1"/>
                <w:bCs w:val="1"/>
                <w:color w:val="auto"/>
              </w:rPr>
              <w:t>2,051,557</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impact on retained earnings</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2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Of the total right-of-use assets of £2,551,810 recognised at January 1, 2019, £1,236,613 related to leases of building and £1,315,197 to leases of equipment. On April 23, 2019, the Group acquired OncoMed Pharmaceuticals Inc. (“OncoMed”) (see Note 4). On acquisition, the Group recognised a right-of-use asset of £10,755,475 relating to an acquired property lease.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table below presents a reconciliation from operating lease commitments disclosed at December 31, 2018 to lease liabilities recognised at January 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commitments disclosed under IAS 17 at December 31, 2018</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535,665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Effect of discounting</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(944,186)</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Reassessment of lease term under IFRS 16</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2,942,168</w:t>
            </w:r>
          </w:p>
        </w:tc>
        <w:tc>
          <w:tcPr>
            <w:tcW w:w="140" w:type="dxa"/>
            <w:vAlign w:val="bottom"/>
            <w:shd w:val="clear" w:color="auto" w:fill="CCEEFF"/>
          </w:tcPr>
          <w:p>
            <w:pPr>
              <w:spacing w:after="0"/>
              <w:rPr>
                <w:sz w:val="17"/>
                <w:szCs w:val="17"/>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Lease liabilities recognised at January 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2,533,647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bl>
    <w:p>
      <w:pPr>
        <w:spacing w:after="0" w:line="229"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In terms of the income statement impact, the application of IFRS 16 resulted in a decrease in other operating expenses and an increase in depreciation and interest expense compared to IAS 17.</w:t>
      </w:r>
    </w:p>
    <w:p>
      <w:pPr>
        <w:spacing w:after="0" w:line="197"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During the six months ended June 30, 2019, in relation to leases under IFRS 16 the Group recognised the following amounts in the consolidated income statement:</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Six months to</w:t>
            </w:r>
          </w:p>
        </w:tc>
      </w:tr>
      <w:tr>
        <w:trPr>
          <w:trHeight w:val="162"/>
        </w:trPr>
        <w:tc>
          <w:tcPr>
            <w:tcW w:w="100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 2019</w:t>
            </w:r>
          </w:p>
        </w:tc>
      </w:tr>
      <w:tr>
        <w:trPr>
          <w:trHeight w:val="175"/>
        </w:trPr>
        <w:tc>
          <w:tcPr>
            <w:tcW w:w="10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10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552,017</w:t>
            </w:r>
          </w:p>
        </w:tc>
        <w:tc>
          <w:tcPr>
            <w:tcW w:w="60" w:type="dxa"/>
            <w:vAlign w:val="bottom"/>
            <w:shd w:val="clear" w:color="auto" w:fill="CCEEFF"/>
          </w:tcPr>
          <w:p>
            <w:pPr>
              <w:spacing w:after="0"/>
              <w:rPr>
                <w:sz w:val="17"/>
                <w:szCs w:val="17"/>
                <w:color w:val="auto"/>
              </w:rPr>
            </w:pPr>
          </w:p>
        </w:tc>
      </w:tr>
      <w:tr>
        <w:trPr>
          <w:trHeight w:val="203"/>
        </w:trPr>
        <w:tc>
          <w:tcPr>
            <w:tcW w:w="10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427,943</w:t>
            </w:r>
          </w:p>
        </w:tc>
      </w:tr>
      <w:tr>
        <w:trPr>
          <w:trHeight w:val="203"/>
        </w:trPr>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3,222</w:t>
            </w:r>
          </w:p>
        </w:tc>
      </w:tr>
    </w:tbl>
    <w:p>
      <w:pPr>
        <w:spacing w:after="0" w:line="21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amounts recognised in the consolidated income statement relating to short-term leases and low-value leases, where the relevant practical expedients have been applied, is not significant.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 of subsidiary</w:t>
      </w:r>
    </w:p>
    <w:p>
      <w:pPr>
        <w:spacing w:after="0" w:line="126"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 April 23, 2019, the Group obtained a 100% controlling interest in OncoMed Pharmaceuticals Inc. (“OncoMed”), a US company based in Redwood City, California, that had been publicly listed on NASDAQ.</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OncoMed is a clinical-stage biopharmaceutical company focused on discovering and developing novel therapeutics that address the fundamental biology driving cancer’s growth, resistance, recurrence and metastasis. OncoMed was acquired in order to broaden the Group’s asset base, strengthen its cash position and obtain a NASDAQ listing to diversify international shareholder base of the combined group.</w:t>
      </w:r>
    </w:p>
    <w:p>
      <w:pPr>
        <w:spacing w:after="0" w:line="20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acquisition has been accounted for using the acquisition method of accounting. A provisional assessment has been made of the fair value to the Group of the assets and liabilities acquired along with the contingent consideration as they are based on preliminary information received at this point and therefore subject to adjustment through December 31, 2019.</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subsidiary—2019: net assets acquired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short-term deposits</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10,074,297</w:t>
            </w: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29,019,206</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154,529</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Prepayments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1,696,933</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81,985</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10,755,475</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12,693,479</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(9,214,785)</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(10,688,588)</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Net identifiable assets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44,572,531</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Bargain purchase</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(3,680,053)</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40,892,478</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Satisfied by:</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ind w:left="360"/>
              <w:spacing w:after="0" w:line="202" w:lineRule="exact"/>
              <w:rPr>
                <w:sz w:val="20"/>
                <w:szCs w:val="20"/>
                <w:color w:val="auto"/>
              </w:rPr>
            </w:pPr>
            <w:r>
              <w:rPr>
                <w:rFonts w:ascii="Arial" w:cs="Arial" w:eastAsia="Arial" w:hAnsi="Arial"/>
                <w:sz w:val="18"/>
                <w:szCs w:val="18"/>
                <w:color w:val="auto"/>
              </w:rPr>
              <w:t>Issuance of own-equity instruments (24,783,320 ordinary shares)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40,892,478</w:t>
            </w:r>
          </w:p>
        </w:tc>
      </w:tr>
      <w:tr>
        <w:trPr>
          <w:trHeight w:val="202"/>
        </w:trPr>
        <w:tc>
          <w:tcPr>
            <w:tcW w:w="9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consideration transferred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40,892,478</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inflow arising on acquisition</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ind w:left="360"/>
              <w:spacing w:after="0" w:line="202" w:lineRule="exact"/>
              <w:rPr>
                <w:sz w:val="20"/>
                <w:szCs w:val="20"/>
                <w:color w:val="auto"/>
              </w:rPr>
            </w:pPr>
            <w:r>
              <w:rPr>
                <w:rFonts w:ascii="Arial" w:cs="Arial" w:eastAsia="Arial" w:hAnsi="Arial"/>
                <w:sz w:val="18"/>
                <w:szCs w:val="18"/>
                <w:color w:val="auto"/>
              </w:rPr>
              <w:t>Cash consideration</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9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cash and short-term deposits acquired</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(10,074,297)</w:t>
            </w:r>
          </w:p>
        </w:tc>
      </w:tr>
      <w:tr>
        <w:trPr>
          <w:trHeight w:val="210"/>
        </w:trPr>
        <w:tc>
          <w:tcPr>
            <w:tcW w:w="96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(10,074,297)</w:t>
            </w:r>
          </w:p>
        </w:tc>
        <w:tc>
          <w:tcPr>
            <w:tcW w:w="160" w:type="dxa"/>
            <w:vAlign w:val="bottom"/>
          </w:tcPr>
          <w:p>
            <w:pPr>
              <w:spacing w:after="0"/>
              <w:rPr>
                <w:sz w:val="18"/>
                <w:szCs w:val="18"/>
                <w:color w:val="auto"/>
              </w:rPr>
            </w:pPr>
          </w:p>
        </w:tc>
      </w:tr>
    </w:tbl>
    <w:p>
      <w:pPr>
        <w:spacing w:after="0" w:line="229"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The fair value of the 24,783,320 ordinary shares issued as part of the consideration paid for OncoMed (£40,892,478) was measured on the basis of the Group’s quoted share price as at the date of acquisition (i.e. April 23, 2019).</w:t>
      </w:r>
    </w:p>
    <w:p>
      <w:pPr>
        <w:spacing w:after="0" w:line="197"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As the Group acquired OncoMed for an amount less than the fair market value of the net assets acquired on the date of acquisition, a gain on bargain purchase of £3,680,053 was realised (recognised net against the acquisition transaction costs within the consolidated statement of comprehensive loss). This was attributable to the following factors:</w:t>
      </w:r>
    </w:p>
    <w:p>
      <w:pPr>
        <w:spacing w:after="0" w:line="108" w:lineRule="exact"/>
        <w:rPr>
          <w:sz w:val="20"/>
          <w:szCs w:val="20"/>
          <w:color w:val="auto"/>
        </w:rPr>
      </w:pPr>
    </w:p>
    <w:p>
      <w:pPr>
        <w:ind w:left="1080" w:right="160" w:hanging="532"/>
        <w:spacing w:after="0" w:line="23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a working capital adjustment, the immediately pre-closing proportion of shares in Mereo due to be issued to OncoMed’s shareholders as equity consideration was agreed in December 2018 based on the Group’s 90-day volume-weighted average price ending on December 4, 2018 (the “reference share price”). Following a movement downward in the Group’s quoted share price on the completion date (23 April 2019) in comparison with the reference share price this reduced the fair value of the consideration paid. The impact in the reduction in the total consideration paid was partly offset by; and</w:t>
      </w:r>
    </w:p>
    <w:p>
      <w:pPr>
        <w:spacing w:after="0" w:line="107" w:lineRule="exact"/>
        <w:rPr>
          <w:rFonts w:ascii="Arial" w:cs="Arial" w:eastAsia="Arial" w:hAnsi="Arial"/>
          <w:sz w:val="18"/>
          <w:szCs w:val="18"/>
          <w:color w:val="auto"/>
        </w:rPr>
      </w:pPr>
    </w:p>
    <w:p>
      <w:pPr>
        <w:ind w:left="1080" w:right="10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period from announcement of the deal and the date of acquisition (April 23, 2019), a period of approximately five months, OncoMed continued to generate losses reflecting continued R&amp;D activity together with expenditure on its overheads. This had the effect of reducing net assets acquired.</w:t>
      </w:r>
    </w:p>
    <w:p>
      <w:pPr>
        <w:spacing w:after="0" w:line="203"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The contingent consideration arrangement requires the Group to make additional cash payments and issue new American Depositary Shares (“ADSs”) if specified milestones are achieved within agreed time periods.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Additional cash consideration becomes payable, if, within eighteen months following the completion date, the Group enters into eligible partnership or investment transactions in relation to OncoMed’s navicixizumab product and, within five years of the completion date, the Group receives certain eligible cash milestone payment (“NAVI Milestone”). The potential undiscounted amount of the Navi Milestone payment is subject to an aggregate cap of approximately $80 million.</w:t>
      </w:r>
    </w:p>
    <w:p>
      <w:pPr>
        <w:spacing w:after="0" w:line="205"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Contingent consideration in the form of new ADSs was also due in the event that Celgene Corporation (“Celgene”) exercised its option in relation to OncoMed’s etigilimab product. As announced in June 2019, Celgene did not exercise its option and therefore the Group will not be required to issue any ADSs under this contingent consideration arrangement.</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After consideration of the significant inherent uncertainties related to the Navi milestones, the preliminary fair value of the CVRs as of the completion date was estimated to be minimal (i.e. approximates £Nil). In determining that the preliminary CVR fair value approximated nil, the following information and factors were considered:</w:t>
      </w:r>
    </w:p>
    <w:p>
      <w:pPr>
        <w:spacing w:after="0" w:line="108" w:lineRule="exact"/>
        <w:rPr>
          <w:sz w:val="20"/>
          <w:szCs w:val="20"/>
          <w:color w:val="auto"/>
        </w:rPr>
      </w:pPr>
    </w:p>
    <w:p>
      <w:pPr>
        <w:ind w:left="1080" w:right="60" w:hanging="532"/>
        <w:spacing w:after="0" w:line="246"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likelihood of Celgene exercising the exclusive option granted by OncoMed to Celgene in relation to OncoMed’s etigilimab product, particularly given Bristol-Myers Squibb’s proposed acquisition of Celgene;</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uncertain outcomes of current clinical studies;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level of uncertainty regarding the availability of future funding partners;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level of uncertainty relating to the success of future development of such products; as well as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dependency of the CVR milestones on the occurrence of events that are outside of the control of the Group.</w:t>
      </w:r>
    </w:p>
    <w:p>
      <w:pPr>
        <w:spacing w:after="0" w:line="21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fair value of the financial assets includes receivables from the landlord under OncoMed’s office lease arrangement in relation to tenant improvements with a fair value and a gross contractual value of £154,529. It is estimated at acquisition date that all contractual cash flows are collectable in full. Short-term investments acquired with OncoMed were treasury bills (recognised at fair value through OCI).</w:t>
      </w:r>
    </w:p>
    <w:p>
      <w:pPr>
        <w:spacing w:after="0" w:line="20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Acquisition-related-costs (recognised net against the gain on bargain purchase within the consolidated statement of comprehensive loss) amounted to £2,644,674.</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OncoMed contributed £nil revenue and £2,283,341 to the Group’s loss for the period between the date of acquisition and the balance sheet date.</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the acquisition of OncoMed had been completed on the first day of the financial year, group revenues for the period would have been £4,255,178 and the Group’s loss would have been £24,340,108. This information is provided for illustrative purposes only and is not necessarily indicative of the results that the Group would have occurred had OncoMed actually been acquired at the beginning of the year, or indicative of future results of the Group.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initial application of IFRS 16 the Group recognised right-of-use assets of £2,551,810. Subsequently, following the acquisition of OncoMed (Note 4), the Group recognised a right-of-use asset of £10,755,475 relating to an acquired property lease.</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Further details on the initial application of IFRS 16 are presented in Note 3. The Group has decided to present right-of-use assets within property, plant and equipment.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9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At December 31, 2018—Audited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2"/>
        </w:trPr>
        <w:tc>
          <w:tcPr>
            <w:tcW w:w="9800" w:type="dxa"/>
            <w:vAlign w:val="bottom"/>
            <w:gridSpan w:val="4"/>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Cost</w:t>
            </w:r>
          </w:p>
        </w:tc>
        <w:tc>
          <w:tcPr>
            <w:tcW w:w="7640" w:type="dxa"/>
            <w:vAlign w:val="bottom"/>
            <w:tcBorders>
              <w:top w:val="single" w:sz="8" w:color="CCEEFF"/>
            </w:tcBorders>
            <w:gridSpan w:val="2"/>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33,005,229</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0" w:type="dxa"/>
            <w:vAlign w:val="bottom"/>
            <w:gridSpan w:val="4"/>
          </w:tcPr>
          <w:p>
            <w:pPr>
              <w:spacing w:after="0" w:line="202" w:lineRule="exact"/>
              <w:rPr>
                <w:sz w:val="20"/>
                <w:szCs w:val="20"/>
                <w:color w:val="auto"/>
              </w:rPr>
            </w:pPr>
            <w:r>
              <w:rPr>
                <w:rFonts w:ascii="Arial" w:cs="Arial" w:eastAsia="Arial" w:hAnsi="Arial"/>
                <w:sz w:val="18"/>
                <w:szCs w:val="18"/>
                <w:color w:val="auto"/>
              </w:rPr>
              <w:t>Accumulated revision to estimated value</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amount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32,632,229</w:t>
            </w: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2019—Unaudited</w:t>
            </w:r>
          </w:p>
        </w:tc>
        <w:tc>
          <w:tcPr>
            <w:tcW w:w="6740" w:type="dxa"/>
            <w:vAlign w:val="bottom"/>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060" w:type="dxa"/>
            <w:vAlign w:val="bottom"/>
            <w:tcBorders>
              <w:bottom w:val="single" w:sz="8" w:color="auto"/>
            </w:tcBorders>
            <w:gridSpan w:val="3"/>
            <w:vMerge w:val="continue"/>
          </w:tcPr>
          <w:p>
            <w:pPr>
              <w:spacing w:after="0"/>
              <w:rPr>
                <w:sz w:val="24"/>
                <w:szCs w:val="24"/>
                <w:color w:val="auto"/>
              </w:rPr>
            </w:pPr>
          </w:p>
        </w:tc>
        <w:tc>
          <w:tcPr>
            <w:tcW w:w="6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At January 1, 2019</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32,632,229</w:t>
            </w:r>
          </w:p>
        </w:tc>
        <w:tc>
          <w:tcPr>
            <w:tcW w:w="0" w:type="dxa"/>
            <w:vAlign w:val="bottom"/>
          </w:tcPr>
          <w:p>
            <w:pPr>
              <w:spacing w:after="0"/>
              <w:rPr>
                <w:sz w:val="1"/>
                <w:szCs w:val="1"/>
                <w:color w:val="auto"/>
              </w:rPr>
            </w:pPr>
          </w:p>
        </w:tc>
      </w:tr>
      <w:tr>
        <w:trPr>
          <w:trHeight w:val="311"/>
        </w:trPr>
        <w:tc>
          <w:tcPr>
            <w:tcW w:w="9800" w:type="dxa"/>
            <w:vAlign w:val="bottom"/>
            <w:gridSpan w:val="4"/>
          </w:tcPr>
          <w:p>
            <w:pPr>
              <w:spacing w:after="0"/>
              <w:rPr>
                <w:sz w:val="20"/>
                <w:szCs w:val="20"/>
                <w:color w:val="auto"/>
              </w:rPr>
            </w:pPr>
            <w:r>
              <w:rPr>
                <w:rFonts w:ascii="Arial" w:cs="Arial" w:eastAsia="Arial" w:hAnsi="Arial"/>
                <w:sz w:val="18"/>
                <w:szCs w:val="18"/>
                <w:color w:val="auto"/>
              </w:rPr>
              <w:t>Acquisition of subsidiary (Note 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12,693,479</w:t>
            </w:r>
          </w:p>
        </w:tc>
        <w:tc>
          <w:tcPr>
            <w:tcW w:w="0" w:type="dxa"/>
            <w:vAlign w:val="bottom"/>
          </w:tcPr>
          <w:p>
            <w:pPr>
              <w:spacing w:after="0"/>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Revision to estimated value</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0"/>
        </w:trPr>
        <w:tc>
          <w:tcPr>
            <w:tcW w:w="9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At June 30, 2019</w:t>
            </w: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gridSpan w:val="4"/>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45,156,708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At June 30, 2019—Unaudited</w:t>
            </w:r>
          </w:p>
        </w:tc>
        <w:tc>
          <w:tcPr>
            <w:tcW w:w="7820" w:type="dxa"/>
            <w:vAlign w:val="bottom"/>
            <w:gridSpan w:val="3"/>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80" w:type="dxa"/>
            <w:vAlign w:val="bottom"/>
            <w:tcBorders>
              <w:bottom w:val="single" w:sz="8" w:color="auto"/>
            </w:tcBorders>
            <w:vMerge w:val="continue"/>
          </w:tcPr>
          <w:p>
            <w:pPr>
              <w:spacing w:after="0"/>
              <w:rPr>
                <w:sz w:val="24"/>
                <w:szCs w:val="24"/>
                <w:color w:val="auto"/>
              </w:rPr>
            </w:pPr>
          </w:p>
        </w:tc>
        <w:tc>
          <w:tcPr>
            <w:tcW w:w="782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45,698,708</w:t>
            </w:r>
          </w:p>
        </w:tc>
        <w:tc>
          <w:tcPr>
            <w:tcW w:w="0" w:type="dxa"/>
            <w:vAlign w:val="bottom"/>
          </w:tcPr>
          <w:p>
            <w:pPr>
              <w:spacing w:after="0"/>
              <w:rPr>
                <w:sz w:val="1"/>
                <w:szCs w:val="1"/>
                <w:color w:val="auto"/>
              </w:rPr>
            </w:pPr>
          </w:p>
        </w:tc>
      </w:tr>
      <w:tr>
        <w:trPr>
          <w:trHeight w:val="203"/>
        </w:trPr>
        <w:tc>
          <w:tcPr>
            <w:tcW w:w="9800" w:type="dxa"/>
            <w:vAlign w:val="bottom"/>
            <w:gridSpan w:val="4"/>
          </w:tcPr>
          <w:p>
            <w:pPr>
              <w:spacing w:after="0" w:line="202" w:lineRule="exact"/>
              <w:rPr>
                <w:sz w:val="20"/>
                <w:szCs w:val="20"/>
                <w:color w:val="auto"/>
              </w:rPr>
            </w:pPr>
            <w:r>
              <w:rPr>
                <w:rFonts w:ascii="Arial" w:cs="Arial" w:eastAsia="Arial" w:hAnsi="Arial"/>
                <w:sz w:val="18"/>
                <w:szCs w:val="18"/>
                <w:color w:val="auto"/>
              </w:rPr>
              <w:t>Accumulated revision to estimated value</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amount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45,156,708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40" w:firstLine="440"/>
        <w:spacing w:after="0" w:line="261" w:lineRule="auto"/>
        <w:rPr>
          <w:sz w:val="20"/>
          <w:szCs w:val="20"/>
          <w:color w:val="auto"/>
        </w:rPr>
      </w:pPr>
      <w:r>
        <w:rPr>
          <w:rFonts w:ascii="Arial" w:cs="Arial" w:eastAsia="Arial" w:hAnsi="Arial"/>
          <w:sz w:val="17"/>
          <w:szCs w:val="17"/>
          <w:color w:val="auto"/>
        </w:rPr>
        <w:t>The present value of the provision for deferred cash consideration relating to the agreement with AstraZeneca was reviewed at June 30, 2019 (see Note 9). The decrease in present value due to changes in timelines and probability of contractual milestones being achieved was £169,000 (2018: £373,000) and is recognized as a reduction of the intangible asset in line with our accounting policies.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intangible asset acquired with the acquisition of subsidiary of £12,693,479 (2018: £nil) is further explained within Note 4.</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period the Group did not revise the value of any other intangible assets (2018: £nil). As the intangible assets remain</w:t>
      </w:r>
    </w:p>
    <w:p>
      <w:pPr>
        <w:ind w:left="120"/>
        <w:spacing w:after="0"/>
        <w:rPr>
          <w:sz w:val="20"/>
          <w:szCs w:val="20"/>
          <w:color w:val="auto"/>
        </w:rPr>
      </w:pPr>
      <w:r>
        <w:rPr>
          <w:rFonts w:ascii="Arial" w:cs="Arial" w:eastAsia="Arial" w:hAnsi="Arial"/>
          <w:sz w:val="18"/>
          <w:szCs w:val="18"/>
          <w:color w:val="auto"/>
        </w:rPr>
        <w:t>under development, no amortisation charge has been recognised (2018: £nil).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Interest bearing loans and borrowings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31, 2018</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2018 Audited</w:t>
            </w:r>
          </w:p>
        </w:tc>
      </w:tr>
      <w:tr>
        <w:trPr>
          <w:trHeight w:val="175"/>
        </w:trPr>
        <w:tc>
          <w:tcPr>
            <w:tcW w:w="7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loan notes (see Note 7a)</w:t>
            </w:r>
          </w:p>
        </w:tc>
        <w:tc>
          <w:tcPr>
            <w:tcW w:w="112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1,943,235</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2,038,881</w:t>
            </w:r>
          </w:p>
        </w:tc>
        <w:tc>
          <w:tcPr>
            <w:tcW w:w="8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Bank loan (see Note 7b)</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19,732,236</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18,961,887</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19,445,756</w:t>
            </w:r>
          </w:p>
        </w:tc>
      </w:tr>
      <w:tr>
        <w:trPr>
          <w:trHeight w:val="27"/>
        </w:trPr>
        <w:tc>
          <w:tcPr>
            <w:tcW w:w="7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19,732,236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20,905,122</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21,484,637</w:t>
            </w:r>
          </w:p>
        </w:tc>
      </w:tr>
      <w:tr>
        <w:trPr>
          <w:trHeight w:val="20"/>
        </w:trPr>
        <w:tc>
          <w:tcPr>
            <w:tcW w:w="7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16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8,011,237</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5,644,369</w:t>
            </w: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6,837,884</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11,720,999</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15,260,753</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14,646,753</w:t>
            </w:r>
          </w:p>
        </w:tc>
      </w:tr>
      <w:tr>
        <w:trPr>
          <w:trHeight w:val="20"/>
        </w:trPr>
        <w:tc>
          <w:tcPr>
            <w:tcW w:w="7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7a. Convertible loan note</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June 21, 2019 Novartis converted the remaining balance of principal and interest of £2,367,004 of loan Notes (“Novartis Notes”) into 1,071,042 ordinary shares at the fixed conversion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price of £2.21 per share. This has been recorded as a £2,058,882 reduction in interest bearing loans and borrowings and a reduction in other capital reserves of £308,122. Under the terms of the Notes, Novartis also received 864,988 bonus shares.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the equity component of the Notes at December 31, 2018 was calculated as £308,122.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7b. Bank loan</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On April 23, 2019, following completion of the acquisition of OncoMed, the Group agreed an amendment to the terms of its bank loan with the lenders. The new terms extended the interest-only period to December 31, 2019 followed by a 15-month capital and interest repayment period. The Group has undertaken an assessment under IFRS 9 and believe that the change in terms should not be accounted for as a modification under IFRS 9, but instead as a change in expected cash flows. The cash flows under the bank loan were revised from May 1, 2019. The gain as a result of the changes in the estimated cash flows is recognised as a true up in the total finance cost (i.e. together with the interest expense). Management estimated the revised carrying value of the loan as of May 1, 2019 to be £19,942,551 by discounting the revised cash flows at the original discount rate of 18%. The difference between the previous and revised carrying value of the loan as at May 1, 2019 in the amount of £456,430 is recognised as a gain in profit and loss as required under IFRS 9. Following the re-estimation, the financial liability continues to be accounted for at amortised cost using the original effective interest rate.</w:t>
      </w:r>
    </w:p>
    <w:p>
      <w:pPr>
        <w:spacing w:after="0" w:line="207"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On May 3, 2019, under the terms of the loan agreement, Mereo issued 321,444 additional warrants (see Note 10) to its lenders giving them the right to subscribe for ordinary shares at an exercise price of £2.95. The fair value of the additional warrants as of their grant date (May 3, 2019) was £131,150.</w:t>
      </w:r>
    </w:p>
    <w:p>
      <w:pPr>
        <w:spacing w:after="0" w:line="203" w:lineRule="exact"/>
        <w:rPr>
          <w:sz w:val="20"/>
          <w:szCs w:val="20"/>
          <w:color w:val="auto"/>
        </w:rPr>
      </w:pPr>
    </w:p>
    <w:p>
      <w:pPr>
        <w:jc w:val="both"/>
        <w:ind w:left="120" w:right="460" w:firstLine="440"/>
        <w:spacing w:after="0"/>
        <w:rPr>
          <w:sz w:val="20"/>
          <w:szCs w:val="20"/>
          <w:color w:val="auto"/>
        </w:rPr>
      </w:pPr>
      <w:r>
        <w:rPr>
          <w:rFonts w:ascii="Arial" w:cs="Arial" w:eastAsia="Arial" w:hAnsi="Arial"/>
          <w:sz w:val="18"/>
          <w:szCs w:val="18"/>
          <w:color w:val="auto"/>
        </w:rPr>
        <w:t>The total carrying value of the loan at June 30, 2019 was £19,732,236 (2018: £18,961,887). £ 8,011,237 is a current liability and £11,720,999 is a non-current liability. A total of £742,909 (2018: £186,963) of non-cash interest has been charged to the statement of comprehensive loss in the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Issued capital and reserves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Six months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Six months to</w:t>
            </w: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to June 30,</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 2019</w:t>
            </w: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3540" w:type="dxa"/>
            <w:vAlign w:val="bottom"/>
            <w:gridSpan w:val="2"/>
          </w:tcPr>
          <w:p>
            <w:pPr>
              <w:jc w:val="center"/>
              <w:ind w:left="249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Ordinary share capital</w:t>
            </w:r>
          </w:p>
        </w:tc>
        <w:tc>
          <w:tcPr>
            <w:tcW w:w="25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Balance at beginning of year/period</w:t>
            </w:r>
          </w:p>
        </w:tc>
        <w:tc>
          <w:tcPr>
            <w:tcW w:w="402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213,721</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213,285</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Issuances in the period</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80,158</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Nominal share capital at end of year/period</w:t>
            </w:r>
          </w:p>
        </w:tc>
        <w:tc>
          <w:tcPr>
            <w:tcW w:w="258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293,879</w:t>
            </w:r>
          </w:p>
        </w:tc>
        <w:tc>
          <w:tcPr>
            <w:tcW w:w="480" w:type="dxa"/>
            <w:vAlign w:val="bottom"/>
            <w:vMerge w:val="continue"/>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213,435</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213,721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At January 1, 2019</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71,240,272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April 23, 2019 for OncoMed acquisition</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24,783,320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Issued on June 21, 2019 for conversion of loan note</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1,936,030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2019</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97,959,622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Nominal value at June 30, 2019 (£)</w:t>
            </w: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June 30, 2019 (£)</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293,879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20" w:type="dxa"/>
            <w:vAlign w:val="bottom"/>
            <w:gridSpan w:val="3"/>
            <w:vMerge w:val="restart"/>
          </w:tcPr>
          <w:p>
            <w:pPr>
              <w:ind w:left="600"/>
              <w:spacing w:after="0"/>
              <w:rPr>
                <w:sz w:val="20"/>
                <w:szCs w:val="20"/>
                <w:color w:val="auto"/>
              </w:rPr>
            </w:pPr>
            <w:r>
              <w:rPr>
                <w:rFonts w:ascii="Arial" w:cs="Arial" w:eastAsia="Arial" w:hAnsi="Arial"/>
                <w:sz w:val="18"/>
                <w:szCs w:val="18"/>
                <w:color w:val="auto"/>
              </w:rPr>
              <w:t>F-15</w:t>
            </w: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40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January 1, 2018</w:t>
      </w:r>
    </w:p>
    <w:p>
      <w:pPr>
        <w:ind w:left="120"/>
        <w:spacing w:after="0"/>
        <w:rPr>
          <w:sz w:val="20"/>
          <w:szCs w:val="20"/>
          <w:color w:val="auto"/>
        </w:rPr>
      </w:pPr>
      <w:r>
        <w:rPr>
          <w:rFonts w:ascii="Arial" w:cs="Arial" w:eastAsia="Arial" w:hAnsi="Arial"/>
          <w:sz w:val="18"/>
          <w:szCs w:val="18"/>
          <w:color w:val="auto"/>
        </w:rPr>
        <w:t>Issued on June 1, 2018 for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2018</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Nominal value at June 30,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Issued capital at June 30, 2018 (£)</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July 1, 2018</w:t>
      </w:r>
    </w:p>
    <w:p>
      <w:pPr>
        <w:ind w:left="120"/>
        <w:spacing w:after="0" w:line="234" w:lineRule="auto"/>
        <w:rPr>
          <w:sz w:val="20"/>
          <w:szCs w:val="20"/>
          <w:color w:val="auto"/>
        </w:rPr>
      </w:pPr>
      <w:r>
        <w:rPr>
          <w:rFonts w:ascii="Arial" w:cs="Arial" w:eastAsia="Arial" w:hAnsi="Arial"/>
          <w:sz w:val="18"/>
          <w:szCs w:val="18"/>
          <w:color w:val="auto"/>
        </w:rPr>
        <w:t>Issued on August 3, 2018 for exercise of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Issued on October 22, 2018 for exercise of share options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Nominal value at December 31, 2018 (£)</w:t>
      </w:r>
    </w:p>
    <w:p>
      <w:pPr>
        <w:ind w:left="120"/>
        <w:spacing w:after="0"/>
        <w:rPr>
          <w:sz w:val="20"/>
          <w:szCs w:val="20"/>
          <w:color w:val="auto"/>
        </w:rPr>
      </w:pPr>
      <w:r>
        <w:rPr>
          <w:rFonts w:ascii="Arial" w:cs="Arial" w:eastAsia="Arial" w:hAnsi="Arial"/>
          <w:sz w:val="18"/>
          <w:szCs w:val="18"/>
          <w:color w:val="auto"/>
        </w:rPr>
        <w:t>Issued capital at December 31,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January 1, 2019, the following alterations to the Company’s share capital have been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71,094,974</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71,145,050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213,435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71,145,050</w:t>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10,000</w:t>
      </w:r>
    </w:p>
    <w:p>
      <w:pPr>
        <w:jc w:val="right"/>
        <w:ind w:right="80"/>
        <w:spacing w:after="0"/>
        <w:rPr>
          <w:sz w:val="20"/>
          <w:szCs w:val="20"/>
          <w:color w:val="auto"/>
        </w:rPr>
      </w:pPr>
      <w:r>
        <w:rPr>
          <w:rFonts w:ascii="Arial" w:cs="Arial" w:eastAsia="Arial" w:hAnsi="Arial"/>
          <w:sz w:val="18"/>
          <w:szCs w:val="18"/>
          <w:color w:val="auto"/>
        </w:rPr>
        <w:t>85,222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71,240,272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213,721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9440" w:space="720"/>
            <w:col w:w="980"/>
          </w:cols>
          <w:pgMar w:left="320" w:top="459" w:right="439" w:bottom="1440" w:gutter="0" w:footer="0" w:header="0"/>
        </w:sectPr>
      </w:pPr>
    </w:p>
    <w:p>
      <w:pPr>
        <w:jc w:val="both"/>
        <w:ind w:left="1080" w:right="20" w:hanging="532"/>
        <w:spacing w:after="0" w:line="246"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April 23, 2019 the Company issued and allotted 24,783,320 ordinary shares of £0.003 in nominal value in the capital of the Company as consideration for the acquisition of OncoMed. The fair value of the ordinary shares was measured as £1.65; and</w:t>
      </w:r>
    </w:p>
    <w:p>
      <w:pPr>
        <w:spacing w:after="0" w:line="102" w:lineRule="exact"/>
        <w:rPr>
          <w:rFonts w:ascii="Arial" w:cs="Arial" w:eastAsia="Arial" w:hAnsi="Arial"/>
          <w:sz w:val="18"/>
          <w:szCs w:val="18"/>
          <w:color w:val="auto"/>
        </w:rPr>
      </w:pPr>
    </w:p>
    <w:p>
      <w:pPr>
        <w:jc w:val="both"/>
        <w:ind w:left="1080" w:right="14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June 21, 2019 Novartis converted £2,367,004 of loan notes dated June 3, 2016 into 1,071,042 ordinary shares of £0.003 in nominal value in the capital of the Company at the fixed conversion price of £2.21 per share. Under the terms of the notes, Novartis also received 864,988 bonus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59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83"/>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47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2019—Audited</w:t>
            </w:r>
          </w:p>
        </w:tc>
        <w:tc>
          <w:tcPr>
            <w:tcW w:w="6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118,492,073</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21, 2019 for conversion of loan note</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3,952,773</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476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(760,692)</w:t>
            </w:r>
          </w:p>
        </w:tc>
      </w:tr>
      <w:tr>
        <w:trPr>
          <w:trHeight w:val="27"/>
        </w:trPr>
        <w:tc>
          <w:tcPr>
            <w:tcW w:w="49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2019—Unaudited</w:t>
            </w:r>
          </w:p>
        </w:tc>
        <w:tc>
          <w:tcPr>
            <w:tcW w:w="47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121,684,154</w:t>
            </w: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4920" w:type="dxa"/>
            <w:vAlign w:val="bottom"/>
          </w:tcPr>
          <w:p>
            <w:pPr>
              <w:spacing w:after="0"/>
              <w:rPr>
                <w:sz w:val="24"/>
                <w:szCs w:val="24"/>
                <w:color w:val="auto"/>
              </w:rPr>
            </w:pPr>
          </w:p>
        </w:tc>
        <w:tc>
          <w:tcPr>
            <w:tcW w:w="59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r>
      <w:tr>
        <w:trPr>
          <w:trHeight w:val="183"/>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47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2018—Audited</w:t>
            </w:r>
          </w:p>
        </w:tc>
        <w:tc>
          <w:tcPr>
            <w:tcW w:w="6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118,226,956</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placing for cash</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150,078</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476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(7,511)</w:t>
            </w:r>
          </w:p>
        </w:tc>
      </w:tr>
      <w:tr>
        <w:trPr>
          <w:trHeight w:val="27"/>
        </w:trPr>
        <w:tc>
          <w:tcPr>
            <w:tcW w:w="49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2018—Unaudited</w:t>
            </w:r>
          </w:p>
        </w:tc>
        <w:tc>
          <w:tcPr>
            <w:tcW w:w="47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118,369,523</w:t>
            </w: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color w:val="auto"/>
              </w:rPr>
              <w:t>Issued on August 3, 2018 for exercise of share options</w:t>
            </w:r>
          </w:p>
        </w:tc>
        <w:tc>
          <w:tcPr>
            <w:tcW w:w="61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12,870</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109,680</w:t>
            </w:r>
          </w:p>
        </w:tc>
      </w:tr>
      <w:tr>
        <w:trPr>
          <w:trHeight w:val="210"/>
        </w:trPr>
        <w:tc>
          <w:tcPr>
            <w:tcW w:w="4920" w:type="dxa"/>
            <w:vAlign w:val="bottom"/>
          </w:tcPr>
          <w:p>
            <w:pPr>
              <w:spacing w:after="0"/>
              <w:rPr>
                <w:sz w:val="20"/>
                <w:szCs w:val="20"/>
                <w:color w:val="auto"/>
              </w:rPr>
            </w:pPr>
            <w:r>
              <w:rPr>
                <w:rFonts w:ascii="Arial" w:cs="Arial" w:eastAsia="Arial" w:hAnsi="Arial"/>
                <w:sz w:val="18"/>
                <w:szCs w:val="18"/>
                <w:b w:val="1"/>
                <w:bCs w:val="1"/>
                <w:color w:val="auto"/>
              </w:rPr>
              <w:t>At December 31, 2018—Audited</w:t>
            </w:r>
          </w:p>
        </w:tc>
        <w:tc>
          <w:tcPr>
            <w:tcW w:w="47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118,492,073</w:t>
            </w:r>
          </w:p>
        </w:tc>
        <w:tc>
          <w:tcPr>
            <w:tcW w:w="1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6100" w:type="dxa"/>
            <w:vAlign w:val="bottom"/>
            <w:gridSpan w:val="3"/>
          </w:tcPr>
          <w:p>
            <w:pPr>
              <w:jc w:val="right"/>
              <w:ind w:right="5340"/>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140"/>
          </w:cols>
          <w:pgMar w:left="320" w:top="459" w:right="439" w:bottom="1440" w:gutter="0" w:footer="0" w:header="0"/>
          <w:type w:val="continuous"/>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capital reserves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component of</w:t>
            </w:r>
          </w:p>
        </w:tc>
        <w:tc>
          <w:tcPr>
            <w:tcW w:w="14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 to</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Share-based</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issued for</w:t>
            </w: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Merger</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be issued</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loan</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TAP funding</w:t>
            </w: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reserve</w:t>
            </w:r>
          </w:p>
        </w:tc>
        <w:tc>
          <w:tcPr>
            <w:tcW w:w="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75"/>
        </w:trPr>
        <w:tc>
          <w:tcPr>
            <w:tcW w:w="38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2019—Audited</w:t>
            </w:r>
          </w:p>
        </w:tc>
        <w:tc>
          <w:tcPr>
            <w:tcW w:w="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7"/>
              </w:rPr>
              <w:t>1,591,578</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16,648,762</w:t>
            </w:r>
          </w:p>
        </w:tc>
        <w:tc>
          <w:tcPr>
            <w:tcW w:w="20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308,122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left="279"/>
              <w:spacing w:after="0" w:line="196" w:lineRule="exact"/>
              <w:rPr>
                <w:sz w:val="20"/>
                <w:szCs w:val="20"/>
                <w:color w:val="auto"/>
              </w:rPr>
            </w:pPr>
            <w:r>
              <w:rPr>
                <w:rFonts w:ascii="Arial" w:cs="Arial" w:eastAsia="Arial" w:hAnsi="Arial"/>
                <w:sz w:val="18"/>
                <w:szCs w:val="18"/>
                <w:color w:val="auto"/>
              </w:rPr>
              <w:t>44,156</w:t>
            </w: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18,592,618</w:t>
            </w:r>
          </w:p>
        </w:tc>
        <w:tc>
          <w:tcPr>
            <w:tcW w:w="140" w:type="dxa"/>
            <w:vAlign w:val="bottom"/>
            <w:shd w:val="clear" w:color="auto" w:fill="CCEEFF"/>
          </w:tcPr>
          <w:p>
            <w:pPr>
              <w:spacing w:after="0"/>
              <w:rPr>
                <w:sz w:val="17"/>
                <w:szCs w:val="17"/>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expense during the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40" w:type="dxa"/>
            <w:vAlign w:val="bottom"/>
          </w:tcPr>
          <w:p>
            <w:pPr>
              <w:ind w:left="180"/>
              <w:spacing w:after="0" w:line="203" w:lineRule="exact"/>
              <w:rPr>
                <w:sz w:val="20"/>
                <w:szCs w:val="20"/>
                <w:color w:val="auto"/>
              </w:rPr>
            </w:pPr>
            <w:r>
              <w:rPr>
                <w:rFonts w:ascii="Arial" w:cs="Arial" w:eastAsia="Arial" w:hAnsi="Arial"/>
                <w:sz w:val="18"/>
                <w:szCs w:val="18"/>
                <w:color w:val="auto"/>
              </w:rPr>
              <w:t>period</w:t>
            </w:r>
          </w:p>
        </w:tc>
        <w:tc>
          <w:tcPr>
            <w:tcW w:w="12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492,801</w:t>
            </w:r>
          </w:p>
        </w:tc>
        <w:tc>
          <w:tcPr>
            <w:tcW w:w="160" w:type="dxa"/>
            <w:vAlign w:val="bottom"/>
          </w:tcPr>
          <w:p>
            <w:pPr>
              <w:spacing w:after="0"/>
              <w:rPr>
                <w:sz w:val="17"/>
                <w:szCs w:val="17"/>
                <w:color w:val="auto"/>
              </w:rPr>
            </w:pPr>
          </w:p>
        </w:tc>
        <w:tc>
          <w:tcPr>
            <w:tcW w:w="1080" w:type="dxa"/>
            <w:vAlign w:val="bottom"/>
            <w:gridSpan w:val="3"/>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3"/>
          </w:tcPr>
          <w:p>
            <w:pPr>
              <w:ind w:left="5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492,801</w:t>
            </w:r>
          </w:p>
        </w:tc>
        <w:tc>
          <w:tcPr>
            <w:tcW w:w="140" w:type="dxa"/>
            <w:vAlign w:val="bottom"/>
          </w:tcPr>
          <w:p>
            <w:pPr>
              <w:spacing w:after="0"/>
              <w:rPr>
                <w:sz w:val="17"/>
                <w:szCs w:val="17"/>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(1,591,578)</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33"/>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(1,591,578)</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Equity component of convertible loan</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40" w:type="dxa"/>
            <w:vAlign w:val="bottom"/>
          </w:tcPr>
          <w:p>
            <w:pPr>
              <w:ind w:left="180"/>
              <w:spacing w:after="0" w:line="203" w:lineRule="exact"/>
              <w:rPr>
                <w:sz w:val="20"/>
                <w:szCs w:val="20"/>
                <w:color w:val="auto"/>
              </w:rPr>
            </w:pPr>
            <w:r>
              <w:rPr>
                <w:rFonts w:ascii="Arial" w:cs="Arial" w:eastAsia="Arial" w:hAnsi="Arial"/>
                <w:sz w:val="18"/>
                <w:szCs w:val="18"/>
                <w:color w:val="auto"/>
              </w:rPr>
              <w:t>instrument</w:t>
            </w:r>
          </w:p>
        </w:tc>
        <w:tc>
          <w:tcPr>
            <w:tcW w:w="12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gridSpan w:val="2"/>
          </w:tcPr>
          <w:p>
            <w:pPr>
              <w:jc w:val="center"/>
              <w:ind w:left="33"/>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(308,122)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ind w:left="5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(308,122)</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23, 2019 for</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8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acquisition of OncoMed (Note 8)</w:t>
            </w:r>
          </w:p>
        </w:tc>
        <w:tc>
          <w:tcPr>
            <w:tcW w:w="122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33"/>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40,818,128</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40,818,128</w:t>
            </w:r>
          </w:p>
        </w:tc>
        <w:tc>
          <w:tcPr>
            <w:tcW w:w="140" w:type="dxa"/>
            <w:vAlign w:val="bottom"/>
            <w:shd w:val="clear" w:color="auto" w:fill="CCEEFF"/>
          </w:tcPr>
          <w:p>
            <w:pPr>
              <w:spacing w:after="0"/>
              <w:rPr>
                <w:sz w:val="17"/>
                <w:szCs w:val="17"/>
                <w:color w:val="auto"/>
              </w:rPr>
            </w:pPr>
          </w:p>
        </w:tc>
      </w:tr>
      <w:tr>
        <w:trPr>
          <w:trHeight w:val="209"/>
        </w:trPr>
        <w:tc>
          <w:tcPr>
            <w:tcW w:w="3840" w:type="dxa"/>
            <w:vAlign w:val="bottom"/>
          </w:tcPr>
          <w:p>
            <w:pPr>
              <w:spacing w:after="0"/>
              <w:rPr>
                <w:sz w:val="20"/>
                <w:szCs w:val="20"/>
                <w:color w:val="auto"/>
              </w:rPr>
            </w:pPr>
            <w:r>
              <w:rPr>
                <w:rFonts w:ascii="Arial" w:cs="Arial" w:eastAsia="Arial" w:hAnsi="Arial"/>
                <w:sz w:val="18"/>
                <w:szCs w:val="18"/>
                <w:b w:val="1"/>
                <w:bCs w:val="1"/>
                <w:color w:val="auto"/>
              </w:rPr>
              <w:t>At June 30, 2019—Unaudited</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17,141,563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center"/>
              <w:ind w:left="279"/>
              <w:spacing w:after="0"/>
              <w:rPr>
                <w:sz w:val="20"/>
                <w:szCs w:val="20"/>
                <w:color w:val="auto"/>
              </w:rPr>
            </w:pPr>
            <w:r>
              <w:rPr>
                <w:rFonts w:ascii="Arial" w:cs="Arial" w:eastAsia="Arial" w:hAnsi="Arial"/>
                <w:sz w:val="18"/>
                <w:szCs w:val="18"/>
                <w:b w:val="1"/>
                <w:bCs w:val="1"/>
                <w:color w:val="auto"/>
              </w:rPr>
              <w:t>44,156</w:t>
            </w: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40,818,128</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58,003,847</w:t>
            </w:r>
          </w:p>
        </w:tc>
        <w:tc>
          <w:tcPr>
            <w:tcW w:w="14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6"/>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component of</w:t>
            </w: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to be</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Share-based</w:t>
            </w: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issued for</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TAP funding</w:t>
            </w:r>
          </w:p>
        </w:tc>
        <w:tc>
          <w:tcPr>
            <w:tcW w:w="4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5"/>
        </w:trPr>
        <w:tc>
          <w:tcPr>
            <w:tcW w:w="3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2018—Audited</w:t>
            </w: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gridSpan w:val="2"/>
            <w:shd w:val="clear" w:color="auto" w:fill="CCEEFF"/>
          </w:tcPr>
          <w:p>
            <w:pPr>
              <w:jc w:val="center"/>
              <w:ind w:left="13"/>
              <w:spacing w:after="0" w:line="196" w:lineRule="exact"/>
              <w:rPr>
                <w:sz w:val="20"/>
                <w:szCs w:val="20"/>
                <w:color w:val="auto"/>
              </w:rPr>
            </w:pPr>
            <w:r>
              <w:rPr>
                <w:rFonts w:ascii="Arial" w:cs="Arial" w:eastAsia="Arial" w:hAnsi="Arial"/>
                <w:sz w:val="18"/>
                <w:szCs w:val="18"/>
                <w:color w:val="auto"/>
                <w:w w:val="99"/>
              </w:rPr>
              <w:t>1,591,578</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14,459,469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92"/>
              </w:rPr>
              <w:t>308,122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16,359,169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060" w:type="dxa"/>
            <w:vAlign w:val="bottom"/>
            <w:gridSpan w:val="3"/>
          </w:tcPr>
          <w:p>
            <w:pPr>
              <w:spacing w:after="0" w:line="202" w:lineRule="exact"/>
              <w:rPr>
                <w:sz w:val="20"/>
                <w:szCs w:val="20"/>
                <w:color w:val="auto"/>
              </w:rPr>
            </w:pPr>
            <w:r>
              <w:rPr>
                <w:rFonts w:ascii="Arial" w:cs="Arial" w:eastAsia="Arial" w:hAnsi="Arial"/>
                <w:sz w:val="18"/>
                <w:szCs w:val="18"/>
                <w:color w:val="auto"/>
              </w:rPr>
              <w:t>Share-based payments expense during the period</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1,386,862</w:t>
            </w:r>
          </w:p>
        </w:tc>
        <w:tc>
          <w:tcPr>
            <w:tcW w:w="140" w:type="dxa"/>
            <w:vAlign w:val="bottom"/>
          </w:tcPr>
          <w:p>
            <w:pPr>
              <w:spacing w:after="0"/>
              <w:rPr>
                <w:sz w:val="17"/>
                <w:szCs w:val="17"/>
                <w:color w:val="auto"/>
              </w:rPr>
            </w:pP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1,386,862</w:t>
            </w:r>
          </w:p>
        </w:tc>
      </w:tr>
      <w:tr>
        <w:trPr>
          <w:trHeight w:val="27"/>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2018—Unaudited</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13"/>
              <w:spacing w:after="0" w:line="202" w:lineRule="exact"/>
              <w:rPr>
                <w:sz w:val="20"/>
                <w:szCs w:val="20"/>
                <w:color w:val="auto"/>
              </w:rPr>
            </w:pPr>
            <w:r>
              <w:rPr>
                <w:rFonts w:ascii="Arial" w:cs="Arial" w:eastAsia="Arial" w:hAnsi="Arial"/>
                <w:sz w:val="18"/>
                <w:szCs w:val="18"/>
                <w:b w:val="1"/>
                <w:bCs w:val="1"/>
                <w:color w:val="auto"/>
                <w:w w:val="99"/>
              </w:rPr>
              <w:t>1,591,578</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15,846,331</w:t>
            </w:r>
          </w:p>
        </w:tc>
        <w:tc>
          <w:tcPr>
            <w:tcW w:w="1180" w:type="dxa"/>
            <w:vAlign w:val="bottom"/>
            <w:gridSpan w:val="4"/>
            <w:shd w:val="clear" w:color="auto" w:fill="CCEEFF"/>
          </w:tcPr>
          <w:p>
            <w:pPr>
              <w:ind w:left="480"/>
              <w:spacing w:after="0" w:line="202" w:lineRule="exact"/>
              <w:rPr>
                <w:sz w:val="20"/>
                <w:szCs w:val="20"/>
                <w:color w:val="auto"/>
              </w:rPr>
            </w:pPr>
            <w:r>
              <w:rPr>
                <w:rFonts w:ascii="Arial" w:cs="Arial" w:eastAsia="Arial" w:hAnsi="Arial"/>
                <w:sz w:val="18"/>
                <w:szCs w:val="18"/>
                <w:b w:val="1"/>
                <w:bCs w:val="1"/>
                <w:color w:val="auto"/>
              </w:rPr>
              <w:t>308,122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17,746,031</w:t>
            </w:r>
          </w:p>
        </w:tc>
      </w:tr>
      <w:tr>
        <w:trPr>
          <w:trHeight w:val="20"/>
        </w:trPr>
        <w:tc>
          <w:tcPr>
            <w:tcW w:w="5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060" w:type="dxa"/>
            <w:vAlign w:val="bottom"/>
            <w:gridSpan w:val="3"/>
          </w:tcPr>
          <w:p>
            <w:pPr>
              <w:spacing w:after="0" w:line="196" w:lineRule="exact"/>
              <w:rPr>
                <w:sz w:val="20"/>
                <w:szCs w:val="20"/>
                <w:color w:val="auto"/>
              </w:rPr>
            </w:pPr>
            <w:r>
              <w:rPr>
                <w:rFonts w:ascii="Arial" w:cs="Arial" w:eastAsia="Arial" w:hAnsi="Arial"/>
                <w:sz w:val="18"/>
                <w:szCs w:val="18"/>
                <w:color w:val="auto"/>
              </w:rPr>
              <w:t>Share-based payments expense during the period</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915,473</w:t>
            </w:r>
          </w:p>
        </w:tc>
        <w:tc>
          <w:tcPr>
            <w:tcW w:w="140" w:type="dxa"/>
            <w:vAlign w:val="bottom"/>
          </w:tcPr>
          <w:p>
            <w:pPr>
              <w:spacing w:after="0"/>
              <w:rPr>
                <w:sz w:val="17"/>
                <w:szCs w:val="17"/>
                <w:color w:val="auto"/>
              </w:rPr>
            </w:pPr>
          </w:p>
        </w:tc>
        <w:tc>
          <w:tcPr>
            <w:tcW w:w="1040" w:type="dxa"/>
            <w:vAlign w:val="bottom"/>
            <w:gridSpan w:val="3"/>
          </w:tcPr>
          <w:p>
            <w:pPr>
              <w:ind w:left="70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915,473</w:t>
            </w:r>
          </w:p>
        </w:tc>
      </w:tr>
      <w:tr>
        <w:trPr>
          <w:trHeight w:val="203"/>
        </w:trPr>
        <w:tc>
          <w:tcPr>
            <w:tcW w:w="5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release for exercise of options</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(113,042)</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(113,042)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Warrants issued for TAP funding</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44,156</w:t>
            </w:r>
          </w:p>
        </w:tc>
        <w:tc>
          <w:tcPr>
            <w:tcW w:w="1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44,156</w:t>
            </w: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2018—Audited</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3"/>
            <w:shd w:val="clear" w:color="auto" w:fill="CCEEFF"/>
          </w:tcPr>
          <w:p>
            <w:pPr>
              <w:jc w:val="center"/>
              <w:ind w:left="339"/>
              <w:spacing w:after="0" w:line="196" w:lineRule="exact"/>
              <w:rPr>
                <w:sz w:val="20"/>
                <w:szCs w:val="20"/>
                <w:color w:val="auto"/>
              </w:rPr>
            </w:pPr>
            <w:r>
              <w:rPr>
                <w:rFonts w:ascii="Arial" w:cs="Arial" w:eastAsia="Arial" w:hAnsi="Arial"/>
                <w:sz w:val="18"/>
                <w:szCs w:val="18"/>
                <w:b w:val="1"/>
                <w:bCs w:val="1"/>
                <w:color w:val="auto"/>
                <w:w w:val="99"/>
              </w:rPr>
              <w:t>1,591,578</w:t>
            </w:r>
          </w:p>
        </w:tc>
        <w:tc>
          <w:tcPr>
            <w:tcW w:w="12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16,648,762</w:t>
            </w:r>
          </w:p>
        </w:tc>
        <w:tc>
          <w:tcPr>
            <w:tcW w:w="1180" w:type="dxa"/>
            <w:vAlign w:val="bottom"/>
            <w:gridSpan w:val="4"/>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308,122</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44,156</w:t>
            </w:r>
          </w:p>
        </w:tc>
        <w:tc>
          <w:tcPr>
            <w:tcW w:w="12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18,592,618</w:t>
            </w: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Shares to be issued</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At January 1, 2017, £2,674,477 representing a maximum of 1,453,520 shares at £ 1.84 were remaining to be issued to Novartis pro rata to their percentage shareholding as and when the Company issues further ordinary shares.</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£1,591,578 representing a maximum of 864,988 shares at £1.84 were remaining to be issued to Novartis pro rata to their percentage shareholding as and when the Company issues further ordinary shares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Of the 1,936,030 ordinary shares issued to Novartis on June 21, 2019, the remaining 864,988 shares were issued to Novartis as fully paid up bonus shares (for £nil consideration). The fair value of these shares was £1.84 per share.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payments</w:t>
      </w:r>
    </w:p>
    <w:p>
      <w:pPr>
        <w:spacing w:after="0" w:line="12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The Group has a share option scheme under which options to subscribe for the Group’s shares have been granted to certain Executives, Non-Executive Directors and employees.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share-based payment reserve is used to recognise:</w:t>
      </w:r>
    </w:p>
    <w:p>
      <w:pPr>
        <w:spacing w:after="0" w:line="117" w:lineRule="exact"/>
        <w:rPr>
          <w:sz w:val="20"/>
          <w:szCs w:val="20"/>
          <w:color w:val="auto"/>
        </w:rPr>
      </w:pPr>
    </w:p>
    <w:p>
      <w:pPr>
        <w:ind w:left="1080" w:right="300" w:hanging="532"/>
        <w:spacing w:after="0" w:line="24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value of equity-settled share-based payments provided to employees, including key management personnel, as part of their remuneration;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deferred equity consideration.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charge for the six months to June 30, 2019 in respect of all share option schemes was 492,801 (June 30, 2018:</w:t>
      </w:r>
    </w:p>
    <w:p>
      <w:pPr>
        <w:ind w:left="120"/>
        <w:spacing w:after="0"/>
        <w:rPr>
          <w:sz w:val="20"/>
          <w:szCs w:val="20"/>
          <w:color w:val="auto"/>
        </w:rPr>
      </w:pPr>
      <w:r>
        <w:rPr>
          <w:rFonts w:ascii="Arial" w:cs="Arial" w:eastAsia="Arial" w:hAnsi="Arial"/>
          <w:sz w:val="18"/>
          <w:szCs w:val="18"/>
          <w:color w:val="auto"/>
        </w:rPr>
        <w:t>£1,386,862).</w:t>
      </w:r>
    </w:p>
    <w:p>
      <w:pPr>
        <w:spacing w:after="0" w:line="21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May 20, 2019, the Company granted 441,700 market value options over ADS under the Mereo 2019 Equity Incentive Plan to certain executives and other employees. The weighted average fair value of options granted was £0.61. The exercise price is $ 5.40. On the same date, the Company granted 38,500 market value options over ADS under the Mereo 2019 NED Equity Incentive Plan to certain non-executives. The weighted average fair value of options granted was £0.61. The exercise price is $5.40.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component of convertible loan instrument</w:t>
      </w:r>
    </w:p>
    <w:p>
      <w:pPr>
        <w:spacing w:after="0" w:line="122"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June 30, 2019 is £nil (June 30, 2018: £308,122). The value of the equity component (cost of the conversion option) as at December 31, 2018 was £308,122.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reserve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23, 2019, the Group obtained a 100% controlling interest in OncoMed (Note 4).</w:t>
      </w:r>
    </w:p>
    <w:p>
      <w:pPr>
        <w:spacing w:after="0" w:line="21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consideration paid to acquire OncoMed was 24,783,320 ordinary shares with a fair value of £40,892,478 based on the Group’s quoted share price as at the date of acquisition. The nominal value of the issued capital was £74,350 with the excess, £40,818,128, classified within other capital reserves as a ‘Merger reserve’.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Provisions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Six months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 to</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 June 30,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119,472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2,318,058</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842,367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2,141,000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1,968,000</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2,131,000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2,260,472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4,286,058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2,973,367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333,556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293,000</w:t>
            </w: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1,926,916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3,993,058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2,641,353</w:t>
            </w:r>
          </w:p>
        </w:tc>
        <w:tc>
          <w:tcPr>
            <w:tcW w:w="0" w:type="dxa"/>
            <w:vAlign w:val="bottom"/>
          </w:tcPr>
          <w:p>
            <w:pPr>
              <w:spacing w:after="0"/>
              <w:rPr>
                <w:sz w:val="1"/>
                <w:szCs w:val="1"/>
                <w:color w:val="auto"/>
              </w:rPr>
            </w:pPr>
          </w:p>
        </w:tc>
      </w:tr>
      <w:tr>
        <w:trPr>
          <w:trHeight w:val="372"/>
        </w:trPr>
        <w:tc>
          <w:tcPr>
            <w:tcW w:w="3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Six months</w:t>
            </w:r>
          </w:p>
        </w:tc>
        <w:tc>
          <w:tcPr>
            <w:tcW w:w="240" w:type="dxa"/>
            <w:vAlign w:val="bottom"/>
            <w:gridSpan w:val="2"/>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Six months to</w:t>
            </w:r>
          </w:p>
        </w:tc>
        <w:tc>
          <w:tcPr>
            <w:tcW w:w="1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 June 30,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Social security contributions on share options</w:t>
            </w:r>
          </w:p>
        </w:tc>
        <w:tc>
          <w:tcPr>
            <w:tcW w:w="4180" w:type="dxa"/>
            <w:vAlign w:val="bottom"/>
            <w:vMerge w:val="restart"/>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2"/>
        </w:trPr>
        <w:tc>
          <w:tcPr>
            <w:tcW w:w="318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842,367</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2,288,386</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2,288,386</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29,672</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Released during the year/period</w:t>
            </w: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(722,895)</w:t>
            </w:r>
          </w:p>
        </w:tc>
        <w:tc>
          <w:tcPr>
            <w:tcW w:w="124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(1,446,019)</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At end of year/period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119,472</w:t>
            </w: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2,318,058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842,367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20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Non-current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119,472</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2,318,058</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 to</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 to</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2019</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Provision for deferred cash consideration</w:t>
            </w:r>
          </w:p>
        </w:tc>
        <w:tc>
          <w:tcPr>
            <w:tcW w:w="4400" w:type="dxa"/>
            <w:vAlign w:val="bottom"/>
            <w:vMerge w:val="restart"/>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8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2,131,000</w:t>
            </w: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2,061,000</w:t>
            </w: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2,061,000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3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179,000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222,000</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 probabilities</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of contractual milestones being achieved (see Note 6)</w:t>
            </w:r>
          </w:p>
        </w:tc>
        <w:tc>
          <w:tcPr>
            <w:tcW w:w="13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(169,000)</w:t>
            </w:r>
          </w:p>
        </w:tc>
        <w:tc>
          <w:tcPr>
            <w:tcW w:w="13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(315,000)</w:t>
            </w: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02"/>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2,141,000</w:t>
            </w:r>
          </w:p>
        </w:tc>
        <w:tc>
          <w:tcPr>
            <w:tcW w:w="32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1,968,000</w:t>
            </w:r>
          </w:p>
        </w:tc>
        <w:tc>
          <w:tcPr>
            <w:tcW w:w="3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2,131,000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333,556</w:t>
            </w:r>
          </w:p>
        </w:tc>
        <w:tc>
          <w:tcPr>
            <w:tcW w:w="32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293,000</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1,807,444</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1,675,000</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1,798,986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60"/>
        <w:spacing w:after="0" w:line="246" w:lineRule="auto"/>
        <w:rPr>
          <w:sz w:val="20"/>
          <w:szCs w:val="20"/>
          <w:color w:val="auto"/>
        </w:rPr>
      </w:pPr>
      <w:r>
        <w:rPr>
          <w:rFonts w:ascii="Arial" w:cs="Arial" w:eastAsia="Arial" w:hAnsi="Arial"/>
          <w:sz w:val="18"/>
          <w:szCs w:val="18"/>
          <w:color w:val="auto"/>
        </w:rPr>
        <w:t>clinical trials. The likelihood of achieving such milestones is reviewed at the balance sheet date and increased or decreased as appropriate (see Note 6).</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Warrant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to June 30,</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 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74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year/period</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1,005,613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1,346,484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1,346,484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131,150</w:t>
            </w:r>
          </w:p>
        </w:tc>
        <w:tc>
          <w:tcPr>
            <w:tcW w:w="220" w:type="dxa"/>
            <w:vAlign w:val="bottom"/>
          </w:tcPr>
          <w:p>
            <w:pPr>
              <w:spacing w:after="0"/>
              <w:rPr>
                <w:sz w:val="17"/>
                <w:szCs w:val="17"/>
                <w:color w:val="auto"/>
              </w:rPr>
            </w:pPr>
          </w:p>
        </w:tc>
        <w:tc>
          <w:tcPr>
            <w:tcW w:w="11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375,343</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Movement during the year/period</w:t>
            </w: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(911,290)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188,480</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(716,214)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At end of year/period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225,473</w:t>
            </w: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1,534,964</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1,005,613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On May 3, 2019 the Group issued 321,444 warrants to lenders of the bank loan facility (see Note 7b). These warrants will be capable of exercise until October 1, 2028 at an exercise price of £2.95.</w:t>
      </w:r>
    </w:p>
    <w:p>
      <w:pPr>
        <w:spacing w:after="0" w:line="197"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As at June 30, 2019 a total of 1,243,908 warrants are outstanding, held by lenders of the bank loan facility, which is equivalent to 1.27% of the ordinary share capital of the Company.</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considering appropriate amendments to inputs in respect of volatility and remaining expected life of the warrants.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16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 to</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 to</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16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2019</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616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Audited</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1.26</w:t>
            </w: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9.5</w:t>
            </w:r>
          </w:p>
        </w:tc>
        <w:tc>
          <w:tcPr>
            <w:tcW w:w="1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9.3</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0.83</w:t>
            </w: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3.12</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Black Scholes</w:t>
            </w:r>
          </w:p>
        </w:tc>
        <w:tc>
          <w:tcPr>
            <w:tcW w:w="1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Black Scholes</w:t>
            </w:r>
          </w:p>
        </w:tc>
      </w:tr>
      <w:tr>
        <w:trPr>
          <w:trHeight w:val="20"/>
        </w:trPr>
        <w:tc>
          <w:tcPr>
            <w:tcW w:w="6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fair value of the warrants at grant was £1,292,011. At June 30, 2019 it was £225,473 (2018: £1,534,964) and at December 31, 2018 it was £1,005,613.</w:t>
      </w:r>
    </w:p>
    <w:p>
      <w:pPr>
        <w:spacing w:after="0" w:line="197"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Transactions between the parent and its subsidiaries, which are related parties, have been eliminated on consolidation and are not disclosed in this note.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Novartis holds 15,703,871 shares in the Company at June 30, 2019 (June 30, 2018 and December 31, 2018: 13,767,841). Novartis held £2,065,011 principal value of loan Notes at June 30, 2018 and December 31, 2018.</w:t>
      </w:r>
    </w:p>
    <w:p>
      <w:pPr>
        <w:spacing w:after="0" w:line="197"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On June 21, 2019 Novartis converted the remaining balance of principal and interest of £2,367,004 of loan Notes into 1,071,042 ordinary shares at the fixed conversion price of £2.21 per share (see Note 7a). Under the terms of the Notes, Novartis also received 864,988 bonus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2016 the Company set up an Employee benefit trust for the purposes of buying and selling shares on the employees’ behalf.</w:t>
      </w:r>
    </w:p>
    <w:p>
      <w:pPr>
        <w:spacing w:after="0" w:line="212"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 total of £1,000,000of funding was paid into the Trust by the Company during the period to June 30, 2019 (2018: nil). A total of £325,000 of funding was paid into the Trust by the Company during the year ended December 31, 2018.</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 total of 1,074,274 shares were purchased by the Trust during the period to June 30, 2019 (2018: nil). A total of 163,000 shares were purchased by the Trust during the year ended December 31, 2018.</w:t>
      </w:r>
    </w:p>
    <w:p>
      <w:pPr>
        <w:spacing w:after="0" w:line="197"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at June 30, 2019 a cash balance of £21,762 (2018: £3,600) was held by the Trust. As at December 31, 2018 a cash balance of £21,762 was held by the Trust.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Events after the reporting period</w:t>
      </w:r>
    </w:p>
    <w:p>
      <w:pPr>
        <w:spacing w:after="0" w:line="126"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On July 23, 2019, the Company granted 215,500 market value options over ADS under the Mereo 2019 Equity Incentive Plan to certain executives and other employees at an exercise price of $3.00 per ADS.</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July 23, 2019, the Company granted 38,500 market value options over ADS under the Mereo 2019 NED Equity Incentive Plan to certain non-executives at an exercise price of $3.00 per ADS.</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On August 1, 2019, the Company granted 50,000 market value options over ADS under the Mereo 2019 Equity Incentive Plan to certain employees at an exercise price of $2.60 per ADS.</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On August 2, 2019, the Company granted 6,000 market value options over ADS under the Mereo 2019 Equity Incentive Plan to certain employees at an exercise price of $2.74 per ADS.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6, 2019, OncoMed received a tax refund in respect of Alternative Minimum Tax (“AMT”) of $1,303,920 from the U.S.</w:t>
      </w:r>
    </w:p>
    <w:p>
      <w:pPr>
        <w:ind w:left="120"/>
        <w:spacing w:after="0"/>
        <w:rPr>
          <w:sz w:val="20"/>
          <w:szCs w:val="20"/>
          <w:color w:val="auto"/>
        </w:rPr>
      </w:pPr>
      <w:r>
        <w:rPr>
          <w:rFonts w:ascii="Arial" w:cs="Arial" w:eastAsia="Arial" w:hAnsi="Arial"/>
          <w:sz w:val="18"/>
          <w:szCs w:val="18"/>
          <w:color w:val="auto"/>
        </w:rPr>
        <w:t>Internal Revenue Service (“IRS”).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audited the accompanying consolidated balance sheets of Mereo BioPharma Group plc (the “Company”) as of</w:t>
      </w:r>
    </w:p>
    <w:p>
      <w:pPr>
        <w:ind w:left="120"/>
        <w:spacing w:after="0"/>
        <w:rPr>
          <w:sz w:val="20"/>
          <w:szCs w:val="20"/>
          <w:color w:val="auto"/>
        </w:rPr>
      </w:pPr>
      <w:r>
        <w:rPr>
          <w:rFonts w:ascii="Arial" w:cs="Arial" w:eastAsia="Arial" w:hAnsi="Arial"/>
          <w:sz w:val="17"/>
          <w:szCs w:val="17"/>
          <w:color w:val="auto"/>
        </w:rPr>
        <w:t>December 31, 2018 and 2017, and the related consolidated statements of comprehensive loss, changes in equity, and cash flows for each</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three years in the period ended December 31, 2018, and the related notes (collectively referred to as the consolidated financial</w:t>
      </w:r>
    </w:p>
    <w:p>
      <w:pPr>
        <w:ind w:left="120"/>
        <w:spacing w:after="0" w:line="234" w:lineRule="auto"/>
        <w:rPr>
          <w:sz w:val="20"/>
          <w:szCs w:val="20"/>
          <w:color w:val="auto"/>
        </w:rPr>
      </w:pPr>
      <w:r>
        <w:rPr>
          <w:rFonts w:ascii="Arial" w:cs="Arial" w:eastAsia="Arial" w:hAnsi="Arial"/>
          <w:sz w:val="18"/>
          <w:szCs w:val="18"/>
          <w:color w:val="auto"/>
        </w:rPr>
        <w:t>statements). In our opinion, the consolidated financial statements present fairly, in all material respects, the financial position of the</w:t>
      </w:r>
    </w:p>
    <w:p>
      <w:pPr>
        <w:ind w:left="120"/>
        <w:spacing w:after="0" w:line="235" w:lineRule="auto"/>
        <w:rPr>
          <w:sz w:val="20"/>
          <w:szCs w:val="20"/>
          <w:color w:val="auto"/>
        </w:rPr>
      </w:pPr>
      <w:r>
        <w:rPr>
          <w:rFonts w:ascii="Arial" w:cs="Arial" w:eastAsia="Arial" w:hAnsi="Arial"/>
          <w:sz w:val="18"/>
          <w:szCs w:val="18"/>
          <w:color w:val="auto"/>
        </w:rPr>
        <w:t>Company at December 31, 2018 and 2017, and the results of its operations and its cash flows for each of the three years in the period</w:t>
      </w:r>
    </w:p>
    <w:p>
      <w:pPr>
        <w:ind w:left="120"/>
        <w:spacing w:after="0" w:line="235" w:lineRule="auto"/>
        <w:rPr>
          <w:sz w:val="20"/>
          <w:szCs w:val="20"/>
          <w:color w:val="auto"/>
        </w:rPr>
      </w:pPr>
      <w:r>
        <w:rPr>
          <w:rFonts w:ascii="Arial" w:cs="Arial" w:eastAsia="Arial" w:hAnsi="Arial"/>
          <w:sz w:val="18"/>
          <w:szCs w:val="18"/>
          <w:color w:val="auto"/>
        </w:rPr>
        <w:t>ended December 31, 2018, in conformity with International Financial Reporting Standards as issued by the International Accounting</w:t>
      </w:r>
    </w:p>
    <w:p>
      <w:pPr>
        <w:ind w:left="120"/>
        <w:spacing w:after="0"/>
        <w:rPr>
          <w:sz w:val="20"/>
          <w:szCs w:val="20"/>
          <w:color w:val="auto"/>
        </w:rPr>
      </w:pPr>
      <w:r>
        <w:rPr>
          <w:rFonts w:ascii="Arial" w:cs="Arial" w:eastAsia="Arial" w:hAnsi="Arial"/>
          <w:sz w:val="18"/>
          <w:szCs w:val="18"/>
          <w:color w:val="auto"/>
        </w:rPr>
        <w:t>Standards Board.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ind w:left="120"/>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2019</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840" w:type="dxa"/>
            <w:vAlign w:val="bottom"/>
            <w:tcBorders>
              <w:bottom w:val="single" w:sz="8" w:color="auto"/>
            </w:tcBorders>
            <w:gridSpan w:val="5"/>
          </w:tcPr>
          <w:p>
            <w:pPr>
              <w:jc w:val="center"/>
              <w:ind w:left="933"/>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1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(in £)</w:t>
            </w: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(24,562,502)</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(34,606,649)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(22,703,553)</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(11,616,816)</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(10,697,194)</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(12,504,887)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(36,179,318)</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(45,303,843)</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(35,208,440)</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374,906</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826,855</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306,831</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(179,765)</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(1,089,925)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(2,360,648)</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2,262,626</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(1,384,225)</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(33,721,551)</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(37,306,120)</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5,331,271</w:t>
            </w:r>
          </w:p>
        </w:tc>
        <w:tc>
          <w:tcPr>
            <w:tcW w:w="22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8,152,084</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5,277,380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parent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(28,390,280)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(38,799,054)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(32,028,740)</w:t>
            </w:r>
          </w:p>
        </w:tc>
        <w:tc>
          <w:tcPr>
            <w:tcW w:w="0" w:type="dxa"/>
            <w:vAlign w:val="bottom"/>
          </w:tcPr>
          <w:p>
            <w:pPr>
              <w:spacing w:after="0"/>
              <w:rPr>
                <w:sz w:val="1"/>
                <w:szCs w:val="1"/>
                <w:color w:val="auto"/>
              </w:rPr>
            </w:pPr>
          </w:p>
        </w:tc>
      </w:tr>
      <w:tr>
        <w:trPr>
          <w:trHeight w:val="209"/>
        </w:trPr>
        <w:tc>
          <w:tcPr>
            <w:tcW w:w="6480" w:type="dxa"/>
            <w:vAlign w:val="bottom"/>
          </w:tcPr>
          <w:p>
            <w:pPr>
              <w:spacing w:after="0" w:line="202" w:lineRule="exact"/>
              <w:rPr>
                <w:sz w:val="20"/>
                <w:szCs w:val="20"/>
                <w:color w:val="auto"/>
              </w:rPr>
            </w:pPr>
            <w:r>
              <w:rPr>
                <w:rFonts w:ascii="Arial" w:cs="Arial" w:eastAsia="Arial" w:hAnsi="Arial"/>
                <w:sz w:val="18"/>
                <w:szCs w:val="18"/>
                <w:color w:val="auto"/>
              </w:rPr>
              <w:t>Other comprehensive income for the year, net of tax</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ind w:left="8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comprehensive loss for the year, net of tax and attributable to the equity</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(32,028,740)</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holders of the parent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(28,390,280)</w:t>
            </w:r>
          </w:p>
        </w:tc>
        <w:tc>
          <w:tcPr>
            <w:tcW w:w="13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(38,799,054)</w:t>
            </w: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December 31,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5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1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153,361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148,934</w:t>
            </w:r>
          </w:p>
        </w:tc>
        <w:tc>
          <w:tcPr>
            <w:tcW w:w="0" w:type="dxa"/>
            <w:vAlign w:val="bottom"/>
          </w:tcPr>
          <w:p>
            <w:pPr>
              <w:spacing w:after="0"/>
              <w:rPr>
                <w:sz w:val="1"/>
                <w:szCs w:val="1"/>
                <w:color w:val="auto"/>
              </w:rPr>
            </w:pPr>
          </w:p>
        </w:tc>
      </w:tr>
      <w:tr>
        <w:trPr>
          <w:trHeight w:val="210"/>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33,005,229</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32,632,229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33,158,590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32,781,164</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1,970,781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1,066,932</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8,152,084</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5,277,380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509,350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608,893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50,044,672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25,041,945</w:t>
            </w:r>
          </w:p>
        </w:tc>
        <w:tc>
          <w:tcPr>
            <w:tcW w:w="0" w:type="dxa"/>
            <w:vAlign w:val="bottom"/>
          </w:tcPr>
          <w:p>
            <w:pPr>
              <w:spacing w:after="0"/>
              <w:rPr>
                <w:sz w:val="1"/>
                <w:szCs w:val="1"/>
                <w:color w:val="auto"/>
              </w:rPr>
            </w:pPr>
          </w:p>
        </w:tc>
      </w:tr>
      <w:tr>
        <w:trPr>
          <w:trHeight w:val="217"/>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63,176,887</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34,495,150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96,335,477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67,276,314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213,285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118,226,956</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118,492,073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16,359,169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18,592,618</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 Trust shares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w:t>
            </w:r>
          </w:p>
        </w:tc>
        <w:tc>
          <w:tcPr>
            <w:tcW w:w="2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(306,838)</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7,000,000</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7,000,000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loss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(79,315,920)</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(111,220,794)</w:t>
            </w:r>
          </w:p>
        </w:tc>
        <w:tc>
          <w:tcPr>
            <w:tcW w:w="0" w:type="dxa"/>
            <w:vAlign w:val="bottom"/>
          </w:tcPr>
          <w:p>
            <w:pPr>
              <w:spacing w:after="0"/>
              <w:rPr>
                <w:sz w:val="1"/>
                <w:szCs w:val="1"/>
                <w:color w:val="auto"/>
              </w:rPr>
            </w:pPr>
          </w:p>
        </w:tc>
      </w:tr>
      <w:tr>
        <w:trPr>
          <w:trHeight w:val="232"/>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62,483,490</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32,770,780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7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4,075,386</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2,641,353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14,646,753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20</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1,346,484</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1,005,613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w:t>
            </w:r>
          </w:p>
        </w:tc>
        <w:tc>
          <w:tcPr>
            <w:tcW w:w="2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34,289</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24,234,381</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18,328,008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22</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3,024,026</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4,570,307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4,379,774</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4,437,321</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274,000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332,014</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1,939,806</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6,837,884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9,617,606</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16,177,526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33,851,987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34,505,534</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96,335,477</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67,276,314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000" w:type="dxa"/>
            <w:vAlign w:val="bottom"/>
            <w:tcBorders>
              <w:bottom w:val="single" w:sz="8" w:color="auto"/>
            </w:tcBorders>
            <w:gridSpan w:val="5"/>
          </w:tcPr>
          <w:p>
            <w:pPr>
              <w:jc w:val="center"/>
              <w:ind w:left="951"/>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18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rPr>
              <w:t>(in £)</w:t>
            </w: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(33,721,551)</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(37,306,120)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32,940</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36,076</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37,796</w:t>
            </w:r>
          </w:p>
        </w:tc>
        <w:tc>
          <w:tcPr>
            <w:tcW w:w="0" w:type="dxa"/>
            <w:vAlign w:val="bottom"/>
          </w:tcPr>
          <w:p>
            <w:pPr>
              <w:spacing w:after="0"/>
              <w:rPr>
                <w:sz w:val="1"/>
                <w:szCs w:val="1"/>
                <w:color w:val="auto"/>
              </w:rPr>
            </w:pPr>
          </w:p>
        </w:tc>
      </w:tr>
      <w:tr>
        <w:trPr>
          <w:trHeight w:val="202"/>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6,494,018</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3,651,898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2,189,293</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Net foreign exchange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(2,262,626)</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1,384,225</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1,031,109</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1,115,966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(1,446,019)</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Provision for deferred cash consideration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(374,906)</w:t>
            </w:r>
          </w:p>
        </w:tc>
        <w:tc>
          <w:tcPr>
            <w:tcW w:w="15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443,000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earned</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(826,855)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(306,831)</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Finance charges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179,765</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1,089,925</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1,917,649</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Modification loss on bank loan</w:t>
            </w:r>
          </w:p>
        </w:tc>
        <w:tc>
          <w:tcPr>
            <w:tcW w:w="5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730,037</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Working capital adjustments: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(Decrease)/Increase in receivables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(1,219,202)</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(839,751)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804,306</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Increase in payables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(768,402)</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3,860,412</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1,603,828</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received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946,681</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5,331,271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8,152,085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(29,662,174)</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(32,147,971)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(23,137,113)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(3,467)</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(15,568)</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(35,536)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license</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(2,280,000)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1,175</w:t>
            </w:r>
          </w:p>
        </w:tc>
        <w:tc>
          <w:tcPr>
            <w:tcW w:w="15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2,166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16</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Interest earned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374,906</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1,051,620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284,928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from (used in) investing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372,614</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(3,743,948)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251,558</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67,888,820</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273,064</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Transaction costs on issue of shares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(2,995,864)</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(729,632)</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(7,511)</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3,463,563</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20,000,000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455,000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(920,859)</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Interest paid on bank loan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(327,123)</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(1,644,610)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TAP agreement</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78,445</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Purchase of treasury shares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17"/>
                <w:szCs w:val="17"/>
                <w:color w:val="auto"/>
              </w:rPr>
            </w:pPr>
          </w:p>
        </w:tc>
        <w:tc>
          <w:tcPr>
            <w:tcW w:w="11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(306,838)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from (used in) financing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68,356,519</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33,743,245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(2,073,309)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39,066,959</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(2,148,674)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(24,958,864)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12,247,986</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53,577,571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50,044,672</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2,262,626</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(1,384,225)</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December 31</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53,577,571</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50,044,672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25,041,945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Other capital</w:t>
            </w: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Employee</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 premium</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reserves</w:t>
            </w: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w w:val="99"/>
              </w:rPr>
              <w:t>Benefit Trust</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 reserves</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losses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equity</w:t>
            </w:r>
          </w:p>
        </w:tc>
      </w:tr>
      <w:tr>
        <w:trPr>
          <w:trHeight w:val="128"/>
        </w:trPr>
        <w:tc>
          <w:tcPr>
            <w:tcW w:w="35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20"/>
              <w:spacing w:after="0" w:line="129" w:lineRule="exact"/>
              <w:rPr>
                <w:sz w:val="20"/>
                <w:szCs w:val="20"/>
                <w:color w:val="auto"/>
              </w:rPr>
            </w:pPr>
            <w:r>
              <w:rPr>
                <w:rFonts w:ascii="Arial" w:cs="Arial" w:eastAsia="Arial" w:hAnsi="Arial"/>
                <w:sz w:val="13"/>
                <w:szCs w:val="13"/>
                <w:b w:val="1"/>
                <w:bCs w:val="1"/>
                <w:color w:val="auto"/>
              </w:rPr>
              <w:t>(in £)</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January 1, 2016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213,285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118,226,956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16,359,169</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(79,315,920)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62,483,490</w:t>
            </w: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Total comprehensive loss for the year</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(28,390,280)</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(28,390,280)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107,709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67,781,112</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67,888,821</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Share-based payments—share options (Note 25)</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6,185,067</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6,185,067</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payments—LTIPs (Note 25)</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133,601</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133,601</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Share-based payments—deferred bonus 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(Note 25)</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175,350</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175,350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26,092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15,977,271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(16,003,363)</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Equity element of convertible loan (Note 18a)</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516,802</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516,802</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 capital reduction (Note 17)</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17)</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(2,995,864)</w:t>
            </w:r>
          </w:p>
        </w:tc>
        <w:tc>
          <w:tcPr>
            <w:tcW w:w="11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(2,995,864)</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December 31, 2016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193,022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99,975,399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12,667,562</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(40,579,241)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79,256,742</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Loss for the year to December 31, 2017</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(38,799,054)</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(38,799,054)</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 (Note 25)</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3,027,963</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3,027,963</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Share-based payments—LTIPs (Note 25)</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298,287</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298,287</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payments—deferred bonus shares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25)</w:t>
            </w:r>
          </w:p>
        </w:tc>
        <w:tc>
          <w:tcPr>
            <w:tcW w:w="780" w:type="dxa"/>
            <w:vAlign w:val="bottom"/>
            <w:gridSpan w:val="2"/>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325,648</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325,648</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Share-based payments—deferred equity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consideration (Note 25)</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1,331,288</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1,331,288</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April 4, 2017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14,984,875</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15,000,000</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Issue of share capital on conversion of loan note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(Note 17)</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1,899</w:t>
            </w:r>
          </w:p>
        </w:tc>
        <w:tc>
          <w:tcPr>
            <w:tcW w:w="12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1,396,654</w:t>
            </w:r>
          </w:p>
        </w:tc>
        <w:tc>
          <w:tcPr>
            <w:tcW w:w="11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1,398,553</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for Novartis bonus shares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17)</w:t>
            </w: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1,766</w:t>
            </w:r>
          </w:p>
        </w:tc>
        <w:tc>
          <w:tcPr>
            <w:tcW w:w="12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1,081,133</w:t>
            </w:r>
          </w:p>
        </w:tc>
        <w:tc>
          <w:tcPr>
            <w:tcW w:w="11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(1,082,899)</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Equity element of convertible loan (Note 18a)</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(208,680)</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(208,680)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Conversion of convertible loan (Note 18a)</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62,375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62,375</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Issue of share capital on October 31, 2017 (Note 17)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1,473</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1,518,527</w:t>
            </w:r>
          </w:p>
        </w:tc>
        <w:tc>
          <w:tcPr>
            <w:tcW w:w="11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1,520,000</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17)</w:t>
            </w:r>
          </w:p>
        </w:tc>
        <w:tc>
          <w:tcPr>
            <w:tcW w:w="6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(729,632)</w:t>
            </w:r>
          </w:p>
        </w:tc>
        <w:tc>
          <w:tcPr>
            <w:tcW w:w="1120" w:type="dxa"/>
            <w:vAlign w:val="bottom"/>
            <w:gridSpan w:val="2"/>
            <w:shd w:val="clear" w:color="auto" w:fill="CCEEFF"/>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(729,632)</w:t>
            </w: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Other capital</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Employee</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 premium</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reserves</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Benefit Trust</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reserves</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losses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520"/>
              <w:spacing w:after="0" w:line="129" w:lineRule="exact"/>
              <w:rPr>
                <w:sz w:val="20"/>
                <w:szCs w:val="20"/>
                <w:color w:val="auto"/>
              </w:rPr>
            </w:pPr>
            <w:r>
              <w:rPr>
                <w:rFonts w:ascii="Arial" w:cs="Arial" w:eastAsia="Arial" w:hAnsi="Arial"/>
                <w:sz w:val="13"/>
                <w:szCs w:val="13"/>
                <w:b w:val="1"/>
                <w:bCs w:val="1"/>
                <w:color w:val="auto"/>
              </w:rPr>
              <w:t>(in £)</w:t>
            </w: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213,285</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118,226,956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16,359,169</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7,000,000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(79,315,920)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62,483,490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tcPr>
          <w:p>
            <w:pPr>
              <w:spacing w:after="0"/>
              <w:rPr>
                <w:sz w:val="20"/>
                <w:szCs w:val="20"/>
                <w:color w:val="auto"/>
              </w:rPr>
            </w:pPr>
            <w:r>
              <w:rPr>
                <w:rFonts w:ascii="Arial" w:cs="Arial" w:eastAsia="Arial" w:hAnsi="Arial"/>
                <w:sz w:val="14"/>
                <w:szCs w:val="14"/>
                <w:color w:val="auto"/>
              </w:rPr>
              <w:t>Loss for the year to December 31, 2018</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(32,028,740)</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(32,028,740)</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Adoption of IFRS 9 (Note 2.2)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123,866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123,866</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Share-based payments—share options (Note 25)</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1,869,955</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1,869,955</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payments—LTIPs (Note 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319,338</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319,338</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Issue of share capital on June 1, 2018 (Note 17)</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150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150,078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150,228</w:t>
            </w: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August 3, 2018 on exercise of</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options (Note 17)</w:t>
            </w: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30</w:t>
            </w:r>
          </w:p>
        </w:tc>
        <w:tc>
          <w:tcPr>
            <w:tcW w:w="12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12,870</w:t>
            </w:r>
          </w:p>
        </w:tc>
        <w:tc>
          <w:tcPr>
            <w:tcW w:w="10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color w:val="auto"/>
              </w:rPr>
              <w:t>Issue of share capital on October 22, 2018 on exercise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line="157" w:lineRule="exact"/>
              <w:rPr>
                <w:sz w:val="20"/>
                <w:szCs w:val="20"/>
                <w:color w:val="auto"/>
              </w:rPr>
            </w:pPr>
            <w:r>
              <w:rPr>
                <w:rFonts w:ascii="Arial" w:cs="Arial" w:eastAsia="Arial" w:hAnsi="Arial"/>
                <w:sz w:val="14"/>
                <w:szCs w:val="14"/>
                <w:color w:val="auto"/>
              </w:rPr>
              <w:t>of options (Note 17)</w:t>
            </w: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256</w:t>
            </w: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109,680</w:t>
            </w:r>
          </w:p>
        </w:tc>
        <w:tc>
          <w:tcPr>
            <w:tcW w:w="10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109,936</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Issue of warrants for TAP agreement (Note 17)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44,156</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44,156</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line="157" w:lineRule="exact"/>
              <w:rPr>
                <w:sz w:val="20"/>
                <w:szCs w:val="20"/>
                <w:color w:val="auto"/>
              </w:rPr>
            </w:pPr>
            <w:r>
              <w:rPr>
                <w:rFonts w:ascii="Arial" w:cs="Arial" w:eastAsia="Arial" w:hAnsi="Arial"/>
                <w:sz w:val="14"/>
                <w:szCs w:val="14"/>
                <w:color w:val="auto"/>
              </w:rPr>
              <w:t>17)</w:t>
            </w:r>
          </w:p>
        </w:tc>
        <w:tc>
          <w:tcPr>
            <w:tcW w:w="7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(7,511)</w:t>
            </w:r>
          </w:p>
        </w:tc>
        <w:tc>
          <w:tcPr>
            <w:tcW w:w="10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 (Note 27)</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(306,838)</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(306,838)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 2018</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213,721</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118,492,073</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18,592,618</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(306,838)</w:t>
            </w: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7,000,000</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(111,220,794)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32,770,780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Mereo BioPharma Group plc (the “Company”) is a clinical-stage, U.K.-based biopharmaceutical company focused on rare diseases.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our shares publicly traded on the Alternative Investment Market of the London Stock Exchange under the ticker symbol “MPH”. As of April 24, 2019, we are also listed on the Nasdaq Global Exchange via American Depositary Receipts (ADRs) under the ticker symbol “MREO” following the completion of the merger with OncoMed Pharmaceuticals, Inc. (“OncoMed”). Our registered office is located at Fourth Floor, 1 Cavendish Place, London W1G 0QF.</w:t>
      </w:r>
    </w:p>
    <w:p>
      <w:pPr>
        <w:spacing w:after="0" w:line="202"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2018 were authorized for issue in accordance with a resolution of the directors on April 28, 2019.</w:t>
      </w:r>
    </w:p>
    <w:p>
      <w:pPr>
        <w:spacing w:after="0" w:line="283" w:lineRule="exact"/>
        <w:rPr>
          <w:sz w:val="20"/>
          <w:szCs w:val="20"/>
          <w:color w:val="auto"/>
        </w:rPr>
      </w:pPr>
    </w:p>
    <w:p>
      <w:pPr>
        <w:ind w:left="320" w:hanging="204"/>
        <w:spacing w:after="0"/>
        <w:tabs>
          <w:tab w:leader="none" w:pos="3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Group’s annual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information is presented in pounds sterling (“Sterling”).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Adoption of new accounting policies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policies have been adopted since the start of the period: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IFRS 9 Financial Instruments.</w:t>
      </w:r>
    </w:p>
    <w:p>
      <w:pPr>
        <w:spacing w:after="0" w:line="122"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 the current period the Group has applied IFRS 9 Financial Instruments (as revised in July 2014) and the related consequential amendments to other IFRS.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amortized cost. The only impact on the Group is in relation to the non-substantial modification of the convertible loan notes, as detailed below. The Group has applied IFRS 9 in full without restating comparatives with an initial date of application of January 1, 2018.</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18a, was adjusted to recognize the modification gain in the retained earnings as of the date of initial application of IFRS 9 (January 1, 2018).</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Interest-bearing loans and borrowings—convertible loan notes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90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w:t>
            </w: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2018 calculated under IAS 39</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7"/>
        </w:trPr>
        <w:tc>
          <w:tcPr>
            <w:tcW w:w="9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 under IFRS 9</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1,853,528</w:t>
            </w:r>
          </w:p>
        </w:tc>
      </w:tr>
      <w:tr>
        <w:trPr>
          <w:trHeight w:val="20"/>
        </w:trPr>
        <w:tc>
          <w:tcPr>
            <w:tcW w:w="9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The Group has considered the adoption of IFRS 9 on receivables and determined the expected credit loss to be immaterial, and therefore no adjustment has been made for this.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IFRS 15 Revenue from Contracts with Customers</w:t>
      </w:r>
    </w:p>
    <w:p>
      <w:pPr>
        <w:spacing w:after="0" w:line="12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IFRS 16 Leases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impact of application of IFRS 16 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IFRS 16 provides a comprehensive model for the identification of lease arrangements and their treatment in the financial statements</w:t>
      </w:r>
    </w:p>
    <w:p>
      <w:pPr>
        <w:ind w:left="120"/>
        <w:spacing w:after="0" w:line="234" w:lineRule="auto"/>
        <w:rPr>
          <w:sz w:val="20"/>
          <w:szCs w:val="20"/>
          <w:color w:val="auto"/>
        </w:rPr>
      </w:pPr>
      <w:r>
        <w:rPr>
          <w:rFonts w:ascii="Arial" w:cs="Arial" w:eastAsia="Arial" w:hAnsi="Arial"/>
          <w:sz w:val="18"/>
          <w:szCs w:val="18"/>
          <w:color w:val="auto"/>
        </w:rPr>
        <w:t>for both lessors and lessees. IFRS 16 will supersede the current lease guidance including IAS 17 Leases and the related Interpretations</w:t>
      </w:r>
    </w:p>
    <w:p>
      <w:pPr>
        <w:ind w:left="120"/>
        <w:spacing w:after="0" w:line="235" w:lineRule="auto"/>
        <w:rPr>
          <w:sz w:val="20"/>
          <w:szCs w:val="20"/>
          <w:color w:val="auto"/>
        </w:rPr>
      </w:pPr>
      <w:r>
        <w:rPr>
          <w:rFonts w:ascii="Arial" w:cs="Arial" w:eastAsia="Arial" w:hAnsi="Arial"/>
          <w:sz w:val="18"/>
          <w:szCs w:val="18"/>
          <w:color w:val="auto"/>
        </w:rPr>
        <w:t>when it becomes effective for accounting periods beginning on or after January 1, 2019. The date of initial application of IFRS 16 for the</w:t>
      </w:r>
    </w:p>
    <w:p>
      <w:pPr>
        <w:ind w:left="120"/>
        <w:spacing w:after="0" w:line="235" w:lineRule="auto"/>
        <w:rPr>
          <w:sz w:val="20"/>
          <w:szCs w:val="20"/>
          <w:color w:val="auto"/>
        </w:rPr>
      </w:pPr>
      <w:r>
        <w:rPr>
          <w:rFonts w:ascii="Arial" w:cs="Arial" w:eastAsia="Arial" w:hAnsi="Arial"/>
          <w:sz w:val="18"/>
          <w:szCs w:val="18"/>
          <w:color w:val="auto"/>
        </w:rPr>
        <w:t>Group will be January 1, 2019. The Group has chosen the modified retrospective application of IFRS 16 in accordance with IFRS</w:t>
      </w:r>
    </w:p>
    <w:p>
      <w:pPr>
        <w:ind w:left="120"/>
        <w:spacing w:after="0" w:line="235" w:lineRule="auto"/>
        <w:rPr>
          <w:sz w:val="20"/>
          <w:szCs w:val="20"/>
          <w:color w:val="auto"/>
        </w:rPr>
      </w:pPr>
      <w:r>
        <w:rPr>
          <w:rFonts w:ascii="Arial" w:cs="Arial" w:eastAsia="Arial" w:hAnsi="Arial"/>
          <w:sz w:val="18"/>
          <w:szCs w:val="18"/>
          <w:color w:val="auto"/>
        </w:rPr>
        <w:t>16:C5(b). Consequently, the Group will not restate the comparative information. In contrast to lessee accounting, IFRS 16 substantially</w:t>
      </w:r>
    </w:p>
    <w:p>
      <w:pPr>
        <w:ind w:left="120"/>
        <w:spacing w:after="0"/>
        <w:rPr>
          <w:sz w:val="20"/>
          <w:szCs w:val="20"/>
          <w:color w:val="auto"/>
        </w:rPr>
      </w:pPr>
      <w:r>
        <w:rPr>
          <w:rFonts w:ascii="Arial" w:cs="Arial" w:eastAsia="Arial" w:hAnsi="Arial"/>
          <w:sz w:val="18"/>
          <w:szCs w:val="18"/>
          <w:color w:val="auto"/>
        </w:rPr>
        <w:t>carries forward the lessor accounting requirements in IAS 17.</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the new definition of a lease</w:t>
      </w:r>
    </w:p>
    <w:p>
      <w:pPr>
        <w:spacing w:after="0" w:line="122" w:lineRule="exact"/>
        <w:rPr>
          <w:sz w:val="20"/>
          <w:szCs w:val="20"/>
          <w:color w:val="auto"/>
        </w:rPr>
      </w:pPr>
    </w:p>
    <w:p>
      <w:pPr>
        <w:jc w:val="both"/>
        <w:ind w:left="120" w:right="640" w:firstLine="440"/>
        <w:spacing w:after="0"/>
        <w:rPr>
          <w:sz w:val="20"/>
          <w:szCs w:val="20"/>
          <w:color w:val="auto"/>
        </w:rPr>
      </w:pPr>
      <w:r>
        <w:rPr>
          <w:rFonts w:ascii="Arial" w:cs="Arial" w:eastAsia="Arial" w:hAnsi="Arial"/>
          <w:sz w:val="18"/>
          <w:szCs w:val="18"/>
          <w:color w:val="auto"/>
        </w:rPr>
        <w:t>The Group will make use of the practical expedient available on transition to IFRS 16 not to reassess whether a contract is or contains a lease. Accordingly, the definition of a lease in accordance with IAS 17 and IFRIC 4 will continue to apply to those leases entered or modified before 1 January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change in definition of a lease mainly relates to the concept of control. IFRS 16 distinguishes between leases and service contracts on the basis of whether the use of an identified asset is controlled by the customer. Control is considered to exist if the customer has:</w:t>
      </w:r>
    </w:p>
    <w:p>
      <w:pPr>
        <w:spacing w:after="0" w:line="108"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right to obtain substantially all of the economic benefits from the use of an identified asset;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right to direct the use of that asset.</w:t>
      </w:r>
    </w:p>
    <w:p>
      <w:pPr>
        <w:spacing w:after="0" w:line="21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Group will apply the definition of a lease and related guidance set out in IFRS 16 to all lease contracts entered into or modified on or after January 1, 2019 (whether it is a lessor or a lessee in the lease contract). In preparation for the first-time application of IFRS 16, the Group has carried out an implementation project. The project has shown that the new definition in IFRS 16 will not change significantly the scope of contracts that meet the definition of a lease for the Group.</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lessee accounting</w:t>
      </w:r>
    </w:p>
    <w:p>
      <w:pPr>
        <w:spacing w:after="0" w:line="122" w:lineRule="exact"/>
        <w:rPr>
          <w:sz w:val="20"/>
          <w:szCs w:val="20"/>
          <w:color w:val="auto"/>
        </w:rPr>
      </w:pPr>
    </w:p>
    <w:p>
      <w:pPr>
        <w:ind w:left="120" w:right="800" w:firstLine="440"/>
        <w:spacing w:after="0" w:line="246" w:lineRule="auto"/>
        <w:rPr>
          <w:sz w:val="20"/>
          <w:szCs w:val="20"/>
          <w:color w:val="auto"/>
        </w:rPr>
      </w:pPr>
      <w:r>
        <w:rPr>
          <w:rFonts w:ascii="Arial" w:cs="Arial" w:eastAsia="Arial" w:hAnsi="Arial"/>
          <w:sz w:val="18"/>
          <w:szCs w:val="18"/>
          <w:color w:val="auto"/>
        </w:rPr>
        <w:t>IFRS 16 will change how the Group accounts for leases previously classified as operating leases under IAS 17, which were off-balance sheet.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initial application of IFRS 16, for all leases (except as noted below), the Group will:</w:t>
      </w:r>
    </w:p>
    <w:p>
      <w:pPr>
        <w:spacing w:after="0" w:line="117" w:lineRule="exact"/>
        <w:rPr>
          <w:sz w:val="20"/>
          <w:szCs w:val="20"/>
          <w:color w:val="auto"/>
        </w:rPr>
      </w:pPr>
    </w:p>
    <w:p>
      <w:pPr>
        <w:ind w:left="1080" w:right="140" w:hanging="532"/>
        <w:spacing w:after="0" w:line="246"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recognize right-of-use assets and lease liabilities in the consolidated statement of financial position, initially measured at the present value of the future lease payments;</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recognize depreciation of right-of-use assets and interest on lease liabilities in the consolidated statement of profit or loss;</w:t>
      </w:r>
    </w:p>
    <w:p>
      <w:pPr>
        <w:spacing w:after="0" w:line="117" w:lineRule="exact"/>
        <w:rPr>
          <w:rFonts w:ascii="Arial" w:cs="Arial" w:eastAsia="Arial" w:hAnsi="Arial"/>
          <w:sz w:val="18"/>
          <w:szCs w:val="18"/>
          <w:color w:val="auto"/>
        </w:rPr>
      </w:pPr>
    </w:p>
    <w:p>
      <w:pPr>
        <w:ind w:left="1080" w:right="220" w:hanging="532"/>
        <w:spacing w:after="0" w:line="246"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separate the total amount of cash paid into a principal portion (presented within financing activities) and interest (presented within operating activities) in the consolidated cash flow statement.</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Lease incentives (e.g. rent-free period) will be recognized as part of the measurement of the right-of-use assets and lease liabilities whereas under IAS 17 they resulted in the recognition of a lease liability incentive, amortized as a reduction of rental expenses on a straight-line basis.</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will replace the previous requirement to recognize a provision for onerous lease contracts.</w:t>
      </w:r>
    </w:p>
    <w:p>
      <w:pPr>
        <w:spacing w:after="0" w:line="197"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For short-term leases (lease term of 12 months or less) and leases of low-value assets (such as personal computers and office furniture), the Group will opt to recognize a lease expense on a straight-line basis as permitted by IFRS 16.</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2018, the Group had non-cancellable operating lease commitments of £535,665.</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non-cancellable operating lease commitment and the expected lease liability balance to be recognized upon transition differs as a result of IFRS 16’s requirement to include, within the lease term, the non-cancellable period of a lease, together with periods covered by an option to extend, if that option is reasonably certain to be exercised and periods covered by an option to terminate, if that option is reasonably certain to not be exercised.</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 preliminary assessment indicates that all of these arrangements relate to leases other than short-term leases and leases of low-value assets, and hence the Group will recognise a right-of-use asset of £ 2,551,810 and a corresponding lease liability of £2,533,647 in respect of all these leases. The impact on 2019 profit or loss is to decrease other expenses by £1,093,920, to increase depreciation by £696,948 and to increase interest expense by £322,662. Lease liability incentives of £ 32,090 previously recognized in respect of the operating leases will be derecognized and the amount factored into the measurement of the right-to-use assets and lease liabilities.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assessment indicates that £nil of these arrangements relate to short-term leases and leases of low-value assets.</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IAS 17, all lease payments on operating leases are presented as part of cash flows from operating activities. The impact of the changes under IFRS 16 to the 2019 statement of cash flows would be to reduce the cash used in operating activities by £932,268 and to increase net cash used in financing activities by the same amount.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Though the Group continues to make losses, the directors believe it is appropriate to prepare the financial information on the going concern basis. This is because the Group’s research into new</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60"/>
          </w:cols>
          <w:pgMar w:left="320" w:top="459" w:right="51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products continues to progress according to plan and the funding secured to date, together with the funds that have come into the Group since the year end by way of the completed merger with OncoMed (as described more fully in Note 29) will allow it to meet its liabilities as they fall due for at least 12 months from the date of authorization for the issue of these consolidated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2018.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 Summary of significant accounting policies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Taxes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w:t>
      </w:r>
    </w:p>
    <w:p>
      <w:pPr>
        <w:ind w:left="120"/>
        <w:spacing w:after="0"/>
        <w:rPr>
          <w:sz w:val="20"/>
          <w:szCs w:val="20"/>
          <w:color w:val="auto"/>
        </w:rPr>
      </w:pPr>
      <w:r>
        <w:rPr>
          <w:rFonts w:ascii="Arial" w:cs="Arial" w:eastAsia="Arial" w:hAnsi="Arial"/>
          <w:sz w:val="18"/>
          <w:szCs w:val="18"/>
          <w:color w:val="auto"/>
        </w:rPr>
        <w:t>loss.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The Group benefits from the U.K. R&amp;D tax credit regime whereby a portion of the Group’s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9" w:right="51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 to be recovered.</w:t>
      </w:r>
    </w:p>
    <w:p>
      <w:pPr>
        <w:spacing w:after="0" w:line="203" w:lineRule="exact"/>
        <w:rPr>
          <w:sz w:val="20"/>
          <w:szCs w:val="20"/>
          <w:color w:val="auto"/>
        </w:rPr>
      </w:pPr>
    </w:p>
    <w:p>
      <w:pPr>
        <w:ind w:left="120" w:right="340" w:firstLine="440"/>
        <w:spacing w:after="0" w:line="274" w:lineRule="auto"/>
        <w:rPr>
          <w:sz w:val="20"/>
          <w:szCs w:val="20"/>
          <w:color w:val="auto"/>
        </w:rPr>
      </w:pPr>
      <w:r>
        <w:rPr>
          <w:rFonts w:ascii="Arial" w:cs="Arial" w:eastAsia="Arial" w:hAnsi="Arial"/>
          <w:sz w:val="17"/>
          <w:szCs w:val="17"/>
          <w:color w:val="auto"/>
        </w:rPr>
        <w:t>Deferred tax assets and liabilities are measured on an undiscounted basis at the tax rates that are expected to apply to the year when the asset is realized, based on tax rates (and tax laws) enacted or substantively enacted at the end of the reporting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gains/(losses).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480" w:type="dxa"/>
        <w:tblCellMar>
          <w:top w:w="0" w:type="dxa"/>
          <w:left w:w="0" w:type="dxa"/>
          <w:bottom w:w="0" w:type="dxa"/>
          <w:right w:w="0" w:type="dxa"/>
        </w:tblCellMar>
      </w:tblP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1800" w:type="dxa"/>
            <w:vAlign w:val="bottom"/>
          </w:tcPr>
          <w:p>
            <w:pPr>
              <w:ind w:left="900"/>
              <w:spacing w:after="0"/>
              <w:rPr>
                <w:sz w:val="20"/>
                <w:szCs w:val="20"/>
                <w:color w:val="auto"/>
              </w:rPr>
            </w:pPr>
            <w:r>
              <w:rPr>
                <w:rFonts w:ascii="Arial" w:cs="Arial" w:eastAsia="Arial" w:hAnsi="Arial"/>
                <w:sz w:val="18"/>
                <w:szCs w:val="18"/>
                <w:color w:val="auto"/>
              </w:rPr>
              <w:t>ten years</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Office equipment</w:t>
            </w:r>
          </w:p>
        </w:tc>
        <w:tc>
          <w:tcPr>
            <w:tcW w:w="1800" w:type="dxa"/>
            <w:vAlign w:val="bottom"/>
          </w:tcPr>
          <w:p>
            <w:pPr>
              <w:ind w:left="900"/>
              <w:spacing w:after="0"/>
              <w:rPr>
                <w:sz w:val="20"/>
                <w:szCs w:val="20"/>
                <w:color w:val="auto"/>
              </w:rPr>
            </w:pPr>
            <w:r>
              <w:rPr>
                <w:rFonts w:ascii="Arial" w:cs="Arial" w:eastAsia="Arial" w:hAnsi="Arial"/>
                <w:sz w:val="18"/>
                <w:szCs w:val="18"/>
                <w:color w:val="auto"/>
              </w:rPr>
              <w:t>five years</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IT equipment</w:t>
            </w:r>
          </w:p>
        </w:tc>
        <w:tc>
          <w:tcPr>
            <w:tcW w:w="1800" w:type="dxa"/>
            <w:vAlign w:val="bottom"/>
          </w:tcPr>
          <w:p>
            <w:pPr>
              <w:ind w:left="90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Group leases its premises (see Note 26). The Company recognizes any lease incentives on a straight-line basis over the entire period of the lease, assuming that any break clauses available will not be exercised. By not exercising any break clauses, the Group receives a 50% rent discount from the landlord for a fixed period of time as described in Note 26.</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2.5p)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Amortization would commence when product candidates underpinned by the intellectual property rights become available for commercial use. No amortization has been charged to date, as the product candidates underpinned by the intellectual property rights are not yet available for commercial use.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97"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5440" w:right="2580" w:hanging="4784"/>
        <w:spacing w:after="0" w:line="418" w:lineRule="auto"/>
        <w:tabs>
          <w:tab w:leader="none" w:pos="108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Level 1—quoted (unadjusted) market prices in active markets for identical assets or liabilities. F-33</w:t>
      </w:r>
    </w:p>
    <w:p>
      <w:pPr>
        <w:sectPr>
          <w:pgSz w:w="11900" w:h="16838" w:orient="portrait"/>
          <w:cols w:equalWidth="0" w:num="1">
            <w:col w:w="11080"/>
          </w:cols>
          <w:pgMar w:left="320" w:top="459" w:right="4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520" w:hanging="424"/>
        <w:spacing w:after="0" w:line="246"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Level 2—valuation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1080" w:right="1140" w:hanging="424"/>
        <w:spacing w:after="0" w:line="246"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Level 3—valuation techniques for which the lowest level input that is significant to the fair value measurement is unobservable.</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117"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Disclosures for significant assumptions Note 3</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Property, plant and equipment Note 11</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Intangible assets not yet available for use Notes 12 and 13</w:t>
      </w:r>
    </w:p>
    <w:p>
      <w:pPr>
        <w:spacing w:after="0" w:line="21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Intangible assets not yet available for use are tested for impairment annually as at December 31 at the CGU level, as appropriate, and when circumstances indicate that the carrying value may be impaired. An impairment test was performed at December 31, 2018.</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302" w:lineRule="exact"/>
        <w:rPr>
          <w:sz w:val="20"/>
          <w:szCs w:val="20"/>
          <w:color w:val="auto"/>
        </w:rPr>
      </w:pPr>
    </w:p>
    <w:p>
      <w:pPr>
        <w:ind w:left="560" w:right="9860" w:hanging="444"/>
        <w:spacing w:after="0" w:line="392" w:lineRule="auto"/>
        <w:tabs>
          <w:tab w:leader="none" w:pos="269" w:val="left"/>
        </w:tabs>
        <w:numPr>
          <w:ilvl w:val="0"/>
          <w:numId w:val="178"/>
        </w:numPr>
        <w:rPr>
          <w:rFonts w:ascii="Arial" w:cs="Arial" w:eastAsia="Arial" w:hAnsi="Arial"/>
          <w:sz w:val="17"/>
          <w:szCs w:val="17"/>
          <w:i w:val="1"/>
          <w:iCs w:val="1"/>
          <w:color w:val="auto"/>
        </w:rPr>
      </w:pPr>
      <w:r>
        <w:rPr>
          <w:rFonts w:ascii="Arial" w:cs="Arial" w:eastAsia="Arial" w:hAnsi="Arial"/>
          <w:sz w:val="17"/>
          <w:szCs w:val="17"/>
          <w:i w:val="1"/>
          <w:iCs w:val="1"/>
          <w:color w:val="auto"/>
        </w:rPr>
        <w:t>Provisions General</w:t>
      </w:r>
    </w:p>
    <w:p>
      <w:pPr>
        <w:ind w:left="120" w:firstLine="440"/>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2"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Employees (including senior executives) of the Group receive remuneration in the form of share-based payments, whereby employees render services as consideration for equity instruments (equity settled transactions).</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Under the 2015 Plan, options were historically awarded to employees, NEDs and certain consultants. Share options awarded to non-employees under the 2015 Plan are accounted for as options awarded to employees as the value of non-employee services could be readily determined.</w:t>
      </w:r>
    </w:p>
    <w:p>
      <w:pPr>
        <w:spacing w:after="0" w:line="203"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Purchases, where consideration is satisfied by issuing equity shares is accounted for as equity settled share-based payment transactions in accordance with IFRS 2. Fair value is determined by the share price at the date of purchase.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60"/>
          </w:cols>
          <w:pgMar w:left="320" w:top="459" w:right="51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5"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w:t>
      </w:r>
    </w:p>
    <w:p>
      <w:pPr>
        <w:spacing w:after="0" w:line="1"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10% different from the discounted present value of the remaining cash flows of the original debt instrument. Where such modifications are less than 10% different, the effective interest rate is adjusted to take account of the new terms.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EBT has been established to fulfil awards made under the Deferred Bonus Share Plan and the Long Term Incentive Plan. The EBT is a Jersey-based trust which is funded by a loan from the Company, which it will utilize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Group consolidated accounts treat the EBT as an extension of the Group and the Company as it is controlled and therefore consolidated.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Research and development</w:t>
      </w:r>
    </w:p>
    <w:p>
      <w:pPr>
        <w:spacing w:after="0" w:line="12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Expenditure on product development is capitalized as an intangible asset and amortized over the expected useful economic life of the product candidate concerned. Capitalization commences from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203"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Expenditure on R&amp;D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research and development from asset acquisitions are recognized as intangible assets at cost.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Provision for deferred cash consideration</w:t>
      </w:r>
    </w:p>
    <w:p>
      <w:pPr>
        <w:spacing w:after="0" w:line="122"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205"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As the terms of the warrant instrument allow for a cashless exercise, in line with IAS 32 the associated warrants are measured at fair value with changes recorded through the statement of comprehensive loss (see Note 20).</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5"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w:t>
      </w:r>
    </w:p>
    <w:p>
      <w:pPr>
        <w:spacing w:after="0" w:line="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10% different from the discounted present value of the remaining cash flows of the original debt instrument. Where such modifications are less than 10% different, the effective interest rate is adjusted to take account of the new terms.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 The Alpha-1 Project (TAP) funding agreement and associated warrants</w:t>
      </w:r>
    </w:p>
    <w:p>
      <w:pPr>
        <w:spacing w:after="0" w:line="122"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agreement is regarded as a compound instrument which includes both debt and equity components. As per IAS 32:31 the liability is measured first at fair value and the residual value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allocated to the equity component. The difference between the funding payment amount received and the measurement of the liability will be allocated to the warrants and recognized in equity. The value of warrants in equity will not be subsequently re-measured, as the warrants will be settled by providing a fixed number of shares for a fixed amount of cash.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Significant accounting judgments, estimates and assumptions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Judgements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compensation</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Incentives in the form of shares are provided to employees under a share option plan, long-term incentive plan and deferred bonus share plan. The fair value of the employee services received in exchange for the grant of the options is recognized as an expense. The expense is based upon a number of assumptions disclosed in Note 25. The selection of different assumptions could affect the results of the Group.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intangible assets and property, plant and equipment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2018.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judgments regarding the likelihood of successful product approval, the costs of reaching approval and the subsequent commercial profitability of the product once approved.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license consideration</w:t>
      </w:r>
    </w:p>
    <w:p>
      <w:pPr>
        <w:spacing w:after="0" w:line="122" w:lineRule="exact"/>
        <w:rPr>
          <w:sz w:val="20"/>
          <w:szCs w:val="20"/>
          <w:color w:val="auto"/>
        </w:rPr>
      </w:pPr>
    </w:p>
    <w:p>
      <w:pPr>
        <w:jc w:val="both"/>
        <w:ind w:left="120" w:right="560" w:firstLine="440"/>
        <w:spacing w:after="0"/>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estimates regarding the timing and progress of the related research.</w:t>
      </w:r>
    </w:p>
    <w:p>
      <w:pPr>
        <w:spacing w:after="0" w:line="203"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Deferred consideration in the form of shares is recognized as a share-based payment when it is probable that shares will be transferred.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Bank loan and associated warrants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estimates, as disclosed in Note 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Management views the business as a single portfolio of product candidates. Only R&amp;D expenses are monitored at a product candidate level, however the Chief Operating Decision Maker (CODM)</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makes decisions over resource allocation at an overall portfolio level. The Group’s financing is managed and monitored on a consolidated basis. All non-current assets held by the Group are located in the U.K.</w:t>
      </w:r>
    </w:p>
    <w:p>
      <w:pPr>
        <w:spacing w:after="0" w:line="197"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289" w:lineRule="exact"/>
        <w:rPr>
          <w:sz w:val="20"/>
          <w:szCs w:val="20"/>
          <w:color w:val="auto"/>
        </w:rPr>
      </w:pPr>
    </w:p>
    <w:p>
      <w:pPr>
        <w:ind w:left="120" w:right="8400" w:hanging="4"/>
        <w:spacing w:after="0" w:line="394" w:lineRule="auto"/>
        <w:tabs>
          <w:tab w:leader="none" w:pos="32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Group information </w:t>
      </w:r>
      <w:r>
        <w:rPr>
          <w:rFonts w:ascii="Arial" w:cs="Arial" w:eastAsia="Arial" w:hAnsi="Arial"/>
          <w:sz w:val="17"/>
          <w:szCs w:val="17"/>
          <w:b w:val="1"/>
          <w:bCs w:val="1"/>
          <w:i w:val="1"/>
          <w:iCs w:val="1"/>
          <w:color w:val="auto"/>
        </w:rPr>
        <w:t>Information about subsidiaries</w:t>
      </w:r>
    </w:p>
    <w:p>
      <w:pPr>
        <w:spacing w:after="0" w:line="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color w:val="auto"/>
        </w:rPr>
        <w:t>The consolidated financial statements of the Group include: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 equity interest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Country of</w:t>
            </w: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9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Principal activities</w:t>
            </w:r>
          </w:p>
        </w:tc>
        <w:tc>
          <w:tcPr>
            <w:tcW w:w="1360" w:type="dxa"/>
            <w:vAlign w:val="bottom"/>
            <w:gridSpan w:val="2"/>
            <w:vMerge w:val="continue"/>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40" w:type="dxa"/>
            <w:vAlign w:val="bottom"/>
            <w:gridSpan w:val="2"/>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incorporation</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Mereo BioPharma 1 Limited</w:t>
            </w:r>
          </w:p>
        </w:tc>
        <w:tc>
          <w:tcPr>
            <w:tcW w:w="42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Pharmaceutical R&amp;D</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U.K.</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3"/>
              </w:rPr>
              <w:t>100</w:t>
            </w:r>
          </w:p>
        </w:tc>
        <w:tc>
          <w:tcPr>
            <w:tcW w:w="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2 Limited</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3 Limited</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4 Limited</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Ireland Limited</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8"/>
              </w:rPr>
              <w:t>Ireland</w:t>
            </w:r>
          </w:p>
        </w:tc>
        <w:tc>
          <w:tcPr>
            <w:tcW w:w="9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US Holdings Inc</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Holding</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U.S.</w:t>
            </w:r>
          </w:p>
        </w:tc>
        <w:tc>
          <w:tcPr>
            <w:tcW w:w="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MergerCo One Inc.</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Holding</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Group plc Employee Benefit</w:t>
            </w:r>
          </w:p>
        </w:tc>
        <w:tc>
          <w:tcPr>
            <w:tcW w:w="3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Trust</w:t>
            </w:r>
          </w:p>
        </w:tc>
        <w:tc>
          <w:tcPr>
            <w:tcW w:w="3920" w:type="dxa"/>
            <w:vAlign w:val="bottom"/>
            <w:gridSpan w:val="2"/>
          </w:tcPr>
          <w:p>
            <w:pPr>
              <w:spacing w:after="0"/>
              <w:rPr>
                <w:sz w:val="20"/>
                <w:szCs w:val="20"/>
                <w:color w:val="auto"/>
              </w:rPr>
            </w:pPr>
            <w:r>
              <w:rPr>
                <w:rFonts w:ascii="Arial" w:cs="Arial" w:eastAsia="Arial" w:hAnsi="Arial"/>
                <w:sz w:val="18"/>
                <w:szCs w:val="18"/>
                <w:color w:val="auto"/>
              </w:rPr>
              <w:t>Employee share scheme</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rPr>
              <w:t>Jersey</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Key management includes directors (executive and non-executive) and executive officers being the General Counsel, the Chief Medical Officer, the Head of Corporate Development and the Head of Patient Access and Commercial Planning. The compensation paid or payable to key management is set out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(in £)</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benefits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2,111,712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2,756,979</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3,176,168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Post-employment benefits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106,500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87,269</w:t>
            </w:r>
          </w:p>
        </w:tc>
        <w:tc>
          <w:tcPr>
            <w:tcW w:w="26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59,522</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4,631,853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2,726,337</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1,470,025</w:t>
            </w: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 compensation paid to key management personnel</w:t>
            </w:r>
          </w:p>
        </w:tc>
        <w:tc>
          <w:tcPr>
            <w:tcW w:w="1020" w:type="dxa"/>
            <w:vAlign w:val="bottom"/>
          </w:tcPr>
          <w:p>
            <w:pPr>
              <w:jc w:val="right"/>
              <w:spacing w:after="0"/>
              <w:rPr>
                <w:sz w:val="20"/>
                <w:szCs w:val="20"/>
                <w:color w:val="auto"/>
              </w:rPr>
            </w:pPr>
            <w:r>
              <w:rPr>
                <w:rFonts w:ascii="Arial" w:cs="Arial" w:eastAsia="Arial" w:hAnsi="Arial"/>
                <w:sz w:val="18"/>
                <w:szCs w:val="18"/>
                <w:color w:val="auto"/>
              </w:rPr>
              <w:t>6,850,065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5,570,585</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4,705,715</w:t>
            </w: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720" w:hanging="4"/>
        <w:spacing w:after="0" w:line="396" w:lineRule="auto"/>
        <w:tabs>
          <w:tab w:leader="none" w:pos="32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Finance income and Finance charge </w:t>
      </w:r>
      <w:r>
        <w:rPr>
          <w:rFonts w:ascii="Arial" w:cs="Arial" w:eastAsia="Arial" w:hAnsi="Arial"/>
          <w:sz w:val="18"/>
          <w:szCs w:val="18"/>
          <w:b w:val="1"/>
          <w:bCs w:val="1"/>
          <w:i w:val="1"/>
          <w:iCs w:val="1"/>
          <w:color w:val="auto"/>
        </w:rPr>
        <w:t>Finance income</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5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3"/>
          </w:tcPr>
          <w:p>
            <w:pPr>
              <w:ind w:left="260"/>
              <w:spacing w:after="0" w:line="155" w:lineRule="exact"/>
              <w:rPr>
                <w:sz w:val="20"/>
                <w:szCs w:val="20"/>
                <w:color w:val="auto"/>
              </w:rPr>
            </w:pPr>
            <w:r>
              <w:rPr>
                <w:rFonts w:ascii="Arial" w:cs="Arial" w:eastAsia="Arial" w:hAnsi="Arial"/>
                <w:sz w:val="14"/>
                <w:szCs w:val="14"/>
                <w:b w:val="1"/>
                <w:bCs w:val="1"/>
                <w:color w:val="auto"/>
              </w:rPr>
              <w:t>(in £)</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interest earned</w:t>
            </w:r>
          </w:p>
        </w:tc>
        <w:tc>
          <w:tcPr>
            <w:tcW w:w="4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374,906</w:t>
            </w: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826,855</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306,831</w:t>
            </w:r>
          </w:p>
        </w:tc>
      </w:tr>
      <w:tr>
        <w:trPr>
          <w:trHeight w:val="20"/>
        </w:trPr>
        <w:tc>
          <w:tcPr>
            <w:tcW w:w="3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5400" w:type="dxa"/>
            <w:vAlign w:val="bottom"/>
            <w:gridSpan w:val="3"/>
          </w:tcPr>
          <w:p>
            <w:pPr>
              <w:jc w:val="right"/>
              <w:ind w:right="320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charge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640" w:type="dxa"/>
            <w:vAlign w:val="bottom"/>
            <w:tcBorders>
              <w:bottom w:val="single" w:sz="8" w:color="auto"/>
            </w:tcBorders>
            <w:gridSpan w:val="8"/>
          </w:tcPr>
          <w:p>
            <w:pPr>
              <w:jc w:val="center"/>
              <w:ind w:left="77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8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payable on convertible loan</w:t>
            </w:r>
          </w:p>
        </w:tc>
        <w:tc>
          <w:tcPr>
            <w:tcW w:w="11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(179,765)</w:t>
            </w: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(103,115)</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(185,352)</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Interest payable on bank loan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(327,123)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(1,644,610)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12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(66,935)</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(781,998)</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short-term deposits</w:t>
            </w:r>
          </w:p>
        </w:tc>
        <w:tc>
          <w:tcPr>
            <w:tcW w:w="12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(338,279)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(21,903)</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Increase in provision for deferred cash consideration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gridSpan w:val="4"/>
          </w:tcPr>
          <w:p>
            <w:pPr>
              <w:ind w:left="6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(54,473)</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716,214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Total finance charge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8"/>
              </w:rPr>
              <w:t>(179,765)</w:t>
            </w:r>
          </w:p>
        </w:tc>
        <w:tc>
          <w:tcPr>
            <w:tcW w:w="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(1,089,925)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(2,360,648)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880" w:type="dxa"/>
            <w:vAlign w:val="bottom"/>
            <w:tcBorders>
              <w:bottom w:val="single" w:sz="8" w:color="auto"/>
            </w:tcBorders>
          </w:tcPr>
          <w:p>
            <w:pPr>
              <w:jc w:val="center"/>
              <w:ind w:left="1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4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Included in research and development expenses: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Salaries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1,150,222</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1,640,373</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1,791,679</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Social security costs (See Note 19)</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344,467</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420,417</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Pension contributions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50,864</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77,425</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73,401</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1,550,884</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822,173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525,972</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administrative expenses: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Salaries</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2,132,920</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2,253,393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2,902,759</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Social security costs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1,040,409</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1,159,548</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(827,509)</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contributions</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109,187</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96,598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97,962</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4,943,133</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2,829,725</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1,663,322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employee benefits expense</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11,322,086</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9,299,652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6,197,916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2016 were received by the Group in May 2017. The claims in respect of the year ended December 31, 2017 were received by the Group in August 2018. In the year ended December 31, 2018 amounts have not yet been agreed with the relevant tax authorities.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8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rPr>
              <w:t>(in £)</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 corporation tax R&amp;D credit</w:t>
            </w:r>
          </w:p>
        </w:tc>
        <w:tc>
          <w:tcPr>
            <w:tcW w:w="3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5,331,271</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8,152,084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5,277,380</w:t>
            </w:r>
          </w:p>
        </w:tc>
      </w:tr>
      <w:tr>
        <w:trPr>
          <w:trHeight w:val="20"/>
        </w:trPr>
        <w:tc>
          <w:tcPr>
            <w:tcW w:w="3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Income tax credit</w:t>
            </w:r>
          </w:p>
        </w:tc>
        <w:tc>
          <w:tcPr>
            <w:tcW w:w="3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5,331,271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8,152,084</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5,277,380</w:t>
            </w:r>
          </w:p>
        </w:tc>
      </w:tr>
      <w:tr>
        <w:trPr>
          <w:trHeight w:val="20"/>
        </w:trPr>
        <w:tc>
          <w:tcPr>
            <w:tcW w:w="3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640" w:type="dxa"/>
            <w:vAlign w:val="bottom"/>
            <w:gridSpan w:val="3"/>
          </w:tcPr>
          <w:p>
            <w:pPr>
              <w:jc w:val="right"/>
              <w:ind w:right="2880"/>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980" w:type="dxa"/>
            <w:vAlign w:val="bottom"/>
            <w:tcBorders>
              <w:bottom w:val="single" w:sz="8" w:color="auto"/>
            </w:tcBorders>
            <w:gridSpan w:val="5"/>
          </w:tcPr>
          <w:p>
            <w:pPr>
              <w:jc w:val="center"/>
              <w:ind w:left="974"/>
              <w:spacing w:after="0"/>
              <w:rPr>
                <w:sz w:val="20"/>
                <w:szCs w:val="20"/>
                <w:color w:val="auto"/>
              </w:rPr>
            </w:pPr>
            <w:r>
              <w:rPr>
                <w:rFonts w:ascii="Arial" w:cs="Arial" w:eastAsia="Arial" w:hAnsi="Arial"/>
                <w:sz w:val="14"/>
                <w:szCs w:val="14"/>
                <w:b w:val="1"/>
                <w:bCs w:val="1"/>
                <w:color w:val="auto"/>
              </w:rPr>
              <w:t>Year-ended December 31,</w:t>
            </w:r>
          </w:p>
        </w:tc>
        <w:tc>
          <w:tcPr>
            <w:tcW w:w="1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1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rPr>
              <w:t>(in £)</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ordinary activities before income tax</w:t>
            </w: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(33,721,551)</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(37,306,120)</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Loss on ordinary activities before tax at the U.K.’s statutory income tax rate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of 19% (2017: 19.25%)</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6,744,310</w:t>
            </w:r>
          </w:p>
        </w:tc>
        <w:tc>
          <w:tcPr>
            <w:tcW w:w="260" w:type="dxa"/>
            <w:vAlign w:val="bottom"/>
          </w:tcPr>
          <w:p>
            <w:pPr>
              <w:spacing w:after="0"/>
              <w:rPr>
                <w:sz w:val="17"/>
                <w:szCs w:val="17"/>
                <w:color w:val="auto"/>
              </w:rPr>
            </w:pPr>
          </w:p>
        </w:tc>
        <w:tc>
          <w:tcPr>
            <w:tcW w:w="14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9,038,094</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7,088,163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(15,116)</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(14,316)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(1,069,606)</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(1,300,044)</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(711,677)</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(276,881)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relief uplift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2,134,107</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3,447,474</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2,270,777</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Losses (unrecognized)</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(2,231,986)</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(3,784,801)</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(2,803,796)</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1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177,310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68,723</w:t>
            </w:r>
          </w:p>
        </w:tc>
      </w:tr>
      <w:tr>
        <w:trPr>
          <w:trHeight w:val="20"/>
        </w:trPr>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Tax credit for the year</w:t>
            </w:r>
          </w:p>
        </w:tc>
        <w:tc>
          <w:tcPr>
            <w:tcW w:w="1160" w:type="dxa"/>
            <w:vAlign w:val="bottom"/>
          </w:tcPr>
          <w:p>
            <w:pPr>
              <w:jc w:val="right"/>
              <w:spacing w:after="0"/>
              <w:rPr>
                <w:sz w:val="20"/>
                <w:szCs w:val="20"/>
                <w:color w:val="auto"/>
              </w:rPr>
            </w:pPr>
            <w:r>
              <w:rPr>
                <w:rFonts w:ascii="Arial" w:cs="Arial" w:eastAsia="Arial" w:hAnsi="Arial"/>
                <w:sz w:val="18"/>
                <w:szCs w:val="18"/>
                <w:color w:val="auto"/>
              </w:rPr>
              <w:t>5,331,271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8,152,084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5,277,380</w:t>
            </w: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the Group had tax losses to be carried forward of approximately £50,611,184 (2017: £36,010,916).</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020" w:type="dxa"/>
            <w:vAlign w:val="bottom"/>
          </w:tcPr>
          <w:p>
            <w:pPr>
              <w:spacing w:after="0"/>
              <w:rPr>
                <w:sz w:val="13"/>
                <w:szCs w:val="13"/>
                <w:color w:val="auto"/>
              </w:rPr>
            </w:pPr>
          </w:p>
        </w:tc>
        <w:tc>
          <w:tcPr>
            <w:tcW w:w="10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7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2,778,396</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6,121,400</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8,603,902</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14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(9,883)</w:t>
            </w:r>
          </w:p>
        </w:tc>
        <w:tc>
          <w:tcPr>
            <w:tcW w:w="140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3,011</w:t>
            </w: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2,210</w:t>
            </w:r>
          </w:p>
        </w:tc>
        <w:tc>
          <w:tcPr>
            <w:tcW w:w="14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2,888</w:t>
            </w:r>
          </w:p>
        </w:tc>
      </w:tr>
      <w:tr>
        <w:trPr>
          <w:trHeight w:val="202"/>
        </w:trPr>
        <w:tc>
          <w:tcPr>
            <w:tcW w:w="702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38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494,779</w:t>
            </w:r>
          </w:p>
        </w:tc>
      </w:tr>
      <w:tr>
        <w:trPr>
          <w:trHeight w:val="27"/>
        </w:trPr>
        <w:tc>
          <w:tcPr>
            <w:tcW w:w="70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2,770,723</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8,388,198</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9,104,580</w:t>
            </w:r>
          </w:p>
        </w:tc>
      </w:tr>
      <w:tr>
        <w:trPr>
          <w:trHeight w:val="20"/>
        </w:trPr>
        <w:tc>
          <w:tcPr>
            <w:tcW w:w="7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 (2017: 19.25%) and any U.K. deferred tax assets and liabilities would be recognized at a rate of 17%.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25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399"/>
              <w:spacing w:after="0" w:line="129"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line="129"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7"/>
        </w:trPr>
        <w:tc>
          <w:tcPr>
            <w:tcW w:w="2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5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5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6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12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Loss</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shares</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share</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shares</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share</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Loss</w:t>
            </w:r>
          </w:p>
        </w:tc>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share</w:t>
            </w:r>
          </w:p>
        </w:tc>
      </w:tr>
      <w:tr>
        <w:trPr>
          <w:trHeight w:val="157"/>
        </w:trPr>
        <w:tc>
          <w:tcPr>
            <w:tcW w:w="25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w:t>
            </w: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number</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w:t>
            </w:r>
          </w:p>
        </w:tc>
        <w:tc>
          <w:tcPr>
            <w:tcW w:w="1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r>
      <w:tr>
        <w:trPr>
          <w:trHeight w:val="155"/>
        </w:trPr>
        <w:tc>
          <w:tcPr>
            <w:tcW w:w="25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Basic and diluted</w:t>
            </w:r>
          </w:p>
        </w:tc>
        <w:tc>
          <w:tcPr>
            <w:tcW w:w="10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(28,390,280)</w:t>
            </w:r>
          </w:p>
        </w:tc>
        <w:tc>
          <w:tcPr>
            <w:tcW w:w="98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44,789,893</w:t>
            </w: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(0.63)</w:t>
            </w:r>
          </w:p>
        </w:tc>
        <w:tc>
          <w:tcPr>
            <w:tcW w:w="9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(38,799,054)</w:t>
            </w:r>
          </w:p>
        </w:tc>
        <w:tc>
          <w:tcPr>
            <w:tcW w:w="1120" w:type="dxa"/>
            <w:vAlign w:val="bottom"/>
            <w:gridSpan w:val="3"/>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69,012,348</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(0.56)</w:t>
            </w:r>
          </w:p>
        </w:tc>
        <w:tc>
          <w:tcPr>
            <w:tcW w:w="11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(32,028,740)</w:t>
            </w:r>
          </w:p>
        </w:tc>
        <w:tc>
          <w:tcPr>
            <w:tcW w:w="10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71,144,786</w:t>
            </w:r>
          </w:p>
        </w:tc>
        <w:tc>
          <w:tcPr>
            <w:tcW w:w="72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(0.45)</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operates share option schemes (see Note 25) which could potentially dilute basic earnings per share in the future. In addition, there exist within equity 864,988 (2017: 864,988) shares to be issued which also have the potential to dilute basic earnings per share in the future (see Note 17).</w:t>
      </w:r>
    </w:p>
    <w:p>
      <w:pPr>
        <w:spacing w:after="0" w:line="203"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As part of a license and option agreement with AstraZeneca (see Note 26), additional future payments of a maximum of 1,349,692 new ordinary shares would be payable on reaching certain clinical milestones.</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Warrants totalling 41,286 were issued in 2018 that could potentially dilute basic earnings per share if converted. Warrants totalling 696,490 were issued in 2017 that could potentially dilute basic earnings per share if converted.</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financial statements, see Note 29.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Leasehold</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Office</w:t>
            </w: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improvements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equipment</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equipment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or valuation</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9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20,024</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40,360</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215,878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3,467</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20,024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42,652</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218,170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3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(5,625)</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(1,335)</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(4,401)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(11,361)</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tcPr>
          <w:p>
            <w:pPr>
              <w:spacing w:after="0"/>
              <w:rPr>
                <w:sz w:val="17"/>
                <w:szCs w:val="17"/>
                <w:color w:val="auto"/>
              </w:rPr>
            </w:pP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457</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3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(15,549)</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(4,005)</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25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(21,174)</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(17,787)</w:t>
            </w: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500" w:type="dxa"/>
            <w:vAlign w:val="bottom"/>
          </w:tcPr>
          <w:p>
            <w:pPr>
              <w:spacing w:after="0"/>
              <w:rPr>
                <w:sz w:val="17"/>
                <w:szCs w:val="17"/>
                <w:color w:val="auto"/>
              </w:rPr>
            </w:pP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149,869</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18,689</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35,959</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204,517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134,320</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14,684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24,865</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173,869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Cost or valuation</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39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20,024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42,652</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218,170</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500" w:type="dxa"/>
            <w:vAlign w:val="bottom"/>
          </w:tcPr>
          <w:p>
            <w:pPr>
              <w:spacing w:after="0"/>
              <w:rPr>
                <w:sz w:val="17"/>
                <w:szCs w:val="17"/>
                <w:color w:val="auto"/>
              </w:rPr>
            </w:pP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10,107</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5,461</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25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impairment</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392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(21,174)</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(5,340)</w:t>
            </w: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250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(15,549)</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(5,386)</w:t>
            </w: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(36,723)</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(10,726)</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(32,928)</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(80,377)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134,320</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14,684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24,865</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173,869</w:t>
            </w:r>
          </w:p>
        </w:tc>
        <w:tc>
          <w:tcPr>
            <w:tcW w:w="0" w:type="dxa"/>
            <w:vAlign w:val="bottom"/>
          </w:tcPr>
          <w:p>
            <w:pPr>
              <w:spacing w:after="0"/>
              <w:rPr>
                <w:sz w:val="1"/>
                <w:szCs w:val="1"/>
                <w:color w:val="auto"/>
              </w:rPr>
            </w:pPr>
          </w:p>
        </w:tc>
      </w:tr>
      <w:tr>
        <w:trPr>
          <w:trHeight w:val="372"/>
        </w:trPr>
        <w:tc>
          <w:tcPr>
            <w:tcW w:w="390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Arial" w:cs="Arial" w:eastAsia="Arial" w:hAnsi="Arial"/>
                <w:sz w:val="18"/>
                <w:szCs w:val="18"/>
                <w:color w:val="auto"/>
              </w:rPr>
              <w:t>F-42</w:t>
            </w: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Leasehold</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Office</w:t>
            </w: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improvements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equipment</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equipment</w:t>
            </w: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118,771</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19,405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15,185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Cost or valuation</w:t>
            </w:r>
          </w:p>
        </w:tc>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30,131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48,113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233,738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9,119</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1,270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25,147</w:t>
            </w: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(2,167)</w:t>
            </w:r>
          </w:p>
        </w:tc>
        <w:tc>
          <w:tcPr>
            <w:tcW w:w="11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164,613</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31,401</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impairment</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322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(36,723)</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(10,726)</w:t>
            </w: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(32,928)</w:t>
            </w: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(80,377)</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80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(15,909)</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(6,238)</w:t>
            </w: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(17,334)</w:t>
            </w: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(39,481)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52,632</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16,964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48,577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118,173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118,771</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19,405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153,361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111,981</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14,437</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12. Intangible assets</w:t>
            </w: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253"/>
              <w:spacing w:after="0" w:line="155" w:lineRule="exact"/>
              <w:rPr>
                <w:sz w:val="20"/>
                <w:szCs w:val="20"/>
                <w:color w:val="auto"/>
              </w:rPr>
            </w:pPr>
            <w:r>
              <w:rPr>
                <w:rFonts w:ascii="Arial" w:cs="Arial" w:eastAsia="Arial" w:hAnsi="Arial"/>
                <w:sz w:val="14"/>
                <w:szCs w:val="14"/>
                <w:b w:val="1"/>
                <w:bCs w:val="1"/>
                <w:color w:val="auto"/>
              </w:rPr>
              <w:t>(in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9"/>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Additions</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Amortization and impairment</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2016</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Additions</w:t>
            </w: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Amortization and impairment</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at January 1, 2018 and December 31, 2018</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3220" w:type="dxa"/>
            <w:vAlign w:val="bottom"/>
            <w:gridSpan w:val="3"/>
          </w:tcPr>
          <w:p>
            <w:pPr>
              <w:jc w:val="right"/>
              <w:ind w:right="2140"/>
              <w:spacing w:after="0"/>
              <w:rPr>
                <w:sz w:val="20"/>
                <w:szCs w:val="20"/>
                <w:color w:val="auto"/>
              </w:rPr>
            </w:pPr>
            <w:r>
              <w:rPr>
                <w:rFonts w:ascii="Arial" w:cs="Arial" w:eastAsia="Arial" w:hAnsi="Arial"/>
                <w:sz w:val="18"/>
                <w:szCs w:val="18"/>
                <w:color w:val="auto"/>
              </w:rPr>
              <w:t>F-43</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January 1, 2018</w:t>
      </w:r>
    </w:p>
    <w:p>
      <w:pPr>
        <w:ind w:left="120"/>
        <w:spacing w:after="0"/>
        <w:rPr>
          <w:sz w:val="20"/>
          <w:szCs w:val="20"/>
          <w:color w:val="auto"/>
        </w:rPr>
      </w:pPr>
      <w:r>
        <w:rPr>
          <w:rFonts w:ascii="Arial" w:cs="Arial" w:eastAsia="Arial" w:hAnsi="Arial"/>
          <w:sz w:val="18"/>
          <w:szCs w:val="18"/>
          <w:color w:val="auto"/>
        </w:rPr>
        <w:t>Revision to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At December 31, 2018</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January 1, 2018</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289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Acquired</w:t>
      </w:r>
    </w:p>
    <w:p>
      <w:pPr>
        <w:spacing w:after="0" w:line="19"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Development</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(in £)</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jc w:val="right"/>
        <w:ind w:right="100"/>
        <w:spacing w:after="0"/>
        <w:rPr>
          <w:sz w:val="20"/>
          <w:szCs w:val="20"/>
          <w:color w:val="auto"/>
        </w:rPr>
      </w:pPr>
      <w:r>
        <w:rPr>
          <w:rFonts w:ascii="Arial" w:cs="Arial" w:eastAsia="Arial" w:hAnsi="Arial"/>
          <w:sz w:val="18"/>
          <w:szCs w:val="18"/>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14605</wp:posOffset>
            </wp:positionV>
            <wp:extent cx="6858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33,005,229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32,632,229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14605</wp:posOffset>
            </wp:positionV>
            <wp:extent cx="6858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0" w:space="720"/>
            <w:col w:w="1140"/>
          </w:cols>
          <w:pgMar w:left="320" w:top="459" w:right="439" w:bottom="1440" w:gutter="0" w:footer="0" w:header="0"/>
          <w:type w:val="continuous"/>
        </w:sectPr>
      </w:pPr>
    </w:p>
    <w:p>
      <w:pPr>
        <w:spacing w:after="0" w:line="6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Group’s strategy is to acquire clinical-stage development programs for the treatment of non-rare and rare diseases from large pharmaceutical companies.</w:t>
      </w:r>
    </w:p>
    <w:p>
      <w:pPr>
        <w:spacing w:after="0" w:line="19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AstraZeneca AB (“AstraZeneca”). MPH-966 is being developed for the treatment of severe alpha-1 antitrypsin deficiency, at a cost of £7,192,288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8680" w:type="dxa"/>
            <w:vAlign w:val="bottom"/>
          </w:tcPr>
          <w:p>
            <w:pPr>
              <w:spacing w:after="0"/>
              <w:rPr>
                <w:sz w:val="13"/>
                <w:szCs w:val="13"/>
                <w:color w:val="auto"/>
              </w:rPr>
            </w:pPr>
          </w:p>
        </w:tc>
        <w:tc>
          <w:tcPr>
            <w:tcW w:w="1380" w:type="dxa"/>
            <w:vAlign w:val="bottom"/>
            <w:gridSpan w:val="3"/>
          </w:tcPr>
          <w:p>
            <w:pPr>
              <w:jc w:val="center"/>
              <w:ind w:left="797"/>
              <w:spacing w:after="0" w:line="155" w:lineRule="exact"/>
              <w:rPr>
                <w:sz w:val="20"/>
                <w:szCs w:val="20"/>
                <w:color w:val="auto"/>
              </w:rPr>
            </w:pPr>
            <w:r>
              <w:rPr>
                <w:rFonts w:ascii="Arial" w:cs="Arial" w:eastAsia="Arial" w:hAnsi="Arial"/>
                <w:sz w:val="14"/>
                <w:szCs w:val="14"/>
                <w:b w:val="1"/>
                <w:bCs w:val="1"/>
                <w:color w:val="auto"/>
              </w:rPr>
              <w:t>(in £)</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payment in October 2017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2,280,000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2,280,000</w:t>
            </w:r>
          </w:p>
        </w:tc>
      </w:tr>
      <w:tr>
        <w:trPr>
          <w:trHeight w:val="202"/>
        </w:trPr>
        <w:tc>
          <w:tcPr>
            <w:tcW w:w="8680" w:type="dxa"/>
            <w:vAlign w:val="bottom"/>
          </w:tcPr>
          <w:p>
            <w:pPr>
              <w:spacing w:after="0" w:line="202" w:lineRule="exact"/>
              <w:rPr>
                <w:sz w:val="20"/>
                <w:szCs w:val="20"/>
                <w:color w:val="auto"/>
              </w:rPr>
            </w:pPr>
            <w:r>
              <w:rPr>
                <w:rFonts w:ascii="Arial" w:cs="Arial" w:eastAsia="Arial" w:hAnsi="Arial"/>
                <w:sz w:val="18"/>
                <w:szCs w:val="18"/>
                <w:color w:val="auto"/>
              </w:rPr>
              <w:t>Equity issued (see Note 17)</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1,520,000</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1,520,000</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equity consideration (see Note 25)</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1,331,288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1,331,288</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 (see Note 19)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1,688,000</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7,192,288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6,819,288</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present value of the provision for deferred cash consideration was reviewed at December 31, 2018 (see Note 19). The decrease in present value due to changes in timelines and probability of contractual milestones being achieved was £373,000 and is recognized in the intangible asset in line with our accounting policies.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Impairment testing of acquired development programs not yet available for use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development programs not yet available for use are assessed annually for impairment.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amount of acquired development programs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As at December 31, 2017</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4"/>
              <w:spacing w:after="0" w:line="155" w:lineRule="exact"/>
              <w:rPr>
                <w:sz w:val="20"/>
                <w:szCs w:val="20"/>
                <w:color w:val="auto"/>
              </w:rPr>
            </w:pPr>
            <w:r>
              <w:rPr>
                <w:rFonts w:ascii="Arial" w:cs="Arial" w:eastAsia="Arial" w:hAnsi="Arial"/>
                <w:sz w:val="14"/>
                <w:szCs w:val="14"/>
                <w:b w:val="1"/>
                <w:bCs w:val="1"/>
                <w:color w:val="auto"/>
              </w:rPr>
              <w:t>(in £)</w:t>
            </w: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2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BPS-804</w:t>
            </w:r>
          </w:p>
        </w:tc>
        <w:tc>
          <w:tcPr>
            <w:tcW w:w="116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MPH-966</w:t>
            </w:r>
          </w:p>
        </w:tc>
        <w:tc>
          <w:tcPr>
            <w:tcW w:w="11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BGS-649</w:t>
            </w:r>
          </w:p>
        </w:tc>
        <w:tc>
          <w:tcPr>
            <w:tcW w:w="13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BCT-197</w:t>
            </w:r>
          </w:p>
        </w:tc>
        <w:tc>
          <w:tcPr>
            <w:tcW w:w="11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(setrusumab)</w:t>
            </w:r>
          </w:p>
        </w:tc>
        <w:tc>
          <w:tcPr>
            <w:tcW w:w="160" w:type="dxa"/>
            <w:vAlign w:val="bottom"/>
          </w:tcPr>
          <w:p>
            <w:pPr>
              <w:spacing w:after="0"/>
              <w:rPr>
                <w:sz w:val="13"/>
                <w:szCs w:val="13"/>
                <w:color w:val="auto"/>
              </w:rPr>
            </w:pPr>
          </w:p>
        </w:tc>
        <w:tc>
          <w:tcPr>
            <w:tcW w:w="10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(alvelestat)</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(leflutrozole)</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(acumapimod)</w:t>
            </w:r>
          </w:p>
        </w:tc>
        <w:tc>
          <w:tcPr>
            <w:tcW w:w="1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development programs</w:t>
            </w:r>
          </w:p>
        </w:tc>
        <w:tc>
          <w:tcPr>
            <w:tcW w:w="12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11,615,824</w:t>
            </w:r>
          </w:p>
        </w:tc>
        <w:tc>
          <w:tcPr>
            <w:tcW w:w="11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7,192,288</w:t>
            </w:r>
          </w:p>
        </w:tc>
        <w:tc>
          <w:tcPr>
            <w:tcW w:w="1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9,886,356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4,310,761</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33,005,229</w:t>
            </w:r>
          </w:p>
        </w:tc>
      </w:tr>
      <w:tr>
        <w:trPr>
          <w:trHeight w:val="405"/>
        </w:trPr>
        <w:tc>
          <w:tcPr>
            <w:tcW w:w="4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As at December 31, 2018</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4"/>
              <w:spacing w:after="0" w:line="155" w:lineRule="exact"/>
              <w:rPr>
                <w:sz w:val="20"/>
                <w:szCs w:val="20"/>
                <w:color w:val="auto"/>
              </w:rPr>
            </w:pPr>
            <w:r>
              <w:rPr>
                <w:rFonts w:ascii="Arial" w:cs="Arial" w:eastAsia="Arial" w:hAnsi="Arial"/>
                <w:sz w:val="14"/>
                <w:szCs w:val="14"/>
                <w:b w:val="1"/>
                <w:bCs w:val="1"/>
                <w:color w:val="auto"/>
              </w:rPr>
              <w:t>(in £)</w:t>
            </w: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2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BPS-804</w:t>
            </w:r>
          </w:p>
        </w:tc>
        <w:tc>
          <w:tcPr>
            <w:tcW w:w="116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MPH-966</w:t>
            </w:r>
          </w:p>
        </w:tc>
        <w:tc>
          <w:tcPr>
            <w:tcW w:w="11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BGS-649</w:t>
            </w:r>
          </w:p>
        </w:tc>
        <w:tc>
          <w:tcPr>
            <w:tcW w:w="13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BCT-197</w:t>
            </w:r>
          </w:p>
        </w:tc>
        <w:tc>
          <w:tcPr>
            <w:tcW w:w="11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(setrusumab)</w:t>
            </w:r>
          </w:p>
        </w:tc>
        <w:tc>
          <w:tcPr>
            <w:tcW w:w="160" w:type="dxa"/>
            <w:vAlign w:val="bottom"/>
          </w:tcPr>
          <w:p>
            <w:pPr>
              <w:spacing w:after="0"/>
              <w:rPr>
                <w:sz w:val="13"/>
                <w:szCs w:val="13"/>
                <w:color w:val="auto"/>
              </w:rPr>
            </w:pPr>
          </w:p>
        </w:tc>
        <w:tc>
          <w:tcPr>
            <w:tcW w:w="10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(alvelestat)</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(leflutrozole)</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(acumapimod)</w:t>
            </w:r>
          </w:p>
        </w:tc>
        <w:tc>
          <w:tcPr>
            <w:tcW w:w="1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development programs</w:t>
            </w:r>
          </w:p>
        </w:tc>
        <w:tc>
          <w:tcPr>
            <w:tcW w:w="12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11,615,824</w:t>
            </w:r>
          </w:p>
        </w:tc>
        <w:tc>
          <w:tcPr>
            <w:tcW w:w="11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6,819,288</w:t>
            </w:r>
          </w:p>
        </w:tc>
        <w:tc>
          <w:tcPr>
            <w:tcW w:w="1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9,886,356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4,310,761</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32,632,229</w:t>
            </w:r>
          </w:p>
        </w:tc>
      </w:tr>
      <w:tr>
        <w:trPr>
          <w:trHeight w:val="365"/>
        </w:trPr>
        <w:tc>
          <w:tcPr>
            <w:tcW w:w="48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F-44</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in the year to December 31, 2018. The directors believe that the likelihood of a materially different outcome using different assumptions is remote.</w:t>
      </w:r>
    </w:p>
    <w:p>
      <w:pPr>
        <w:spacing w:after="0" w:line="205" w:lineRule="exact"/>
        <w:rPr>
          <w:sz w:val="20"/>
          <w:szCs w:val="20"/>
          <w:color w:val="auto"/>
        </w:rPr>
      </w:pPr>
    </w:p>
    <w:p>
      <w:pPr>
        <w:jc w:val="both"/>
        <w:ind w:left="120" w:right="80" w:firstLine="440"/>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 in use calculations for each program are utilized to calculate the recoverable amount. The calculations use pre -tax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commercialization after out-licensing.</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assumptions for the value in use calculations are described as follows:</w:t>
      </w:r>
    </w:p>
    <w:p>
      <w:pPr>
        <w:spacing w:after="0" w:line="117" w:lineRule="exact"/>
        <w:rPr>
          <w:sz w:val="20"/>
          <w:szCs w:val="20"/>
          <w:color w:val="auto"/>
        </w:rPr>
      </w:pPr>
    </w:p>
    <w:p>
      <w:pPr>
        <w:jc w:val="both"/>
        <w:ind w:left="1080" w:right="2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1080" w:right="56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1080" w:right="20" w:hanging="424"/>
        <w:spacing w:after="0" w:line="246"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programs;</w:t>
      </w:r>
    </w:p>
    <w:p>
      <w:pPr>
        <w:spacing w:after="0" w:line="102" w:lineRule="exact"/>
        <w:rPr>
          <w:rFonts w:ascii="Arial" w:cs="Arial" w:eastAsia="Arial" w:hAnsi="Arial"/>
          <w:sz w:val="18"/>
          <w:szCs w:val="18"/>
          <w:color w:val="auto"/>
        </w:rPr>
      </w:pPr>
    </w:p>
    <w:p>
      <w:pPr>
        <w:jc w:val="both"/>
        <w:ind w:left="1080" w:right="2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Company;</w:t>
      </w:r>
    </w:p>
    <w:p>
      <w:pPr>
        <w:spacing w:after="0" w:line="102" w:lineRule="exact"/>
        <w:rPr>
          <w:rFonts w:ascii="Arial" w:cs="Arial" w:eastAsia="Arial" w:hAnsi="Arial"/>
          <w:sz w:val="18"/>
          <w:szCs w:val="18"/>
          <w:color w:val="auto"/>
        </w:rPr>
      </w:pPr>
    </w:p>
    <w:p>
      <w:pPr>
        <w:ind w:left="1080" w:right="14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Company’s internal projections of current product manufacturing costings, with input from manufacturing partners where applicable, and estimates of operating costs based on management’s prior industry experience;</w:t>
      </w:r>
    </w:p>
    <w:p>
      <w:pPr>
        <w:spacing w:after="0" w:line="108"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cash flow projections—for all assets, cash flows are assessed over an industry-standard asset life of 20 years; and</w:t>
      </w:r>
    </w:p>
    <w:p>
      <w:pPr>
        <w:spacing w:after="0" w:line="117" w:lineRule="exact"/>
        <w:rPr>
          <w:rFonts w:ascii="Arial" w:cs="Arial" w:eastAsia="Arial" w:hAnsi="Arial"/>
          <w:sz w:val="18"/>
          <w:szCs w:val="18"/>
          <w:color w:val="auto"/>
        </w:rPr>
      </w:pPr>
    </w:p>
    <w:p>
      <w:pPr>
        <w:ind w:left="1080" w:right="280" w:hanging="424"/>
        <w:spacing w:after="0" w:line="246"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(2017: 15.3%).</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At this stage of product development, the key sensitivity for all three development programs is the probability of successful completion of clinical trials in order to obtain regulatory approval for sale. Therefore, full impairment of a development program is expected should such related trials be unsuccessful.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receivables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2"/>
          </w:tcPr>
          <w:p>
            <w:pPr>
              <w:jc w:val="center"/>
              <w:ind w:left="28"/>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deposit</w:t>
            </w:r>
          </w:p>
        </w:tc>
        <w:tc>
          <w:tcPr>
            <w:tcW w:w="1280" w:type="dxa"/>
            <w:vAlign w:val="bottom"/>
            <w:gridSpan w:val="3"/>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293,328</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293,328</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VAT recoverable</w:t>
            </w:r>
          </w:p>
        </w:tc>
        <w:tc>
          <w:tcPr>
            <w:tcW w:w="128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212,422</w:t>
            </w:r>
          </w:p>
        </w:tc>
        <w:tc>
          <w:tcPr>
            <w:tcW w:w="28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315,565</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3,600</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509,350</w:t>
            </w:r>
          </w:p>
        </w:tc>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608,893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32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center"/>
              <w:ind w:left="502"/>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banks and on hand</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11,005,675</w:t>
            </w: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5,343,975</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39,038,997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19,697,970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50,044,672</w:t>
            </w: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25,041,945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Cash at banks earns interest at floating rates based on daily bank deposit rates, with maturity of three months or less. Short-term deposits are available immediately and earn fixed interest at the respective short-term deposit rates and are held in a diversified portfolio of counterparties.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85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8580" w:type="dxa"/>
            <w:vAlign w:val="bottom"/>
          </w:tcPr>
          <w:p>
            <w:pPr>
              <w:spacing w:after="0"/>
              <w:rPr>
                <w:sz w:val="13"/>
                <w:szCs w:val="13"/>
                <w:color w:val="auto"/>
              </w:rPr>
            </w:pPr>
          </w:p>
        </w:tc>
        <w:tc>
          <w:tcPr>
            <w:tcW w:w="1460" w:type="dxa"/>
            <w:vAlign w:val="bottom"/>
            <w:gridSpan w:val="3"/>
          </w:tcPr>
          <w:p>
            <w:pPr>
              <w:ind w:left="1020"/>
              <w:spacing w:after="0" w:line="155" w:lineRule="exact"/>
              <w:rPr>
                <w:sz w:val="20"/>
                <w:szCs w:val="20"/>
                <w:color w:val="auto"/>
              </w:rPr>
            </w:pPr>
            <w:r>
              <w:rPr>
                <w:rFonts w:ascii="Arial" w:cs="Arial" w:eastAsia="Arial" w:hAnsi="Arial"/>
                <w:sz w:val="14"/>
                <w:szCs w:val="14"/>
                <w:b w:val="1"/>
                <w:bCs w:val="1"/>
                <w:color w:val="auto"/>
              </w:rPr>
              <w:t>(in £)</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2,500,000</w:t>
            </w:r>
          </w:p>
        </w:tc>
      </w:tr>
      <w:tr>
        <w:trPr>
          <w:trHeight w:val="20"/>
        </w:trPr>
        <w:tc>
          <w:tcPr>
            <w:tcW w:w="8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Short-term investments consist of cash deposits held with greater than three months term to maturity. None of these investments are held with terms greater than a year.</w:t>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Ordinary share capital</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Issuances in the year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Issued on June 9, 2016 for private financing round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on June 9. 2016 for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At December 31,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Nominal value at December 31, 2016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289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Issued capital at December 31, 2016 (</w:t>
      </w:r>
      <w:r>
        <w:rPr>
          <w:rFonts w:ascii="Arial" w:cs="Arial" w:eastAsia="Arial" w:hAnsi="Arial"/>
          <w:sz w:val="18"/>
          <w:szCs w:val="18"/>
          <w:color w:val="auto"/>
        </w:rPr>
        <w:t>£)</w:t>
      </w:r>
    </w:p>
    <w:p>
      <w:pPr>
        <w:spacing w:after="0" w:line="198"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7283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 £)</w:t>
      </w:r>
    </w:p>
    <w:p>
      <w:pPr>
        <w:jc w:val="right"/>
        <w:ind w:right="80"/>
        <w:spacing w:after="0" w:line="234" w:lineRule="auto"/>
        <w:rPr>
          <w:sz w:val="20"/>
          <w:szCs w:val="20"/>
          <w:color w:val="auto"/>
        </w:rPr>
      </w:pPr>
      <w:r>
        <w:rPr>
          <w:rFonts w:ascii="Arial" w:cs="Arial" w:eastAsia="Arial" w:hAnsi="Arial"/>
          <w:sz w:val="18"/>
          <w:szCs w:val="18"/>
          <w:color w:val="auto"/>
        </w:rPr>
        <w:t>59,221</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133,801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3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19,740,296</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39,464,540</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5,135,962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64,340,798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ectPr>
          <w:pgSz w:w="11900" w:h="16838" w:orient="portrait"/>
          <w:cols w:equalWidth="0" w:num="2">
            <w:col w:w="9440" w:space="720"/>
            <w:col w:w="980"/>
          </w:cols>
          <w:pgMar w:left="320" w:top="459" w:right="439" w:bottom="1440" w:gutter="0" w:footer="0" w:header="0"/>
          <w:type w:val="continuous"/>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Borders>
              <w:top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193,022</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April 3, 2017 for private placement financing round</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5,042,017</w:t>
            </w:r>
          </w:p>
        </w:tc>
        <w:tc>
          <w:tcPr>
            <w:tcW w:w="0" w:type="dxa"/>
            <w:vAlign w:val="bottom"/>
          </w:tcPr>
          <w:p>
            <w:pPr>
              <w:spacing w:after="0"/>
              <w:rPr>
                <w:sz w:val="1"/>
                <w:szCs w:val="1"/>
                <w:color w:val="auto"/>
              </w:rPr>
            </w:pPr>
          </w:p>
        </w:tc>
      </w:tr>
      <w:tr>
        <w:trPr>
          <w:trHeight w:val="202"/>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April 26, 2017 for conversion of loan note</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1,221,361</w:t>
            </w: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October 28, 2017 for acquisition of license</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490,798</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71,094,974</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2017 (</w:t>
            </w: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Ordinary share capital</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0" w:type="dxa"/>
            <w:vAlign w:val="bottom"/>
            <w:gridSpan w:val="2"/>
            <w:vMerge w:val="continue"/>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top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71,094,974</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1, 2018 for public offering</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50,076</w:t>
            </w: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August 3, 2018 for exercise of share options</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85,222</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71,240,272</w:t>
            </w:r>
          </w:p>
        </w:tc>
        <w:tc>
          <w:tcPr>
            <w:tcW w:w="0" w:type="dxa"/>
            <w:vAlign w:val="bottom"/>
          </w:tcPr>
          <w:p>
            <w:pPr>
              <w:spacing w:after="0"/>
              <w:rPr>
                <w:sz w:val="1"/>
                <w:szCs w:val="1"/>
                <w:color w:val="auto"/>
              </w:rPr>
            </w:pPr>
          </w:p>
        </w:tc>
      </w:tr>
      <w:tr>
        <w:trPr>
          <w:trHeight w:val="21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2018 (£)</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2018 (</w:t>
            </w: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1080" w:right="80" w:hanging="424"/>
        <w:spacing w:after="0" w:line="238"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10" w:lineRule="exact"/>
        <w:rPr>
          <w:rFonts w:ascii="Arial" w:cs="Arial" w:eastAsia="Arial" w:hAnsi="Arial"/>
          <w:sz w:val="18"/>
          <w:szCs w:val="18"/>
          <w:color w:val="auto"/>
        </w:rPr>
      </w:pPr>
    </w:p>
    <w:p>
      <w:pPr>
        <w:ind w:left="1080" w:right="22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8" w:lineRule="exact"/>
        <w:rPr>
          <w:rFonts w:ascii="Arial" w:cs="Arial" w:eastAsia="Arial" w:hAnsi="Arial"/>
          <w:sz w:val="18"/>
          <w:szCs w:val="18"/>
          <w:color w:val="auto"/>
        </w:rPr>
      </w:pPr>
    </w:p>
    <w:p>
      <w:pPr>
        <w:ind w:left="1080" w:right="520" w:hanging="424"/>
        <w:spacing w:after="0" w:line="246"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jc w:val="both"/>
        <w:ind w:left="1080" w:right="36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ind w:left="1080" w:right="380" w:hanging="424"/>
        <w:spacing w:after="0" w:line="246"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June 3, 2016 into 632,829 ordinary shares of £0.003 in nominal value in the capital of the Company at the fixed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price of £2.21 per share. Under the terms of the notes, Novartis also received 588,532 bonus shares;</w:t>
      </w:r>
    </w:p>
    <w:p>
      <w:pPr>
        <w:spacing w:after="0" w:line="117" w:lineRule="exact"/>
        <w:rPr>
          <w:sz w:val="20"/>
          <w:szCs w:val="20"/>
          <w:color w:val="auto"/>
        </w:rPr>
      </w:pPr>
    </w:p>
    <w:p>
      <w:pPr>
        <w:ind w:left="1080" w:right="6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490,798 ordinary shares of £0.003 in nominal value in the capital of the Company to AstraZeneca AB as part payment for the acquisition by Mereo BioPharma 4 Limited of an exclusive license and option to acquire certain assets;</w:t>
      </w:r>
    </w:p>
    <w:p>
      <w:pPr>
        <w:spacing w:after="0" w:line="108" w:lineRule="exact"/>
        <w:rPr>
          <w:rFonts w:ascii="Arial" w:cs="Arial" w:eastAsia="Arial" w:hAnsi="Arial"/>
          <w:sz w:val="18"/>
          <w:szCs w:val="18"/>
          <w:color w:val="auto"/>
        </w:rPr>
      </w:pPr>
    </w:p>
    <w:p>
      <w:pPr>
        <w:ind w:left="1080" w:right="26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under the public offering dated June 1, 2018, the Company issued and allotted 50,076 ordinary shares of £0.003 in nominal value in the capital of the Company on June 1, 2018 at a price of £3.00 per share to investors. Gross cash received was £150,228;</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August 3, 2018 the Company issued and allotted 10,000 ordinary shares of £0.003 in nominal value in the capital of the Company pursuant to an exercise of employee share options; and</w:t>
      </w:r>
    </w:p>
    <w:p>
      <w:pPr>
        <w:spacing w:after="0" w:line="102" w:lineRule="exact"/>
        <w:rPr>
          <w:rFonts w:ascii="Arial" w:cs="Arial" w:eastAsia="Arial" w:hAnsi="Arial"/>
          <w:sz w:val="18"/>
          <w:szCs w:val="18"/>
          <w:color w:val="auto"/>
        </w:rPr>
      </w:pPr>
    </w:p>
    <w:p>
      <w:pPr>
        <w:ind w:left="1080" w:right="140" w:hanging="424"/>
        <w:spacing w:after="0" w:line="246"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October 22, 2018 the Company issued and allotted 85,222 ordinary shares of £0.003 in nominal value in the capital of the Company pursuant to an exercise of employee share options.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26,212,880</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Share capital reduction on March 21, 2016</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Issuance of share capital for private financing round on June 9, 2016</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72,423,314</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Issuance of share capital for private placement on June 9, 2016</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11,335,069</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2016</w:t>
            </w: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80" w:type="dxa"/>
            <w:vAlign w:val="bottom"/>
            <w:gridSpan w:val="2"/>
            <w:vMerge w:val="continue"/>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99,975,399</w:t>
            </w:r>
          </w:p>
        </w:tc>
        <w:tc>
          <w:tcPr>
            <w:tcW w:w="0" w:type="dxa"/>
            <w:vAlign w:val="bottom"/>
          </w:tcPr>
          <w:p>
            <w:pPr>
              <w:spacing w:after="0"/>
              <w:rPr>
                <w:sz w:val="1"/>
                <w:szCs w:val="1"/>
                <w:color w:val="auto"/>
              </w:rPr>
            </w:pPr>
          </w:p>
        </w:tc>
      </w:tr>
      <w:tr>
        <w:trPr>
          <w:trHeight w:val="364"/>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99,975,399</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April 3, 2017 for private placement financing round</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14,984,875</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April 26, 2017 for conversion of loan note</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2,477,787</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28, 2017 for acquisition of license</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1,518,527</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80" w:type="dxa"/>
            <w:vAlign w:val="bottom"/>
            <w:gridSpan w:val="2"/>
            <w:vMerge w:val="continue"/>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118,226,956</w:t>
            </w:r>
          </w:p>
        </w:tc>
        <w:tc>
          <w:tcPr>
            <w:tcW w:w="0" w:type="dxa"/>
            <w:vAlign w:val="bottom"/>
          </w:tcPr>
          <w:p>
            <w:pPr>
              <w:spacing w:after="0"/>
              <w:rPr>
                <w:sz w:val="1"/>
                <w:szCs w:val="1"/>
                <w:color w:val="auto"/>
              </w:rPr>
            </w:pPr>
          </w:p>
        </w:tc>
      </w:tr>
      <w:tr>
        <w:trPr>
          <w:trHeight w:val="364"/>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118,226,956</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1, 2018 for public offering</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150,078</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August 3, 2018 for exercise of share options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12,870</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109,681</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(7,512)</w:t>
            </w:r>
          </w:p>
        </w:tc>
        <w:tc>
          <w:tcPr>
            <w:tcW w:w="0" w:type="dxa"/>
            <w:vAlign w:val="bottom"/>
          </w:tcPr>
          <w:p>
            <w:pPr>
              <w:spacing w:after="0"/>
              <w:rPr>
                <w:sz w:val="1"/>
                <w:szCs w:val="1"/>
                <w:color w:val="auto"/>
              </w:rPr>
            </w:pPr>
          </w:p>
        </w:tc>
      </w:tr>
      <w:tr>
        <w:trPr>
          <w:trHeight w:val="232"/>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118,492,073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4"/>
                <w:szCs w:val="24"/>
                <w:color w:val="auto"/>
              </w:rPr>
            </w:pPr>
          </w:p>
        </w:tc>
        <w:tc>
          <w:tcPr>
            <w:tcW w:w="8640" w:type="dxa"/>
            <w:vAlign w:val="bottom"/>
          </w:tcPr>
          <w:p>
            <w:pPr>
              <w:ind w:left="4280"/>
              <w:spacing w:after="0"/>
              <w:rPr>
                <w:sz w:val="20"/>
                <w:szCs w:val="20"/>
                <w:color w:val="auto"/>
              </w:rPr>
            </w:pPr>
            <w:r>
              <w:rPr>
                <w:rFonts w:ascii="Arial" w:cs="Arial" w:eastAsia="Arial" w:hAnsi="Arial"/>
                <w:sz w:val="18"/>
                <w:szCs w:val="18"/>
                <w:color w:val="auto"/>
              </w:rPr>
              <w:t>F-48</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to</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Share-based</w:t>
            </w:r>
          </w:p>
        </w:tc>
        <w:tc>
          <w:tcPr>
            <w:tcW w:w="15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component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be issued</w:t>
            </w: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payments</w:t>
            </w:r>
          </w:p>
        </w:tc>
        <w:tc>
          <w:tcPr>
            <w:tcW w:w="15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convertible loan</w:t>
            </w:r>
          </w:p>
        </w:tc>
        <w:tc>
          <w:tcPr>
            <w:tcW w:w="200" w:type="dxa"/>
            <w:vAlign w:val="bottom"/>
          </w:tcPr>
          <w:p>
            <w:pPr>
              <w:spacing w:after="0"/>
              <w:rPr>
                <w:sz w:val="15"/>
                <w:szCs w:val="15"/>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6"/>
          </w:tcPr>
          <w:p>
            <w:pPr>
              <w:ind w:left="80"/>
              <w:spacing w:after="0" w:line="155" w:lineRule="exact"/>
              <w:rPr>
                <w:sz w:val="20"/>
                <w:szCs w:val="20"/>
                <w:color w:val="auto"/>
              </w:rPr>
            </w:pPr>
            <w:r>
              <w:rPr>
                <w:rFonts w:ascii="Arial" w:cs="Arial" w:eastAsia="Arial" w:hAnsi="Arial"/>
                <w:sz w:val="14"/>
                <w:szCs w:val="14"/>
                <w:b w:val="1"/>
                <w:bCs w:val="1"/>
                <w:color w:val="auto"/>
              </w:rPr>
              <w:t>(in £)</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18,677,840</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2,982,265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21,660,105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6,494,018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6,494,018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(16,003,363)</w:t>
            </w:r>
          </w:p>
        </w:tc>
        <w:tc>
          <w:tcPr>
            <w:tcW w:w="128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7"/>
                <w:szCs w:val="17"/>
                <w:color w:val="auto"/>
              </w:rPr>
            </w:pPr>
          </w:p>
        </w:tc>
        <w:tc>
          <w:tcPr>
            <w:tcW w:w="1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516,802</w:t>
            </w:r>
          </w:p>
        </w:tc>
        <w:tc>
          <w:tcPr>
            <w:tcW w:w="180" w:type="dxa"/>
            <w:vAlign w:val="bottom"/>
          </w:tcPr>
          <w:p>
            <w:pPr>
              <w:spacing w:after="0"/>
              <w:rPr>
                <w:sz w:val="17"/>
                <w:szCs w:val="17"/>
                <w:color w:val="auto"/>
              </w:rPr>
            </w:pP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516,802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2,674,477</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9,476,283</w:t>
            </w:r>
          </w:p>
        </w:tc>
        <w:tc>
          <w:tcPr>
            <w:tcW w:w="1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516,802</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12,667,562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At January 1, 2017</w:t>
            </w: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2,674,477</w:t>
            </w:r>
          </w:p>
        </w:tc>
        <w:tc>
          <w:tcPr>
            <w:tcW w:w="112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9,476,283</w:t>
            </w:r>
          </w:p>
        </w:tc>
        <w:tc>
          <w:tcPr>
            <w:tcW w:w="160" w:type="dxa"/>
            <w:vAlign w:val="bottom"/>
          </w:tcPr>
          <w:p>
            <w:pPr>
              <w:spacing w:after="0"/>
              <w:rPr>
                <w:sz w:val="17"/>
                <w:szCs w:val="17"/>
                <w:color w:val="auto"/>
              </w:rPr>
            </w:pPr>
          </w:p>
        </w:tc>
        <w:tc>
          <w:tcPr>
            <w:tcW w:w="134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516,802</w:t>
            </w:r>
          </w:p>
        </w:tc>
        <w:tc>
          <w:tcPr>
            <w:tcW w:w="180" w:type="dxa"/>
            <w:vAlign w:val="bottom"/>
          </w:tcPr>
          <w:p>
            <w:pPr>
              <w:spacing w:after="0"/>
              <w:rPr>
                <w:sz w:val="17"/>
                <w:szCs w:val="17"/>
                <w:color w:val="auto"/>
              </w:rPr>
            </w:pPr>
          </w:p>
        </w:tc>
        <w:tc>
          <w:tcPr>
            <w:tcW w:w="11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12,667,562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4,983,186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4,983,186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Shares issued</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(1,082,899)</w:t>
            </w:r>
          </w:p>
        </w:tc>
        <w:tc>
          <w:tcPr>
            <w:tcW w:w="128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(1,082,899)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18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1,591,578</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14,459,469</w:t>
            </w: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308,122</w:t>
            </w:r>
          </w:p>
        </w:tc>
        <w:tc>
          <w:tcPr>
            <w:tcW w:w="1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16,359,169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 to</w:t>
            </w: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Share-based</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component of</w:t>
            </w:r>
          </w:p>
        </w:tc>
        <w:tc>
          <w:tcPr>
            <w:tcW w:w="220" w:type="dxa"/>
            <w:vAlign w:val="bottom"/>
          </w:tcPr>
          <w:p>
            <w:pPr>
              <w:spacing w:after="0"/>
              <w:rPr>
                <w:sz w:val="14"/>
                <w:szCs w:val="14"/>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Warrants issued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be issued</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payments</w:t>
            </w:r>
          </w:p>
        </w:tc>
        <w:tc>
          <w:tcPr>
            <w:tcW w:w="12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convertible loan</w:t>
            </w:r>
          </w:p>
        </w:tc>
        <w:tc>
          <w:tcPr>
            <w:tcW w:w="220" w:type="dxa"/>
            <w:vAlign w:val="bottom"/>
          </w:tcPr>
          <w:p>
            <w:pPr>
              <w:spacing w:after="0"/>
              <w:rPr>
                <w:sz w:val="15"/>
                <w:szCs w:val="15"/>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for TAP funding</w:t>
            </w:r>
          </w:p>
        </w:tc>
        <w:tc>
          <w:tcPr>
            <w:tcW w:w="2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(in £)</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124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1,591,578</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14,459,469</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308,122</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16,359,169</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2,302,335</w:t>
            </w:r>
          </w:p>
        </w:tc>
        <w:tc>
          <w:tcPr>
            <w:tcW w:w="360" w:type="dxa"/>
            <w:vAlign w:val="bottom"/>
          </w:tcPr>
          <w:p>
            <w:pPr>
              <w:spacing w:after="0"/>
              <w:rPr>
                <w:sz w:val="17"/>
                <w:szCs w:val="17"/>
                <w:color w:val="auto"/>
              </w:rPr>
            </w:pPr>
          </w:p>
        </w:tc>
        <w:tc>
          <w:tcPr>
            <w:tcW w:w="12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0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2,302,335</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release for exercise of</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options</w:t>
            </w:r>
          </w:p>
        </w:tc>
        <w:tc>
          <w:tcPr>
            <w:tcW w:w="1240" w:type="dxa"/>
            <w:vAlign w:val="bottom"/>
            <w:tcBorders>
              <w:right w:val="single" w:sz="8" w:color="CCEEFF"/>
            </w:tcBorders>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(113,042)</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(113,042)</w:t>
            </w:r>
          </w:p>
        </w:tc>
        <w:tc>
          <w:tcPr>
            <w:tcW w:w="0" w:type="dxa"/>
            <w:vAlign w:val="bottom"/>
          </w:tcPr>
          <w:p>
            <w:pPr>
              <w:spacing w:after="0"/>
              <w:rPr>
                <w:sz w:val="1"/>
                <w:szCs w:val="1"/>
                <w:color w:val="auto"/>
              </w:rPr>
            </w:pPr>
          </w:p>
        </w:tc>
      </w:tr>
      <w:tr>
        <w:trPr>
          <w:trHeight w:val="209"/>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Warrants issued for TAP funding</w:t>
            </w:r>
          </w:p>
        </w:tc>
        <w:tc>
          <w:tcPr>
            <w:tcW w:w="8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Borders>
              <w:bottom w:val="single" w:sz="8" w:color="auto"/>
            </w:tcBorders>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44,156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24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1,591,578</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16,648,762</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308,122</w:t>
            </w:r>
          </w:p>
        </w:tc>
        <w:tc>
          <w:tcPr>
            <w:tcW w:w="15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44,156</w:t>
            </w:r>
          </w:p>
        </w:tc>
        <w:tc>
          <w:tcPr>
            <w:tcW w:w="12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18,592,618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NEDs and employees (see Note 25 for further details).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share-based payment reserve is used to recognize a) the value of equity settled share-based payments provided to employees, including key management personnel, as part of their remuneration and b) deferred equity consideration. Refer to Note 25 for further details of these plans. Of the £6,494,018 share-based payment expense in 2016, £298,836 is an accelerated charge relating to 500,000 share options which were cancelled on June 9, 2016.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44,600,502 ordinary shares issued on June 9, 2016, 8,697,480 shares were issued to Novartis as fully paid up bonus shares (for £nil consideration), the number of which was calculated to maintain its shareholding at 19.5%. The fair value of these shares was £ 1.84 per share. At December 31, 2016, £2,674,477 representing a maximum of 1,453,520 shares at £1.84 were remaining to be issued to Novartis pro rata to their percentage shareholding as and when the Company issues further ordinary shares.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and December 31, 2017, £1,591,578 representing a maximum of 864,988 shares at £1.84 were remaining to be issued to Novartis pro rata to its percentage shareholding as and when the Company issues further ordinary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w:t>
      </w:r>
    </w:p>
    <w:p>
      <w:pPr>
        <w:ind w:left="120"/>
        <w:spacing w:after="0" w:line="234" w:lineRule="auto"/>
        <w:rPr>
          <w:sz w:val="20"/>
          <w:szCs w:val="20"/>
          <w:color w:val="auto"/>
        </w:rPr>
      </w:pPr>
      <w:r>
        <w:rPr>
          <w:rFonts w:ascii="Arial" w:cs="Arial" w:eastAsia="Arial" w:hAnsi="Arial"/>
          <w:sz w:val="18"/>
          <w:szCs w:val="18"/>
          <w:color w:val="auto"/>
        </w:rPr>
        <w:t>18a). The value of the equity component (cost of the conversion option) as at December 31, 2018 is £308,122 (2017: £308,122; 2016: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£516,802).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issued for TAP funding</w:t>
      </w:r>
    </w:p>
    <w:p>
      <w:pPr>
        <w:spacing w:after="0" w:line="126"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funding arrangements with The Alpha-1 Project are a compound instrument consisting of a liability and an equity component (see Note 21). The value of the equity component (consideration received for the warrants) as at December 31, 2018 is £44,156 (2017: £nil; 2016: £nil).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Accumulated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1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36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3"/>
          </w:tcPr>
          <w:p>
            <w:pPr>
              <w:jc w:val="right"/>
              <w:ind w:right="800"/>
              <w:spacing w:after="0" w:line="155" w:lineRule="exact"/>
              <w:rPr>
                <w:sz w:val="20"/>
                <w:szCs w:val="20"/>
                <w:color w:val="auto"/>
              </w:rPr>
            </w:pPr>
            <w:r>
              <w:rPr>
                <w:rFonts w:ascii="Arial" w:cs="Arial" w:eastAsia="Arial" w:hAnsi="Arial"/>
                <w:sz w:val="14"/>
                <w:szCs w:val="14"/>
                <w:b w:val="1"/>
                <w:bCs w:val="1"/>
                <w:color w:val="auto"/>
              </w:rPr>
              <w:t>(in £)</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14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7,000,000</w:t>
            </w:r>
          </w:p>
        </w:tc>
        <w:tc>
          <w:tcPr>
            <w:tcW w:w="148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4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(40,579,241)</w:t>
            </w:r>
          </w:p>
        </w:tc>
        <w:tc>
          <w:tcPr>
            <w:tcW w:w="148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(79,315,920)</w:t>
            </w:r>
          </w:p>
        </w:tc>
        <w:tc>
          <w:tcPr>
            <w:tcW w:w="16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(111,220,794)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4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(33,579,241)</w:t>
            </w:r>
          </w:p>
        </w:tc>
        <w:tc>
          <w:tcPr>
            <w:tcW w:w="1480" w:type="dxa"/>
            <w:vAlign w:val="bottom"/>
            <w:tcBorders>
              <w:right w:val="single" w:sz="8" w:color="CCEEFF"/>
            </w:tcBorders>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(72,315,920)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(104,220,794)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18. Interest-bearing loans and borrowings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gridSpan w:val="4"/>
          </w:tcPr>
          <w:p>
            <w:pPr>
              <w:jc w:val="right"/>
              <w:ind w:right="1060"/>
              <w:spacing w:after="0" w:line="155" w:lineRule="exact"/>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Notes—see Note 18a</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1,977,393</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2,038,881</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Bank loan—see Note 18b</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18,774,924</w:t>
            </w: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19,445,756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20,752,317</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21,484,637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1,939,806</w:t>
            </w:r>
          </w:p>
        </w:tc>
        <w:tc>
          <w:tcPr>
            <w:tcW w:w="12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6,837,884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18,812,511</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14,646,753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18a. Convertible loan note</w:t>
      </w:r>
    </w:p>
    <w:p>
      <w:pPr>
        <w:spacing w:after="0" w:line="122"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 investment in cash by Novartis at the time of the private placement on June 9, 2016. The Novartis Notes attract an interest rate of 4% per annum, accruing daily, and constitute direct, unsecured obligations of the Company ranking ahead of any other unsecured obligations of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interest-bearing loans and borrowings, a reduction in other capital reserves of £208,680 and a reduction in accumulated losses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2018 is £2,038,881 (2017: £1,977,393). The Group has applied IFRS 9 Financial Instruments in full without restating comparatives with an initial date of application of January 1, 2018 (see Note 2.2).</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the equity component of the Notes at December 31, 2018 was calculated as £308,123 (2017: £308,123).</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18b. Bank loan</w:t>
      </w:r>
    </w:p>
    <w:p>
      <w:pPr>
        <w:spacing w:after="0" w:line="122" w:lineRule="exact"/>
        <w:rPr>
          <w:sz w:val="20"/>
          <w:szCs w:val="20"/>
          <w:color w:val="auto"/>
        </w:rPr>
      </w:pPr>
    </w:p>
    <w:p>
      <w:pPr>
        <w:ind w:left="120" w:right="40" w:firstLine="440"/>
        <w:spacing w:after="0" w:line="251" w:lineRule="auto"/>
        <w:rPr>
          <w:sz w:val="20"/>
          <w:szCs w:val="20"/>
          <w:color w:val="auto"/>
        </w:rPr>
      </w:pPr>
      <w:r>
        <w:rPr>
          <w:rFonts w:ascii="Arial" w:cs="Arial" w:eastAsia="Arial" w:hAnsi="Arial"/>
          <w:sz w:val="17"/>
          <w:szCs w:val="17"/>
          <w:color w:val="auto"/>
        </w:rPr>
        <w:t>On August 7, 2017, the Group entered into a loan agreement with Silicon Valley Bank and Kreos Capital V (UK) Limited, which provides for total borrowings of £20.0 million and the issue of warrants over shares in the Company (see Note 20). £10.0 million was drawn down on each of August 21, 2017 (Tranche 1) and December 29, 2017 (Tranche 2) for general working capital purposes. The Group was obligated to make interest-only payments on the loan amount until September 30, 2018, and thereafter the Group was obligated to pay interest and principal in 30 equal monthly instalments until March 31, 2021, the maturity date. The loan bore interest at an annual fixed rate equal to 9.0%. In addition, a final payment of 7.5% of the principal loan amount was due upon the earlier of the maturity date, prepayment in whole of the loan amount, mandatory repayment, acceleration of the loan, and the loan becoming immediately due and payable due to an event of default. The loan was secured by substantially all of the Group’s assets, including intellectual property rights owned or controlled by the Group. The terms of the debt facility included an interest-only period to September 30, 2018, a 30-month capital and interest repayment period thereafter, a 9% headline interest rate and customary security over all assets of the Group.</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was £182,133, which was an effective interest rate of 1.95%.</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is £194,892, which was an effective interest rate of 2.08%.</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30 September 2018 (the “modification date”), the Group and the lender signed a revised loan agreement (the “new loan”), with the intention that this would replace the old loan (with the proceeds of the new loan being used to settle the old loan). The new loan is viewed as a modification of the original loan because it was agreed with the same lenders as under the old loan and the old loan was not repayable at par with no penalty.</w:t>
      </w:r>
    </w:p>
    <w:p>
      <w:pPr>
        <w:spacing w:after="0" w:line="205"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new loan has a principal amount of £20,455,000 and will mature on March 1, 2021, unless extended on reaching certain milestones.</w:t>
      </w:r>
    </w:p>
    <w:p>
      <w:pPr>
        <w:spacing w:after="0" w:line="197"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The Group is obligated to make interest-only payments on the loan amount until April 30, 2019, and thereafter the Group is obligated to pay interest and principal in 23 equal monthly instalments until March 31, 2021, the maturity date. The loan bears interest at an annual fixed rate equal to 8.5%. In addition, a final payment of 10.5%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interest-only period to April 30, 2019, a 23-month capital and interest repayment period thereafter, a 8.5% headline interest rate and customary security over all assets of the Group.</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modification loss is calculated as the difference in the present value of the cash flows under the original and modified terms.</w:t>
      </w:r>
    </w:p>
    <w:p>
      <w:pPr>
        <w:spacing w:after="0" w:line="212"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modification loss has been calculated accordingly in the amount of £730,037 and has been recognized in profit and loss as of the date of the modification.</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old loan was not derecognized; instead, at the point of modification, the carrying value of the loan was revised to reflect the new cash flows discounted by the original EIR as well as costs and fees incurred for the modification and any cash paid to or received from the lender under the terms of the new loan. Once the carrying amount of the liability was adjusted for costs and fees incurred as part of the modification, the EIR was recalculated to spread those costs and fees over the life of the modified liability.</w:t>
      </w:r>
    </w:p>
    <w:p>
      <w:pPr>
        <w:spacing w:after="0" w:line="205"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On the modification date, the Group issued 225,974 additional warrants (“additional warrants”), for nil consideration, to the lender with the same key terms as the original warrants. The fair value of the additional warrants as of their grant date (30 September 2018) was £375,343.</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total carrying value of the loan at December 31, 2018 was £19,445,756 (2017: £18,774,924). £6,837,884 (2017: £1,939,806) is a current liability and £12,607,872 (2017: £16,835,118) is a non-current liability. A total of £781,998 (2017: £66,935) of non-cash interest has been charged to the statement of comprehensive loss in the period.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Provisions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Social security contributions on share options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2,288,386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2,131,000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2,973,367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274,000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332,014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2,641,353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264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360" w:type="dxa"/>
            <w:vAlign w:val="bottom"/>
            <w:gridSpan w:val="2"/>
            <w:vMerge w:val="continue"/>
          </w:tcPr>
          <w:p>
            <w:pPr>
              <w:spacing w:after="0"/>
              <w:rPr>
                <w:sz w:val="12"/>
                <w:szCs w:val="12"/>
                <w:color w:val="auto"/>
              </w:rPr>
            </w:pPr>
          </w:p>
        </w:tc>
        <w:tc>
          <w:tcPr>
            <w:tcW w:w="100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Borders>
              <w:top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 £)</w:t>
            </w: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141,311</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2,288,386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7,293</w:t>
            </w:r>
          </w:p>
        </w:tc>
        <w:tc>
          <w:tcPr>
            <w:tcW w:w="80" w:type="dxa"/>
            <w:vAlign w:val="bottom"/>
          </w:tcPr>
          <w:p>
            <w:pPr>
              <w:spacing w:after="0"/>
              <w:rPr>
                <w:sz w:val="17"/>
                <w:szCs w:val="17"/>
                <w:color w:val="auto"/>
              </w:rPr>
            </w:pPr>
          </w:p>
        </w:tc>
        <w:tc>
          <w:tcPr>
            <w:tcW w:w="1320" w:type="dxa"/>
            <w:vAlign w:val="bottom"/>
            <w:gridSpan w:val="5"/>
          </w:tcPr>
          <w:p>
            <w:pPr>
              <w:ind w:left="6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1,084,181</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1,115,966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(60,365)</w:t>
            </w:r>
          </w:p>
        </w:tc>
        <w:tc>
          <w:tcPr>
            <w:tcW w:w="80" w:type="dxa"/>
            <w:vAlign w:val="bottom"/>
          </w:tcPr>
          <w:p>
            <w:pPr>
              <w:spacing w:after="0"/>
              <w:rPr>
                <w:sz w:val="17"/>
                <w:szCs w:val="17"/>
                <w:color w:val="auto"/>
              </w:rPr>
            </w:pPr>
          </w:p>
        </w:tc>
        <w:tc>
          <w:tcPr>
            <w:tcW w:w="1320" w:type="dxa"/>
            <w:vAlign w:val="bottom"/>
            <w:gridSpan w:val="5"/>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(1,446,019)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1,172,420</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2,288,386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320" w:type="dxa"/>
            <w:vAlign w:val="bottom"/>
            <w:gridSpan w:val="3"/>
          </w:tcPr>
          <w:p>
            <w:pPr>
              <w:ind w:left="7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5"/>
          </w:tcPr>
          <w:p>
            <w:pPr>
              <w:ind w:left="6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1,172,420</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2,288,386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25) the liability has been classified as non-current. The provision has been discounted. The negative charge in 2018 is due to the fall in the Company’s share price between December 31, 2017 and December 31,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Provisions for deferred cash consideration</w:t>
            </w:r>
          </w:p>
        </w:tc>
        <w:tc>
          <w:tcPr>
            <w:tcW w:w="8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480" w:type="dxa"/>
            <w:vAlign w:val="bottom"/>
            <w:gridSpan w:val="2"/>
            <w:vMerge w:val="continue"/>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2016</w:t>
            </w:r>
          </w:p>
        </w:tc>
        <w:tc>
          <w:tcPr>
            <w:tcW w:w="1260" w:type="dxa"/>
            <w:vAlign w:val="bottom"/>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(in £)</w:t>
            </w: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2,061,000</w:t>
            </w:r>
          </w:p>
        </w:tc>
        <w:tc>
          <w:tcPr>
            <w:tcW w:w="0" w:type="dxa"/>
            <w:vAlign w:val="bottom"/>
          </w:tcPr>
          <w:p>
            <w:pPr>
              <w:spacing w:after="0"/>
              <w:rPr>
                <w:sz w:val="1"/>
                <w:szCs w:val="1"/>
                <w:color w:val="auto"/>
              </w:rPr>
            </w:pPr>
          </w:p>
        </w:tc>
      </w:tr>
      <w:tr>
        <w:trPr>
          <w:trHeight w:val="203"/>
        </w:trPr>
        <w:tc>
          <w:tcPr>
            <w:tcW w:w="74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w:t>
            </w:r>
          </w:p>
        </w:tc>
        <w:tc>
          <w:tcPr>
            <w:tcW w:w="84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2,061,000</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443,000</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Decrease in provision due to a change in estimates relating to timelines and probabilities of</w:t>
            </w: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(373,000)</w:t>
            </w:r>
          </w:p>
        </w:tc>
        <w:tc>
          <w:tcPr>
            <w:tcW w:w="0" w:type="dxa"/>
            <w:vAlign w:val="bottom"/>
          </w:tcPr>
          <w:p>
            <w:pPr>
              <w:spacing w:after="0"/>
              <w:rPr>
                <w:sz w:val="1"/>
                <w:szCs w:val="1"/>
                <w:color w:val="auto"/>
              </w:rPr>
            </w:pPr>
          </w:p>
        </w:tc>
      </w:tr>
      <w:tr>
        <w:trPr>
          <w:trHeight w:val="203"/>
        </w:trPr>
        <w:tc>
          <w:tcPr>
            <w:tcW w:w="74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contractual milestones being achieved (see Note 12)</w:t>
            </w:r>
          </w:p>
        </w:tc>
        <w:tc>
          <w:tcPr>
            <w:tcW w:w="840" w:type="dxa"/>
            <w:vAlign w:val="bottom"/>
          </w:tcPr>
          <w:p>
            <w:pPr>
              <w:ind w:left="5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tcPr>
          <w:p>
            <w:pPr>
              <w:ind w:left="7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2,061,000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2,131,000</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274,000</w:t>
            </w: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1,787,000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1,798,986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(see Note 12). This liability is calculated as the risk-adjusted net present value of future cash payments to be made by the Group. The payments are dependent on reaching certain milestones based on the commencement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and outcome of clinical trials. The likelihood of achieving such milestones is reviewed at the balance sheet date and increased or decreased as appropriate.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Warrant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8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gridSpan w:val="2"/>
          </w:tcPr>
          <w:p>
            <w:pPr>
              <w:jc w:val="right"/>
              <w:ind w:right="235"/>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(in £)</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1,346,484</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84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1,292,011</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375,343</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Movement during the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54,473</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(716,214)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At December 31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1,346,484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1,005,613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A further 225,974 warrants were issued to the lenders on October 1, 2018. These warrants will be capable of exercise until October 1, 2028 at an exercise price of £2.31. The total of 922,464 warrants is equivalent to 1.30% of ordinary share capital at December 31, 2018.</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terms of the warrant instrument allow for a cashless exercise. In line with IAS 32, the future number of shares to be issued to the warrant holder under a cashless exercise can only be determined at that future date. At each balance sheet date, the fair value of the warrants will be assessed using the Black Scholes model taking into account appropriate amendments to inputs in respect of volatility and remaining expected life of the warrants.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year ended</w:t>
      </w:r>
    </w:p>
    <w:p>
      <w:pPr>
        <w:ind w:left="120"/>
        <w:spacing w:after="0"/>
        <w:rPr>
          <w:sz w:val="20"/>
          <w:szCs w:val="20"/>
          <w:color w:val="auto"/>
        </w:rPr>
      </w:pPr>
      <w:r>
        <w:rPr>
          <w:rFonts w:ascii="Arial" w:cs="Arial" w:eastAsia="Arial" w:hAnsi="Arial"/>
          <w:sz w:val="18"/>
          <w:szCs w:val="18"/>
          <w:color w:val="auto"/>
        </w:rPr>
        <w:t>December 31: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2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820" w:type="dxa"/>
            <w:vAlign w:val="bottom"/>
          </w:tcPr>
          <w:p>
            <w:pPr>
              <w:spacing w:after="0"/>
              <w:rPr>
                <w:sz w:val="13"/>
                <w:szCs w:val="13"/>
                <w:color w:val="auto"/>
              </w:rPr>
            </w:pPr>
          </w:p>
        </w:tc>
        <w:tc>
          <w:tcPr>
            <w:tcW w:w="1860" w:type="dxa"/>
            <w:vAlign w:val="bottom"/>
            <w:tcBorders>
              <w:top w:val="single" w:sz="8" w:color="auto"/>
              <w:bottom w:val="single" w:sz="8" w:color="auto"/>
            </w:tcBorders>
          </w:tcPr>
          <w:p>
            <w:pPr>
              <w:jc w:val="right"/>
              <w:ind w:right="897"/>
              <w:spacing w:after="0" w:line="155"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820" w:type="dxa"/>
            <w:vAlign w:val="bottom"/>
          </w:tcPr>
          <w:p>
            <w:pPr>
              <w:spacing w:after="0"/>
              <w:rPr>
                <w:sz w:val="13"/>
                <w:szCs w:val="13"/>
                <w:color w:val="auto"/>
              </w:rPr>
            </w:pPr>
          </w:p>
        </w:tc>
        <w:tc>
          <w:tcPr>
            <w:tcW w:w="186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(in £)</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50–51</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86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1.10–1.25</w:t>
            </w: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9.6–10</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86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3.00–3.25</w:t>
            </w: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Black Scholes</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the warrants at grant was £1,667,353. At December 31, 2018 it was £1,005,612 (2017: £1,346,484).</w:t>
      </w:r>
    </w:p>
    <w:p>
      <w:pPr>
        <w:spacing w:after="0" w:line="212"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Other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00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100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1006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9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r>
      <w:tr>
        <w:trPr>
          <w:trHeight w:val="209"/>
        </w:trPr>
        <w:tc>
          <w:tcPr>
            <w:tcW w:w="1006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34,289</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34,289</w:t>
            </w:r>
          </w:p>
        </w:tc>
      </w:tr>
      <w:tr>
        <w:trPr>
          <w:trHeight w:val="20"/>
        </w:trPr>
        <w:tc>
          <w:tcPr>
            <w:tcW w:w="10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October 8, 2018, the Group entered into a funding agreement with The Alpha-1 Project (“TAP”), which provides for total potential payments to Mereo of $ 400,000 as contributions towards the development of MPH-966 upon completion of certain milestones by the Group. In exchange, on receipt of such funding, the Group will issue warrants allowing TAP to subscribe for shares in the company (see Note 17). Under the agreement, TAP is potentially entitled to receive a payment equivalent to amounts received by Mereo (up to a maximum of $400,000) conditional on and within thirty days of the first regulatory approval received by the Group for MPH-966.</w:t>
      </w:r>
    </w:p>
    <w:p>
      <w:pPr>
        <w:spacing w:after="0" w:line="20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first payment (“Payment 1”) of $100,000 (£78,445) was made to Mereo on November 16, 2018. The fair value of the liability of Payment 1 on November 16, 2018 was £ 34,289. Application of the effective interest method is required to accrete the initial liability value up to the face value of the liability over a period of five years, being the estimate of the earliest date that the liability could be repaid and assuming that the agreement is not terminated earlier. This non-cash interest charge will be made in each statutory reporting period. The annual value of this interest charge is 25.8%.</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warrants issued as part of Payment 1 on November 16, 2018 was £44,156.</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carrying value of the liability at December 31, 2018 was £34,289. £34,289 is a non-current liability.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Trade and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8680" w:type="dxa"/>
            <w:vAlign w:val="bottom"/>
          </w:tcPr>
          <w:p>
            <w:pPr>
              <w:spacing w:after="0"/>
              <w:rPr>
                <w:sz w:val="13"/>
                <w:szCs w:val="13"/>
                <w:color w:val="auto"/>
              </w:rPr>
            </w:pPr>
          </w:p>
        </w:tc>
        <w:tc>
          <w:tcPr>
            <w:tcW w:w="1380" w:type="dxa"/>
            <w:vAlign w:val="bottom"/>
            <w:gridSpan w:val="3"/>
          </w:tcPr>
          <w:p>
            <w:pPr>
              <w:jc w:val="center"/>
              <w:ind w:left="798"/>
              <w:spacing w:after="0" w:line="155" w:lineRule="exact"/>
              <w:rPr>
                <w:sz w:val="20"/>
                <w:szCs w:val="20"/>
                <w:color w:val="auto"/>
              </w:rPr>
            </w:pPr>
            <w:r>
              <w:rPr>
                <w:rFonts w:ascii="Arial" w:cs="Arial" w:eastAsia="Arial" w:hAnsi="Arial"/>
                <w:sz w:val="14"/>
                <w:szCs w:val="14"/>
                <w:b w:val="1"/>
                <w:bCs w:val="1"/>
                <w:color w:val="auto"/>
              </w:rPr>
              <w:t>(in £)</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2,860,303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4,392,602</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144,348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160,719</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16,986</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At December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3,024,026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4,570,307</w:t>
            </w: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Changes in liabilities arising from financing activities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Deferred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Novartis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Warrant</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TAP</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3960" w:type="dxa"/>
            <w:vAlign w:val="bottom"/>
          </w:tcPr>
          <w:p>
            <w:pPr>
              <w:spacing w:after="0"/>
              <w:rPr>
                <w:sz w:val="15"/>
                <w:szCs w:val="15"/>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Bank loan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liability</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consideration</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Agreement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9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January 1, 2018</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18,774,924</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1,977,393</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1,346,484</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2,061,000</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24,159,801</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455,000</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455,000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Increase in TAP funding</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34,289</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34,289</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2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(1,644,610)</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(1,644,610)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2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(920,859)</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(920,859)</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Bank modification loss</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730,037</w:t>
            </w:r>
          </w:p>
        </w:tc>
        <w:tc>
          <w:tcPr>
            <w:tcW w:w="20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730,037</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additional warrants</w:t>
            </w:r>
          </w:p>
        </w:tc>
        <w:tc>
          <w:tcPr>
            <w:tcW w:w="12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(375,344)</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70,000</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(305,344)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375,344</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375,344</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Novartis Notes - amounts restated through</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retained earnings</w:t>
            </w:r>
          </w:p>
        </w:tc>
        <w:tc>
          <w:tcPr>
            <w:tcW w:w="1260" w:type="dxa"/>
            <w:vAlign w:val="bottom"/>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(123,864)</w:t>
            </w: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(123,864)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(716,215)</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(716,215)</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Interest accrual</w:t>
            </w: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1,644,610</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1,644,610</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Accreted interest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781,998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185,352</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967,350</w:t>
            </w:r>
          </w:p>
        </w:tc>
      </w:tr>
      <w:tr>
        <w:trPr>
          <w:trHeight w:val="209"/>
        </w:trPr>
        <w:tc>
          <w:tcPr>
            <w:tcW w:w="39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19,445,756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2,038,881</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1,005,613</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4"/>
              </w:rPr>
              <w:t>34,289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24,655,539</w:t>
            </w:r>
          </w:p>
        </w:tc>
        <w:tc>
          <w:tcPr>
            <w:tcW w:w="16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20" w:hanging="304"/>
        <w:spacing w:after="0"/>
        <w:tabs>
          <w:tab w:leader="none" w:pos="4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management and fair value measurement</w:t>
      </w:r>
    </w:p>
    <w:p>
      <w:pPr>
        <w:spacing w:after="0" w:line="103" w:lineRule="exact"/>
        <w:rPr>
          <w:rFonts w:ascii="Arial" w:cs="Arial" w:eastAsia="Arial" w:hAnsi="Arial"/>
          <w:sz w:val="18"/>
          <w:szCs w:val="18"/>
          <w:b w:val="1"/>
          <w:bCs w:val="1"/>
          <w:color w:val="auto"/>
        </w:rPr>
      </w:pPr>
    </w:p>
    <w:p>
      <w:pPr>
        <w:ind w:left="560" w:hanging="444"/>
        <w:spacing w:after="0"/>
        <w:tabs>
          <w:tab w:leader="none" w:pos="560" w:val="left"/>
        </w:tabs>
        <w:numPr>
          <w:ilvl w:val="0"/>
          <w:numId w:val="1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R&amp;D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 The Group has set up an Employee Benefit Trust which makes market purchases of the Company’s shares to provide some cover against future exercise of options under the Company’s share option schemes (see Note 27).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24.2. Financial risk management objectives and policies</w:t>
      </w:r>
    </w:p>
    <w:p>
      <w:pPr>
        <w:spacing w:after="0" w:line="126"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submits periodic reports to the Board. The Group seeks to maintain a balance between equity capital and convertible and secured debt to provide sufficient cash resources to execute the business plan. In addition, the Group maintains a balance between cash held on deposit and short-term investments in Sterling and other currencies to reduce its exposure to foreign exchange fluctuations in respect of its planned expenditure. During the year, in order to maintain a strong cash runway the Group completed an equity placing and arranged and drew down a new bank debt facility, which includes an initial interest-only period until September 2018.</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2018.</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The Group’s policy in relation to interest rate risk is to monitor short and medium-term interest rates and to place cash on deposit for periods that optimize the amount of interest earned while maintaining access to sufficient funds to meet day-to-day cash requirements.</w:t>
      </w:r>
    </w:p>
    <w:p>
      <w:pPr>
        <w:spacing w:after="0" w:line="175"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interest payable on both the convertible loan note and bank loan is fixed. Consequently, there is no material exposure to interest rate risk in respect of interest payable.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jc w:val="both"/>
        <w:ind w:left="120" w:right="260" w:firstLine="440"/>
        <w:spacing w:after="0" w:line="238"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Funding to date has been secured in a mixture of Sterling and USD (in respect of funding attributable to the merger with OncoMed) and therefore a level of natural hedging exists in respect of operating costs. Foreign exchange risk arises from commercial transactions and recognized assets and liabilities in foreign currencies.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Standard &amp; Poor’s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 million with any one cash deposit counterparty.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surplus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minimize the concentration of risks and therefore mitigate financial loss through a counterparty’s potential failure to make payments.</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2018 is the carrying amounts.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regarding the directors’ assessment of liquidity for further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24.3. Fair value hierarchy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 active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inputs</w:t>
            </w:r>
          </w:p>
        </w:tc>
      </w:tr>
      <w:tr>
        <w:trPr>
          <w:trHeight w:val="175"/>
        </w:trPr>
        <w:tc>
          <w:tcPr>
            <w:tcW w:w="530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Date of valuation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780" w:type="dxa"/>
            <w:vAlign w:val="bottom"/>
          </w:tcPr>
          <w:p>
            <w:pPr>
              <w:jc w:val="right"/>
              <w:ind w:right="1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2,131,000</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2,131,000</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1,005,613</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1,005,613</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for which fair values are disclosed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2,038,881</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2,038,881</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9"/>
              </w:rPr>
              <w:t>19,445,756</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7"/>
              </w:rPr>
              <w:t>19,445,756</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TAP funding liability (Note 21)</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34,289</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34,289</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during 2018.</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 active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inputs</w:t>
            </w:r>
          </w:p>
        </w:tc>
      </w:tr>
      <w:tr>
        <w:trPr>
          <w:trHeight w:val="175"/>
        </w:trPr>
        <w:tc>
          <w:tcPr>
            <w:tcW w:w="530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Date of valuation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2,061,000</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2,061,000</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1,346,484</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1,346,484</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for which fair values are disclosed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1,977,393</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1,977,393</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53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18,774,924</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18,774,924</w:t>
            </w:r>
          </w:p>
        </w:tc>
      </w:tr>
    </w:tbl>
    <w:p>
      <w:pPr>
        <w:spacing w:after="0" w:line="202"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144"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25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2017</w:t>
            </w:r>
          </w:p>
        </w:tc>
        <w:tc>
          <w:tcPr>
            <w:tcW w:w="220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6260" w:type="dxa"/>
            <w:vAlign w:val="bottom"/>
          </w:tcPr>
          <w:p>
            <w:pPr>
              <w:spacing w:after="0"/>
              <w:rPr>
                <w:sz w:val="12"/>
                <w:szCs w:val="12"/>
                <w:color w:val="auto"/>
              </w:rPr>
            </w:pPr>
          </w:p>
        </w:tc>
        <w:tc>
          <w:tcPr>
            <w:tcW w:w="122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Carrying</w:t>
            </w: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1020" w:type="dxa"/>
            <w:vAlign w:val="bottom"/>
            <w:tcBorders>
              <w:top w:val="single" w:sz="8" w:color="auto"/>
            </w:tcBorders>
          </w:tcPr>
          <w:p>
            <w:pPr>
              <w:jc w:val="right"/>
              <w:ind w:right="319"/>
              <w:spacing w:after="0" w:line="14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r>
      <w:tr>
        <w:trPr>
          <w:trHeight w:val="175"/>
        </w:trPr>
        <w:tc>
          <w:tcPr>
            <w:tcW w:w="626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r>
      <w:tr>
        <w:trPr>
          <w:trHeight w:val="155"/>
        </w:trPr>
        <w:tc>
          <w:tcPr>
            <w:tcW w:w="62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960"/>
              <w:spacing w:after="0" w:line="155" w:lineRule="exact"/>
              <w:rPr>
                <w:sz w:val="20"/>
                <w:szCs w:val="20"/>
                <w:color w:val="auto"/>
              </w:rPr>
            </w:pPr>
            <w:r>
              <w:rPr>
                <w:rFonts w:ascii="Arial" w:cs="Arial" w:eastAsia="Arial" w:hAnsi="Arial"/>
                <w:sz w:val="14"/>
                <w:szCs w:val="14"/>
                <w:b w:val="1"/>
                <w:bCs w:val="1"/>
                <w:color w:val="auto"/>
              </w:rPr>
              <w:t>(in £)</w:t>
            </w:r>
          </w:p>
        </w:tc>
        <w:tc>
          <w:tcPr>
            <w:tcW w:w="1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220" w:type="dxa"/>
            <w:vAlign w:val="bottom"/>
          </w:tcPr>
          <w:p>
            <w:pPr>
              <w:ind w:left="220"/>
              <w:spacing w:after="0" w:line="202" w:lineRule="exact"/>
              <w:rPr>
                <w:sz w:val="20"/>
                <w:szCs w:val="20"/>
                <w:color w:val="auto"/>
              </w:rPr>
            </w:pPr>
            <w:r>
              <w:rPr>
                <w:rFonts w:ascii="Arial" w:cs="Arial" w:eastAsia="Arial" w:hAnsi="Arial"/>
                <w:sz w:val="18"/>
                <w:szCs w:val="18"/>
                <w:color w:val="auto"/>
              </w:rPr>
              <w:t>2,061,000</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2,061,000</w:t>
            </w:r>
          </w:p>
        </w:tc>
        <w:tc>
          <w:tcPr>
            <w:tcW w:w="180" w:type="dxa"/>
            <w:vAlign w:val="bottom"/>
          </w:tcPr>
          <w:p>
            <w:pPr>
              <w:spacing w:after="0"/>
              <w:rPr>
                <w:sz w:val="17"/>
                <w:szCs w:val="17"/>
                <w:color w:val="auto"/>
              </w:rPr>
            </w:pPr>
          </w:p>
        </w:tc>
        <w:tc>
          <w:tcPr>
            <w:tcW w:w="1100" w:type="dxa"/>
            <w:vAlign w:val="bottom"/>
          </w:tcPr>
          <w:p>
            <w:pPr>
              <w:ind w:left="80"/>
              <w:spacing w:after="0" w:line="202" w:lineRule="exact"/>
              <w:rPr>
                <w:sz w:val="20"/>
                <w:szCs w:val="20"/>
                <w:color w:val="auto"/>
              </w:rPr>
            </w:pPr>
            <w:r>
              <w:rPr>
                <w:rFonts w:ascii="Arial" w:cs="Arial" w:eastAsia="Arial" w:hAnsi="Arial"/>
                <w:sz w:val="18"/>
                <w:szCs w:val="18"/>
                <w:color w:val="auto"/>
              </w:rPr>
              <w:t>2,131,000</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2,131,000</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1,346,484</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1,346,484</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1,005,613</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1,005,613</w:t>
            </w:r>
          </w:p>
        </w:tc>
      </w:tr>
    </w:tbl>
    <w:p>
      <w:pPr>
        <w:spacing w:after="0" w:line="215" w:lineRule="exact"/>
        <w:rPr>
          <w:sz w:val="20"/>
          <w:szCs w:val="20"/>
          <w:color w:val="auto"/>
        </w:rPr>
      </w:pPr>
    </w:p>
    <w:p>
      <w:pPr>
        <w:jc w:val="both"/>
        <w:ind w:left="120" w:right="80" w:firstLine="44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1080" w:right="60" w:hanging="424"/>
        <w:spacing w:after="0" w:line="23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8" w:lineRule="exact"/>
        <w:rPr>
          <w:rFonts w:ascii="Arial" w:cs="Arial" w:eastAsia="Arial" w:hAnsi="Arial"/>
          <w:sz w:val="18"/>
          <w:szCs w:val="18"/>
          <w:color w:val="auto"/>
        </w:rPr>
      </w:pPr>
    </w:p>
    <w:p>
      <w:pPr>
        <w:ind w:left="1080" w:right="480" w:hanging="424"/>
        <w:spacing w:after="0" w:line="246"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 Scholes model taking into account appropriate amendments to inputs in respect of volatility, remaining expected life of the warrants, cost of capital, probability of success and rates of interest.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2018 and 2017 are as shown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w:t>
            </w:r>
          </w:p>
        </w:tc>
        <w:tc>
          <w:tcPr>
            <w:tcW w:w="200" w:type="dxa"/>
            <w:vAlign w:val="bottom"/>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6"/>
                <w:szCs w:val="16"/>
                <w:color w:val="auto"/>
              </w:rPr>
            </w:pPr>
          </w:p>
        </w:tc>
        <w:tc>
          <w:tcPr>
            <w:tcW w:w="38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60"/>
        </w:trPr>
        <w:tc>
          <w:tcPr>
            <w:tcW w:w="2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line="160" w:lineRule="exact"/>
              <w:rPr>
                <w:sz w:val="20"/>
                <w:szCs w:val="20"/>
                <w:color w:val="auto"/>
              </w:rPr>
            </w:pPr>
            <w:r>
              <w:rPr>
                <w:rFonts w:ascii="Arial" w:cs="Arial" w:eastAsia="Arial" w:hAnsi="Arial"/>
                <w:sz w:val="18"/>
                <w:szCs w:val="18"/>
                <w:color w:val="auto"/>
              </w:rPr>
              <w:t>DCF</w:t>
            </w:r>
          </w:p>
        </w:tc>
        <w:tc>
          <w:tcPr>
            <w:tcW w:w="100" w:type="dxa"/>
            <w:vAlign w:val="bottom"/>
          </w:tcPr>
          <w:p>
            <w:pPr>
              <w:spacing w:after="0"/>
              <w:rPr>
                <w:sz w:val="13"/>
                <w:szCs w:val="13"/>
                <w:color w:val="auto"/>
              </w:rPr>
            </w:pPr>
          </w:p>
        </w:tc>
        <w:tc>
          <w:tcPr>
            <w:tcW w:w="1540" w:type="dxa"/>
            <w:vAlign w:val="bottom"/>
          </w:tcPr>
          <w:p>
            <w:pPr>
              <w:spacing w:after="0" w:line="160" w:lineRule="exact"/>
              <w:rPr>
                <w:sz w:val="20"/>
                <w:szCs w:val="20"/>
                <w:color w:val="auto"/>
              </w:rPr>
            </w:pPr>
            <w:r>
              <w:rPr>
                <w:rFonts w:ascii="Arial" w:cs="Arial" w:eastAsia="Arial" w:hAnsi="Arial"/>
                <w:sz w:val="18"/>
                <w:szCs w:val="18"/>
                <w:color w:val="auto"/>
              </w:rPr>
              <w:t>WACC</w:t>
            </w:r>
          </w:p>
        </w:tc>
        <w:tc>
          <w:tcPr>
            <w:tcW w:w="100" w:type="dxa"/>
            <w:vAlign w:val="bottom"/>
          </w:tcPr>
          <w:p>
            <w:pPr>
              <w:spacing w:after="0"/>
              <w:rPr>
                <w:sz w:val="13"/>
                <w:szCs w:val="13"/>
                <w:color w:val="auto"/>
              </w:rPr>
            </w:pPr>
          </w:p>
        </w:tc>
        <w:tc>
          <w:tcPr>
            <w:tcW w:w="1660" w:type="dxa"/>
            <w:vAlign w:val="bottom"/>
          </w:tcPr>
          <w:p>
            <w:pPr>
              <w:jc w:val="center"/>
              <w:spacing w:after="0" w:line="160" w:lineRule="exact"/>
              <w:rPr>
                <w:sz w:val="20"/>
                <w:szCs w:val="20"/>
                <w:color w:val="auto"/>
              </w:rPr>
            </w:pPr>
            <w:r>
              <w:rPr>
                <w:rFonts w:ascii="Arial" w:cs="Arial" w:eastAsia="Arial" w:hAnsi="Arial"/>
                <w:sz w:val="18"/>
                <w:szCs w:val="18"/>
                <w:color w:val="auto"/>
              </w:rPr>
              <w:t>2018: 15.3%</w:t>
            </w:r>
          </w:p>
        </w:tc>
        <w:tc>
          <w:tcPr>
            <w:tcW w:w="100" w:type="dxa"/>
            <w:vAlign w:val="bottom"/>
          </w:tcPr>
          <w:p>
            <w:pPr>
              <w:spacing w:after="0"/>
              <w:rPr>
                <w:sz w:val="13"/>
                <w:szCs w:val="13"/>
                <w:color w:val="auto"/>
              </w:rPr>
            </w:pPr>
          </w:p>
        </w:tc>
        <w:tc>
          <w:tcPr>
            <w:tcW w:w="3860" w:type="dxa"/>
            <w:vAlign w:val="bottom"/>
          </w:tcPr>
          <w:p>
            <w:pPr>
              <w:spacing w:after="0" w:line="160" w:lineRule="exact"/>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52"/>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consideration</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decrease/(increase) in fair value by £33,000.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WACC</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2017: 15.3%</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decrease/(increase) in fair value by £30,000.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Probability of</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2018: 28%-95%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success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 increase/(decrease) in fair value by</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Probability of</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2017: 28%-85%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success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 increase/(decrease) in fair value by</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Black</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Risk-free</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2018: 1.33%</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Scholes</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interest rate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£25,000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Risk-free</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2017: 1.25%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interest rate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£46,000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2018: 65%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£145,000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2017: 50%</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£200,000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Remaining life</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2018: 3,254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365 days would result in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an increase/(decrease) of £56,000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Remaining life</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2017: 3,519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365 days would result in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an increase/(decrease) of £54,000</w:t>
            </w:r>
          </w:p>
        </w:tc>
        <w:tc>
          <w:tcPr>
            <w:tcW w:w="0" w:type="dxa"/>
            <w:vAlign w:val="bottom"/>
          </w:tcPr>
          <w:p>
            <w:pPr>
              <w:spacing w:after="0"/>
              <w:rPr>
                <w:sz w:val="1"/>
                <w:szCs w:val="1"/>
                <w:color w:val="auto"/>
              </w:rPr>
            </w:pPr>
          </w:p>
        </w:tc>
      </w:tr>
      <w:tr>
        <w:trPr>
          <w:trHeight w:val="351"/>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F-60</w:t>
            </w: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ind w:left="120"/>
        <w:spacing w:after="0"/>
        <w:rPr>
          <w:sz w:val="20"/>
          <w:szCs w:val="20"/>
          <w:color w:val="auto"/>
        </w:rPr>
      </w:pPr>
      <w:r>
        <w:rPr>
          <w:rFonts w:ascii="Arial" w:cs="Arial" w:eastAsia="Arial" w:hAnsi="Arial"/>
          <w:sz w:val="18"/>
          <w:szCs w:val="18"/>
          <w:color w:val="auto"/>
        </w:rPr>
        <w:t>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12"/>
          </w:tcPr>
          <w:p>
            <w:pPr>
              <w:jc w:val="center"/>
              <w:ind w:right="600"/>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760" w:type="dxa"/>
            <w:vAlign w:val="bottom"/>
          </w:tcPr>
          <w:p>
            <w:pPr>
              <w:spacing w:after="0"/>
              <w:rPr>
                <w:sz w:val="13"/>
                <w:szCs w:val="13"/>
                <w:color w:val="auto"/>
              </w:rPr>
            </w:pPr>
          </w:p>
        </w:tc>
        <w:tc>
          <w:tcPr>
            <w:tcW w:w="134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Up to 1 year</w:t>
            </w:r>
          </w:p>
        </w:tc>
        <w:tc>
          <w:tcPr>
            <w:tcW w:w="1420" w:type="dxa"/>
            <w:vAlign w:val="bottom"/>
            <w:tcBorders>
              <w:bottom w:val="single" w:sz="8" w:color="auto"/>
            </w:tcBorders>
            <w:gridSpan w:val="4"/>
          </w:tcPr>
          <w:p>
            <w:pPr>
              <w:jc w:val="right"/>
              <w:ind w:right="620"/>
              <w:spacing w:after="0" w:line="155" w:lineRule="exact"/>
              <w:rPr>
                <w:sz w:val="20"/>
                <w:szCs w:val="20"/>
                <w:color w:val="auto"/>
              </w:rPr>
            </w:pPr>
            <w:r>
              <w:rPr>
                <w:rFonts w:ascii="Arial" w:cs="Arial" w:eastAsia="Arial" w:hAnsi="Arial"/>
                <w:sz w:val="14"/>
                <w:szCs w:val="14"/>
                <w:b w:val="1"/>
                <w:bCs w:val="1"/>
                <w:color w:val="auto"/>
              </w:rPr>
              <w:t>1–3 years</w:t>
            </w:r>
          </w:p>
        </w:tc>
        <w:tc>
          <w:tcPr>
            <w:tcW w:w="1140" w:type="dxa"/>
            <w:vAlign w:val="bottom"/>
            <w:tcBorders>
              <w:bottom w:val="single" w:sz="8" w:color="auto"/>
            </w:tcBorders>
            <w:gridSpan w:val="4"/>
          </w:tcPr>
          <w:p>
            <w:pPr>
              <w:jc w:val="center"/>
              <w:ind w:right="460"/>
              <w:spacing w:after="0" w:line="155" w:lineRule="exact"/>
              <w:rPr>
                <w:sz w:val="20"/>
                <w:szCs w:val="20"/>
                <w:color w:val="auto"/>
              </w:rPr>
            </w:pPr>
            <w:r>
              <w:rPr>
                <w:rFonts w:ascii="Arial" w:cs="Arial" w:eastAsia="Arial" w:hAnsi="Arial"/>
                <w:sz w:val="14"/>
                <w:szCs w:val="14"/>
                <w:b w:val="1"/>
                <w:bCs w:val="1"/>
                <w:color w:val="auto"/>
              </w:rPr>
              <w:t>3–5 years</w:t>
            </w:r>
          </w:p>
        </w:tc>
        <w:tc>
          <w:tcPr>
            <w:tcW w:w="13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Over 5 years</w:t>
            </w:r>
          </w:p>
        </w:tc>
        <w:tc>
          <w:tcPr>
            <w:tcW w:w="96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6"/>
        </w:trPr>
        <w:tc>
          <w:tcPr>
            <w:tcW w:w="4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540"/>
              <w:spacing w:after="0" w:line="155" w:lineRule="exact"/>
              <w:rPr>
                <w:sz w:val="20"/>
                <w:szCs w:val="20"/>
                <w:color w:val="auto"/>
              </w:rPr>
            </w:pPr>
            <w:r>
              <w:rPr>
                <w:rFonts w:ascii="Arial" w:cs="Arial" w:eastAsia="Arial" w:hAnsi="Arial"/>
                <w:sz w:val="14"/>
                <w:szCs w:val="14"/>
                <w:b w:val="1"/>
                <w:bCs w:val="1"/>
                <w:color w:val="auto"/>
              </w:rPr>
              <w:t>(in £)</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w:t>
            </w: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82,600</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2,161,642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2,244,242</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8,260,337</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right"/>
              <w:ind w:right="188"/>
              <w:spacing w:after="0" w:line="202" w:lineRule="exact"/>
              <w:rPr>
                <w:sz w:val="20"/>
                <w:szCs w:val="20"/>
                <w:color w:val="auto"/>
              </w:rPr>
            </w:pPr>
            <w:r>
              <w:rPr>
                <w:rFonts w:ascii="Arial" w:cs="Arial" w:eastAsia="Arial" w:hAnsi="Arial"/>
                <w:sz w:val="18"/>
                <w:szCs w:val="18"/>
                <w:b w:val="1"/>
                <w:bCs w:val="1"/>
                <w:color w:val="auto"/>
              </w:rPr>
              <w:t>15,589,137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40" w:type="dxa"/>
            <w:vAlign w:val="bottom"/>
            <w:gridSpan w:val="4"/>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23,849,474</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26)</w:t>
            </w: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331,527</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204,138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535,665</w:t>
            </w:r>
          </w:p>
        </w:tc>
      </w:tr>
      <w:tr>
        <w:trPr>
          <w:trHeight w:val="209"/>
        </w:trPr>
        <w:tc>
          <w:tcPr>
            <w:tcW w:w="476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8,674,464</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17,954,917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26,629,381</w:t>
            </w:r>
          </w:p>
        </w:tc>
        <w:tc>
          <w:tcPr>
            <w:tcW w:w="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7520" w:type="dxa"/>
            <w:vAlign w:val="bottom"/>
            <w:gridSpan w:val="11"/>
          </w:tcPr>
          <w:p>
            <w:pPr>
              <w:ind w:left="440"/>
              <w:spacing w:after="0"/>
              <w:rPr>
                <w:sz w:val="20"/>
                <w:szCs w:val="20"/>
                <w:color w:val="auto"/>
              </w:rPr>
            </w:pPr>
            <w:r>
              <w:rPr>
                <w:rFonts w:ascii="Arial" w:cs="Arial" w:eastAsia="Arial" w:hAnsi="Arial"/>
                <w:sz w:val="18"/>
                <w:szCs w:val="18"/>
                <w:color w:val="auto"/>
              </w:rPr>
              <w:t>The table below summarizes our contractual obligations at December 31, 2017: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1"/>
          </w:tcPr>
          <w:p>
            <w:pPr>
              <w:jc w:val="center"/>
              <w:ind w:right="960"/>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4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Borders>
              <w:bottom w:val="single" w:sz="8" w:color="auto"/>
            </w:tcBorders>
            <w:gridSpan w:val="5"/>
          </w:tcPr>
          <w:p>
            <w:pPr>
              <w:ind w:left="40"/>
              <w:spacing w:after="0" w:line="155" w:lineRule="exact"/>
              <w:rPr>
                <w:sz w:val="20"/>
                <w:szCs w:val="20"/>
                <w:color w:val="auto"/>
              </w:rPr>
            </w:pPr>
            <w:r>
              <w:rPr>
                <w:rFonts w:ascii="Arial" w:cs="Arial" w:eastAsia="Arial" w:hAnsi="Arial"/>
                <w:sz w:val="14"/>
                <w:szCs w:val="14"/>
                <w:b w:val="1"/>
                <w:bCs w:val="1"/>
                <w:color w:val="auto"/>
              </w:rPr>
              <w:t>Up to 1 year</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1–3 years</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Over 5 years</w:t>
            </w:r>
          </w:p>
        </w:tc>
        <w:tc>
          <w:tcPr>
            <w:tcW w:w="9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gridSpan w:val="2"/>
          </w:tcPr>
          <w:p>
            <w:pPr>
              <w:spacing w:after="0"/>
              <w:rPr>
                <w:sz w:val="13"/>
                <w:szCs w:val="13"/>
                <w:color w:val="auto"/>
              </w:rPr>
            </w:pPr>
          </w:p>
        </w:tc>
      </w:tr>
      <w:tr>
        <w:trPr>
          <w:trHeight w:val="155"/>
        </w:trPr>
        <w:tc>
          <w:tcPr>
            <w:tcW w:w="4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(in £)</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w:t>
            </w:r>
          </w:p>
        </w:tc>
        <w:tc>
          <w:tcPr>
            <w:tcW w:w="13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82,600</w:t>
            </w:r>
          </w:p>
        </w:tc>
        <w:tc>
          <w:tcPr>
            <w:tcW w:w="2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165,427</w:t>
            </w:r>
          </w:p>
        </w:tc>
        <w:tc>
          <w:tcPr>
            <w:tcW w:w="11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2,078,815</w:t>
            </w:r>
          </w:p>
        </w:tc>
        <w:tc>
          <w:tcPr>
            <w:tcW w:w="10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2,326,842</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320" w:type="dxa"/>
            <w:vAlign w:val="bottom"/>
            <w:gridSpan w:val="5"/>
          </w:tcPr>
          <w:p>
            <w:pPr>
              <w:jc w:val="right"/>
              <w:ind w:right="20"/>
              <w:spacing w:after="0" w:line="202" w:lineRule="exact"/>
              <w:rPr>
                <w:sz w:val="20"/>
                <w:szCs w:val="20"/>
                <w:color w:val="auto"/>
              </w:rPr>
            </w:pPr>
            <w:r>
              <w:rPr>
                <w:rFonts w:ascii="Arial" w:cs="Arial" w:eastAsia="Arial" w:hAnsi="Arial"/>
                <w:sz w:val="18"/>
                <w:szCs w:val="18"/>
                <w:b w:val="1"/>
                <w:bCs w:val="1"/>
                <w:color w:val="auto"/>
              </w:rPr>
              <w:t>3,574,208</w:t>
            </w:r>
          </w:p>
        </w:tc>
        <w:tc>
          <w:tcPr>
            <w:tcW w:w="20" w:type="dxa"/>
            <w:vAlign w:val="bottom"/>
          </w:tcPr>
          <w:p>
            <w:pPr>
              <w:spacing w:after="0"/>
              <w:rPr>
                <w:sz w:val="17"/>
                <w:szCs w:val="17"/>
                <w:color w:val="auto"/>
              </w:rPr>
            </w:pPr>
          </w:p>
        </w:tc>
        <w:tc>
          <w:tcPr>
            <w:tcW w:w="1420" w:type="dxa"/>
            <w:vAlign w:val="bottom"/>
            <w:gridSpan w:val="4"/>
          </w:tcPr>
          <w:p>
            <w:pPr>
              <w:jc w:val="right"/>
              <w:ind w:right="200"/>
              <w:spacing w:after="0" w:line="202" w:lineRule="exact"/>
              <w:rPr>
                <w:sz w:val="20"/>
                <w:szCs w:val="20"/>
                <w:color w:val="auto"/>
              </w:rPr>
            </w:pPr>
            <w:r>
              <w:rPr>
                <w:rFonts w:ascii="Arial" w:cs="Arial" w:eastAsia="Arial" w:hAnsi="Arial"/>
                <w:sz w:val="18"/>
                <w:szCs w:val="18"/>
                <w:b w:val="1"/>
                <w:bCs w:val="1"/>
                <w:color w:val="auto"/>
              </w:rPr>
              <w:t>17,793,665</w:t>
            </w:r>
          </w:p>
        </w:tc>
        <w:tc>
          <w:tcPr>
            <w:tcW w:w="1140" w:type="dxa"/>
            <w:vAlign w:val="bottom"/>
            <w:gridSpan w:val="4"/>
          </w:tcPr>
          <w:p>
            <w:pPr>
              <w:ind w:left="160"/>
              <w:spacing w:after="0" w:line="202" w:lineRule="exact"/>
              <w:rPr>
                <w:sz w:val="20"/>
                <w:szCs w:val="20"/>
                <w:color w:val="auto"/>
              </w:rPr>
            </w:pPr>
            <w:r>
              <w:rPr>
                <w:rFonts w:ascii="Arial" w:cs="Arial" w:eastAsia="Arial" w:hAnsi="Arial"/>
                <w:sz w:val="18"/>
                <w:szCs w:val="18"/>
                <w:b w:val="1"/>
                <w:bCs w:val="1"/>
                <w:color w:val="auto"/>
              </w:rPr>
              <w:t>2,982,805</w:t>
            </w:r>
          </w:p>
        </w:tc>
        <w:tc>
          <w:tcPr>
            <w:tcW w:w="100" w:type="dxa"/>
            <w:vAlign w:val="bottom"/>
          </w:tcPr>
          <w:p>
            <w:pPr>
              <w:spacing w:after="0"/>
              <w:rPr>
                <w:sz w:val="17"/>
                <w:szCs w:val="17"/>
                <w:color w:val="auto"/>
              </w:rPr>
            </w:pPr>
          </w:p>
        </w:tc>
        <w:tc>
          <w:tcPr>
            <w:tcW w:w="1240" w:type="dxa"/>
            <w:vAlign w:val="bottom"/>
            <w:gridSpan w:val="4"/>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24,350,678</w:t>
            </w:r>
          </w:p>
        </w:tc>
        <w:tc>
          <w:tcPr>
            <w:tcW w:w="6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26)</w:t>
            </w:r>
          </w:p>
        </w:tc>
        <w:tc>
          <w:tcPr>
            <w:tcW w:w="13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743,858</w:t>
            </w:r>
          </w:p>
        </w:tc>
        <w:tc>
          <w:tcPr>
            <w:tcW w:w="2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535,203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1,279,061</w:t>
            </w:r>
          </w:p>
        </w:tc>
        <w:tc>
          <w:tcPr>
            <w:tcW w:w="60" w:type="dxa"/>
            <w:vAlign w:val="bottom"/>
            <w:shd w:val="clear" w:color="auto" w:fill="CCEEFF"/>
          </w:tcPr>
          <w:p>
            <w:pPr>
              <w:spacing w:after="0"/>
              <w:rPr>
                <w:sz w:val="17"/>
                <w:szCs w:val="17"/>
                <w:color w:val="auto"/>
              </w:rPr>
            </w:pPr>
          </w:p>
        </w:tc>
      </w:tr>
      <w:tr>
        <w:trPr>
          <w:trHeight w:val="210"/>
        </w:trPr>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4,400,666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18,494,295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5,061,620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27,956,581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Group may incur potential payments upon achievement of clinical, regulatory and commercial milestones, as applicable, or royalty payments that may be required to be made under license agreements the Group entered into with various entities pursuant to which the Group has in-licensed certain intellectual property, including license agreements with Novartis and AstraZeneca. Due to the uncertainty of the achievement and timing of the events requiring payment under these agreements, the amounts to be paid are not fixed or determinable at this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Share-based payments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charge for share-based payments under IFRS 2 arises across the following schemes: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(in £)</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 Plan</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6,185,067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2,441,671</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805,738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Mereo BioPharma Group plc Share Option Plan</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586,291</w:t>
            </w:r>
          </w:p>
        </w:tc>
        <w:tc>
          <w:tcPr>
            <w:tcW w:w="26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1,064,217</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Incentive Plan</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133,601</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298,287</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319,338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Deferred Bonus Share Plan</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175,350</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325,649</w:t>
            </w:r>
          </w:p>
        </w:tc>
        <w:tc>
          <w:tcPr>
            <w:tcW w:w="2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7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6,494,018</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3,651,898</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2,189,293</w:t>
            </w: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NEDs. Share options vest over four years for executive management and employees and over three years for NEDs.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left="120" w:right="940" w:firstLine="440"/>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2015</w:t>
      </w:r>
    </w:p>
    <w:p>
      <w:pPr>
        <w:ind w:left="120"/>
        <w:spacing w:after="0"/>
        <w:rPr>
          <w:sz w:val="20"/>
          <w:szCs w:val="20"/>
          <w:color w:val="auto"/>
        </w:rPr>
      </w:pPr>
      <w:r>
        <w:rPr>
          <w:rFonts w:ascii="Arial" w:cs="Arial" w:eastAsia="Arial" w:hAnsi="Arial"/>
          <w:sz w:val="18"/>
          <w:szCs w:val="18"/>
          <w:color w:val="auto"/>
        </w:rPr>
        <w:t>Plan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WAEP</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9"/>
              </w:rPr>
              <w:t>WAEP</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the year</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14"/>
              <w:spacing w:after="0" w:line="196" w:lineRule="exact"/>
              <w:rPr>
                <w:sz w:val="20"/>
                <w:szCs w:val="20"/>
                <w:color w:val="auto"/>
              </w:rPr>
            </w:pPr>
            <w:r>
              <w:rPr>
                <w:rFonts w:ascii="Arial" w:cs="Arial" w:eastAsia="Arial" w:hAnsi="Arial"/>
                <w:sz w:val="18"/>
                <w:szCs w:val="18"/>
                <w:color w:val="auto"/>
                <w:w w:val="96"/>
              </w:rPr>
              <w:t>1.29</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ind w:left="14"/>
              <w:spacing w:after="0" w:line="196" w:lineRule="exact"/>
              <w:rPr>
                <w:sz w:val="20"/>
                <w:szCs w:val="20"/>
                <w:color w:val="auto"/>
              </w:rPr>
            </w:pPr>
            <w:r>
              <w:rPr>
                <w:rFonts w:ascii="Arial" w:cs="Arial" w:eastAsia="Arial" w:hAnsi="Arial"/>
                <w:sz w:val="18"/>
                <w:szCs w:val="18"/>
                <w:color w:val="auto"/>
              </w:rPr>
              <w:t>1.32</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9,124,610</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1,316,117</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6"/>
              </w:rPr>
              <w:t>1.49</w:t>
            </w: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7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6"/>
              </w:rPr>
              <w:t>1.29</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6"/>
              </w:rPr>
              <w:t>1.29</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(74,045)</w:t>
            </w:r>
          </w:p>
        </w:tc>
        <w:tc>
          <w:tcPr>
            <w:tcW w:w="7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1.29</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(46,255)</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 during the year</w:t>
            </w:r>
          </w:p>
        </w:tc>
        <w:tc>
          <w:tcPr>
            <w:tcW w:w="9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(95,222)</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900" w:type="dxa"/>
            <w:vAlign w:val="bottom"/>
          </w:tcPr>
          <w:p>
            <w:pPr>
              <w:jc w:val="right"/>
              <w:spacing w:after="0"/>
              <w:rPr>
                <w:sz w:val="20"/>
                <w:szCs w:val="20"/>
                <w:color w:val="auto"/>
              </w:rPr>
            </w:pPr>
            <w:r>
              <w:rPr>
                <w:rFonts w:ascii="Arial" w:cs="Arial" w:eastAsia="Arial" w:hAnsi="Arial"/>
                <w:sz w:val="18"/>
                <w:szCs w:val="18"/>
                <w:color w:val="auto"/>
              </w:rPr>
              <w:t>9,198,655</w:t>
            </w:r>
          </w:p>
        </w:tc>
        <w:tc>
          <w:tcPr>
            <w:tcW w:w="34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1.32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9,124,610</w:t>
            </w: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rPr>
              <w:t>1.32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8,983,133</w:t>
            </w:r>
          </w:p>
        </w:tc>
        <w:tc>
          <w:tcPr>
            <w:tcW w:w="3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3,115,337</w:t>
            </w:r>
          </w:p>
        </w:tc>
        <w:tc>
          <w:tcPr>
            <w:tcW w:w="720" w:type="dxa"/>
            <w:vAlign w:val="bottom"/>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1.29</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5,655,676</w:t>
            </w:r>
          </w:p>
        </w:tc>
        <w:tc>
          <w:tcPr>
            <w:tcW w:w="720" w:type="dxa"/>
            <w:vAlign w:val="bottom"/>
            <w:gridSpan w:val="2"/>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rPr>
              <w:t>1.31</w:t>
            </w:r>
          </w:p>
        </w:tc>
        <w:tc>
          <w:tcPr>
            <w:tcW w:w="12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8,007,029</w:t>
            </w:r>
          </w:p>
        </w:tc>
        <w:tc>
          <w:tcPr>
            <w:tcW w:w="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2018 was 6.6 years (2017:</w:t>
      </w:r>
    </w:p>
    <w:p>
      <w:pPr>
        <w:ind w:left="120"/>
        <w:spacing w:after="0"/>
        <w:rPr>
          <w:sz w:val="20"/>
          <w:szCs w:val="20"/>
          <w:color w:val="auto"/>
        </w:rPr>
      </w:pPr>
      <w:r>
        <w:rPr>
          <w:rFonts w:ascii="Arial" w:cs="Arial" w:eastAsia="Arial" w:hAnsi="Arial"/>
          <w:sz w:val="18"/>
          <w:szCs w:val="18"/>
          <w:color w:val="auto"/>
        </w:rPr>
        <w:t>7.6 years; 2016: 8.3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options granted during 2016 was £1.29. There were no options granted in 2017.</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2017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3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8140" w:type="dxa"/>
            <w:vAlign w:val="bottom"/>
          </w:tcPr>
          <w:p>
            <w:pPr>
              <w:spacing w:after="0"/>
              <w:rPr>
                <w:sz w:val="13"/>
                <w:szCs w:val="13"/>
                <w:color w:val="auto"/>
              </w:rPr>
            </w:pPr>
          </w:p>
        </w:tc>
        <w:tc>
          <w:tcPr>
            <w:tcW w:w="1640" w:type="dxa"/>
            <w:vAlign w:val="bottom"/>
            <w:tcBorders>
              <w:bottom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1.48-2.07</w:t>
            </w:r>
          </w:p>
        </w:tc>
        <w:tc>
          <w:tcPr>
            <w:tcW w:w="720" w:type="dxa"/>
            <w:vAlign w:val="bottom"/>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1.84-2.21</w:t>
            </w:r>
          </w:p>
        </w:tc>
        <w:tc>
          <w:tcPr>
            <w:tcW w:w="720" w:type="dxa"/>
            <w:vAlign w:val="bottom"/>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Black Scholes</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w:t>
      </w:r>
    </w:p>
    <w:p>
      <w:pPr>
        <w:ind w:left="120"/>
        <w:spacing w:after="0"/>
        <w:rPr>
          <w:sz w:val="20"/>
          <w:szCs w:val="20"/>
          <w:color w:val="auto"/>
        </w:rPr>
      </w:pPr>
      <w:r>
        <w:rPr>
          <w:rFonts w:ascii="Arial" w:cs="Arial" w:eastAsia="Arial" w:hAnsi="Arial"/>
          <w:sz w:val="18"/>
          <w:szCs w:val="18"/>
          <w:color w:val="auto"/>
        </w:rPr>
        <w:t>Option Plan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WAEP</w:t>
            </w: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60" w:type="dxa"/>
            <w:vAlign w:val="bottom"/>
          </w:tcPr>
          <w:p>
            <w:pPr>
              <w:spacing w:after="0"/>
              <w:rPr>
                <w:sz w:val="12"/>
                <w:szCs w:val="12"/>
                <w:color w:val="auto"/>
              </w:rPr>
            </w:pPr>
          </w:p>
        </w:tc>
      </w:tr>
      <w:tr>
        <w:trPr>
          <w:trHeight w:val="175"/>
        </w:trPr>
        <w:tc>
          <w:tcPr>
            <w:tcW w:w="59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the year</w:t>
            </w:r>
          </w:p>
        </w:tc>
        <w:tc>
          <w:tcPr>
            <w:tcW w:w="540" w:type="dxa"/>
            <w:vAlign w:val="bottom"/>
            <w:tcBorders>
              <w:top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1,578,188</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3.05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8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1,593,188</w:t>
            </w:r>
          </w:p>
        </w:tc>
        <w:tc>
          <w:tcPr>
            <w:tcW w:w="7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3.05</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388,000</w:t>
            </w:r>
          </w:p>
        </w:tc>
        <w:tc>
          <w:tcPr>
            <w:tcW w:w="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3.14</w:t>
            </w:r>
          </w:p>
        </w:tc>
      </w:tr>
      <w:tr>
        <w:trPr>
          <w:trHeight w:val="202"/>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8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8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(15,000)</w:t>
            </w:r>
          </w:p>
        </w:tc>
        <w:tc>
          <w:tcPr>
            <w:tcW w:w="7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3.03</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(84,633)</w:t>
            </w:r>
          </w:p>
        </w:tc>
        <w:tc>
          <w:tcPr>
            <w:tcW w:w="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3.03</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5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1,578,188</w:t>
            </w:r>
          </w:p>
        </w:tc>
        <w:tc>
          <w:tcPr>
            <w:tcW w:w="70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3.05</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1,881,555</w:t>
            </w: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3.10</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Exercisable at December 31</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2018 was 8.6 years (2017:</w:t>
      </w:r>
    </w:p>
    <w:p>
      <w:pPr>
        <w:ind w:left="120"/>
        <w:spacing w:after="0"/>
        <w:rPr>
          <w:sz w:val="20"/>
          <w:szCs w:val="20"/>
          <w:color w:val="auto"/>
        </w:rPr>
      </w:pPr>
      <w:r>
        <w:rPr>
          <w:rFonts w:ascii="Arial" w:cs="Arial" w:eastAsia="Arial" w:hAnsi="Arial"/>
          <w:sz w:val="18"/>
          <w:szCs w:val="18"/>
          <w:color w:val="auto"/>
        </w:rPr>
        <w:t>9.4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options granted during the year was £2.29 (2017: £1.85).</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£2.76 and £3.23.</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bottom w:val="single" w:sz="8" w:color="auto"/>
            </w:tcBorders>
          </w:tcPr>
          <w:p>
            <w:pPr>
              <w:jc w:val="right"/>
              <w:ind w:right="797"/>
              <w:spacing w:after="0" w:line="155" w:lineRule="exact"/>
              <w:rPr>
                <w:sz w:val="20"/>
                <w:szCs w:val="20"/>
                <w:color w:val="auto"/>
              </w:rPr>
            </w:pPr>
            <w:r>
              <w:rPr>
                <w:rFonts w:ascii="Arial" w:cs="Arial" w:eastAsia="Arial" w:hAnsi="Arial"/>
                <w:sz w:val="14"/>
                <w:szCs w:val="14"/>
                <w:b w:val="1"/>
                <w:bCs w:val="1"/>
                <w:color w:val="auto"/>
              </w:rPr>
              <w:t>2017</w:t>
            </w:r>
          </w:p>
        </w:tc>
        <w:tc>
          <w:tcPr>
            <w:tcW w:w="15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(in £)</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49-51</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65-67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2880" w:type="dxa"/>
            <w:vAlign w:val="bottom"/>
          </w:tcPr>
          <w:p>
            <w:pPr>
              <w:spacing w:after="0"/>
              <w:rPr>
                <w:sz w:val="17"/>
                <w:szCs w:val="17"/>
                <w:color w:val="auto"/>
              </w:rPr>
            </w:pPr>
          </w:p>
        </w:tc>
        <w:tc>
          <w:tcPr>
            <w:tcW w:w="660" w:type="dxa"/>
            <w:vAlign w:val="bottom"/>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1.06-1.33</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1.39-1.53</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2880" w:type="dxa"/>
            <w:vAlign w:val="bottom"/>
          </w:tcPr>
          <w:p>
            <w:pPr>
              <w:spacing w:after="0"/>
              <w:rPr>
                <w:sz w:val="17"/>
                <w:szCs w:val="17"/>
                <w:color w:val="auto"/>
              </w:rPr>
            </w:pPr>
          </w:p>
        </w:tc>
        <w:tc>
          <w:tcPr>
            <w:tcW w:w="660" w:type="dxa"/>
            <w:vAlign w:val="bottom"/>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3.03-3.23</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2.76-3.25</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Black Scholes</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Black Scholes</w:t>
            </w:r>
          </w:p>
        </w:tc>
      </w:tr>
      <w:tr>
        <w:trPr>
          <w:trHeight w:val="365"/>
        </w:trPr>
        <w:tc>
          <w:tcPr>
            <w:tcW w:w="4140" w:type="dxa"/>
            <w:vAlign w:val="bottom"/>
          </w:tcPr>
          <w:p>
            <w:pPr>
              <w:spacing w:after="0"/>
              <w:rPr>
                <w:sz w:val="24"/>
                <w:szCs w:val="24"/>
                <w:color w:val="auto"/>
              </w:rPr>
            </w:pP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F-63</w:t>
            </w: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period equal to the expected life of the share options.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 recognized for employee services received during the year to December 31, 2018 was £319,338 (2017: £298,287).</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74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95"/>
              </w:rPr>
              <w:t>185,950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(234,162)</w:t>
            </w:r>
          </w:p>
        </w:tc>
        <w:tc>
          <w:tcPr>
            <w:tcW w:w="11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b w:val="1"/>
                <w:bCs w:val="1"/>
                <w:color w:val="auto"/>
              </w:rPr>
              <w:t>—</w:t>
            </w:r>
          </w:p>
        </w:tc>
      </w:tr>
      <w:tr>
        <w:trPr>
          <w:trHeight w:val="202"/>
        </w:trPr>
        <w:tc>
          <w:tcPr>
            <w:tcW w:w="74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965,496</w:t>
            </w:r>
          </w:p>
        </w:tc>
        <w:tc>
          <w:tcPr>
            <w:tcW w:w="1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1,151,446</w:t>
            </w:r>
          </w:p>
        </w:tc>
        <w:tc>
          <w:tcPr>
            <w:tcW w:w="11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1,151,446</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b w:val="1"/>
                <w:bCs w:val="1"/>
                <w:color w:val="auto"/>
              </w:rPr>
              <w:t>—</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LTIP options outstanding as at December 31, 2018 was 1.8 years (2017: 2.9</w:t>
      </w:r>
    </w:p>
    <w:p>
      <w:pPr>
        <w:ind w:left="120"/>
        <w:spacing w:after="0"/>
        <w:rPr>
          <w:sz w:val="20"/>
          <w:szCs w:val="20"/>
          <w:color w:val="auto"/>
        </w:rPr>
      </w:pPr>
      <w:r>
        <w:rPr>
          <w:rFonts w:ascii="Arial" w:cs="Arial" w:eastAsia="Arial" w:hAnsi="Arial"/>
          <w:sz w:val="18"/>
          <w:szCs w:val="18"/>
          <w:color w:val="auto"/>
        </w:rPr>
        <w:t>years; 2016: 3.7 years).</w:t>
      </w:r>
    </w:p>
    <w:p>
      <w:pPr>
        <w:spacing w:after="0" w:line="212" w:lineRule="exact"/>
        <w:rPr>
          <w:sz w:val="20"/>
          <w:szCs w:val="20"/>
          <w:color w:val="auto"/>
        </w:rPr>
      </w:pPr>
    </w:p>
    <w:p>
      <w:pPr>
        <w:jc w:val="center"/>
        <w:ind w:left="760" w:right="120"/>
        <w:spacing w:after="0" w:line="418" w:lineRule="auto"/>
        <w:rPr>
          <w:sz w:val="20"/>
          <w:szCs w:val="20"/>
          <w:color w:val="auto"/>
        </w:rPr>
      </w:pPr>
      <w:r>
        <w:rPr>
          <w:rFonts w:ascii="Arial" w:cs="Arial" w:eastAsia="Arial" w:hAnsi="Arial"/>
          <w:sz w:val="18"/>
          <w:szCs w:val="18"/>
          <w:color w:val="auto"/>
        </w:rPr>
        <w:t>The weighted average fair value of LTIP options granted during the year to December 31, 2018 was £nil (2017: £1.99; 2016: £1.21). F-64</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options granted during the years ended December 31:</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LTIP Share Price Element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0.48-0.74</w:t>
            </w:r>
          </w:p>
        </w:tc>
        <w:tc>
          <w:tcPr>
            <w:tcW w:w="26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0.17-0.39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4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w:t>
            </w:r>
          </w:p>
        </w:tc>
        <w:tc>
          <w:tcPr>
            <w:tcW w:w="26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Monte Carlo</w:t>
            </w:r>
          </w:p>
        </w:tc>
        <w:tc>
          <w:tcPr>
            <w:tcW w:w="1720" w:type="dxa"/>
            <w:vAlign w:val="bottom"/>
            <w:gridSpan w:val="4"/>
            <w:shd w:val="clear" w:color="auto" w:fill="CCEEFF"/>
          </w:tcPr>
          <w:p>
            <w:pPr>
              <w:ind w:left="240"/>
              <w:spacing w:after="0" w:line="202" w:lineRule="exact"/>
              <w:rPr>
                <w:sz w:val="20"/>
                <w:szCs w:val="20"/>
                <w:color w:val="auto"/>
              </w:rPr>
            </w:pPr>
            <w:r>
              <w:rPr>
                <w:rFonts w:ascii="Arial" w:cs="Arial" w:eastAsia="Arial" w:hAnsi="Arial"/>
                <w:sz w:val="18"/>
                <w:szCs w:val="18"/>
                <w:color w:val="auto"/>
              </w:rPr>
              <w:t>Monte Carlo</w:t>
            </w: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540"/>
        </w:trPr>
        <w:tc>
          <w:tcPr>
            <w:tcW w:w="7140" w:type="dxa"/>
            <w:vAlign w:val="bottom"/>
          </w:tcPr>
          <w:p>
            <w:pPr>
              <w:spacing w:after="0"/>
              <w:rPr>
                <w:sz w:val="20"/>
                <w:szCs w:val="20"/>
                <w:color w:val="auto"/>
              </w:rPr>
            </w:pPr>
            <w:r>
              <w:rPr>
                <w:rFonts w:ascii="Arial" w:cs="Arial" w:eastAsia="Arial" w:hAnsi="Arial"/>
                <w:sz w:val="18"/>
                <w:szCs w:val="18"/>
                <w:i w:val="1"/>
                <w:iCs w:val="1"/>
                <w:color w:val="auto"/>
              </w:rPr>
              <w:t>LTIP Strategic Element</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7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0.74</w:t>
            </w:r>
          </w:p>
        </w:tc>
        <w:tc>
          <w:tcPr>
            <w:tcW w:w="1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0.39</w:t>
            </w: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8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2.21</w:t>
            </w:r>
          </w:p>
        </w:tc>
        <w:tc>
          <w:tcPr>
            <w:tcW w:w="1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Black Scholes</w:t>
            </w:r>
          </w:p>
        </w:tc>
        <w:tc>
          <w:tcPr>
            <w:tcW w:w="1720" w:type="dxa"/>
            <w:vAlign w:val="bottom"/>
            <w:gridSpan w:val="4"/>
            <w:shd w:val="clear" w:color="auto" w:fill="CCEEFF"/>
          </w:tcPr>
          <w:p>
            <w:pPr>
              <w:ind w:left="300"/>
              <w:spacing w:after="0" w:line="202" w:lineRule="exact"/>
              <w:rPr>
                <w:sz w:val="20"/>
                <w:szCs w:val="20"/>
                <w:color w:val="auto"/>
              </w:rPr>
            </w:pPr>
            <w:r>
              <w:rPr>
                <w:rFonts w:ascii="Arial" w:cs="Arial" w:eastAsia="Arial" w:hAnsi="Arial"/>
                <w:sz w:val="18"/>
                <w:szCs w:val="18"/>
                <w:color w:val="auto"/>
              </w:rPr>
              <w:t>Black Scholes</w:t>
            </w: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jc w:val="both"/>
        <w:ind w:left="120" w:right="4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period equal to the expected life of the LTIP options.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jc w:val="both"/>
        <w:ind w:left="120" w:right="220" w:firstLine="440"/>
        <w:spacing w:after="0" w:line="248" w:lineRule="auto"/>
        <w:rPr>
          <w:sz w:val="20"/>
          <w:szCs w:val="20"/>
          <w:color w:val="auto"/>
        </w:rPr>
      </w:pPr>
      <w:r>
        <w:rPr>
          <w:rFonts w:ascii="Arial" w:cs="Arial" w:eastAsia="Arial" w:hAnsi="Arial"/>
          <w:sz w:val="17"/>
          <w:szCs w:val="17"/>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will be divided by the closing share price to give the number of shares issued to the employee under the DBSP.</w:t>
      </w:r>
    </w:p>
    <w:p>
      <w:pPr>
        <w:spacing w:after="0" w:line="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number of shares is fixed and not subject to adjustment between the issue date and vesting date. Under the DBSP, awards vest after three years from the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Mereo’s accounts or fraud or misconduct on the part of an individual. The plan also allows for adjustment of awards in the event there was an error in calculating the vesting of the awards. Since the awards are issued at nil cost they will be satisfied by the issue of shares from the Employee Benefit Trust.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82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7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163,000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62,180</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100,820</w:t>
            </w:r>
          </w:p>
        </w:tc>
        <w:tc>
          <w:tcPr>
            <w:tcW w:w="940" w:type="dxa"/>
            <w:vAlign w:val="bottom"/>
            <w:gridSpan w:val="2"/>
          </w:tcPr>
          <w:p>
            <w:pPr>
              <w:ind w:left="58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62,180</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163,000</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163,000</w:t>
            </w:r>
          </w:p>
        </w:tc>
      </w:tr>
      <w:tr>
        <w:trPr>
          <w:trHeight w:val="20"/>
        </w:trPr>
        <w:tc>
          <w:tcPr>
            <w:tcW w:w="8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8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b w:val="1"/>
                <w:bCs w:val="1"/>
                <w:color w:val="auto"/>
              </w:rPr>
              <w:t>—</w:t>
            </w:r>
          </w:p>
        </w:tc>
      </w:tr>
      <w:tr>
        <w:trPr>
          <w:trHeight w:val="20"/>
        </w:trPr>
        <w:tc>
          <w:tcPr>
            <w:tcW w:w="8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DBSP options outstanding as at December 31, 2018 was 2.6 years (2017:</w:t>
      </w:r>
    </w:p>
    <w:p>
      <w:pPr>
        <w:ind w:left="120"/>
        <w:spacing w:after="0"/>
        <w:rPr>
          <w:sz w:val="20"/>
          <w:szCs w:val="20"/>
          <w:color w:val="auto"/>
        </w:rPr>
      </w:pPr>
      <w:r>
        <w:rPr>
          <w:rFonts w:ascii="Arial" w:cs="Arial" w:eastAsia="Arial" w:hAnsi="Arial"/>
          <w:sz w:val="18"/>
          <w:szCs w:val="18"/>
          <w:color w:val="auto"/>
        </w:rPr>
        <w:t>3.6 years; 2016: 4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DBSP options granted during the year was £nil (2017: £3.23; 2016: £2.80).</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18, 2019 the Board approved an amendment to the terms of the Deferred Bonus Share Plan and the terms were amended such that in the event that the Board decides to award a bonus to eligible participants in respect of performance for any given financial year, 30% of the bonus (after deduction of income tax and employee’s National Insurance contributions) must be used to purchase ordinary shares in the Company within 12 months. Following a purchase, the relevant ordinary shares must be held for a period of at least two years. Bonus awards made in respect of 2018 were awarded under these revised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April 4, 2019 the Company established The Mereo 2019 Equity Incentive Plan. Under the plan it is anticipated that market value options will be granted to executives and other employees with a four-year vesting period and no performance conditions. No grants have been made under this plan as at the date of this report. The plan provides a framework for the grant of market value options and/or restricted stock unit awards to officers of the Company (or of any subsidiary).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12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7"/>
          <w:szCs w:val="17"/>
          <w:color w:val="auto"/>
        </w:rPr>
        <w:t>On April 4, 2019 the Company established The Mereo 2019 NED Equity Incentive Plan. Under the plan it is anticipated that market value options will be granted to non-executive directors with no performance conditions. Options to existing non-executive directors will be granted with a one-year vesting period and options to newly appointed non-executive directors will be granted with a three-year vesting period. No grants have been made under this plan as at the date of this report. The plan provides a framework for a range of different types of share related awards (including market value options, share appreciation rights, restricted stock and restricted stock units).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jc w:val="both"/>
        <w:ind w:left="120" w:right="220" w:firstLine="440"/>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Under the agreement with AstraZeneca, the Company may issue up to 1,349,693 ordinary shares which are dependent on achieving certain milestones.</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respect of milestones that are probable, the Group has accounted for, but not yet issued, 429,448 ordinary shares which have been measured at fair value, being £3.10, giving a total of £1,331,288.</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rentals payable under non-cancellable operating leases as at December 31, 2018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331,527</w:t>
            </w: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535,203</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204,138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one year but not more than five years</w:t>
            </w:r>
          </w:p>
        </w:tc>
        <w:tc>
          <w:tcPr>
            <w:tcW w:w="12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r>
      <w:tr>
        <w:trPr>
          <w:trHeight w:val="209"/>
        </w:trPr>
        <w:tc>
          <w:tcPr>
            <w:tcW w:w="880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0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1,279,061</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535,665</w:t>
            </w:r>
          </w:p>
        </w:tc>
      </w:tr>
      <w:tr>
        <w:trPr>
          <w:trHeight w:val="20"/>
        </w:trPr>
        <w:tc>
          <w:tcPr>
            <w:tcW w:w="8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2018 was £293,328 (2017: £293,328).</w:t>
      </w:r>
    </w:p>
    <w:p>
      <w:pPr>
        <w:spacing w:after="0" w:line="203" w:lineRule="exact"/>
        <w:rPr>
          <w:sz w:val="20"/>
          <w:szCs w:val="20"/>
          <w:color w:val="auto"/>
        </w:rPr>
      </w:pPr>
    </w:p>
    <w:p>
      <w:pPr>
        <w:jc w:val="both"/>
        <w:ind w:left="120" w:right="40" w:firstLine="440"/>
        <w:spacing w:after="0" w:line="238" w:lineRule="auto"/>
        <w:rPr>
          <w:sz w:val="20"/>
          <w:szCs w:val="20"/>
          <w:color w:val="auto"/>
        </w:rPr>
      </w:pPr>
      <w:r>
        <w:rPr>
          <w:rFonts w:ascii="Arial" w:cs="Arial" w:eastAsia="Arial" w:hAnsi="Arial"/>
          <w:sz w:val="18"/>
          <w:szCs w:val="18"/>
          <w:color w:val="auto"/>
        </w:rPr>
        <w:t>The premises comprise approximately 4,000 sq ft. The principal rent for the premises is £ 162,960 per annum through December 16, 2016 and £325,920 per annum thereafter, subject to an increase on August 17, 2020 based on the open market value of the premises (the “Principal Rent”). In addition to the Principal Rent, the Group is responsible for value-added tax on the Principal Rent and certain insurance costs and service charges incurred by the landlord.</w:t>
      </w:r>
    </w:p>
    <w:p>
      <w:pPr>
        <w:spacing w:after="0" w:line="205"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Group has entered into a lease for six high-resolution peripheral quantitative computed tomography (HRpQCT) scanners for use in its ongoing clinical studies.</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did not have any leasing arrangements classified as finance leases at December 31, 2018 (2017: £nil).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Each of Mereo BioPharma 1 Limited, Mereo BioPharma 2 Limited and Mereo BioPharma 3 Limited issued to Novartis loan notes (the “Novartis Notes”) (which were assigned by Novartis to the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Company in exchange for ordinary shares pursuant to the Subscription Agreement) and each of Mereo BioPharma 1 Limited, Mereo BioPharma 2 Limited and Mereo BioPharma 3 Limited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Limited, Mereo BioPharma 2 Limited and Mereo BioPharma 3 Limited under the respective Purchase Agreements.</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Each of Mereo BioPharma 1 Limited, Mereo BioPharma 2 Limited and Mereo BioPharma 3 Limited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Limited, Mereo BioPharma 2 Limited and Mereo BioPharma 3 Limited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October 2017, the Group’s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 Upon entering into the License Agreement, the Group made a payment of $3.0 million and issued 490,798 ordinary shares to AstraZeneca, for an aggregate upfront payment equal to $5.0 million. In connection with certain development and regulatory milestones, the Group has agreed to make payments of up to $115.5 million in the aggregate and issue additional ordinary shares to AstraZeneca for licensed products containing MPH-966. In addition, the Group has agreed to make payments to AstraZeneca based on specified commercial milestones of the product. The Group has also agreed to pay a specified percentage of sub-licensing revenue to AstraZeneca and to make royalty payments to AstraZeneca equal to ascending specified percentages of tiered annual worldwide net sales by the Group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the Group may freely grant sub-licenses to affiliates upon notice to AstraZeneca and must obtain AstraZeneca’s consent, which is not be unreasonably withheld, to grant sub-licenses to a third party. The Group has agreed to use commercially reasonable efforts to develop and commercialize at least one licensed product.</w:t>
      </w:r>
    </w:p>
    <w:p>
      <w:pPr>
        <w:spacing w:after="0" w:line="213"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the Group for such product in such country will become fully paid and irrevocable. Prior to exercise of the Option, if at all, the Group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the Group.</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Related party disclosures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2017 and 2018.</w:t>
      </w:r>
    </w:p>
    <w:p>
      <w:pPr>
        <w:spacing w:after="0" w:line="21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Novartis Pharma AG (“Novartis”) holds shares in the Company at December 31, 2016. On June 3, 2016, the Group issued 3,463,563 £1 unsecured convertible loan notes (the “Novartis Notes”) to Novartis and received £3,463,563 from Novartis in consideration (Note 18a).</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8890</wp:posOffset>
            </wp:positionV>
            <wp:extent cx="18516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8" w:lineRule="exact"/>
        <w:rPr>
          <w:sz w:val="20"/>
          <w:szCs w:val="20"/>
          <w:color w:val="auto"/>
        </w:rPr>
      </w:pPr>
    </w:p>
    <w:p>
      <w:pPr>
        <w:ind w:left="8400"/>
        <w:spacing w:after="0"/>
        <w:tabs>
          <w:tab w:leader="none" w:pos="9460" w:val="left"/>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tbl>
      <w:tblPr>
        <w:tblLayout w:type="fixed"/>
        <w:tblInd w:w="120" w:type="dxa"/>
        <w:tblCellMar>
          <w:top w:w="0" w:type="dxa"/>
          <w:left w:w="0" w:type="dxa"/>
          <w:bottom w:w="0" w:type="dxa"/>
          <w:right w:w="0" w:type="dxa"/>
        </w:tblCellMar>
      </w:tblPr>
      <w:tr>
        <w:trPr>
          <w:trHeight w:val="197"/>
        </w:trPr>
        <w:tc>
          <w:tcPr>
            <w:tcW w:w="80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Manufacture and supply of clinical trial material</w:t>
            </w:r>
          </w:p>
        </w:tc>
        <w:tc>
          <w:tcPr>
            <w:tcW w:w="8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968,219</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4,610,106</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rPr>
              <w:t>60,027</w:t>
            </w:r>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outstanding to be paid to Novartis at December 31, 2018 was £nil (2017: £nil; 2016: £35,249).</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2016 the Company set up an Employee Benefit Trust for the purposes of buying and selling shares on the employees’ behalf.</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total of £325,000 of funding was paid into the Trust by the Company during the year ended December 31, 2018 (2017:£nil).</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total of 163,000 shares were purchased by the Trust during the year ended December 31, 2018 (2017: nil). As at December 31,</w:t>
      </w:r>
    </w:p>
    <w:p>
      <w:pPr>
        <w:ind w:left="120"/>
        <w:spacing w:after="0"/>
        <w:rPr>
          <w:sz w:val="20"/>
          <w:szCs w:val="20"/>
          <w:color w:val="auto"/>
        </w:rPr>
      </w:pPr>
      <w:r>
        <w:rPr>
          <w:rFonts w:ascii="Arial" w:cs="Arial" w:eastAsia="Arial" w:hAnsi="Arial"/>
          <w:sz w:val="18"/>
          <w:szCs w:val="18"/>
          <w:color w:val="auto"/>
        </w:rPr>
        <w:t>2018 a cash balance of £21,762 (2017: £3,600) was held by the Trust.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Standards issued but not yet effective</w:t>
      </w:r>
    </w:p>
    <w:p>
      <w:pPr>
        <w:spacing w:after="0" w:line="126"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The standards and interpretations that are issued, but not yet effective, up to the date of issuance of the Group’s financial statements are disclosed below. The Group intends to adopt these standards, if applicable, when they become effective.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standards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impact on the results of the Group or the presentation of the financial statements:</w:t>
      </w:r>
    </w:p>
    <w:p>
      <w:pPr>
        <w:spacing w:after="0" w:line="102" w:lineRule="exact"/>
        <w:rPr>
          <w:sz w:val="20"/>
          <w:szCs w:val="20"/>
          <w:color w:val="auto"/>
        </w:rPr>
      </w:pPr>
    </w:p>
    <w:p>
      <w:pPr>
        <w:ind w:left="1080" w:right="220" w:hanging="424"/>
        <w:spacing w:after="0" w:line="246"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unrealized losses.</w:t>
      </w:r>
    </w:p>
    <w:p>
      <w:pPr>
        <w:spacing w:after="0" w:line="117" w:lineRule="exact"/>
        <w:rPr>
          <w:rFonts w:ascii="Arial" w:cs="Arial" w:eastAsia="Arial" w:hAnsi="Arial"/>
          <w:sz w:val="18"/>
          <w:szCs w:val="18"/>
          <w:color w:val="auto"/>
        </w:rPr>
      </w:pPr>
    </w:p>
    <w:p>
      <w:pPr>
        <w:ind w:left="1080" w:right="260" w:hanging="424"/>
        <w:spacing w:after="0" w:line="246" w:lineRule="auto"/>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16 Property, Plant and Equipment—Amendments regarding the clarification of acceptable methods of depreciation and amortization and amendments bringing bearer plants into the scope of IAS 16.</w:t>
      </w:r>
    </w:p>
    <w:p>
      <w:pPr>
        <w:spacing w:after="0" w:line="102" w:lineRule="exact"/>
        <w:rPr>
          <w:rFonts w:ascii="Arial" w:cs="Arial" w:eastAsia="Arial" w:hAnsi="Arial"/>
          <w:sz w:val="18"/>
          <w:szCs w:val="18"/>
          <w:color w:val="auto"/>
        </w:rPr>
      </w:pPr>
    </w:p>
    <w:p>
      <w:pPr>
        <w:ind w:left="1080" w:right="160" w:hanging="424"/>
        <w:spacing w:after="0" w:line="246" w:lineRule="auto"/>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amortization.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297" w:lineRule="exact"/>
        <w:rPr>
          <w:rFonts w:ascii="Arial" w:cs="Arial" w:eastAsia="Arial" w:hAnsi="Arial"/>
          <w:sz w:val="18"/>
          <w:szCs w:val="18"/>
          <w:color w:val="auto"/>
        </w:rPr>
      </w:pPr>
    </w:p>
    <w:p>
      <w:pPr>
        <w:ind w:left="420" w:hanging="304"/>
        <w:spacing w:after="0"/>
        <w:tabs>
          <w:tab w:leader="none" w:pos="4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Event after the reporting period</w:t>
      </w:r>
    </w:p>
    <w:p>
      <w:pPr>
        <w:spacing w:after="0" w:line="126" w:lineRule="exact"/>
        <w:rPr>
          <w:sz w:val="20"/>
          <w:szCs w:val="20"/>
          <w:color w:val="auto"/>
        </w:rPr>
      </w:pPr>
    </w:p>
    <w:p>
      <w:pPr>
        <w:ind w:left="820" w:hanging="264"/>
        <w:spacing w:after="0"/>
        <w:tabs>
          <w:tab w:leader="none" w:pos="8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February 8, 2019, Dr. Frank Armstrong resigned as a non-executive director of the Group.</w:t>
      </w:r>
    </w:p>
    <w:p>
      <w:pPr>
        <w:spacing w:after="0" w:line="211" w:lineRule="exact"/>
        <w:rPr>
          <w:rFonts w:ascii="Arial" w:cs="Arial" w:eastAsia="Arial" w:hAnsi="Arial"/>
          <w:sz w:val="18"/>
          <w:szCs w:val="18"/>
          <w:color w:val="auto"/>
        </w:rPr>
      </w:pPr>
    </w:p>
    <w:p>
      <w:pPr>
        <w:ind w:left="120" w:right="240" w:firstLine="436"/>
        <w:spacing w:after="0"/>
        <w:tabs>
          <w:tab w:leader="none" w:pos="8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April 23, 2019 the Group agreed an amendment to the terms of its bank loan with the lenders. The new terms extended the interest-only period to December 31, 2019 followed by a 15-month capital and interest repayment period. The Group has undertaken a preliminary assessment under IFRS 9 and determined it to be a non-substantial modification.</w:t>
      </w:r>
    </w:p>
    <w:p>
      <w:pPr>
        <w:spacing w:after="0" w:line="203"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color w:val="auto"/>
        </w:rPr>
        <w:t>Following completion of the merger with OncoMed, under the terms of the loan agreement, Mereo expects to issue approximately 321,444 additional warrants to its lenders giving them the right to subscribe for ordinary shares at an exercise price of £2.95.</w:t>
      </w:r>
    </w:p>
    <w:p>
      <w:pPr>
        <w:spacing w:after="0" w:line="175" w:lineRule="exact"/>
        <w:rPr>
          <w:sz w:val="20"/>
          <w:szCs w:val="20"/>
          <w:color w:val="auto"/>
        </w:rPr>
      </w:pPr>
    </w:p>
    <w:p>
      <w:pPr>
        <w:ind w:left="120" w:firstLine="436"/>
        <w:spacing w:after="0" w:line="238" w:lineRule="auto"/>
        <w:tabs>
          <w:tab w:leader="none" w:pos="8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April 23, 2019, Mereo completed the acquisition of OncoMed, a clinical-stage biopharmaceutical company whose shares were previously traded on NASDAQ. Mereo acquired 100% of the voting equity interests declared, and OncoMed will continue as a wholly-owned indirect subsidiary of Mereo. The Mereo Board believes that the combination of Mereo’s biopharmaceutical portfolio of four assets with OncoMed’s two lead assets will create a diversified combined portfolio, resulting in an increased number of potential near-term catalysts with a core focus remaining 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Mereo’s strategy to target rare diseases, and that the cash position of the Combined Company will provide an extended operational runway, with the potential for such runway to be extended significantly further through partnering deals.</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initial consideration for the purchase amounted to £40,892,478 in the form of 24,783,320 ordinary shares. The fair value of the ordinary shares issued was measured using the closing market price of Mereo’s ordinary shares at the acquisition date. Further amounts may be payable the former owners of OncoMed governed by the terms of an agreed Contingent Value Rights (CVR) agreement. The CVR represents the non-transferable contractual right for previous shareholders in OncoMed, Inc. to receive certain share and cash payments from Mereo if specified milestones are achieved within agreed time periods. The CVR milestone relates to OncoMed’s etigilimab (anti-TIGIT, OMP-313M32) and navicixizumab (anti-DLL4/VEGF, OMP-305B83) therapeutic candidates. The contingent payments become payable upon the achievement of the milestones as follows: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TIGIT milestone</w:t>
      </w:r>
    </w:p>
    <w:p>
      <w:pPr>
        <w:spacing w:after="0" w:line="126"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 payment, in the form of Mereo ADSs, will be made to CVR holders if, prior to December 31, 2019, the following milestone is achieved:</w:t>
      </w:r>
    </w:p>
    <w:p>
      <w:pPr>
        <w:spacing w:after="0" w:line="102" w:lineRule="exact"/>
        <w:rPr>
          <w:sz w:val="20"/>
          <w:szCs w:val="20"/>
          <w:color w:val="auto"/>
        </w:rPr>
      </w:pPr>
    </w:p>
    <w:p>
      <w:pPr>
        <w:ind w:left="1080" w:right="30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Celgene exercises the exclusive option granted by OncoMed to Celgene in relation to OncoMed’s OMP-313M32 product pursuant to the Master Research and Collaboration Agreement by and among Celgene and OncoMed, dated December 2, 2013; and</w:t>
      </w:r>
    </w:p>
    <w:p>
      <w:pPr>
        <w:spacing w:after="0" w:line="108" w:lineRule="exact"/>
        <w:rPr>
          <w:rFonts w:ascii="Arial" w:cs="Arial" w:eastAsia="Arial" w:hAnsi="Arial"/>
          <w:sz w:val="18"/>
          <w:szCs w:val="18"/>
          <w:color w:val="auto"/>
        </w:rPr>
      </w:pPr>
    </w:p>
    <w:p>
      <w:pPr>
        <w:ind w:left="1080" w:right="80" w:hanging="424"/>
        <w:spacing w:after="0" w:line="246"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receipt by OncoMed of the initial $35 million cash milestone payment due from Celgene pursuant to such Celgene option exercise.</w:t>
      </w:r>
    </w:p>
    <w:p>
      <w:pPr>
        <w:spacing w:after="0" w:line="197"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If the TIGIT milestone is achieved, holders of CVRs would be entitled to receive a number of Mereo ADSs equal to the $35 million cash milestone payment received net of any tax and other reasonable expenses, divided by the volume-weighted average price per Mereo ADS for the 10-trading day period immediately following the date of the announcement by Mereo of the receipt of such cash payment. The TIGIT milestone payment is subject to a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40% of the enlarged Group after issuing the consideration shares.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NAVI milestones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cash payment will be made to CVR holders if, within 18 months following the closing of the merger, Mereo or any of its subsidiaries enters into a definitive agreement with one or more third parties regarding the OMP-305B83 products and, within five years of the closing of the merger, Mereo or any of its subsidiaries receives eligible cash milestone payments. 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estimated that the fair value of the deferred consideration is immaterial and have not provided for any amount payable.</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are finalizing the purchase price allocation and have determined a preliminary estimate of the fair value of the intangible assets acquired of £14.5 million. We acquired cash and cash equivalents, and short-term investments at completion of $50.8 million.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 OncoMed Pharmaceuticals, Inc.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have audited the accompanying balance sheets of OncoMed Pharmaceuticals, Inc. (the Company) as of December 31, 2018 and 2017, the related statements of operations, comprehensive loss,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7, 2019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6" w:lineRule="exact"/>
        <w:rPr>
          <w:sz w:val="20"/>
          <w:szCs w:val="20"/>
          <w:color w:val="auto"/>
        </w:rPr>
      </w:pPr>
    </w:p>
    <w:p>
      <w:pPr>
        <w:jc w:val="both"/>
        <w:ind w:left="120" w:right="140" w:firstLine="440"/>
        <w:spacing w:after="0" w:line="274" w:lineRule="auto"/>
        <w:rPr>
          <w:sz w:val="20"/>
          <w:szCs w:val="20"/>
          <w:color w:val="auto"/>
        </w:rPr>
      </w:pPr>
      <w:r>
        <w:rPr>
          <w:rFonts w:ascii="Arial" w:cs="Arial" w:eastAsia="Arial" w:hAnsi="Arial"/>
          <w:sz w:val="17"/>
          <w:szCs w:val="17"/>
          <w:color w:val="auto"/>
        </w:rPr>
        <w:t>As discussed in Note 2 to the financial statements, the Company changed its method for recognizing revenue as a result of the adoption of Accounting Standards Update No. 2014-09, Revenue from Contracts with Customers (Topic 606), effective January 1, 2018.</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2005.</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ind w:left="120"/>
        <w:spacing w:after="0"/>
        <w:rPr>
          <w:sz w:val="20"/>
          <w:szCs w:val="20"/>
          <w:color w:val="auto"/>
        </w:rPr>
      </w:pPr>
      <w:r>
        <w:rPr>
          <w:rFonts w:ascii="Arial" w:cs="Arial" w:eastAsia="Arial" w:hAnsi="Arial"/>
          <w:sz w:val="18"/>
          <w:szCs w:val="18"/>
          <w:color w:val="auto"/>
        </w:rPr>
        <w:t>March 7, 2019</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60"/>
          </w:cols>
          <w:pgMar w:left="320" w:top="459" w:right="51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8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9,686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47,659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89,814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and other receivables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1,913</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63,727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105,205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728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65,078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110,322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1,787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Accrued clinical liabilities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2,736</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82,193</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deferred rent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12,644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93,132</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revenue, less current portion</w:t>
            </w: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61,645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less current potion</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Noncurrent income tax payable</w:t>
            </w: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16,847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158,925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7)</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5,000,000 shares authorized at December 31, 2018 and 2017; no</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shares issued and outstanding at December 31, 2018 and 2017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145,000,000 shares authorized at December 31, 2018 and 2017;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38,660,146 and 38,212,505 shares issued and outstanding at December 31, 2018 and 2017,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410,008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403,077</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(361,786)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(452,007)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48,231</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(48,603)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65,078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110,322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r>
      <w:tr>
        <w:trPr>
          <w:trHeight w:val="183"/>
        </w:trPr>
        <w:tc>
          <w:tcPr>
            <w:tcW w:w="6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44,421</w:t>
            </w:r>
          </w:p>
        </w:tc>
        <w:tc>
          <w:tcPr>
            <w:tcW w:w="14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36,016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21,277</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2,138</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17"/>
                <w:szCs w:val="17"/>
                <w:color w:val="auto"/>
              </w:rPr>
            </w:pPr>
          </w:p>
        </w:tc>
      </w:tr>
      <w:tr>
        <w:trPr>
          <w:trHeight w:val="209"/>
        </w:trPr>
        <w:tc>
          <w:tcPr>
            <w:tcW w:w="66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44,421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25,153</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34,443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59,839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109,713</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18,172</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16,761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18,827</w:t>
            </w:r>
          </w:p>
        </w:tc>
      </w:tr>
      <w:tr>
        <w:trPr>
          <w:trHeight w:val="209"/>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6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54,466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79,127</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128,540</w:t>
            </w:r>
          </w:p>
        </w:tc>
        <w:tc>
          <w:tcPr>
            <w:tcW w:w="120" w:type="dxa"/>
            <w:vAlign w:val="bottom"/>
            <w:shd w:val="clear" w:color="auto" w:fill="CCEEFF"/>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(40,973)</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(103,387)</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1,562</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7"/>
                <w:szCs w:val="17"/>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(40,145)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(103,088)</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(39,062)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(103,102)</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(0.21)</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40" w:type="dxa"/>
            <w:vAlign w:val="bottom"/>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38,442,994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w w:val="99"/>
              </w:rPr>
              <w:t>37,631,348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32,859,554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9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040" w:type="dxa"/>
            <w:vAlign w:val="bottom"/>
          </w:tcPr>
          <w:p>
            <w:pPr>
              <w:spacing w:after="0"/>
              <w:rPr>
                <w:sz w:val="13"/>
                <w:szCs w:val="13"/>
                <w:color w:val="auto"/>
              </w:rPr>
            </w:pPr>
          </w:p>
        </w:tc>
        <w:tc>
          <w:tcPr>
            <w:tcW w:w="6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$(8,101)</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$(39,062)</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$(103,102)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 (loss) on available-for-sale securities, net of tax</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(318)</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240</w:t>
            </w:r>
          </w:p>
        </w:tc>
      </w:tr>
      <w:tr>
        <w:trPr>
          <w:trHeight w:val="20"/>
        </w:trPr>
        <w:tc>
          <w:tcPr>
            <w:tcW w:w="8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0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(8,419)</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(102,862)</w:t>
            </w:r>
          </w:p>
        </w:tc>
      </w:tr>
      <w:tr>
        <w:trPr>
          <w:trHeight w:val="20"/>
        </w:trPr>
        <w:tc>
          <w:tcPr>
            <w:tcW w:w="8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2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(Loss) Income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2015</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30,116,633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$313,344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(309,843)</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public offering,</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net of offering costs</w:t>
            </w:r>
          </w:p>
        </w:tc>
        <w:tc>
          <w:tcPr>
            <w:tcW w:w="1100" w:type="dxa"/>
            <w:vAlign w:val="bottom"/>
            <w:gridSpan w:val="3"/>
          </w:tcPr>
          <w:p>
            <w:pPr>
              <w:ind w:left="160"/>
              <w:spacing w:after="0" w:line="203" w:lineRule="exact"/>
              <w:rPr>
                <w:sz w:val="20"/>
                <w:szCs w:val="20"/>
                <w:color w:val="auto"/>
              </w:rPr>
            </w:pPr>
            <w:r>
              <w:rPr>
                <w:rFonts w:ascii="Arial" w:cs="Arial" w:eastAsia="Arial" w:hAnsi="Arial"/>
                <w:sz w:val="18"/>
                <w:szCs w:val="18"/>
                <w:color w:val="auto"/>
              </w:rPr>
              <w:t>6,325,000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59,163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At-the-Market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Agreement, net of offering costs</w:t>
            </w: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388,166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4,739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284,790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1,243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gain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(103,102)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960" w:type="dxa"/>
            <w:vAlign w:val="bottom"/>
          </w:tcPr>
          <w:p>
            <w:pPr>
              <w:jc w:val="right"/>
              <w:spacing w:after="0"/>
              <w:rPr>
                <w:sz w:val="20"/>
                <w:szCs w:val="20"/>
                <w:color w:val="auto"/>
              </w:rPr>
            </w:pPr>
            <w:r>
              <w:rPr>
                <w:rFonts w:ascii="Arial" w:cs="Arial" w:eastAsia="Arial" w:hAnsi="Arial"/>
                <w:sz w:val="18"/>
                <w:szCs w:val="18"/>
                <w:color w:val="auto"/>
              </w:rPr>
              <w:t>37,114,589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389,620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(412,945)</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At-the-Market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Agreement, net of offering costs</w:t>
            </w: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355,821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742,095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2,342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gain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(39,062)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960" w:type="dxa"/>
            <w:vAlign w:val="bottom"/>
          </w:tcPr>
          <w:p>
            <w:pPr>
              <w:jc w:val="right"/>
              <w:spacing w:after="0"/>
              <w:rPr>
                <w:sz w:val="20"/>
                <w:szCs w:val="20"/>
                <w:color w:val="auto"/>
              </w:rPr>
            </w:pPr>
            <w:r>
              <w:rPr>
                <w:rFonts w:ascii="Arial" w:cs="Arial" w:eastAsia="Arial" w:hAnsi="Arial"/>
                <w:sz w:val="18"/>
                <w:szCs w:val="18"/>
                <w:color w:val="auto"/>
              </w:rPr>
              <w:t>38,212,505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$403,077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(452,007)</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(48,603)</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Adoption of ASU 2014-09, Revenue from</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Contracts with Customers (Topic 606)</w:t>
            </w:r>
          </w:p>
        </w:tc>
        <w:tc>
          <w:tcPr>
            <w:tcW w:w="110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98,322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98,322</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447,641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loss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(8,101)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960" w:type="dxa"/>
            <w:vAlign w:val="bottom"/>
          </w:tcPr>
          <w:p>
            <w:pPr>
              <w:jc w:val="right"/>
              <w:spacing w:after="0"/>
              <w:rPr>
                <w:sz w:val="20"/>
                <w:szCs w:val="20"/>
                <w:color w:val="auto"/>
              </w:rPr>
            </w:pPr>
            <w:r>
              <w:rPr>
                <w:rFonts w:ascii="Arial" w:cs="Arial" w:eastAsia="Arial" w:hAnsi="Arial"/>
                <w:sz w:val="18"/>
                <w:szCs w:val="18"/>
                <w:color w:val="auto"/>
              </w:rPr>
              <w:t>38,660,146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410,008</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(361,786)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(8,101)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(39,062)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(103,102)</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1,710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6,842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 and other receivables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68,184</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Income tax refund receivable</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(1,098)</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684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Accrued liabilities, income tax payable and other liabilities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(4,572)</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clinical liabilities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(17,420)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(44,421)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(36,045)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(84,970)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(36,936)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(585)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(82,305)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(127,376)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(207,283)</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Maturities of short-term investments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124,142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185,211</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41,182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57,250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issuance of common stock related to the exercise of options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employee stock plan purchases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Net proceeds from issuance of common stock under At-the-market Agreement</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1,701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proceeds from issuance of common stock upon public offering</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(23,676)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9"/>
        </w:trPr>
        <w:tc>
          <w:tcPr>
            <w:tcW w:w="76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36,953</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9,686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13,277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36,953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 for purchase of property and equipment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OncoMed Pharmaceuticals, Inc. (“OncoMed”, the “Company”, “us”, “we”, or “our”) is a clinical-stage biopharmaceutical company focused on developing novel therapeutics that address the fundamental biology driving cancer’s growth, resistance, recurrence and metastasis. The Company currently has two therapeutic candidates in active clinical development targeting pathways regulating cancer, including cancer stem cell, or CSC, pathways or immuno-oncology. The Company’s operations are based in Redwood City, California and it operates in one segment.</w:t>
      </w:r>
    </w:p>
    <w:p>
      <w:pPr>
        <w:spacing w:after="0" w:line="288" w:lineRule="exact"/>
        <w:rPr>
          <w:sz w:val="20"/>
          <w:szCs w:val="20"/>
          <w:color w:val="auto"/>
        </w:rPr>
      </w:pPr>
    </w:p>
    <w:p>
      <w:pPr>
        <w:ind w:left="120" w:right="6940" w:hanging="4"/>
        <w:spacing w:after="0" w:line="372" w:lineRule="auto"/>
        <w:tabs>
          <w:tab w:leader="none" w:pos="3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560"/>
        <w:spacing w:after="0" w:line="236" w:lineRule="auto"/>
        <w:rPr>
          <w:sz w:val="20"/>
          <w:szCs w:val="20"/>
          <w:color w:val="auto"/>
        </w:rPr>
      </w:pPr>
      <w:r>
        <w:rPr>
          <w:rFonts w:ascii="Arial" w:cs="Arial" w:eastAsia="Arial" w:hAnsi="Arial"/>
          <w:sz w:val="18"/>
          <w:szCs w:val="18"/>
          <w:color w:val="auto"/>
        </w:rPr>
        <w:t>The Company’s financial statements have been prepared in accordance with U.S. generally accepted accounting principles (“U.S.</w:t>
      </w:r>
    </w:p>
    <w:p>
      <w:pPr>
        <w:ind w:left="120"/>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affect the amounts reported in the financial statements and accompanying notes. On an ongoing basis, management evaluates its estimates, including those related to revenue recognition, preclinical study and clinical trial accruals, fair value of assets and liabilities, stock-based compensation, restructuring charges and income taxes. Management bases its estimates on historical experience and on various other market-specific and relevant assumptions that management believes to be reasonable under the circumstances. Actual results may differ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90 days or less at the date of purchase to be cash and cash equivalents.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365 days from the date of acquisition. Short-term investments are carried at fair value based upon quoted market prices. Unrealized gains and losses on available-for-sale securities are excluded from earnings and were reported as a component of accumulated other comprehensive income. The cost of available-for-sale securities sold is based on the specific-identification method.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26"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Other comprehensive (loss) income includes certain changes in equity from non-owner sources that are excluded from net loss, specifically, unrealized gains and losses on available-for-sale investments and the related tax impact.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6"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short-term investments. Cash and short-term investments are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40"/>
          </w:cols>
          <w:pgMar w:left="320" w:top="459" w:right="5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invested through banks and other financial institutions in the United States. Such deposits may be in excess of insured limits. The Company maintains cash and investments with various high credit quality and capitalized financial institutions.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is calculated using the straight-line method over the estimated useful lives of the assets, which range from three to five years. Leasehold improvements are amortized over the shorter of their estimated useful lives or the remaining life of the lease at the time the asset is placed into service. In December 2018, the Company changed the estimated useful life of its leasehold improvements to better reflect the period during which these assets are expected to remain in service. The change in estimated useful life has been accounted for as a change in accounting estimate. The remaining carrying amounts of the leasehold improvements as of December 31, 2018 will be amortized prospectively over one year up to December 31, 2019. The change in estimated useful life increased loss from operations and net loss by approximately $26,000, or less than $0.01 per share, as reported in the Statement of Operations for the year ended December 31, 2018.</w:t>
      </w:r>
    </w:p>
    <w:p>
      <w:pPr>
        <w:spacing w:after="0" w:line="19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 xml:space="preserve">For assets held for sale, the property and equipment (the “disposal group”) are measured at the lower of their carrying amount or fair value less cost to sell. Losses are recognized for any initial or subsequent write-down to fair value less cost to sell, while gains are recognized for any subsequent increase in fair value less cost to sell, but not in excess of the cumulative loss previously recognized. Any gains or losses not previously recognized that result from the sale of the disposal group shall be recognized at the date of sale. Property and equipment are not depreciated while classified as held for sale. During the fourth quarter of 2018, certain property and equipment qualified as held for sale treatment. See Note 5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to the Notes to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2018, there have been no such impairment losses.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January 1, 2018, the Company adopted Accounting Standards Codification, or ASC, Topic 606, Revenue from Contracts with Customers, using the modified retrospective transition method. Under this method, the Company recorded a cumulative adjustment to the opening balance of accumulated deficit and to deferred revenue. Under Topic 606, the Company recognizes revenue when it transfers control of promised goods or services to its customers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At contract inception, once a contract is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determined to be within the scope of Topic 606, the Company assesses the goods or services promised within the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 evaluated its existing contracts and only applied Topic 606 to those contracts that were not completed at January 1, 2018. As a result of this evaluation, the Company determined that only its collaboration with Celgene Corporation (“Celgene”) is within the scope of Topic 606. The terms of this arrangement include payment to the Company of a non-refundable, upfront fee; potential development, regulatory and sales milestones; program opt-in payments; and royalties on net product sales. Each of these payments results in collaboration revenue, except for revenues from royalties on net product sales, which would be classified as royalty revenues. In determining the appropriate amount of revenue to be recognized as it fulfills its obligations under its collaboration agreement with Celgene, the Company applies the five-step model. As part of the accounting for this arrangement, the Company must develop assumptions that require judgment to determine the stand-alone selling price for each performance obligation identified in the contract. The Company also must develop assumptions that require judgment in determining the measure of progress used to recognize revenue.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Milestone Payments</w:t>
      </w:r>
    </w:p>
    <w:p>
      <w:pPr>
        <w:spacing w:after="0" w:line="12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At the inception of each arrangement that includes development, regulatory or commercial milestone payments, the Company evaluates whether the milestones are considered probable of being reached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partner, such as regulatory approvals, are not considered probable of being achieved until those approvals are received or the underlying activity has been completed.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and earnings in the period of adjustment.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whose collaboration revenue accounted for 10% or more of total revenues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2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69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r>
      <w:tr>
        <w:trPr>
          <w:trHeight w:val="196"/>
        </w:trPr>
        <w:tc>
          <w:tcPr>
            <w:tcW w:w="8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GlaxoSmithKline LLC (“GSK”)</w:t>
            </w:r>
          </w:p>
        </w:tc>
        <w:tc>
          <w:tcPr>
            <w:tcW w:w="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03"/>
        </w:trPr>
        <w:tc>
          <w:tcPr>
            <w:tcW w:w="8200" w:type="dxa"/>
            <w:vAlign w:val="bottom"/>
            <w:gridSpan w:val="3"/>
          </w:tcPr>
          <w:p>
            <w:pPr>
              <w:spacing w:after="0" w:line="202" w:lineRule="exact"/>
              <w:rPr>
                <w:sz w:val="20"/>
                <w:szCs w:val="20"/>
                <w:color w:val="auto"/>
              </w:rPr>
            </w:pPr>
            <w:r>
              <w:rPr>
                <w:rFonts w:ascii="Arial" w:cs="Arial" w:eastAsia="Arial" w:hAnsi="Arial"/>
                <w:sz w:val="18"/>
                <w:szCs w:val="18"/>
                <w:color w:val="auto"/>
              </w:rPr>
              <w:t>Bayer Pharma AG (“Bayer”)</w:t>
            </w:r>
          </w:p>
        </w:tc>
        <w:tc>
          <w:tcPr>
            <w:tcW w:w="1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Celgene Corporation (“Celgene”)</w:t>
            </w:r>
          </w:p>
        </w:tc>
        <w:tc>
          <w:tcPr>
            <w:tcW w:w="1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94%</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r>
      <w:tr>
        <w:trPr>
          <w:trHeight w:val="135"/>
        </w:trPr>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960" w:type="dxa"/>
            <w:vAlign w:val="bottom"/>
            <w:gridSpan w:val="2"/>
          </w:tcPr>
          <w:p>
            <w:pPr>
              <w:ind w:left="180"/>
              <w:spacing w:after="0"/>
              <w:rPr>
                <w:sz w:val="20"/>
                <w:szCs w:val="20"/>
                <w:color w:val="auto"/>
              </w:rPr>
            </w:pPr>
            <w:r>
              <w:rPr>
                <w:rFonts w:ascii="Arial" w:cs="Arial" w:eastAsia="Arial" w:hAnsi="Arial"/>
                <w:sz w:val="18"/>
                <w:szCs w:val="18"/>
                <w:i w:val="1"/>
                <w:iCs w:val="1"/>
                <w:color w:val="auto"/>
              </w:rPr>
              <w:t>less than 10%</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120" w:right="780" w:firstLine="440"/>
        <w:spacing w:after="0" w:line="246" w:lineRule="auto"/>
        <w:rPr>
          <w:sz w:val="20"/>
          <w:szCs w:val="20"/>
          <w:color w:val="auto"/>
        </w:rPr>
      </w:pPr>
      <w:r>
        <w:rPr>
          <w:rFonts w:ascii="Arial" w:cs="Arial" w:eastAsia="Arial" w:hAnsi="Arial"/>
          <w:sz w:val="18"/>
          <w:szCs w:val="18"/>
          <w:color w:val="auto"/>
        </w:rPr>
        <w:t>Research and development costs are expensed as incurred. Research and development costs consist of salaries and other personnel-related expenses, including associated stock-based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compensation, consulting fees, lab supplies, and facility costs, as well as fees paid to other entities that conduct certain research, development and manufacturing activities on behalf of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 Accruals</w:t>
      </w:r>
    </w:p>
    <w:p>
      <w:pPr>
        <w:spacing w:after="0" w:line="12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actual costs through discussions with internal personnel and external service providers as to the progress or stage of completion of trials or services and the agreed-upon fee to be paid for such services.</w:t>
      </w:r>
    </w:p>
    <w:p>
      <w:pPr>
        <w:spacing w:after="0" w:line="189" w:lineRule="exact"/>
        <w:rPr>
          <w:sz w:val="20"/>
          <w:szCs w:val="20"/>
          <w:color w:val="auto"/>
        </w:rPr>
      </w:pPr>
    </w:p>
    <w:p>
      <w:pPr>
        <w:ind w:left="120" w:right="640" w:firstLine="440"/>
        <w:spacing w:after="0" w:line="274" w:lineRule="auto"/>
        <w:rPr>
          <w:sz w:val="20"/>
          <w:szCs w:val="20"/>
          <w:color w:val="auto"/>
        </w:rPr>
      </w:pPr>
      <w:r>
        <w:rPr>
          <w:rFonts w:ascii="Arial" w:cs="Arial" w:eastAsia="Arial" w:hAnsi="Arial"/>
          <w:sz w:val="17"/>
          <w:szCs w:val="17"/>
          <w:color w:val="auto"/>
        </w:rPr>
        <w:t>Nonrefundable advance payments for goods and services that will be used or rendered in future research and development activities, are deferred and recognized as expense in the period that the related goods are delivered or services are performed.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recognizes compensation expense for all share-based payment awards made to employees and directors based on estimated fair values. For employee stock options, the Company determines the grant date fair value of the awards using the Black-Scholes option-pricing model and generally recognizes the fair value as stock-based compensation expense on a straight-line basis over the vesting period of the respective awards.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For restricted stock, the compensation cost for these awards is based on the closing price of the Company’s common stock on the date of grant and recognized as compensation expense on a straight-line basis over the requisite service period.</w:t>
      </w:r>
    </w:p>
    <w:p>
      <w:pPr>
        <w:spacing w:after="0" w:line="19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 xml:space="preserve">In the second quarter of 2018, the Company early adopted ASU 2018-07, </w:t>
      </w:r>
      <w:r>
        <w:rPr>
          <w:rFonts w:ascii="Arial" w:cs="Arial" w:eastAsia="Arial" w:hAnsi="Arial"/>
          <w:sz w:val="18"/>
          <w:szCs w:val="18"/>
          <w:i w:val="1"/>
          <w:iCs w:val="1"/>
          <w:color w:val="auto"/>
        </w:rPr>
        <w:t>Stock Compensation</w:t>
      </w:r>
      <w:r>
        <w:rPr>
          <w:rFonts w:ascii="Arial" w:cs="Arial" w:eastAsia="Arial" w:hAnsi="Arial"/>
          <w:sz w:val="18"/>
          <w:szCs w:val="18"/>
          <w:color w:val="auto"/>
        </w:rPr>
        <w:t>. ASU 2018-07 clarifies the accounting for share-based payment transactions for acquiring goods and services from non-employees. Specifically, the standard aligns the accounting for payments to non-employees to match the accounting for payments to employees, and no longer accounting for these transactions differently. The adoption of the standard did not have material impact on the Company’s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Company rents its office space and facilities under cancelable and non-cancelable operating lease agreements and recognizes related rent expense on a straight-line basis over the term of the lease. The Company’s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The Company does not assume renewals in its determination of the lease term unless they are deemed to be reasonably assured at the inception of the lease. The Company begins recognizing rent expense on the date that the Company obtains the legal right to use and control the leased space.</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Company entered into a sublease agreement during the fourth quarter of 2018. The Company records sublease income as a reduction of rent expense.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00"/>
          </w:cols>
          <w:pgMar w:left="320" w:top="459" w:right="57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2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Restructuring charges consist of severance, other one-time benefits and other employee related charges. Liabilities for costs associated with a restructuring activity are measured at fair value and are recognized when the liability is incurred. One-time termination benefits are expensed at the date the Company notifies the employee, unless the employee will continue to provide future services, in which case the benefits are expensed ratably over the future service period.</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Company continually evaluates the adequacy of the remaining liabilities under its restructuring initiatives. Although the Company believes that these estimates accurately reflect the costs of the Company’s restructuring plan, actual results may differ and thereby require the Company to record an additional provision or reverse a portion of such a provision.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accounts for income taxes using the liability method under which deferred tax assets and liabilities are determined based on differences between financial reporting and tax basis of assets and liabilities and are measured using the enacted tax rates and laws that will be in effect when the differences are expected to reverse. Valuation allowances are established when necessary to reduce deferred tax assets to the amount which is more likely than not to be realizable.</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recognition, derecognition and measurement of a tax position is based on management’s best judgment given the facts, circumstances and information available at each reporting date. The Company’s policy is to recognize interest and penalties related to the underpayment of income taxes as a component of income tax expense. To date, there have been no interest or penalties charged in relation to the unrecognized tax benefits.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for common stock equivalents. Diluted net loss per common share is computed by dividing the net loss by the weighted-average number of common shares and common share equivalents outstanding for the period determined using the treasury-stock method. For purposes of this calculation, potentially dilutive securities consisting of stock options and restricted stock units are considered to be common stock equivalents and were excluded in the calculation of diluted net loss per common share because their effect would be anti-dilutive for all periods presented.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Adopted and Recent Accounting Pronouncements</w:t>
      </w:r>
    </w:p>
    <w:p>
      <w:pPr>
        <w:spacing w:after="0" w:line="108" w:lineRule="exact"/>
        <w:rPr>
          <w:sz w:val="20"/>
          <w:szCs w:val="20"/>
          <w:color w:val="auto"/>
        </w:rPr>
      </w:pPr>
    </w:p>
    <w:p>
      <w:pPr>
        <w:ind w:left="120" w:right="180"/>
        <w:spacing w:after="0" w:line="267" w:lineRule="auto"/>
        <w:rPr>
          <w:sz w:val="20"/>
          <w:szCs w:val="20"/>
          <w:color w:val="auto"/>
        </w:rPr>
      </w:pPr>
      <w:r>
        <w:rPr>
          <w:rFonts w:ascii="Arial" w:cs="Arial" w:eastAsia="Arial" w:hAnsi="Arial"/>
          <w:sz w:val="18"/>
          <w:szCs w:val="18"/>
          <w:i w:val="1"/>
          <w:iCs w:val="1"/>
          <w:color w:val="auto"/>
        </w:rPr>
        <w:t>Accounting Standard Update (“ASU”) No. 2014-09, Revenue from Contracts with Customers (Topic 606), which supersedes the revenue recognition requirements in ASC 605, Revenue Recognition.</w:t>
      </w:r>
    </w:p>
    <w:p>
      <w:pPr>
        <w:spacing w:after="0" w:line="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May 2014, the Financial Accounting Standards Board (“FASB”) issued a comprehensive new standard on revenue from contracts with customers, ASU No. 2014-09, Revenue from Contracts with Customers, or Topic 606. The standard’s core principle is that a reporting entity will recognize revenue when it transfers promised goods or services to customers in an amount that reflects the consideration to which the entity expects to be entitled in exchange for those goods or services. Entities have the option of using either a full retrospective or a modified retrospective approach to adopt this new guidance. In 2016, the FASB updated the guidance for reporting revenue gross versus net to improve the implementation guidance on principal versus agent considerations, and for identifying performance obligations and the accounting of intellectual property licenses. In addition, the FASB introduced practical expedients and made narrow scope improvements to the new accounting guidance.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Collaboration with Celgene</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 adopted the accounting standard update on January 1, 2018 using the modified retrospective approach, for its collaboration agreement with Celgene. Therefore, comparative historical information will not be adjusted and will continue to be reported under ASC 605 with the impact of the transition reflected in the opening balance of accumulated deficit as of January 1, 2018. The consideration the Company is eligible to receive under this agreement includes upfront payments, milestone payments and program opt-in payments. The new revenue recognition standard differs from ASC 605 in many respects, such as in the accounting for variable consideration and the measurement of progress toward completion of performance obligations. The most significant impact of the standard relates to the Company’s method of revenue recognition for performance obligations that are delivered over time. Under the new standard, milestone payments are included in the transaction price as variable consideration, subject to a constraint, and are allocated to the performance obligations in the contract when recognized. Through December 31, 2017, the Company also received payments from Celgene to reimburse the costs of research and development services performed by the Company; these payments were historically recorded as other revenue. As the performance of these research and development services was at the Company’s discretion and are not reflective of a commitment or performance obligation pursuant to the Celgene agreement, the reimbursement paid to the Company has been excluded from the transaction price.</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Company’s deferred revenue associated with its Celgene collaboration agreement as of December 31, 2017 under Topic 605 was $143.8 million. As a result of adopting Topic 606, the Company recorded a $98.3 million reduction to its deferred revenue and opening accumulated deficit on January 1, 2018 as a result of the cumulative impact of the change in the recognition of the upfront and milestone payments using the input method (described further in Note 5, “Collaborations”) under Topic 606, rather than on a ratable basis which was applied in prior periods. Under Topic 606, collaboration revenue under the Company’s collaboration agreement with Celgene from inception of the agreement through January 1, 2018 was $186.2 million and deferred revenue was $45.5 million as of January 1, 2018. At adoption date, the remaining performance obligation under the contract was estimated to be substantially complete by the third quarter of 2019. At December 31, 2018, the Company evaluated the development program status of the remaining product candidate under the collaboration agreement with Celgene, etigilimab, and estimated that the remaining performance obligation under the contract will be completed by the first quarter of 2019.</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Collaborations with Bayer and GSK</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GSK collaboration was terminated in its entirety on October 28, 2017, this arrangement was outside the scope of Topic 606 as of the adoption date. For the Bayer collaboration, Bayer terminated all biologic therapeutic programs under the collaboration effective June 16, 2017, while the small molecule therapeutics program remained active. Refer to Note 5, “Collaborations,” for further details. The Company has determined that the small molecule therapeutic program remaining as of December 31, 2017 is immaterial in the context of the collaboration agreement relative to the biologics therapeutic programs that was terminated during 2017. The Company’s performance obligations under the small molecule therapeutic program with respect to Bayer were substantially complete at December 31, 2017, and any future receipts in the form of milestones or royalties are contingent upon the achievement of specified development, commercial and/or sales targets. The Company has concluded that there was no transition adjustment to be recognized on January 1, 2018 for these two agreements.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Adoption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impact of adopting Topic 606 on select balance sheets and statement of operations line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00" w:type="dxa"/>
            <w:vAlign w:val="bottom"/>
            <w:gridSpan w:val="2"/>
            <w:vMerge w:val="restart"/>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17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Adjustment</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Sheets:</w:t>
            </w:r>
          </w:p>
        </w:tc>
        <w:tc>
          <w:tcPr>
            <w:tcW w:w="1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Deferred revenue, current portion</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82,193</w:t>
            </w:r>
          </w:p>
        </w:tc>
        <w:tc>
          <w:tcPr>
            <w:tcW w:w="44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 (51,299)</w:t>
            </w:r>
          </w:p>
        </w:tc>
        <w:tc>
          <w:tcPr>
            <w:tcW w:w="38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30,894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non-current portion</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61,645</w:t>
            </w:r>
          </w:p>
        </w:tc>
        <w:tc>
          <w:tcPr>
            <w:tcW w:w="4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(47,023)</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3100" w:type="dxa"/>
            <w:vAlign w:val="bottom"/>
            <w:gridSpan w:val="6"/>
          </w:tcPr>
          <w:p>
            <w:pPr>
              <w:jc w:val="right"/>
              <w:ind w:right="420"/>
              <w:spacing w:after="0"/>
              <w:rPr>
                <w:sz w:val="20"/>
                <w:szCs w:val="20"/>
                <w:color w:val="auto"/>
              </w:rPr>
            </w:pPr>
            <w:r>
              <w:rPr>
                <w:rFonts w:ascii="Arial" w:cs="Arial" w:eastAsia="Arial" w:hAnsi="Arial"/>
                <w:sz w:val="18"/>
                <w:szCs w:val="18"/>
                <w:color w:val="auto"/>
              </w:rPr>
              <w:t>(452,007)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98,322</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11"/>
          </w:tcPr>
          <w:p>
            <w:pPr>
              <w:ind w:left="280"/>
              <w:spacing w:after="0"/>
              <w:rPr>
                <w:sz w:val="20"/>
                <w:szCs w:val="20"/>
                <w:color w:val="auto"/>
              </w:rPr>
            </w:pPr>
            <w:r>
              <w:rPr>
                <w:rFonts w:ascii="Arial" w:cs="Arial" w:eastAsia="Arial" w:hAnsi="Arial"/>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Balances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without the</w:t>
            </w:r>
          </w:p>
        </w:tc>
        <w:tc>
          <w:tcPr>
            <w:tcW w:w="0" w:type="dxa"/>
            <w:vAlign w:val="bottom"/>
          </w:tcPr>
          <w:p>
            <w:pPr>
              <w:spacing w:after="0"/>
              <w:rPr>
                <w:sz w:val="1"/>
                <w:szCs w:val="1"/>
                <w:color w:val="auto"/>
              </w:rPr>
            </w:pPr>
          </w:p>
        </w:tc>
      </w:tr>
      <w:tr>
        <w:trPr>
          <w:trHeight w:val="162"/>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under Topic</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adoption of</w:t>
            </w:r>
          </w:p>
        </w:tc>
        <w:tc>
          <w:tcPr>
            <w:tcW w:w="0" w:type="dxa"/>
            <w:vAlign w:val="bottom"/>
          </w:tcPr>
          <w:p>
            <w:pPr>
              <w:spacing w:after="0"/>
              <w:rPr>
                <w:sz w:val="1"/>
                <w:szCs w:val="1"/>
                <w:color w:val="auto"/>
              </w:rPr>
            </w:pPr>
          </w:p>
        </w:tc>
      </w:tr>
      <w:tr>
        <w:trPr>
          <w:trHeight w:val="182"/>
        </w:trPr>
        <w:tc>
          <w:tcPr>
            <w:tcW w:w="5700" w:type="dxa"/>
            <w:vAlign w:val="bottom"/>
            <w:gridSpan w:val="3"/>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606</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Topic 606</w:t>
            </w:r>
          </w:p>
        </w:tc>
        <w:tc>
          <w:tcPr>
            <w:tcW w:w="0" w:type="dxa"/>
            <w:vAlign w:val="bottom"/>
          </w:tcPr>
          <w:p>
            <w:pPr>
              <w:spacing w:after="0"/>
              <w:rPr>
                <w:sz w:val="1"/>
                <w:szCs w:val="1"/>
                <w:color w:val="auto"/>
              </w:rPr>
            </w:pPr>
          </w:p>
        </w:tc>
      </w:tr>
      <w:tr>
        <w:trPr>
          <w:trHeight w:val="176"/>
        </w:trPr>
        <w:tc>
          <w:tcPr>
            <w:tcW w:w="25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Statements of Operations:</w:t>
            </w:r>
          </w:p>
        </w:tc>
        <w:tc>
          <w:tcPr>
            <w:tcW w:w="316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Collaboration revenue</w:t>
            </w:r>
          </w:p>
        </w:tc>
        <w:tc>
          <w:tcPr>
            <w:tcW w:w="1960" w:type="dxa"/>
            <w:vAlign w:val="bottom"/>
            <w:gridSpan w:val="3"/>
          </w:tcPr>
          <w:p>
            <w:pPr>
              <w:ind w:left="18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44,421</w:t>
            </w:r>
          </w:p>
        </w:tc>
        <w:tc>
          <w:tcPr>
            <w:tcW w:w="12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  58,321</w:t>
            </w:r>
          </w:p>
        </w:tc>
        <w:tc>
          <w:tcPr>
            <w:tcW w:w="9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$ 102,742</w:t>
            </w: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(10,045)</w:t>
            </w:r>
          </w:p>
        </w:tc>
        <w:tc>
          <w:tcPr>
            <w:tcW w:w="12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58,321</w:t>
            </w:r>
          </w:p>
        </w:tc>
        <w:tc>
          <w:tcPr>
            <w:tcW w:w="9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48,276</w:t>
            </w: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(8,101)</w:t>
            </w:r>
          </w:p>
        </w:tc>
        <w:tc>
          <w:tcPr>
            <w:tcW w:w="12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58,321</w:t>
            </w:r>
          </w:p>
        </w:tc>
        <w:tc>
          <w:tcPr>
            <w:tcW w:w="9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50,220</w:t>
            </w: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 per common shares, basic</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(0.21)</w:t>
            </w:r>
          </w:p>
        </w:tc>
        <w:tc>
          <w:tcPr>
            <w:tcW w:w="12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1.52</w:t>
            </w:r>
          </w:p>
        </w:tc>
        <w:tc>
          <w:tcPr>
            <w:tcW w:w="9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Net income (loss) per common shares, diluted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(0.21)</w:t>
            </w:r>
          </w:p>
        </w:tc>
        <w:tc>
          <w:tcPr>
            <w:tcW w:w="1260" w:type="dxa"/>
            <w:vAlign w:val="bottom"/>
            <w:gridSpan w:val="4"/>
          </w:tcPr>
          <w:p>
            <w:pPr>
              <w:jc w:val="right"/>
              <w:ind w:right="380"/>
              <w:spacing w:after="0"/>
              <w:rPr>
                <w:sz w:val="20"/>
                <w:szCs w:val="20"/>
                <w:color w:val="auto"/>
              </w:rPr>
            </w:pPr>
            <w:r>
              <w:rPr>
                <w:rFonts w:ascii="Arial" w:cs="Arial" w:eastAsia="Arial" w:hAnsi="Arial"/>
                <w:sz w:val="18"/>
                <w:szCs w:val="18"/>
                <w:color w:val="auto"/>
              </w:rPr>
              <w:t>1.51</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Upfront payments and fees may be required to be recorded as deferred revenue upon receipt or when due, and recognized in a future period when or as the Company performs its obligations under these arrangements. Amounts payable to the Company are recorded as accounts receivable when the Company’s right to consideration is unconditional.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the Company’s contract liabilities, which consisted of deferred revenue, decreased by a total of</w:t>
      </w:r>
    </w:p>
    <w:p>
      <w:pPr>
        <w:ind w:left="120"/>
        <w:spacing w:after="0" w:line="234" w:lineRule="auto"/>
        <w:rPr>
          <w:sz w:val="20"/>
          <w:szCs w:val="20"/>
          <w:color w:val="auto"/>
        </w:rPr>
      </w:pPr>
      <w:r>
        <w:rPr>
          <w:rFonts w:ascii="Arial" w:cs="Arial" w:eastAsia="Arial" w:hAnsi="Arial"/>
          <w:sz w:val="18"/>
          <w:szCs w:val="18"/>
          <w:color w:val="auto"/>
        </w:rPr>
        <w:t>$142.7 million from December 31, 2017, of which $98.3 million was related to the cumulative adjustment to the opening balance of</w:t>
      </w:r>
    </w:p>
    <w:p>
      <w:pPr>
        <w:ind w:left="120"/>
        <w:spacing w:after="0" w:line="235" w:lineRule="auto"/>
        <w:rPr>
          <w:sz w:val="20"/>
          <w:szCs w:val="20"/>
          <w:color w:val="auto"/>
        </w:rPr>
      </w:pPr>
      <w:r>
        <w:rPr>
          <w:rFonts w:ascii="Arial" w:cs="Arial" w:eastAsia="Arial" w:hAnsi="Arial"/>
          <w:sz w:val="18"/>
          <w:szCs w:val="18"/>
          <w:color w:val="auto"/>
        </w:rPr>
        <w:t>accumulated deficit upon the adoption of Topic 606 on January 1, 2018 and $44.4 million related to revenue recognized for the year ended</w:t>
      </w:r>
    </w:p>
    <w:p>
      <w:pPr>
        <w:ind w:left="120"/>
        <w:spacing w:after="0" w:line="235" w:lineRule="auto"/>
        <w:rPr>
          <w:sz w:val="20"/>
          <w:szCs w:val="20"/>
          <w:color w:val="auto"/>
        </w:rPr>
      </w:pPr>
      <w:r>
        <w:rPr>
          <w:rFonts w:ascii="Arial" w:cs="Arial" w:eastAsia="Arial" w:hAnsi="Arial"/>
          <w:sz w:val="18"/>
          <w:szCs w:val="18"/>
          <w:color w:val="auto"/>
        </w:rPr>
        <w:t>December 31, 2018. Upon adoption of the standard as of January 1, 2018, the Company had a $45.5 million contract liability. As of</w:t>
      </w:r>
    </w:p>
    <w:p>
      <w:pPr>
        <w:ind w:left="120"/>
        <w:spacing w:after="0" w:line="235" w:lineRule="auto"/>
        <w:rPr>
          <w:sz w:val="20"/>
          <w:szCs w:val="20"/>
          <w:color w:val="auto"/>
        </w:rPr>
      </w:pPr>
      <w:r>
        <w:rPr>
          <w:rFonts w:ascii="Arial" w:cs="Arial" w:eastAsia="Arial" w:hAnsi="Arial"/>
          <w:sz w:val="18"/>
          <w:szCs w:val="18"/>
          <w:color w:val="auto"/>
        </w:rPr>
        <w:t>December 31, 2018, the Company had a $1.1 million contract liability. The remaining performance obligation under the contract is</w:t>
      </w:r>
    </w:p>
    <w:p>
      <w:pPr>
        <w:ind w:left="120"/>
        <w:spacing w:after="0"/>
        <w:rPr>
          <w:sz w:val="20"/>
          <w:szCs w:val="20"/>
          <w:color w:val="auto"/>
        </w:rPr>
      </w:pPr>
      <w:r>
        <w:rPr>
          <w:rFonts w:ascii="Arial" w:cs="Arial" w:eastAsia="Arial" w:hAnsi="Arial"/>
          <w:sz w:val="18"/>
          <w:szCs w:val="18"/>
          <w:color w:val="auto"/>
        </w:rPr>
        <w:t>expected to be substantially complete by the first quarter of 2019.</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No. 2016-02, Leases (Topic 842)</w:t>
      </w:r>
    </w:p>
    <w:p>
      <w:pPr>
        <w:spacing w:after="0" w:line="10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in the first quarter of fiscal year 2019 and early adoption is permitted. This ASU is required to be applied with a modified retrospective approach and requires application of the new standard at the beginning of the earliest comparative period presented. In July 2018, the FASB issued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In issuing ASU No. 2018-11, the FASB decided to provide another transition method in addition to the existing transition method by allowing entities to initially apply the new leases standard at the adoption date and recognize a cumulative-effect adjustment to the opening balance of retained earnings in the period of</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adoption. The Company is currently evaluating our population of leases and are continuing to assess all potential impacts of ASU 2016-02 and ASU 2018-11, but currently believe that the most significant impact relates to the Company’s accounting for office building operating leases. The Company anticipates recognition of additional assets and corresponding liabilities related to leases upon adoption, but have not yet quantified these at this time. The Company will adopt the standard effective January 1, 2019 and plan to utilize the transition method stated in ASU 2018-11.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No. 2018-07, Improvement to Nonemployees Share-based Payment Accounting (Topic 718)</w:t>
      </w:r>
    </w:p>
    <w:p>
      <w:pPr>
        <w:spacing w:after="0" w:line="104"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Stock Compensation</w:t>
      </w:r>
      <w:r>
        <w:rPr>
          <w:rFonts w:ascii="Arial" w:cs="Arial" w:eastAsia="Arial" w:hAnsi="Arial"/>
          <w:sz w:val="18"/>
          <w:szCs w:val="18"/>
          <w:color w:val="auto"/>
        </w:rPr>
        <w:t>. ASU No. 2018-07 simplifies the accounting for share-based payments to nonemployees by aligning it with the accounting for share-based payments to employees, with certain exceptions. The guidance is effective for fiscal years beginning after December 15, 2019, and interim periods within fiscal years beginning after December 15, 2020. Early adoption is permitted, but not earlier than the Company’s adoption of Topic 606. The Company chose to adopt the guidance early, in the second quarter of 2018. The adoption of the standard did not have material impact on the Company’s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Cash and Investments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securities, not including cash at December 31, 2018 and 2017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8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99"/>
              </w:rPr>
              <w:t>Amortized</w:t>
            </w:r>
          </w:p>
        </w:tc>
        <w:tc>
          <w:tcPr>
            <w:tcW w:w="192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6"/>
                <w:szCs w:val="16"/>
                <w:b w:val="1"/>
                <w:bCs w:val="1"/>
                <w:color w:val="auto"/>
              </w:rPr>
              <w:t>Cost</w:t>
            </w: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Gains</w:t>
            </w: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Money market funds</w:t>
            </w:r>
          </w:p>
        </w:tc>
        <w:tc>
          <w:tcPr>
            <w:tcW w:w="2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275</w:t>
            </w:r>
          </w:p>
        </w:tc>
        <w:tc>
          <w:tcPr>
            <w:tcW w:w="5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90"/>
              </w:rPr>
              <w:t>$ —</w:t>
            </w: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U.S. treasury bills</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47,688</w:t>
            </w:r>
          </w:p>
        </w:tc>
        <w:tc>
          <w:tcPr>
            <w:tcW w:w="4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47,659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47,963</w:t>
            </w:r>
          </w:p>
        </w:tc>
        <w:tc>
          <w:tcPr>
            <w:tcW w:w="42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90"/>
              </w:rPr>
              <w:t>$ —</w:t>
            </w:r>
          </w:p>
        </w:tc>
        <w:tc>
          <w:tcPr>
            <w:tcW w:w="7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Cash equivalents</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9"/>
        </w:trPr>
        <w:tc>
          <w:tcPr>
            <w:tcW w:w="45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47,659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As of December 31, 2018, the Company had a total of $57.3 million in cash, cash equivalents and short-term investments, which includes $9.7 million in cash and cash equivalents and $47.6 million in short-term investments.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vMerge w:val="restart"/>
          </w:tcPr>
          <w:p>
            <w:pPr>
              <w:spacing w:after="0"/>
              <w:rPr>
                <w:sz w:val="13"/>
                <w:szCs w:val="13"/>
                <w:color w:val="auto"/>
              </w:rPr>
            </w:pPr>
          </w:p>
        </w:tc>
        <w:tc>
          <w:tcPr>
            <w:tcW w:w="2320" w:type="dxa"/>
            <w:vAlign w:val="bottom"/>
          </w:tcPr>
          <w:p>
            <w:pPr>
              <w:spacing w:after="0"/>
              <w:rPr>
                <w:sz w:val="13"/>
                <w:szCs w:val="13"/>
                <w:color w:val="auto"/>
              </w:rPr>
            </w:pPr>
          </w:p>
        </w:tc>
        <w:tc>
          <w:tcPr>
            <w:tcW w:w="12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w:t>
            </w:r>
          </w:p>
        </w:tc>
        <w:tc>
          <w:tcPr>
            <w:tcW w:w="1580" w:type="dxa"/>
            <w:vAlign w:val="bottom"/>
            <w:gridSpan w:val="5"/>
          </w:tcPr>
          <w:p>
            <w:pPr>
              <w:ind w:left="200"/>
              <w:spacing w:after="0" w:line="155" w:lineRule="exact"/>
              <w:rPr>
                <w:sz w:val="20"/>
                <w:szCs w:val="20"/>
                <w:color w:val="auto"/>
              </w:rPr>
            </w:pPr>
            <w:r>
              <w:rPr>
                <w:rFonts w:ascii="Arial" w:cs="Arial" w:eastAsia="Arial" w:hAnsi="Arial"/>
                <w:sz w:val="14"/>
                <w:szCs w:val="14"/>
                <w:b w:val="1"/>
                <w:bCs w:val="1"/>
                <w:color w:val="auto"/>
              </w:rPr>
              <w:t>Gross Unrealized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Money market funds</w:t>
            </w:r>
          </w:p>
        </w:tc>
        <w:tc>
          <w:tcPr>
            <w:tcW w:w="2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w:t>
            </w:r>
          </w:p>
        </w:tc>
        <w:tc>
          <w:tcPr>
            <w:tcW w:w="5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U.S. treasury bills</w:t>
            </w: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89,525</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89,814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89,624</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$ 289</w:t>
            </w:r>
          </w:p>
        </w:tc>
        <w:tc>
          <w:tcPr>
            <w:tcW w:w="4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Cash equivalents</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45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89,814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As of December 31, 2017, the Company had a total of $103.1 million in cash, cash equivalents and short-term investments, which includes $13.3 million in cash and cash equivalents and $89.8 million in and short-term investments.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All available-for-sale securities held as of December 31, 2018 had contractual maturities of less than one year. There have been no significant realized gains or losses on available-for-sale securities for the periods presented.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records its financial assets and liabilities at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10"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Level 1: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80" w:right="22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94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$ 275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47,659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47,659</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$ 275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47,659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94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89,814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89,814</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89,814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Where quoted prices are available in an active market, securities are classified as Level 1. When quoted market prices are not available for the specific security, then the Company estimates fair value by using benchmark yields, reported trades, broker/dealer quotes, and issuer spreads. The Company classifies U.S. Treasury securities as Level 2. There were no transfers between Level 1 and Level 2 during the periods presented.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38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2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1,440</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11,453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23,452</w:t>
            </w: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(10,830)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(20,177)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623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Depreciation expense for the years ended December 31, 2018, 2017 and 2016 was $1.7 million, $1.7 million and $1.8 million, respectively</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reviews the estimated useful lives of its property and equipment on an ongoing basis. Effective December 1, 2018, the Company changed its estimated useful life of leasehold improvements and this change has been accounted for as a change in accounting estimate. The remaining carrying amounts of the leasehold improvements as of December 31, 2018 will be amortized prospectively over one year up to December 31, 2019. The change in estimated useful life increased net loss by approximately $26,000, or less than $0.01 per share, as reported in the Statement of Operations for the year ended December 31, 2018.</w:t>
      </w:r>
    </w:p>
    <w:p>
      <w:pPr>
        <w:spacing w:after="0" w:line="20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the fourth quarter of 2018, property and equipment with net book value of $1.4 million qualified as held for sale treatment. Assets held for sale are measured at the lower of their carrying amount or fair value less cost to sell. The property and equipment are not depreciated while classified as held for sale. As of December 31, 2018, assets held for sale were composed mainly of laboratory equipment and were recorded at $ 1.4 million. Subsequently, in January 2019, the Company sold the property and equipment classified as held for sale for net sale proceeds of approximately $1.4 million. No impairment loss was recorded for such assets held for sale as of December 31, 2018.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related</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988</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related</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1,809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2,733</w:t>
            </w:r>
          </w:p>
        </w:tc>
        <w:tc>
          <w:tcPr>
            <w:tcW w:w="0" w:type="dxa"/>
            <w:vAlign w:val="bottom"/>
          </w:tcPr>
          <w:p>
            <w:pPr>
              <w:spacing w:after="0"/>
              <w:rPr>
                <w:sz w:val="1"/>
                <w:szCs w:val="1"/>
                <w:color w:val="auto"/>
              </w:rPr>
            </w:pPr>
          </w:p>
        </w:tc>
      </w:tr>
      <w:tr>
        <w:trPr>
          <w:trHeight w:val="203"/>
        </w:trPr>
        <w:tc>
          <w:tcPr>
            <w:tcW w:w="9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1,571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4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4,368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3,940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960" w:hanging="4"/>
        <w:spacing w:after="0" w:line="372" w:lineRule="auto"/>
        <w:tabs>
          <w:tab w:leader="none" w:pos="32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an office and laboratory facility in Redwood City, California under a lease agreement that was originally set to expire in January 2019 and included a lease extension option for two additional three-year terms. During the fourth quarter of 2016, the Company signed an amendment to the lease agreement to extend the lease term through May 2028 with an option to extend the lease for an additional three-year term.</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80" w:firstLine="440"/>
        <w:spacing w:after="0" w:line="238" w:lineRule="auto"/>
        <w:rPr>
          <w:sz w:val="20"/>
          <w:szCs w:val="20"/>
          <w:color w:val="auto"/>
        </w:rPr>
      </w:pPr>
      <w:r>
        <w:rPr>
          <w:rFonts w:ascii="Arial" w:cs="Arial" w:eastAsia="Arial" w:hAnsi="Arial"/>
          <w:sz w:val="18"/>
          <w:szCs w:val="18"/>
          <w:color w:val="auto"/>
        </w:rPr>
        <w:t>The amendment to the lease agreement includes a 10-year cancelable lease agreement for additional office and laboratory space that expires in May 2028, subject to the Company’s three-year lease extension option described above. The Company exercised its right to terminate the lease agreement for this additional space prior to September 2017. The exercise of such cancelation did not result in an economic penalty to the Company.</w:t>
      </w:r>
    </w:p>
    <w:p>
      <w:pPr>
        <w:spacing w:after="0" w:line="205"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of December 31, 2018, future minimum annual rental payments under the Company’s non-cancelable operating lease agreement are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Leases, net of</w:t>
            </w:r>
          </w:p>
        </w:tc>
        <w:tc>
          <w:tcPr>
            <w:tcW w:w="0" w:type="dxa"/>
            <w:vAlign w:val="bottom"/>
          </w:tcPr>
          <w:p>
            <w:pPr>
              <w:spacing w:after="0"/>
              <w:rPr>
                <w:sz w:val="1"/>
                <w:szCs w:val="1"/>
                <w:color w:val="auto"/>
              </w:rPr>
            </w:pPr>
          </w:p>
        </w:tc>
      </w:tr>
      <w:tr>
        <w:trPr>
          <w:trHeight w:val="162"/>
        </w:trPr>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82"/>
        </w:trPr>
        <w:tc>
          <w:tcPr>
            <w:tcW w:w="9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9"/>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8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9"/>
        </w:trPr>
        <w:tc>
          <w:tcPr>
            <w:tcW w:w="9980" w:type="dxa"/>
            <w:vAlign w:val="bottom"/>
            <w:gridSpan w:val="2"/>
          </w:tcPr>
          <w:p>
            <w:pPr>
              <w:spacing w:after="0" w:line="202" w:lineRule="exact"/>
              <w:rPr>
                <w:sz w:val="20"/>
                <w:szCs w:val="20"/>
                <w:color w:val="auto"/>
              </w:rPr>
            </w:pPr>
            <w:r>
              <w:rPr>
                <w:rFonts w:ascii="Arial" w:cs="Arial" w:eastAsia="Arial" w:hAnsi="Arial"/>
                <w:sz w:val="18"/>
                <w:szCs w:val="18"/>
                <w:color w:val="auto"/>
              </w:rPr>
              <w:t>2024 and thereafter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9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minimum payments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23,803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Through December 31, 2018, the landlord provided the Company a tenant improvement allowance for a total of $8.0 million for its office and laboratory expansion in prior years and office improvements. The Company recorded the tenant improvement allowance received as leasehold improvements under the property and equipment account and deferred rent liability on the accompanying balance sheets.</w:t>
      </w:r>
    </w:p>
    <w:p>
      <w:pPr>
        <w:spacing w:after="0" w:line="205"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In October 2018 and January 2019, the Company subleased a specified portion of the Company’s office facility located in Redwood City, California. These subleases have terms of 12 to 24 months and will expire in 2020. The aggregate sublease proceeds of $1.6 million and $0.8 million for the years ending December 31, 2019 and 2020, respectively, are included in the table above.</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operating lease agreement contains rent escalation provisions and tenant improvement allowances. The total rent obligation is being expensed ratably over the term of the agreement. Rent expense for year ended December 31, 2018 was $2.3 million, net of sublease income of $0.1 million. Rent expense for years ended December 31 2017 and 2016 was $2.4 million and $1.6 million,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as permitted under Delaware law and in accordance with its certificate of incorporation and bylaws, and pursuant to indemnification agreements with certain of its officers and directors, indemnifies its officers and directors for certain events or occurrences, subject to certain limits, while the officer or director is or was serving at the Company’s request in such capacity. The term of the indemnification period lasts as long as an officer or director may be subject to any proceeding arising out of acts or omissions of such officer or director in such capacity.</w:t>
      </w:r>
    </w:p>
    <w:p>
      <w:pPr>
        <w:spacing w:after="0" w:line="20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40"/>
          </w:cols>
          <w:pgMar w:left="32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License Agreement</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2004, the Company assumed an exclusive, worldwide license agreement with the University of Michigan relating to the use of certain patents and technology relating to its cancer stem cell (“CSC”) technology for which an up-front fee of $10,000 had been paid and the Company issued 7,796 shares of its common stock. Pursuant to the agreement, the Company is obligated to make low single-digit royalty payments to the University of Michigan on net sales of its or its licensees’ products and processes covered under the agreement, pay an annual license maintenance fee, and reimburse the University of Michigan for costs of prosecution and maintenance of the licensed patents which reduces future royalty obligations. With respect to one family of licensed patent applications that does not relate to any of the Company’s lead therapeutic programs, the Company is also required to pay a tiered, single-digit percentage of any sublicense revenues, including any upfront or milestone payments, received from any sublicensees under such family of patents. Once the University of Michigan has received $10.0 million in royalties, the Company may at its option convert the license to a fully paid-up license provided the Company transfers additional shares of nonvoting common stock equal to 0.25% of the fully diluted shares then outstanding to the University of Michigan. The amounts incurred for patent legal costs amounted to $27,000, $32,000 and $69,000 for the years ended December 31, 2018, 2017 and 2016, respectively, all of which has been recorded as general and administrative expense in the statements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Collaborations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entered into three collaboration arrangements, each having multiple deliverables under which the Company received non-refundable upfront payments. For collaborations where the Company has determined that there is a single unit of accounting the Company recognizes revenue related to the upfront payments ratably over its estimated period of performance for each collaboration. Two of these collaboration agreements have since been entirely or substantially terminated.</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Company’s prior and current collaboration arrangements include contractual milestones, which relate to the achievement of pre-specified research, development, regulatory and commercialization events. The milestone events contained in the Company’s alliances coincide with the progression of the Company’s product candidates from research and development, to regulatory approval and through to commercialization. The process of successfully discovering a new product candidate, having it selected by the alliance partner for development, having it approved and ultimately sold for a profit is highly uncertain. As such, the milestone payments that the Company may earn from its collaborators involve a significant degree of risk to achieve.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milestones in the Company’s strategic alliances may include the following types of events:</w:t>
      </w:r>
    </w:p>
    <w:p>
      <w:pPr>
        <w:spacing w:after="0" w:line="117"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Completion of pre-clinical research and development work leading to selection of product clinical candidates.</w:t>
      </w:r>
    </w:p>
    <w:p>
      <w:pPr>
        <w:spacing w:after="0" w:line="117" w:lineRule="exact"/>
        <w:rPr>
          <w:rFonts w:ascii="Arial" w:cs="Arial" w:eastAsia="Arial" w:hAnsi="Arial"/>
          <w:sz w:val="18"/>
          <w:szCs w:val="18"/>
          <w:color w:val="auto"/>
        </w:rPr>
      </w:pPr>
    </w:p>
    <w:p>
      <w:pPr>
        <w:ind w:left="1080" w:right="1040" w:hanging="424"/>
        <w:spacing w:after="0" w:line="246"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Advancement of candidates into clinical development, which may include filing of investigational new drug (“IND”) applications.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Initiation of Phase I, Phase II or Phase III clinical trials.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Achievement of certain scientific or development events.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Regulatory milestones may include the following types of events:</w:t>
      </w:r>
    </w:p>
    <w:p>
      <w:pPr>
        <w:spacing w:after="0" w:line="117" w:lineRule="exact"/>
        <w:rPr>
          <w:sz w:val="20"/>
          <w:szCs w:val="20"/>
          <w:color w:val="auto"/>
        </w:rPr>
      </w:pPr>
    </w:p>
    <w:p>
      <w:pPr>
        <w:ind w:left="1080" w:right="240" w:hanging="424"/>
        <w:spacing w:after="0" w:line="246"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Filing of regulatory applications for marketing approval such as a New Drug Application in the United States, or a Marketing Authorization Application in Europe.</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Marketing approval in a major market, such as the United States, Europe or Japan.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Commercialization milestones may include the following types of events:</w:t>
      </w:r>
    </w:p>
    <w:p>
      <w:pPr>
        <w:spacing w:after="0" w:line="117"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Product sales in excess of pre-specified thresholds.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Collaboration Related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recognized the following revenues from its prior and current collaboration agreements during the years ended</w:t>
      </w:r>
    </w:p>
    <w:p>
      <w:pPr>
        <w:ind w:left="120"/>
        <w:spacing w:after="0"/>
        <w:rPr>
          <w:sz w:val="20"/>
          <w:szCs w:val="20"/>
          <w:color w:val="auto"/>
        </w:rPr>
      </w:pPr>
      <w:r>
        <w:rPr>
          <w:rFonts w:ascii="Arial" w:cs="Arial" w:eastAsia="Arial" w:hAnsi="Arial"/>
          <w:sz w:val="18"/>
          <w:szCs w:val="18"/>
          <w:color w:val="auto"/>
        </w:rPr>
        <w:t>December 31, 2018, 2017 and 2016:</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800" w:type="dxa"/>
            <w:vAlign w:val="bottom"/>
            <w:gridSpan w:val="7"/>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Celgene:</w:t>
            </w:r>
          </w:p>
        </w:tc>
        <w:tc>
          <w:tcPr>
            <w:tcW w:w="26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w:t>
            </w:r>
          </w:p>
        </w:tc>
        <w:tc>
          <w:tcPr>
            <w:tcW w:w="36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$44,421</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$35,588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Celgene total</w:t>
            </w:r>
          </w:p>
        </w:tc>
        <w:tc>
          <w:tcPr>
            <w:tcW w:w="3680" w:type="dxa"/>
            <w:vAlign w:val="bottom"/>
            <w:gridSpan w:val="3"/>
          </w:tcPr>
          <w:p>
            <w:pPr>
              <w:jc w:val="right"/>
              <w:ind w:right="380"/>
              <w:spacing w:after="0"/>
              <w:rPr>
                <w:sz w:val="20"/>
                <w:szCs w:val="20"/>
                <w:color w:val="auto"/>
              </w:rPr>
            </w:pPr>
            <w:r>
              <w:rPr>
                <w:rFonts w:ascii="Arial" w:cs="Arial" w:eastAsia="Arial" w:hAnsi="Arial"/>
                <w:sz w:val="18"/>
                <w:szCs w:val="18"/>
                <w:color w:val="auto"/>
              </w:rPr>
              <w:t>44,421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35,997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Bayer:</w:t>
            </w:r>
          </w:p>
        </w:tc>
        <w:tc>
          <w:tcPr>
            <w:tcW w:w="2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payments</w:t>
            </w:r>
          </w:p>
        </w:tc>
        <w:tc>
          <w:tcPr>
            <w:tcW w:w="2640" w:type="dxa"/>
            <w:vAlign w:val="bottom"/>
          </w:tcPr>
          <w:p>
            <w:pPr>
              <w:spacing w:after="0"/>
              <w:rPr>
                <w:sz w:val="17"/>
                <w:szCs w:val="17"/>
                <w:color w:val="auto"/>
              </w:rPr>
            </w:pP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Bayer total</w:t>
            </w:r>
          </w:p>
        </w:tc>
        <w:tc>
          <w:tcPr>
            <w:tcW w:w="26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GSK:</w:t>
            </w:r>
          </w:p>
        </w:tc>
        <w:tc>
          <w:tcPr>
            <w:tcW w:w="2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w:t>
            </w:r>
          </w:p>
        </w:tc>
        <w:tc>
          <w:tcPr>
            <w:tcW w:w="2640" w:type="dxa"/>
            <w:vAlign w:val="bottom"/>
          </w:tcPr>
          <w:p>
            <w:pPr>
              <w:spacing w:after="0"/>
              <w:rPr>
                <w:sz w:val="17"/>
                <w:szCs w:val="17"/>
                <w:color w:val="auto"/>
              </w:rPr>
            </w:pP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GSK total</w:t>
            </w:r>
          </w:p>
        </w:tc>
        <w:tc>
          <w:tcPr>
            <w:tcW w:w="2640" w:type="dxa"/>
            <w:vAlign w:val="bottom"/>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related revenue</w:t>
            </w:r>
          </w:p>
        </w:tc>
        <w:tc>
          <w:tcPr>
            <w:tcW w:w="36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44,421</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38,154</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ASU No. 2014-09</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On January 1, 2018, the Company adopted ASU No. 2014-09 using the modified retrospective method. Results for reporting periods beginning after January 1, 2018 are presented under Topic 606, while prior period amounts are not adjusted and continue to be reported in accordance with Topic 605.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Celgene Strategic Alliance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December 2013, the Company entered into a Master Research and Collaboration Agreement (the “Agreement”) with Celgene pursuant to which the Company and Celgene were to collaborate on research and development programs directed to the discovery and development of novel biologic therapeutic programs, and, if Celgene exercised its option to do so, the discovery, development and commercialization of novel small molecule therapeutics.</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etigilimab program is the last remaining biologic therapeutic program that is currently active under the collaboration agreement with Celgene. Celgene has an option to obtain an exclusive license to develop further and commercialize biologic therapeutics in the etigilimab program, which may be exercised during time periods specified in the collaboration agreement through the earlier of completion of a certain clinical trial or the twelfth anniversary of the date of the collaboration agreement. Pursuant to the agreement, the Company will lead the development of etigilimab prior to Celgene’s exercise of its option for the etigilimab program. The Company is responsible for funding all research and development activities that we choose to undertake for therapeutics in the etigilimab program prior to Celgene’s exercise of the option for the program. Upon option exercise by Celgene, the Company will be required to enter into an agreed form of a license agreement with Celgene, pursuant to which Celgene retains all rights to develop further and commercialize biologic therapeutic</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40"/>
          </w:cols>
          <w:pgMar w:left="320" w:top="459"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 in the etigilimab program on a worldwide basis, with certain support for development from the Company.</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eligible to receive a $35.0 million opt-in payment upon Celgene’s exercise of the option for the etigilimab program.</w:t>
      </w:r>
    </w:p>
    <w:p>
      <w:pPr>
        <w:ind w:left="120"/>
        <w:spacing w:after="0" w:line="234" w:lineRule="auto"/>
        <w:rPr>
          <w:sz w:val="20"/>
          <w:szCs w:val="20"/>
          <w:color w:val="auto"/>
        </w:rPr>
      </w:pPr>
      <w:r>
        <w:rPr>
          <w:rFonts w:ascii="Arial" w:cs="Arial" w:eastAsia="Arial" w:hAnsi="Arial"/>
          <w:sz w:val="18"/>
          <w:szCs w:val="18"/>
          <w:color w:val="auto"/>
        </w:rPr>
        <w:t>The collaboration also includes milestone payments for achievement of specified development, regulatory and commercial milestones,</w:t>
      </w:r>
    </w:p>
    <w:p>
      <w:pPr>
        <w:ind w:left="120"/>
        <w:spacing w:after="0" w:line="235" w:lineRule="auto"/>
        <w:rPr>
          <w:sz w:val="20"/>
          <w:szCs w:val="20"/>
          <w:color w:val="auto"/>
        </w:rPr>
      </w:pPr>
      <w:r>
        <w:rPr>
          <w:rFonts w:ascii="Arial" w:cs="Arial" w:eastAsia="Arial" w:hAnsi="Arial"/>
          <w:sz w:val="18"/>
          <w:szCs w:val="18"/>
          <w:color w:val="auto"/>
        </w:rPr>
        <w:t>paid on a per-product and per-program basis. The option exercise payments and payments for achievement of development, regulatory</w:t>
      </w:r>
    </w:p>
    <w:p>
      <w:pPr>
        <w:ind w:left="120"/>
        <w:spacing w:after="0" w:line="235" w:lineRule="auto"/>
        <w:rPr>
          <w:sz w:val="20"/>
          <w:szCs w:val="20"/>
          <w:color w:val="auto"/>
        </w:rPr>
      </w:pPr>
      <w:r>
        <w:rPr>
          <w:rFonts w:ascii="Arial" w:cs="Arial" w:eastAsia="Arial" w:hAnsi="Arial"/>
          <w:sz w:val="18"/>
          <w:szCs w:val="18"/>
          <w:color w:val="auto"/>
        </w:rPr>
        <w:t>and commercial milestones under the agreement may total up to $440.0 million, for products in the etigilimab program, including the</w:t>
      </w:r>
    </w:p>
    <w:p>
      <w:pPr>
        <w:ind w:left="120"/>
        <w:spacing w:after="0" w:line="235" w:lineRule="auto"/>
        <w:rPr>
          <w:sz w:val="20"/>
          <w:szCs w:val="20"/>
          <w:color w:val="auto"/>
        </w:rPr>
      </w:pPr>
      <w:r>
        <w:rPr>
          <w:rFonts w:ascii="Arial" w:cs="Arial" w:eastAsia="Arial" w:hAnsi="Arial"/>
          <w:sz w:val="18"/>
          <w:szCs w:val="18"/>
          <w:color w:val="auto"/>
        </w:rPr>
        <w:t>$35.0 million opt-in payment. The Company previously received a $2.5 million milestone payment for the etigilimab program. Accordingly,</w:t>
      </w:r>
    </w:p>
    <w:p>
      <w:pPr>
        <w:ind w:left="120"/>
        <w:spacing w:after="0" w:line="235" w:lineRule="auto"/>
        <w:rPr>
          <w:sz w:val="20"/>
          <w:szCs w:val="20"/>
          <w:color w:val="auto"/>
        </w:rPr>
      </w:pPr>
      <w:r>
        <w:rPr>
          <w:rFonts w:ascii="Arial" w:cs="Arial" w:eastAsia="Arial" w:hAnsi="Arial"/>
          <w:sz w:val="18"/>
          <w:szCs w:val="18"/>
          <w:color w:val="auto"/>
        </w:rPr>
        <w:t>the future potential milestone payments for products in the etigilimab program under the collaboration total up to $437.5 million, including</w:t>
      </w:r>
    </w:p>
    <w:p>
      <w:pPr>
        <w:ind w:left="120"/>
        <w:spacing w:after="0" w:line="234" w:lineRule="auto"/>
        <w:rPr>
          <w:sz w:val="20"/>
          <w:szCs w:val="20"/>
          <w:color w:val="auto"/>
        </w:rPr>
      </w:pPr>
      <w:r>
        <w:rPr>
          <w:rFonts w:ascii="Arial" w:cs="Arial" w:eastAsia="Arial" w:hAnsi="Arial"/>
          <w:sz w:val="18"/>
          <w:szCs w:val="18"/>
          <w:color w:val="auto"/>
        </w:rPr>
        <w:t>the $35.0 million opt-in payment. For the etigilimab program, if the option is exercised and the program is successfully commercialized by</w:t>
      </w:r>
    </w:p>
    <w:p>
      <w:pPr>
        <w:ind w:left="120"/>
        <w:spacing w:after="0" w:line="235" w:lineRule="auto"/>
        <w:rPr>
          <w:sz w:val="20"/>
          <w:szCs w:val="20"/>
          <w:color w:val="auto"/>
        </w:rPr>
      </w:pPr>
      <w:r>
        <w:rPr>
          <w:rFonts w:ascii="Arial" w:cs="Arial" w:eastAsia="Arial" w:hAnsi="Arial"/>
          <w:sz w:val="18"/>
          <w:szCs w:val="18"/>
          <w:color w:val="auto"/>
        </w:rPr>
        <w:t>Celgene, the Company is eligible to receive tiered royalties equal to a percentage of net product sales worldwide in the high-single digits</w:t>
      </w:r>
    </w:p>
    <w:p>
      <w:pPr>
        <w:ind w:left="120"/>
        <w:spacing w:after="0" w:line="235" w:lineRule="auto"/>
        <w:rPr>
          <w:sz w:val="20"/>
          <w:szCs w:val="20"/>
          <w:color w:val="auto"/>
        </w:rPr>
      </w:pPr>
      <w:r>
        <w:rPr>
          <w:rFonts w:ascii="Arial" w:cs="Arial" w:eastAsia="Arial" w:hAnsi="Arial"/>
          <w:sz w:val="18"/>
          <w:szCs w:val="18"/>
          <w:color w:val="auto"/>
        </w:rPr>
        <w:t>to the mid-teens. The Company is not eligible to receive any further research or development milestone payments for etigilimab prior to</w:t>
      </w:r>
    </w:p>
    <w:p>
      <w:pPr>
        <w:ind w:left="120"/>
        <w:spacing w:after="0"/>
        <w:rPr>
          <w:sz w:val="20"/>
          <w:szCs w:val="20"/>
          <w:color w:val="auto"/>
        </w:rPr>
      </w:pPr>
      <w:r>
        <w:rPr>
          <w:rFonts w:ascii="Arial" w:cs="Arial" w:eastAsia="Arial" w:hAnsi="Arial"/>
          <w:sz w:val="18"/>
          <w:szCs w:val="18"/>
          <w:color w:val="auto"/>
        </w:rPr>
        <w:t>Celgene’s decision regarding option exercise with respect to etigilimab.</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collaboration agreement with Celgene will terminate upon the expiration of all of Celgene’s payment obligations under the license agreement entered into with respect to the etigilimab program following Celgene’s exercise of an option for such program, or if Celgene’s option on the etigilimab program expires without Celgene exercising its option. The collaboration agreement may be terminated by either party for the insolvency of, or an uncured material breach of the collaboration agreement by the other party. In addition, Celgene may terminate the collaboration agreement in its entirety or with respect to the etigilimab program, for any reason, upon 120 days’ prior written notice to us and upon 60 days’ prior written notice in the event that Celgene reasonably believes that such termination is necessary in order to comply with any antitrust laws. The Company may also terminate the collaboration agreement with respect to the etigilimab program in the event that Celgene challenges the licensed patents with respect to such program.</w:t>
      </w:r>
    </w:p>
    <w:p>
      <w:pPr>
        <w:spacing w:after="0" w:line="20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Celgene does not exercise its option with respect to the etigilimab program before the option for that program expires, the Company will retain worldwide rights to such program. In addition, under certain termination circumstances, the Company would also have worldwide rights to the etigilimab program.</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collaboration agreement with Celgene previously included the demcizumab, navicixizumab, and rosmantuzumab biologic therapeutic programs. Celgene, however, terminated the collaboration agreement with respect to both demcizumab and navicixizumab, effective January 23, 2019, and terminated the collaboration agreement with respect to rosmantuzumab, effective February 12, 2019. Prior to such terminations, Celgene had options to obtain an exclusive license to develop further and commercialize biologic therapeutics in these programs under the agreement. As a result of these terminations, the Company now has worldwide rights to each of these programs, including navicixizumab. Under certain circumstances, the Company may owe Celgene single-digit percentage royalties on therapeutic products in these programs if we elect to continue to commercialize them and they are successfully commercialized, subject to a cap.</w:t>
      </w:r>
    </w:p>
    <w:p>
      <w:pPr>
        <w:spacing w:after="0" w:line="20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Celgene previously had the right to designate up to two additional biologic therapeutic programs targeting the RSPO-LGR signaling pathway or an undisclosed pathway for inclusion in the collaboration, but this right expired on the fourth anniversary of the date of the collaboration agreement. Celgene also had an additional option, which expired unexercised on the fourth anniversary of the date of the collaboration agreement, that would have permitted Celgene to discover, develop and commercialize small molecule therapeutics directed to targets in an undisclosed pathway under the collaboration.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the terms of the collaboration agreement with Celgene, the Company received an upfront cash payment of $ 155.0 million in December 2013. In addition, Celgene purchased 1,470,588 shares of the Company’s common stock at a price of $15.13 per share, resulting in gross proceeds of $22.2 million. The price paid by Celgene for the common stock represented a premium over the closing price of the Company’s common stock on the date of the collaboration. The Company accounted for the $1.7 million premium as additional consideration under the Agreement and the common stock was recorded at its fair market value of $20.5 million. As of December 31, 2018, the Company is not eligible to receive any milestone payments under its collaboration with Celgene prior to the point that Celgene exercises its remaining option. The Company is eligible to receive up to approximately $35.0 million of contingent consideration if Celgene exercises its options for the etigilimab program. Following Celgene’s exercise of its option for the etigilimab program, Celgene will have exclusive development and commercialization rights worldwide, with the Company eligible to receive milestones and tiered royalties equal to a percentage of net product sales worldwide in the high-single digits to the mid-teens. If Celgene successfully develops and commercializes product candidates in the etigilimab program, the Company could receive additional contingent consideration of up to $402.5 million for the achievement of post-option exercise development, regulatory events and sales milestones.</w:t>
      </w:r>
    </w:p>
    <w:p>
      <w:pPr>
        <w:spacing w:after="0" w:line="20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Company assessed its collaboration agreement with Celgene in accordance with Topic 606 and concluded that Celgene is a customer. The Company determined that its performance obligation under the arrangement with Celgene is research and development services. As part of the promised research and development services, the Company may provide the resultant data to Celgene to assist Celgene in determining whether or not to exercise its options. Under the arrangement, Celgene has options to further develop and commercialize biologic therapeutics in each program under the collaboration, which may be exercised during time periods specified in the agreement. Upon Celgene’s exercise of its option for certain programs, the Company may, at its discretion, gain co-development and co-commercialization rights and corresponding obligations. The Company determined that the exclusive option(s) provided to Celgene is not a material right under Topic 606 and thus it is not a performance obligation. Based on its assessment, the Company has identified the research and development services as the only performance obligation at the inception of the collaboration agreement.</w:t>
      </w:r>
    </w:p>
    <w:p>
      <w:pPr>
        <w:spacing w:after="0" w:line="207"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Prior to recognizing revenue, the Company estimates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Variable consideration includes payments based upon the achievement of specified milestones, and royalty payments based on product sales derived from the collaboration. Under the collaboration agreement, the Company determined that the non-refundable upfront cash payment of $155.0 million and stock premium of $1.7 million received in December 2013 constitute consideration to be included in the transaction price. The Company also included in the transaction price the $70.0 million demcizumab (anti-DLL4, OMP-21M18) safety milestone that was achieved in December 2015 and the two designation milestone payments of</w:t>
      </w:r>
    </w:p>
    <w:p>
      <w:pPr>
        <w:spacing w:after="0" w:line="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$2.5 million each for the designation of rosmantuzumab and etigilimab as clinical candidates in 2014 and 2015, respectively. The total consideration received of $231.7 million constitutes the transaction price at the transition date for Topic 606. Through December 31, 2017, the Company also received a total of $2.5 million in the aggregate from Celgene to reimburse the costs of research and development services performed by the Company; these reimbursements have historically been recorded as other revenue. As the performance of these research and development services was at the Company’s discretion and is not a commitment or performance obligation pursuant to the Celgene collaboration agreement, the reimbursement paid to the Company has been excluded from the transaction price. None of the remaining development and regulatory milestone amounts have been included in the transaction price, as all milestone amounts were fully constrained as of January 1, 2018 and December 31, 2018. As part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20"/>
          </w:cols>
          <w:pgMar w:left="32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of the Company’s evaluation of the constraint, the Company considered numerous factors, including that receipt of the milestone amounts is outside the control of the Company and contingent upon success in future clinical trials. Any consideration related to sales milestones and royalties on net product sales will be recognized at the later of when the related sales occur or the performance obligation to which some or all of the sales milestone or royalty has been allocated is satisfied (in whole or in part) and therefore have also been excluded from the transaction price. The Company will re-evaluate the transaction price in each reporting period and as uncertain events are resolved or other changes in circumstances occur.</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impact of adopting Topic 606 on the accounting treatment of the Company’s collaboration agreement with Celgene primarily relates to the change in the timing of revenue recognition of the transaction price. The Company’s deferred revenue associated with its Celgene collaboration agreement as of December 31, 2017 under Topic 605 was $143.8 million. Upon adoption of Topic 606 as of January 1, 2018, the Company recognized a cumulative catch up adjustment of $98.3 million, which was recorded as a decrease to the opening balance of accumulated deficit, and a corresponding decrease in the deferred revenue balance from the Company’s collaboration with Celgene.</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Following the adoption of Topic 606, the Company recognizes collaboration revenue by measuring the progress toward complete satisfaction of the performance obligation using an input measure. The Company concluded the method that best correlates with progress of the services provided to Celgene is the input method, based on actual costs incurred to date compared to the overall total expected costs to satisfy the performance obligation. The Company will evaluate the estimate of expected costs to satisfy the performance obligation each reporting period and make adjustments for any significant changes. Under Topic 606, collaboration revenue under the Company’s collaboration agreement with Celgene was $44.4 million for the year ended December 31, 2018 and deferred revenue balance was $ 1.1 million as of December 31, 2018. Upon adoption of Topic 606, the Company initially estimated that the performance obligation under the contract would be substantially completed by the third quarter of 2019. At December 31, 2018, the Company evaluated the development program status of the etigilimab program, the only program remaining under the collaboration agreement with Celgene, and determined that the performance obligation will be completed by the first quarter of 2019. The change in the timing of revenue recognition resulted in an increase in revenue and corresponding decreases in net loss of $7.7 million and net loss per common share, basic and diluted, of $0.20 per share for the year ended December 31, 2018.</w:t>
      </w:r>
    </w:p>
    <w:p>
      <w:pPr>
        <w:spacing w:after="0" w:line="20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As of December 31, 2018, the Company was eligible to receive in its collaboration with Celgene up to approximately $35.0 million of contingent consideration if Celgene exercises its options on the etigilimab program. If Celgene successfully develops and commercializes the etigilimab program, the Company could receive additional contingent consideration of up to approximately $402.5 million for the achievement of post-option exercise development, regulatory events and sales milestones. As all contingent consideration is based solely on the performance of Celgene, the Company would recognize the contingent payments upon receipt immediately as collaboration revenue if the Company had no further performance obligations under the agreement with Celgene.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the fourth quarter of 2018, the Company recorded a receivable and a deferred revenue of $2.6 million for the sale of a tumor bank to Celgene. The Company recognized the receivable as of December 31, 2018 because the right to the consideration is considered unconditional. Subsequently, in January 2019, the Company recognized the revenue upon delivery of the tumor bank to Celgene. The sale is not considered a commitment or performance obligation pursuant to the Celgene collaboration agreement, hence is excluded from the collaboration transaction price.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Bayer Strategic Alliance</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June 15, 2010, the Company entered into a Collaboration and Option Agreement with Bayer. The agreement sets forth an alliance to discover, develop and market novel biologic and small molecule therapeutics affecting targets within the Wnt signaling pathway. The Company received an upfront payment of $40.0 million upon execution of the collaboration agreement in 2010 and a $5.0 million milestone payment in 2012. The Company initially recognized the payments as deferred revenue and amortized to revenue on a ratable basis through the second quarter of 2017, as permitted by the legacy revenue recognition guidance.</w:t>
      </w:r>
    </w:p>
    <w:p>
      <w:pPr>
        <w:spacing w:after="0" w:line="202"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Effective June 16, 2017, Bayer terminated all biologic therapeutic programs under the collaboration. The Company is no longer eligible to receive any payments under its collaboration with Bayer with respect to biologic therapeutic candidates.</w:t>
      </w:r>
    </w:p>
    <w:p>
      <w:pPr>
        <w:spacing w:after="0" w:line="19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With respect to the Wnt pathway small molecule program, the Company and Bayer under the collaboration agreement agreed to jointly conduct research to discover potential new small molecule therapeutics targeting the Wnt pathway. Bayer may, within a specified time period, elect to advance such small molecule therapeutics into further development, and obtain an exclusive license to commercialize such therapeutics. Bayer leads discovery, development, and commercialization of such small molecule therapeutics. As of December 31, 2018, the Company remains eligible to receive up to $27.0 million in development milestone payments for each small molecule candidates. If Bayer successfully develops and commercializes small molecule candidates for more than one indication, the Company could receive contingent consideration payments for each small molecule candidate of up to $15.0 million for the achievement of certain regulatory events and up to $70.0 million upon the achievement of specified future product sales. As all such contingent consideration is based solely on the performance of Bayer, the Company would recognize the contingent payments upon receipt immediately as collaboration revenue.</w:t>
      </w:r>
    </w:p>
    <w:p>
      <w:pPr>
        <w:spacing w:after="0" w:line="20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evaluated the agreement under Topic 606, and determined that the small molecule therapeutic program remaining as of December 31, 2017 is immaterial in the context of the collaboration agreement relative to the biologics therapeutic programs that was terminated during 2017. Further, the Company’s performance obligations under the small molecule therapeutic program were substantially complete at December 31, 2017, and any future receipts in the form of milestones or royalties are contingent upon the achievement of specified development, commercial and/or sales targets by Bayer.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GSK Strategic Alliance</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On December 7, 2007, the Company entered into a Collaboration and Option Agreement with GSK. The agreement was formed to discover, develop and market novel antibody therapeutics to target CSCs. The agreement gave GSK the option to obtain an exclusive license for certain product candidates targeting the Notch signaling pathway.</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2007, the Company received an initial payment of $35.0 million, with half in the form of an equity investment by GSK in the Company’s Series B-2 convertible preferred stock and the other half as an up-front cash payment which was initially recorded as deferred revenue. The 1,441,396 shares of Series B-2 convertible preferred stock sold by the Company to GSK were issued at a premium of $4.3 million above the estimated fair value of convertible preferred stock at the time of issuance. This premium was considered an additional up-front payment and was added to the $17.5 million deferred revenue and was amortized to revenue on a ratable basis through the first quarter of 2017, as permitted by the legacy revenue recognition guidance.</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Effective October 28, 2017, GSK terminated the agreement in its entirety. As a result of such termination, the Company is no longer eligible to receive any payments under the collaboration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00"/>
          </w:cols>
          <w:pgMar w:left="320" w:top="459" w:right="4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agreement with GSK and the Company has no remaining performance obligations. As the GSK collaboration was terminated in its entirety on October 28, 2017, this arrangement is outside the scope of Topic 606 as of the adoption date.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Lonza Sales AG Agreement</w:t>
      </w:r>
    </w:p>
    <w:p>
      <w:pPr>
        <w:spacing w:after="0" w:line="12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In August 2012, the Company entered into a multi-product license agreement with Lonza Sales AG (“Lonza”). This agreement relates to the process development and manufacturing of the Company’s biologics portfolio with Lonza. Under the multi-product license agreement, the Company receives licenses to utilize Lonza’s glutamine synthetase gene expression system and related technologies for commercial production of the Company’s product candidates. Under this license agreement, the Company paid an upfront payment of $488,000 which was recorded to research and development expense during 2012 and is obligated to pay Lonza certain payments up to £200,000 (approximately $254,000) per licensed product on achievement of specified milestones, and royalties up to the very low single digits on sales of its licensed products. There has been no further payment made by the Company to Lonza pursuant to the license agreement for the years ended December 31, 2018, 2017 and 2016.</w:t>
      </w:r>
    </w:p>
    <w:p>
      <w:pPr>
        <w:spacing w:after="0" w:line="20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multi-product license agreement shall remain in force on a product by product and country by country basis until expiration of the Company’s obligation to make payments to Lonza with respect to such product in such country. The agreement can otherwise be terminated by the Company for any reason or no reason upon advance written notice to Lonza, or by either the Company or Lonza upon the other party’s material breach of the agreement, or if the other party ceases to carry on business. Lonza may also terminate the licenses granted under the agreement if the Company challenges any of the Lonza patent rights.</w:t>
      </w:r>
    </w:p>
    <w:p>
      <w:pPr>
        <w:spacing w:after="0" w:line="288" w:lineRule="exact"/>
        <w:rPr>
          <w:sz w:val="20"/>
          <w:szCs w:val="20"/>
          <w:color w:val="auto"/>
        </w:rPr>
      </w:pPr>
    </w:p>
    <w:p>
      <w:pPr>
        <w:ind w:left="120" w:right="8920" w:hanging="4"/>
        <w:spacing w:after="0" w:line="381" w:lineRule="auto"/>
        <w:tabs>
          <w:tab w:leader="none" w:pos="42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 Incentive Plans</w:t>
      </w: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2004 Plan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granted options under its 2004 Stock Incentive Plan (the “2004 Plan”) until July 2013 when it was terminated as to future awards, although it continues to govern the terms of options that remain outstanding under the 2004 Plan. The 2004 Plan provided for the award of restricted shares, grants of incentive and nonstatutory stock options, and sales of shares of the Company’s common stock. Awards can be made to employees, outside directors, and consultants of the Company. Stock options granted generally vest over a period of five years from the date of grant, with 20% of the total grant vesting on the first anniversary of the option vesting commencement date and 1/48 of the remaining grant vesting each month thereafter. Restricted stock issuances and early exercise of stock options were subject to the Company’s right of repurchase at the original issuance price, which right lapses over the vesting period of the stock. In connection with the Board of Directors’ and stockholders’ approval of the 2013 Plan, all remaining shares available for future award under the 2004 Plan were transferred to 2013 Plan, and the 2004 Plan was terminated as to future awards.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2013 Plan</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July 2013, the Company’s Board of Directors and stockholders approved the 2013 Equity Incentive Award Plan (the “2013 Plan”). Under the 2013 Plan, the Company initially reserved 500,000 shares of common stock for issuance as of its effective date of July 17, 2013, plus 90,125 shares which were then available for issuance under the Company’s 2004 Plan. The number of shares reserved for issuance under the 2013 Plan will increase by the number of shares represented by awards outstanding under the 2004 Plan that are forfeited or lapse unexercised and which following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July 17, 2013 are not issued under the 2004 Plan. Additionally, on the first day of each calendar year, beginning in 2014 and ending in 2023, the number of shares in the reserve will increase by the least of 1,500,000 shares, 4% of the shares of the Company’s common stock outstanding (on an as-converted basis) on the last day of the immediately preceding fiscal year or such smaller number of shares of stock as determined by the Company’s Board of Directors. The 2013 Plan authorizes discretionary grants of incentive stock options, nonqualified stock options, restricted stock, restricted stock units, performance awards, dividend equivalents, stock payments, deferred stock, deferred stock units, and stock appreciation rights to employees and consultants of the Company, or any of its qualifying affiliates, and to members of the Board of Directors. The exercise price per share subject to each option shall not be less than 100% of the fair value of the common stock on the date of grant. In addition, in the case of incentive stock options granted to a greater than 10% stockholder, such price shall not be less than 110% of the fair value on the date the option is granted. The term of the options shall not be more than 10 years from the grant date, or 5 years from the date an incentive stock option is granted to a greater than 10% stockholder. Stock options granted generally vest over a period of four years from the date of grant, with 25% of the total grant vesting on the first anniversary of the option vesting commencement date and 1/48th of the original grant vesting each month thereafter for stock options granted upon hiring, and with 1/48th of the total grant vesting each month after the option vesting commencement date for any stock options granted after the hiring date.</w:t>
      </w:r>
    </w:p>
    <w:p>
      <w:pPr>
        <w:spacing w:after="0" w:line="21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December 31, 2018, a total of 8,217,239 shares of common stock have been authorized under the 2013 Plan. As of December 31, 2018, a total of 4,140,554 shares are subject to options and restricted stock units (“RSUs”) outstanding under the 2013 Plan. There are 310,453 shares subject to options outstanding under the 2004 Plan as of December 31, 2018, which will become available for issuance under the 2013 Plan to the extent the options are forfeited or lapse unexercised without issuance of such shares under the 2004 Plan. On January 1, 2018, an additional 1,500,000 shares of the Company’s common stock became available for future issuance as a result of the annual increase provision in the 2013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Reserved for Future Issuances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common stock reserved for future issuance: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vMerge w:val="restart"/>
          </w:tcPr>
          <w:p>
            <w:pPr>
              <w:spacing w:after="0"/>
              <w:rPr>
                <w:sz w:val="14"/>
                <w:szCs w:val="14"/>
                <w:color w:val="auto"/>
              </w:rPr>
            </w:pPr>
          </w:p>
        </w:tc>
        <w:tc>
          <w:tcPr>
            <w:tcW w:w="53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63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Outstanding stock options and RSUs</w:t>
            </w:r>
          </w:p>
        </w:tc>
        <w:tc>
          <w:tcPr>
            <w:tcW w:w="5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4,451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Reserved for future equity award grants</w:t>
            </w:r>
          </w:p>
        </w:tc>
        <w:tc>
          <w:tcPr>
            <w:tcW w:w="6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Reserved for future ESPP issuances</w:t>
            </w:r>
          </w:p>
        </w:tc>
        <w:tc>
          <w:tcPr>
            <w:tcW w:w="53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Total common stock reserved for future issuances</w:t>
            </w:r>
          </w:p>
        </w:tc>
        <w:tc>
          <w:tcPr>
            <w:tcW w:w="5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380" w:type="dxa"/>
            <w:vAlign w:val="bottom"/>
            <w:gridSpan w:val="3"/>
          </w:tcPr>
          <w:p>
            <w:pPr>
              <w:ind w:left="680"/>
              <w:spacing w:after="0"/>
              <w:rPr>
                <w:sz w:val="20"/>
                <w:szCs w:val="20"/>
                <w:color w:val="auto"/>
              </w:rPr>
            </w:pPr>
            <w:r>
              <w:rPr>
                <w:rFonts w:ascii="Arial" w:cs="Arial" w:eastAsia="Arial" w:hAnsi="Arial"/>
                <w:sz w:val="18"/>
                <w:szCs w:val="18"/>
                <w:color w:val="auto"/>
              </w:rPr>
              <w:t>F-96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Stock Option Outstanding</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Number of</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Contractual</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2"/>
        </w:trPr>
        <w:tc>
          <w:tcPr>
            <w:tcW w:w="6840" w:type="dxa"/>
            <w:vAlign w:val="bottom"/>
            <w:gridSpan w:val="2"/>
            <w:vMerge w:val="continue"/>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3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Balances at December 31, 2017</w:t>
            </w:r>
          </w:p>
        </w:tc>
        <w:tc>
          <w:tcPr>
            <w:tcW w:w="29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5,217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80"/>
              <w:spacing w:after="0" w:line="189" w:lineRule="exact"/>
              <w:rPr>
                <w:sz w:val="20"/>
                <w:szCs w:val="20"/>
                <w:color w:val="auto"/>
              </w:rPr>
            </w:pPr>
            <w:r>
              <w:rPr>
                <w:rFonts w:ascii="Arial" w:cs="Arial" w:eastAsia="Arial" w:hAnsi="Arial"/>
                <w:sz w:val="18"/>
                <w:szCs w:val="18"/>
                <w:color w:val="auto"/>
                <w:w w:val="93"/>
              </w:rPr>
              <w:t>913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1,744</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3.34</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(2,816)</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8.69</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2018</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4,145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8.96</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tcPr>
          <w:p>
            <w:pPr>
              <w:spacing w:after="0" w:line="196" w:lineRule="exact"/>
              <w:rPr>
                <w:sz w:val="20"/>
                <w:szCs w:val="20"/>
                <w:color w:val="auto"/>
              </w:rPr>
            </w:pPr>
            <w:r>
              <w:rPr>
                <w:rFonts w:ascii="Arial" w:cs="Arial" w:eastAsia="Arial" w:hAnsi="Arial"/>
                <w:sz w:val="18"/>
                <w:szCs w:val="18"/>
                <w:color w:val="auto"/>
              </w:rPr>
              <w:t>Options vested and expected to vest—December 31, 2018</w:t>
            </w:r>
          </w:p>
        </w:tc>
        <w:tc>
          <w:tcPr>
            <w:tcW w:w="10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3,945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8.88</w:t>
            </w: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6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Options exercisable—December 31, 2018</w:t>
            </w:r>
          </w:p>
        </w:tc>
        <w:tc>
          <w:tcPr>
            <w:tcW w:w="10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11.44</w:t>
            </w: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total fair value of options vested were $5.5 million, $7.1 million and $9.2 million for the years ended December 31, 2018, 2017 and 2016, respectively. There were no options exercised during the year ended December 31, 2018. The aggregate intrinsic value of options exercised were $1.4 million and $0.8 million for the years ended December 31, 2017, and 2016, respectively. The stock options outstanding have no intrinsic value as of December 31, 2018.</w:t>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weighted-average grant date estimated fair value of options granted during the years ended December 31, 2018, 2017 and 2016 were $2.32, $3.66 and $8.23 per share,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RSU activity 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Restricted Stock Units Outstanding</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grant date fair value and contractual life)</w:t>
            </w:r>
          </w:p>
        </w:tc>
        <w:tc>
          <w:tcPr>
            <w:tcW w:w="26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2"/>
        </w:trPr>
        <w:tc>
          <w:tcPr>
            <w:tcW w:w="4280" w:type="dxa"/>
            <w:vAlign w:val="bottom"/>
            <w:tcBorders>
              <w:bottom w:val="single" w:sz="8" w:color="auto"/>
            </w:tcBorders>
            <w:vMerge w:val="continue"/>
          </w:tcPr>
          <w:p>
            <w:pPr>
              <w:spacing w:after="0"/>
              <w:rPr>
                <w:sz w:val="15"/>
                <w:szCs w:val="15"/>
                <w:color w:val="auto"/>
              </w:rPr>
            </w:pPr>
          </w:p>
        </w:tc>
        <w:tc>
          <w:tcPr>
            <w:tcW w:w="26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Balances at December 31, 2017</w:t>
            </w:r>
          </w:p>
        </w:tc>
        <w:tc>
          <w:tcPr>
            <w:tcW w:w="26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880</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5.33</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Awarded</w:t>
            </w:r>
          </w:p>
        </w:tc>
        <w:tc>
          <w:tcPr>
            <w:tcW w:w="3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13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2.29</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Released</w:t>
            </w:r>
          </w:p>
        </w:tc>
        <w:tc>
          <w:tcPr>
            <w:tcW w:w="3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13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4.57</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2640" w:type="dxa"/>
            <w:vAlign w:val="bottom"/>
          </w:tcPr>
          <w:p>
            <w:pPr>
              <w:spacing w:after="0"/>
              <w:rPr>
                <w:sz w:val="18"/>
                <w:szCs w:val="18"/>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w:t>
            </w:r>
          </w:p>
        </w:tc>
        <w:tc>
          <w:tcPr>
            <w:tcW w:w="13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5.60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2018</w:t>
            </w:r>
          </w:p>
        </w:tc>
        <w:tc>
          <w:tcPr>
            <w:tcW w:w="264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5.41</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80" w:firstLine="440"/>
        <w:spacing w:after="0" w:line="246" w:lineRule="auto"/>
        <w:rPr>
          <w:sz w:val="20"/>
          <w:szCs w:val="20"/>
          <w:color w:val="auto"/>
        </w:rPr>
      </w:pPr>
      <w:r>
        <w:rPr>
          <w:rFonts w:ascii="Arial" w:cs="Arial" w:eastAsia="Arial" w:hAnsi="Arial"/>
          <w:sz w:val="18"/>
          <w:szCs w:val="18"/>
          <w:color w:val="auto"/>
        </w:rPr>
        <w:t>The total fair value of RSUs vested was $1.8 million, $6.4 million and $2.2 million for the years ended December 31, 2018, 2017 and 2016, respectively. The aggregate intrinsic value of the non-vested RSUs was $0.2 million as of December 31, 2018.</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Company’s Employee Stock Purchase Plan (the “ESPP”) allows eligible employees to purchase shares of the Company’s common stock at a discount through payroll deductions of up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day of the offering period.</w:t>
      </w:r>
    </w:p>
    <w:p>
      <w:pPr>
        <w:spacing w:after="0" w:line="203"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On January 1, 2018, as a result of the annual increase provision in the ESPP plan, an additional 350,000 shares of the Company’s common stock became available for future issuance. As of December 31, 2018, a total of 1,893,620 shares of common stock have been authorized and 1,510,518 shares of common stock are available for future issuance under the Company’s ESPP.</w:t>
      </w:r>
    </w:p>
    <w:p>
      <w:pPr>
        <w:spacing w:after="0" w:line="185" w:lineRule="exact"/>
        <w:rPr>
          <w:sz w:val="20"/>
          <w:szCs w:val="20"/>
          <w:color w:val="auto"/>
        </w:rPr>
      </w:pPr>
    </w:p>
    <w:p>
      <w:pPr>
        <w:ind w:left="120" w:right="340" w:firstLine="440"/>
        <w:spacing w:after="0" w:line="245" w:lineRule="auto"/>
        <w:rPr>
          <w:sz w:val="20"/>
          <w:szCs w:val="20"/>
          <w:color w:val="auto"/>
        </w:rPr>
      </w:pPr>
      <w:r>
        <w:rPr>
          <w:rFonts w:ascii="Arial" w:cs="Arial" w:eastAsia="Arial" w:hAnsi="Arial"/>
          <w:sz w:val="18"/>
          <w:szCs w:val="18"/>
          <w:color w:val="auto"/>
        </w:rPr>
        <w:t xml:space="preserve">In accordance with the terms of the Merger Agreement (see Note 16 </w:t>
      </w:r>
      <w:r>
        <w:rPr>
          <w:rFonts w:ascii="Arial" w:cs="Arial" w:eastAsia="Arial" w:hAnsi="Arial"/>
          <w:sz w:val="18"/>
          <w:szCs w:val="18"/>
          <w:i w:val="1"/>
          <w:iCs w:val="1"/>
          <w:color w:val="auto"/>
        </w:rPr>
        <w:t>Potential Business Combination with Mereo BioPharma</w:t>
      </w:r>
      <w:r>
        <w:rPr>
          <w:rFonts w:ascii="Arial" w:cs="Arial" w:eastAsia="Arial" w:hAnsi="Arial"/>
          <w:sz w:val="18"/>
          <w:szCs w:val="18"/>
          <w:color w:val="auto"/>
        </w:rPr>
        <w:t>), on February 23, 2019, the Board of Directors determined that the offering period ending on February 28, 2019 would be the final offering period under the ESPP and that, contingent upon the consummation of the Merger, the ESPP would terminate immediately prior to the effective time of the Merger.</w:t>
      </w:r>
    </w:p>
    <w:p>
      <w:pPr>
        <w:spacing w:after="0" w:line="1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During the years ended December 31, 2018, 2017 and 2016, employees purchased an aggregate of 45,352 shares, 88,982 shares and 111,633 shares under the Company’s ESPP, respectively, at a weighted-average price per share of $1.97, $7.16 and $8.21, respectively. During the years ended December 31, 2018, 2017 and 2016, the weighted-average fair value per share granted under the Company’s ESPP were $1.54, $3.39 and $5.06,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Employee stock-based compensation expense was calculated based on awards expected to vest and has been reduced for estimated forfeitures. Forfeitures are estimated at the time of grant and revised, if necessary, in subsequent periods if actual forfeitures differ from those estimates.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recognized was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$3,380</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$4,886</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5,892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3,397</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6,842</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As of December 31, 2018, the Company had $4.3 million, $0.8 million and $2,000 of unrecognized compensation expense related to unvested stock options, RSUs and ESPP, respectively, which are expected to be recognized over an estimated weighted-average period of 2.5 years, 1.0 years and 0.2 years,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26"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fair value of stock options granted and purchases under the Company’s ESPP is estimated using the Black-Scholes option pricing model.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40"/>
          </w:cols>
          <w:pgMar w:left="320" w:top="459" w:right="4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stock options granted was estimated as of the grant date using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79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volatility</w:t>
            </w:r>
          </w:p>
        </w:tc>
        <w:tc>
          <w:tcPr>
            <w:tcW w:w="1220" w:type="dxa"/>
            <w:vAlign w:val="bottom"/>
            <w:gridSpan w:val="2"/>
            <w:shd w:val="clear" w:color="auto" w:fill="CCEEFF"/>
          </w:tcPr>
          <w:p>
            <w:pPr>
              <w:jc w:val="right"/>
              <w:ind w:right="588"/>
              <w:spacing w:after="0" w:line="196" w:lineRule="exact"/>
              <w:rPr>
                <w:sz w:val="20"/>
                <w:szCs w:val="20"/>
                <w:color w:val="auto"/>
              </w:rPr>
            </w:pPr>
            <w:r>
              <w:rPr>
                <w:rFonts w:ascii="Arial" w:cs="Arial" w:eastAsia="Arial" w:hAnsi="Arial"/>
                <w:sz w:val="18"/>
                <w:szCs w:val="18"/>
                <w:color w:val="auto"/>
              </w:rPr>
              <w:t>78.1%</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75.8%</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71.9%</w:t>
            </w: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Weighted-average expected term (years)</w:t>
            </w:r>
          </w:p>
        </w:tc>
        <w:tc>
          <w:tcPr>
            <w:tcW w:w="1220" w:type="dxa"/>
            <w:vAlign w:val="bottom"/>
            <w:gridSpan w:val="2"/>
          </w:tcPr>
          <w:p>
            <w:pPr>
              <w:jc w:val="right"/>
              <w:ind w:right="748"/>
              <w:spacing w:after="0" w:line="202" w:lineRule="exact"/>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6.2</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stock purchase rights granted under the Company’s ESPP was estimated using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74"/>
              <w:spacing w:after="0"/>
              <w:rPr>
                <w:sz w:val="20"/>
                <w:szCs w:val="20"/>
                <w:color w:val="auto"/>
              </w:rPr>
            </w:pPr>
            <w:r>
              <w:rPr>
                <w:rFonts w:ascii="Arial" w:cs="Arial" w:eastAsia="Arial" w:hAnsi="Arial"/>
                <w:sz w:val="14"/>
                <w:szCs w:val="14"/>
                <w:b w:val="1"/>
                <w:bCs w:val="1"/>
                <w:color w:val="auto"/>
              </w:rPr>
              <w:t>2016</w:t>
            </w: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volatility</w:t>
            </w:r>
          </w:p>
        </w:tc>
        <w:tc>
          <w:tcPr>
            <w:tcW w:w="15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66.5%–93.7%</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54.0%–93.7%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right="54"/>
              <w:spacing w:after="0" w:line="196" w:lineRule="exact"/>
              <w:rPr>
                <w:sz w:val="20"/>
                <w:szCs w:val="20"/>
                <w:color w:val="auto"/>
              </w:rPr>
            </w:pPr>
            <w:r>
              <w:rPr>
                <w:rFonts w:ascii="Arial" w:cs="Arial" w:eastAsia="Arial" w:hAnsi="Arial"/>
                <w:sz w:val="18"/>
                <w:szCs w:val="18"/>
                <w:color w:val="auto"/>
                <w:w w:val="99"/>
              </w:rPr>
              <w:t>45.4%–104.5%</w:t>
            </w: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Weighted-average expected term (years)</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5"/>
              </w:rPr>
              <w:t>0.5</w:t>
            </w:r>
          </w:p>
        </w:tc>
        <w:tc>
          <w:tcPr>
            <w:tcW w:w="1660" w:type="dxa"/>
            <w:vAlign w:val="bottom"/>
            <w:gridSpan w:val="2"/>
          </w:tcPr>
          <w:p>
            <w:pPr>
              <w:jc w:val="center"/>
              <w:ind w:left="42"/>
              <w:spacing w:after="0" w:line="202"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4"/>
              <w:spacing w:after="0" w:line="202" w:lineRule="exact"/>
              <w:rPr>
                <w:sz w:val="20"/>
                <w:szCs w:val="20"/>
                <w:color w:val="auto"/>
              </w:rPr>
            </w:pPr>
            <w:r>
              <w:rPr>
                <w:rFonts w:ascii="Arial" w:cs="Arial" w:eastAsia="Arial" w:hAnsi="Arial"/>
                <w:sz w:val="18"/>
                <w:szCs w:val="18"/>
                <w:color w:val="auto"/>
              </w:rPr>
              <w:t>0.5</w:t>
            </w: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1.10%–2.28%</w:t>
            </w:r>
          </w:p>
        </w:tc>
        <w:tc>
          <w:tcPr>
            <w:tcW w:w="12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0.47%–1.10%</w:t>
            </w:r>
          </w:p>
        </w:tc>
        <w:tc>
          <w:tcPr>
            <w:tcW w:w="1520" w:type="dxa"/>
            <w:vAlign w:val="bottom"/>
            <w:shd w:val="clear" w:color="auto" w:fill="CCEEFF"/>
          </w:tcPr>
          <w:p>
            <w:pPr>
              <w:jc w:val="center"/>
              <w:ind w:right="74"/>
              <w:spacing w:after="0" w:line="202" w:lineRule="exact"/>
              <w:rPr>
                <w:sz w:val="20"/>
                <w:szCs w:val="20"/>
                <w:color w:val="auto"/>
              </w:rPr>
            </w:pPr>
            <w:r>
              <w:rPr>
                <w:rFonts w:ascii="Arial" w:cs="Arial" w:eastAsia="Arial" w:hAnsi="Arial"/>
                <w:sz w:val="18"/>
                <w:szCs w:val="18"/>
                <w:color w:val="auto"/>
                <w:w w:val="99"/>
              </w:rPr>
              <w:t>0.26%–0.50%</w:t>
            </w: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Volatility</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Since the Company has limited information on the volatility of its common stock due to no significant trading history, the expected stock price volatility was calculated based on a blend of the historical volatilities of the Company’s own stock and of the common stock of comparable publicly traded biopharmaceutical companies over a period equal to the expected term of the stock option grants. The comparable companies were chosen based on their similar size, stage in the life cycle, and financial leverage to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Term</w:t>
      </w:r>
    </w:p>
    <w:p>
      <w:pPr>
        <w:spacing w:after="0" w:line="12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The Company has very limited historical information to develop reasonable expectations about future exercise patterns and post-vesting employment termination behavior for its stock-option grants. As such, the expected term was estimated using the simplified method.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Risk-Free Rate</w:t>
      </w:r>
    </w:p>
    <w:p>
      <w:pPr>
        <w:spacing w:after="0" w:line="122"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The risk-free interest rate assumption is based on the zero-coupon U.S. Treasury instruments on the date of grant with a maturity date consistent with the expected term of the Company’s stock option grants.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Dividend Yield</w:t>
      </w:r>
    </w:p>
    <w:p>
      <w:pPr>
        <w:spacing w:after="0" w:line="122"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To date, the Company has not declared or paid any cash dividends and does not have any plans to do so in the future. Therefore, the Company used an expected dividend yield of zero.</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Issuance under At-the-Market Agreement</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a sales agreement (the “ATM Agreement”) with Cantor Fitzgerald &amp; Co. (“Cantor Fitzgerald”), the Company sold 355,821 and 388,166 shares for the years ended December 31, 2017 and 2016, respectively, at a weighted average price per share of $4.93 and $12.59, respectively. The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40"/>
          </w:cols>
          <w:pgMar w:left="32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Company received net proceeds of $1.7 million and $4.7 million, net of offering costs, for the years ended December 31, 2017 and 2016, respectively. The shares were issued under the Company’s shelf registration statement on Form S-3 (File No. 333-204914) filed with the SEC in June 2015.</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May 2018, the Company filed a new shelf registration statement on Form S-3 (File No. 333-225225) which permits the issuance and sale of up to a maximum aggregate offering price of $ 30.0 million of the Company’s common stock that may be issued and sold under the ATM Agreement with Cantor Fitzgerald in one or more at-the-market offerings. Following the effectiveness of the new shelf registration statement on Form S-3 (File No. 333-225225) in June 2018, no additional securities covered by the prior shelf registration statement on Form S-3 (File No. 333-204914) shall be offered or sold. For the year ended December 31, 2018, the Company has not sold any securities under the new shelf registration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On August 23, 2016, the Company closed the sale of an aggregate of 6,325,000 shares of its common stock, at a public offering price of $10.00 per share. The shares were issued pursuant to a prospectus supplement filed with the SEC on August 17, 2016, and related prospectus, pursuant to the Company’s shelf registration statement on Form S-3 filed on June 12, 2015. The Company received net offering proceeds of approximately $59.2 million, net of underwriting discounts and commissions and offering costs.</w:t>
      </w:r>
    </w:p>
    <w:p>
      <w:pPr>
        <w:spacing w:after="0" w:line="291" w:lineRule="exact"/>
        <w:rPr>
          <w:sz w:val="20"/>
          <w:szCs w:val="20"/>
          <w:color w:val="auto"/>
        </w:rPr>
      </w:pPr>
    </w:p>
    <w:p>
      <w:pPr>
        <w:ind w:left="120" w:right="8780" w:hanging="4"/>
        <w:spacing w:after="0" w:line="394" w:lineRule="auto"/>
        <w:tabs>
          <w:tab w:leader="none" w:pos="4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b w:val="1"/>
          <w:bCs w:val="1"/>
          <w:i w:val="1"/>
          <w:iCs w:val="1"/>
          <w:color w:val="auto"/>
        </w:rPr>
        <w:t>2018 Restructuring</w:t>
      </w:r>
    </w:p>
    <w:p>
      <w:pPr>
        <w:spacing w:after="0" w:line="1" w:lineRule="exact"/>
        <w:rPr>
          <w:sz w:val="20"/>
          <w:szCs w:val="20"/>
          <w:color w:val="auto"/>
        </w:rPr>
      </w:pPr>
    </w:p>
    <w:p>
      <w:pPr>
        <w:jc w:val="both"/>
        <w:ind w:left="120" w:right="140" w:firstLine="440"/>
        <w:spacing w:after="0" w:line="248" w:lineRule="auto"/>
        <w:rPr>
          <w:sz w:val="20"/>
          <w:szCs w:val="20"/>
          <w:color w:val="auto"/>
        </w:rPr>
      </w:pPr>
      <w:r>
        <w:rPr>
          <w:rFonts w:ascii="Arial" w:cs="Arial" w:eastAsia="Arial" w:hAnsi="Arial"/>
          <w:sz w:val="17"/>
          <w:szCs w:val="17"/>
          <w:color w:val="auto"/>
        </w:rPr>
        <w:t>In connection with the proposed Merger, on December 1, 2018, the Company’s Board of Directors approved a restructuring plan to reduce the Company’s workforce by 75%. Under the 2018 restructuring plan, the Company recorded $1.9 million of restructuring charges consisting of one-time severance payments and other employee related costs, and other charges during the fourth quarter of 2018.</w:t>
      </w:r>
    </w:p>
    <w:p>
      <w:pPr>
        <w:spacing w:after="0" w:line="2"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Restructuring charges are included in operating expenses in the statement of operations. The restructuring plan is ongoing and the Company expects to complete the actions associated with the restructuring in the first quarter of 2019.</w:t>
      </w:r>
    </w:p>
    <w:p>
      <w:pPr>
        <w:spacing w:after="0" w:line="197"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The following table provides a summary of restructuring activity during the fourth quarter of 2018 and the related liabilities recorded in the accrued liabilities in the balance sheet. The Company expects to pay out its restructuring liability by the first quarter of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300" w:type="dxa"/>
            <w:vAlign w:val="bottom"/>
            <w:vMerge w:val="restart"/>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Severance and</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Other Costs</w:t>
            </w:r>
          </w:p>
        </w:tc>
        <w:tc>
          <w:tcPr>
            <w:tcW w:w="0" w:type="dxa"/>
            <w:vAlign w:val="bottom"/>
          </w:tcPr>
          <w:p>
            <w:pPr>
              <w:spacing w:after="0"/>
              <w:rPr>
                <w:sz w:val="1"/>
                <w:szCs w:val="1"/>
                <w:color w:val="auto"/>
              </w:rPr>
            </w:pPr>
          </w:p>
        </w:tc>
      </w:tr>
      <w:tr>
        <w:trPr>
          <w:trHeight w:val="189"/>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as of December 31, 2017</w:t>
            </w:r>
          </w:p>
        </w:tc>
        <w:tc>
          <w:tcPr>
            <w:tcW w:w="3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Costs incurred</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cash payments</w:t>
            </w: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Less non-cash settlements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2018</w:t>
            </w:r>
          </w:p>
        </w:tc>
        <w:tc>
          <w:tcPr>
            <w:tcW w:w="3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Restructuring</w:t>
      </w:r>
    </w:p>
    <w:p>
      <w:pPr>
        <w:spacing w:after="0" w:line="126"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On April 24, 2017, the Company’s Board of Directors approved a restructuring plan to reduce operating costs and better align its workforce with the needs of its business following the Company’s announcements that its Phase II “YOSEMITE” clinical trial of demcizumab did not meet its primary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40"/>
          </w:cols>
          <w:pgMar w:left="320" w:top="459" w:right="4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endpoint and would be discontinued, its Phase II “PINNACLE” clinical trial of tarextumab did not meet its endpoints, its partner Bayer had decided not to exercise its option to license vantictumab and ipafricept, and enrollment would be discontinued in the Phase Ib clinical trial of brontictuzumab. The restructuring plan provided for a 48% reduction in the Company’s workforce. Under the 2017 restructuring plan, the Company recorded $2.5 million in restructuring charges consisting of one-time severance payments and other employee related costs, and other charges during the year ended December 31, 2017. Restructuring charges are included in operating expenses in the statement of operations. The Company has substantially completed this plan and paid the restructuring cost at the end of the fourth quarter of 2017. No charges were recorded in the periods after December 31, 2017.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Income Taxes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year ended December 31, 2018, the Company recorded an income tax benefit of $0.4 million in the statement of operations as a result of a lapse of statute of limitations on uncertain tax positions. For the year ended December 31, 2017, the Company recorded an income tax benefit of $1.1 million due to an Alternative Minimum Tax (“AMT”) refundable credit as a result of the Tax Cuts and Jobs Act (“Tax Act”), enacted on December 22, 2017. For the year ended December 31, 2016, the Company recorded an income tax provision of $14,000 due to interest on uncertain tax positions.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income taxes for the years ended December 31, 2018, 2017 and 2016 was from the United States.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income tax provision (benefit)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8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w:t>
            </w:r>
          </w:p>
        </w:tc>
        <w:tc>
          <w:tcPr>
            <w:tcW w:w="3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Federal</w:t>
            </w:r>
          </w:p>
        </w:tc>
        <w:tc>
          <w:tcPr>
            <w:tcW w:w="4460" w:type="dxa"/>
            <w:vAlign w:val="bottom"/>
            <w:gridSpan w:val="4"/>
          </w:tcPr>
          <w:p>
            <w:pPr>
              <w:jc w:val="right"/>
              <w:ind w:right="328"/>
              <w:spacing w:after="0" w:line="202" w:lineRule="exact"/>
              <w:rPr>
                <w:sz w:val="20"/>
                <w:szCs w:val="20"/>
                <w:color w:val="auto"/>
              </w:rPr>
            </w:pPr>
            <w:r>
              <w:rPr>
                <w:rFonts w:ascii="Arial" w:cs="Arial" w:eastAsia="Arial" w:hAnsi="Arial"/>
                <w:sz w:val="18"/>
                <w:szCs w:val="18"/>
                <w:color w:val="auto"/>
              </w:rPr>
              <w:t>$(383)</w:t>
            </w:r>
          </w:p>
        </w:tc>
        <w:tc>
          <w:tcPr>
            <w:tcW w:w="132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$(1,084)</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Borders>
              <w:left w:val="single" w:sz="8" w:color="CCEEFF"/>
            </w:tcBorders>
            <w:shd w:val="clear" w:color="auto" w:fill="CCEEFF"/>
          </w:tcPr>
          <w:p>
            <w:pPr>
              <w:spacing w:after="0"/>
              <w:rPr>
                <w:sz w:val="17"/>
                <w:szCs w:val="17"/>
                <w:color w:val="auto"/>
              </w:rPr>
            </w:pPr>
          </w:p>
        </w:tc>
        <w:tc>
          <w:tcPr>
            <w:tcW w:w="1320" w:type="dxa"/>
            <w:vAlign w:val="bottom"/>
            <w:tcBorders>
              <w:right w:val="single" w:sz="8" w:color="CCEEFF"/>
            </w:tcBorders>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8"/>
                <w:szCs w:val="18"/>
                <w:color w:val="auto"/>
              </w:rPr>
            </w:pPr>
          </w:p>
        </w:tc>
        <w:tc>
          <w:tcPr>
            <w:tcW w:w="920" w:type="dxa"/>
            <w:vAlign w:val="bottom"/>
            <w:gridSpan w:val="3"/>
          </w:tcPr>
          <w:p>
            <w:pPr>
              <w:jc w:val="right"/>
              <w:ind w:right="328"/>
              <w:spacing w:after="0"/>
              <w:rPr>
                <w:sz w:val="20"/>
                <w:szCs w:val="20"/>
                <w:color w:val="auto"/>
              </w:rPr>
            </w:pPr>
            <w:r>
              <w:rPr>
                <w:rFonts w:ascii="Arial" w:cs="Arial" w:eastAsia="Arial" w:hAnsi="Arial"/>
                <w:sz w:val="18"/>
                <w:szCs w:val="18"/>
                <w:color w:val="auto"/>
              </w:rPr>
              <w:t>(382)</w:t>
            </w:r>
          </w:p>
        </w:tc>
        <w:tc>
          <w:tcPr>
            <w:tcW w:w="1320" w:type="dxa"/>
            <w:vAlign w:val="bottom"/>
            <w:gridSpan w:val="4"/>
          </w:tcPr>
          <w:p>
            <w:pPr>
              <w:jc w:val="right"/>
              <w:ind w:right="44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Federal</w:t>
            </w: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4460" w:type="dxa"/>
            <w:vAlign w:val="bottom"/>
            <w:gridSpan w:val="4"/>
            <w:shd w:val="clear" w:color="auto" w:fill="CCEEFF"/>
          </w:tcPr>
          <w:p>
            <w:pPr>
              <w:jc w:val="right"/>
              <w:ind w:right="32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w:t>
            </w:r>
          </w:p>
        </w:tc>
        <w:tc>
          <w:tcPr>
            <w:tcW w:w="1320" w:type="dxa"/>
            <w:vAlign w:val="bottom"/>
            <w:tcBorders>
              <w:right w:val="single" w:sz="8" w:color="CCEEFF"/>
            </w:tcBorders>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(1,083)</w:t>
            </w:r>
          </w:p>
        </w:tc>
        <w:tc>
          <w:tcPr>
            <w:tcW w:w="320" w:type="dxa"/>
            <w:vAlign w:val="bottom"/>
            <w:tcBorders>
              <w:righ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818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gridSpan w:val="6"/>
          </w:tcPr>
          <w:p>
            <w:pPr>
              <w:ind w:left="44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gridSpan w:val="2"/>
          </w:tcPr>
          <w:p>
            <w:pPr>
              <w:spacing w:after="0"/>
              <w:rPr>
                <w:sz w:val="13"/>
                <w:szCs w:val="13"/>
                <w:color w:val="auto"/>
              </w:rPr>
            </w:pP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Tax at statutory federal rate</w:t>
            </w:r>
          </w:p>
        </w:tc>
        <w:tc>
          <w:tcPr>
            <w:tcW w:w="368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50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4460" w:type="dxa"/>
            <w:vAlign w:val="bottom"/>
            <w:gridSpan w:val="4"/>
          </w:tcPr>
          <w:p>
            <w:pPr>
              <w:jc w:val="right"/>
              <w:ind w:right="208"/>
              <w:spacing w:after="0" w:line="202" w:lineRule="exact"/>
              <w:rPr>
                <w:sz w:val="20"/>
                <w:szCs w:val="20"/>
                <w:color w:val="auto"/>
              </w:rPr>
            </w:pPr>
            <w:r>
              <w:rPr>
                <w:rFonts w:ascii="Arial" w:cs="Arial" w:eastAsia="Arial" w:hAnsi="Arial"/>
                <w:sz w:val="18"/>
                <w:szCs w:val="18"/>
                <w:color w:val="auto"/>
              </w:rPr>
              <w:t>9%</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4460" w:type="dxa"/>
            <w:vAlign w:val="bottom"/>
            <w:gridSpan w:val="4"/>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18%</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50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w:t>
            </w:r>
          </w:p>
        </w:tc>
        <w:tc>
          <w:tcPr>
            <w:tcW w:w="4460" w:type="dxa"/>
            <w:vAlign w:val="bottom"/>
            <w:gridSpan w:val="4"/>
          </w:tcPr>
          <w:p>
            <w:pPr>
              <w:jc w:val="right"/>
              <w:ind w:right="148"/>
              <w:spacing w:after="0" w:line="202" w:lineRule="exact"/>
              <w:rPr>
                <w:sz w:val="20"/>
                <w:szCs w:val="20"/>
                <w:color w:val="auto"/>
              </w:rPr>
            </w:pPr>
            <w:r>
              <w:rPr>
                <w:rFonts w:ascii="Arial" w:cs="Arial" w:eastAsia="Arial" w:hAnsi="Arial"/>
                <w:sz w:val="18"/>
                <w:szCs w:val="18"/>
                <w:color w:val="auto"/>
              </w:rPr>
              <w:t>(25)%</w:t>
            </w:r>
          </w:p>
        </w:tc>
        <w:tc>
          <w:tcPr>
            <w:tcW w:w="132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6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4460" w:type="dxa"/>
            <w:vAlign w:val="bottom"/>
            <w:gridSpan w:val="4"/>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5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Transaction costs</w:t>
            </w:r>
          </w:p>
        </w:tc>
        <w:tc>
          <w:tcPr>
            <w:tcW w:w="4460" w:type="dxa"/>
            <w:vAlign w:val="bottom"/>
            <w:gridSpan w:val="4"/>
          </w:tcPr>
          <w:p>
            <w:pPr>
              <w:jc w:val="right"/>
              <w:ind w:right="148"/>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100" w:type="dxa"/>
            <w:vAlign w:val="bottom"/>
            <w:gridSpan w:val="3"/>
          </w:tcPr>
          <w:p>
            <w:pPr>
              <w:jc w:val="center"/>
              <w:ind w:right="6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Impact of corporate rate change on deferred taxes</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4"/>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(129)%</w:t>
            </w:r>
          </w:p>
        </w:tc>
        <w:tc>
          <w:tcPr>
            <w:tcW w:w="320" w:type="dxa"/>
            <w:vAlign w:val="bottom"/>
            <w:tcBorders>
              <w:right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3680" w:type="dxa"/>
            <w:vAlign w:val="bottom"/>
            <w:gridSpan w:val="2"/>
          </w:tcPr>
          <w:p>
            <w:pPr>
              <w:spacing w:after="0"/>
              <w:rPr>
                <w:sz w:val="17"/>
                <w:szCs w:val="17"/>
                <w:color w:val="auto"/>
              </w:rPr>
            </w:pPr>
          </w:p>
        </w:tc>
        <w:tc>
          <w:tcPr>
            <w:tcW w:w="7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3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368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5%</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5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gridSpan w:val="4"/>
          </w:tcPr>
          <w:p>
            <w:pPr>
              <w:jc w:val="right"/>
              <w:ind w:right="3288"/>
              <w:spacing w:after="0"/>
              <w:rPr>
                <w:sz w:val="20"/>
                <w:szCs w:val="20"/>
                <w:color w:val="auto"/>
              </w:rPr>
            </w:pPr>
            <w:r>
              <w:rPr>
                <w:rFonts w:ascii="Arial" w:cs="Arial" w:eastAsia="Arial" w:hAnsi="Arial"/>
                <w:sz w:val="18"/>
                <w:szCs w:val="18"/>
                <w:color w:val="auto"/>
              </w:rPr>
              <w:t>F-101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deferred tax assets as of December 31, 2018 and 2017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7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70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63,011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54,931</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Tax credit carryovers</w:t>
            </w: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65,719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63,406</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30,259</w:t>
            </w: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3,049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Gross deferred tax assets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133,290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152,882</w:t>
            </w:r>
          </w:p>
        </w:tc>
        <w:tc>
          <w:tcPr>
            <w:tcW w:w="0" w:type="dxa"/>
            <w:vAlign w:val="bottom"/>
          </w:tcPr>
          <w:p>
            <w:pPr>
              <w:spacing w:after="0"/>
              <w:rPr>
                <w:sz w:val="1"/>
                <w:szCs w:val="1"/>
                <w:color w:val="auto"/>
              </w:rPr>
            </w:pPr>
          </w:p>
        </w:tc>
      </w:tr>
      <w:tr>
        <w:trPr>
          <w:trHeight w:val="203"/>
        </w:trPr>
        <w:tc>
          <w:tcPr>
            <w:tcW w:w="87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7"/>
                <w:szCs w:val="17"/>
                <w:color w:val="auto"/>
              </w:rPr>
            </w:pP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(133,290)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(152,882)</w:t>
            </w:r>
          </w:p>
        </w:tc>
        <w:tc>
          <w:tcPr>
            <w:tcW w:w="0" w:type="dxa"/>
            <w:vAlign w:val="bottom"/>
          </w:tcPr>
          <w:p>
            <w:pPr>
              <w:spacing w:after="0"/>
              <w:rPr>
                <w:sz w:val="1"/>
                <w:szCs w:val="1"/>
                <w:color w:val="auto"/>
              </w:rPr>
            </w:pPr>
          </w:p>
        </w:tc>
      </w:tr>
      <w:tr>
        <w:trPr>
          <w:trHeight w:val="209"/>
        </w:trPr>
        <w:tc>
          <w:tcPr>
            <w:tcW w:w="87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valuation allowance decreased by $19.6 million and $32.1 million for the years ended December 31, 2018 and 2017, respectively. The tax benefit of deductible temporary differences or carryforwards is recorded as a deferred tax asset to the extent that management assesses the realization is “more likely than not.” Future realization of the tax benefit ultimately depends on the existence of sufficient taxable income within the period available under the tax law. At December 31, 2018 and 2017, the Company has set up valuation allowances against all federal and state deferred tax assets because based on all available evidence, these deferred tax assets are not more likely than not to be realizable.</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December 22, 2017, the Tax Act was signed into law making significant changes to the Internal Revenue Code. Changes included the reduction of the federal corporate income tax rate from 35% to 21% and the repeal of corporate AMT. The Company recorded $1.1 million as income tax benefit in the fourth quarter of 2017, the period in which the legislation was enacted. The company expects a portion of the AMT to be refunded in the following 12 months.</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On December 22, 2017, SEC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The impact of the Act was finalized during the year ended December 31, 2018, and no change was made from the previously reported provisional amount.</w:t>
      </w:r>
    </w:p>
    <w:p>
      <w:pPr>
        <w:spacing w:after="0" w:line="2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At December 31, 2018, the Company had federal net operating loss carryforwards related to the 2018 tax year, amounting to</w:t>
      </w:r>
    </w:p>
    <w:p>
      <w:pPr>
        <w:ind w:left="120" w:right="80"/>
        <w:spacing w:after="0" w:line="237" w:lineRule="auto"/>
        <w:rPr>
          <w:sz w:val="20"/>
          <w:szCs w:val="20"/>
          <w:color w:val="auto"/>
        </w:rPr>
      </w:pPr>
      <w:r>
        <w:rPr>
          <w:rFonts w:ascii="Arial" w:cs="Arial" w:eastAsia="Arial" w:hAnsi="Arial"/>
          <w:sz w:val="18"/>
          <w:szCs w:val="18"/>
          <w:color w:val="auto"/>
        </w:rPr>
        <w:t>$39.1 million which carryforward indefinitely and $228.6 million which begin to expire in 2023. At December 31, 2018, the Company had state net operating loss carryforwards of $97.2 million, which begin to expire in 2028, if not utilized. At December 31, 2018, the Company also had federal and California research and development credit carryforwards aggregating approximately $25.4 million and $19.8 million, respectively. The federal credits will expire in 2025, if not utilized. California research and development credits have no expiration date. At December 31, 2018, the Company also had federal orphan drug credit and AMT carryforwards of approximately $39.3 million and $1.5 million, respectively. The federal orphan drug credits will begin to expire in 2034, if not utilized.</w:t>
      </w:r>
    </w:p>
    <w:p>
      <w:pPr>
        <w:spacing w:after="0" w:line="205" w:lineRule="exact"/>
        <w:rPr>
          <w:sz w:val="20"/>
          <w:szCs w:val="20"/>
          <w:color w:val="auto"/>
        </w:rPr>
      </w:pPr>
    </w:p>
    <w:p>
      <w:pPr>
        <w:jc w:val="both"/>
        <w:ind w:left="120" w:right="500" w:firstLine="440"/>
        <w:spacing w:after="0" w:line="261" w:lineRule="auto"/>
        <w:rPr>
          <w:sz w:val="20"/>
          <w:szCs w:val="20"/>
          <w:color w:val="auto"/>
        </w:rPr>
      </w:pPr>
      <w:r>
        <w:rPr>
          <w:rFonts w:ascii="Arial" w:cs="Arial" w:eastAsia="Arial" w:hAnsi="Arial"/>
          <w:sz w:val="17"/>
          <w:szCs w:val="17"/>
          <w:color w:val="auto"/>
        </w:rPr>
        <w:t>Under Sections 382 and 383 of Internal Revenue Code of 1986, as amended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a cumulative change in our ownership by “5% shareholders” that exceeds 50 percentage points over a rolling three-year period. Similar rules may apply under state tax laws. The Company in the past experienced an ownership change which has impacted its ability to fully realize the benefit of these net operating loss carryforwards. If the Company experiences additional ownership changes as a result of future transactions in its stock, then the Company may be further limited in its ability to use its net operating loss carryforwards and other tax assets to reduce taxes owed on the net taxable income that the Company earns. Any such limitations on the ability to use its net operating loss carryforwards and other tax assets could adversely impact our business, financial condition and operating results.</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recognizes the financial statements effects of a tax position when it is more likely than not, based on technical merits, that the position will be sustained upon examination.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360" w:type="dxa"/>
            <w:vAlign w:val="bottom"/>
            <w:vMerge w:val="restart"/>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360" w:type="dxa"/>
            <w:vAlign w:val="bottom"/>
            <w:vMerge w:val="continue"/>
          </w:tcPr>
          <w:p>
            <w:pPr>
              <w:spacing w:after="0"/>
              <w:rPr>
                <w:sz w:val="14"/>
                <w:szCs w:val="14"/>
                <w:color w:val="auto"/>
              </w:rPr>
            </w:pPr>
          </w:p>
        </w:tc>
        <w:tc>
          <w:tcPr>
            <w:tcW w:w="6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beginning of year</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$16,658</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$14,260</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$10,022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Increase related to current year tax provision</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628</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2,398</w:t>
            </w: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related to prior year tax provision</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Decrease related to prior year tax provision</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16,989</w:t>
            </w: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16,658</w:t>
            </w: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unrecognized tax benefits, if recognized and in absence of full valuation allowance, would impact the income tax provision by</w:t>
      </w:r>
    </w:p>
    <w:p>
      <w:pPr>
        <w:ind w:left="120"/>
        <w:spacing w:after="0" w:line="234" w:lineRule="auto"/>
        <w:rPr>
          <w:sz w:val="20"/>
          <w:szCs w:val="20"/>
          <w:color w:val="auto"/>
        </w:rPr>
      </w:pPr>
      <w:r>
        <w:rPr>
          <w:rFonts w:ascii="Arial" w:cs="Arial" w:eastAsia="Arial" w:hAnsi="Arial"/>
          <w:sz w:val="18"/>
          <w:szCs w:val="18"/>
          <w:color w:val="auto"/>
        </w:rPr>
        <w:t>$16.2 million and $15.9 million as of December 31, 2018 and 2017, respectively. As of December 31, 2018, the Company does not believe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it is reasonably possible that its unrecognized tax benefits would significantly change in the following 12 months.</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has elected to include interest and penalties as a component of tax expense. The Company recorded $15,000 and $14,000 of interest and penalties for the years ended December 31, 2017 and 2016, respectively. The Company recorded an income tax benefit of $86,000 as a result of lapse of statute of limitations for the year ended December 31, 2018. The Company recorded a liability for interest and penalties of $86,000 as of December 31, 2017. There is no liability recorded for interest and penalties as of December 31, 2018.</w:t>
      </w:r>
    </w:p>
    <w:p>
      <w:pPr>
        <w:spacing w:after="0" w:line="202"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Company files federal and state income tax returns in the U.S. and California. Tax years from 2004 forward remain open to examination due to the carryover of net operating losses and other tax attributes.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Net Loss per Common Share</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outstanding common stock equivalents were excluded from the computation of diluted net loss per common share for the periods presented because including them would have been antidilutive: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vMerge w:val="restart"/>
          </w:tcPr>
          <w:p>
            <w:pPr>
              <w:spacing w:after="0"/>
              <w:rPr>
                <w:sz w:val="15"/>
                <w:szCs w:val="15"/>
                <w:color w:val="auto"/>
              </w:rPr>
            </w:pPr>
          </w:p>
        </w:tc>
        <w:tc>
          <w:tcPr>
            <w:tcW w:w="4400" w:type="dxa"/>
            <w:vAlign w:val="bottom"/>
          </w:tcPr>
          <w:p>
            <w:pPr>
              <w:spacing w:after="0"/>
              <w:rPr>
                <w:sz w:val="15"/>
                <w:szCs w:val="15"/>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4400" w:type="dxa"/>
            <w:vAlign w:val="bottom"/>
          </w:tcPr>
          <w:p>
            <w:pPr>
              <w:spacing w:after="0"/>
              <w:rPr>
                <w:sz w:val="14"/>
                <w:szCs w:val="14"/>
                <w:color w:val="auto"/>
              </w:rPr>
            </w:pPr>
          </w:p>
        </w:tc>
        <w:tc>
          <w:tcPr>
            <w:tcW w:w="52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Options to purchase common stock</w:t>
            </w:r>
          </w:p>
        </w:tc>
        <w:tc>
          <w:tcPr>
            <w:tcW w:w="4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4,145</w:t>
            </w: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5,217</w:t>
            </w: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4,325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RSUs</w:t>
            </w:r>
          </w:p>
        </w:tc>
        <w:tc>
          <w:tcPr>
            <w:tcW w:w="44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w:t>
            </w:r>
          </w:p>
        </w:tc>
        <w:tc>
          <w:tcPr>
            <w:tcW w:w="48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880</w:t>
            </w:r>
          </w:p>
        </w:tc>
        <w:tc>
          <w:tcPr>
            <w:tcW w:w="48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4,451</w:t>
            </w:r>
          </w:p>
        </w:tc>
        <w:tc>
          <w:tcPr>
            <w:tcW w:w="10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6,097</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400" w:type="dxa"/>
            <w:vAlign w:val="bottom"/>
            <w:gridSpan w:val="3"/>
          </w:tcPr>
          <w:p>
            <w:pPr>
              <w:jc w:val="right"/>
              <w:ind w:right="3700"/>
              <w:spacing w:after="0"/>
              <w:rPr>
                <w:sz w:val="20"/>
                <w:szCs w:val="20"/>
                <w:color w:val="auto"/>
              </w:rPr>
            </w:pPr>
            <w:r>
              <w:rPr>
                <w:rFonts w:ascii="Arial" w:cs="Arial" w:eastAsia="Arial" w:hAnsi="Arial"/>
                <w:sz w:val="18"/>
                <w:szCs w:val="18"/>
                <w:color w:val="auto"/>
              </w:rPr>
              <w:t>F-103</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quarterly results from operations for the years ended December 31, 2018 and 2017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54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2018 Quarter Ended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June 30</w:t>
            </w:r>
          </w:p>
        </w:tc>
        <w:tc>
          <w:tcPr>
            <w:tcW w:w="13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revenue</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7,849</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6,870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19,518</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10,184</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13,781</w:t>
            </w:r>
          </w:p>
        </w:tc>
        <w:tc>
          <w:tcPr>
            <w:tcW w:w="220" w:type="dxa"/>
            <w:vAlign w:val="bottom"/>
          </w:tcPr>
          <w:p>
            <w:pPr>
              <w:spacing w:after="0"/>
              <w:rPr>
                <w:sz w:val="17"/>
                <w:szCs w:val="17"/>
                <w:color w:val="auto"/>
              </w:rPr>
            </w:pPr>
          </w:p>
        </w:tc>
        <w:tc>
          <w:tcPr>
            <w:tcW w:w="94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11,758</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13,727</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(3,976)</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6,115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(0.15)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540" w:type="dxa"/>
            <w:vAlign w:val="bottom"/>
            <w:vMerge w:val="restart"/>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2017 Quarter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6,213</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6,195</w:t>
            </w:r>
          </w:p>
        </w:tc>
        <w:tc>
          <w:tcPr>
            <w:tcW w:w="3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5,106</w:t>
            </w: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20,640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28,971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21,630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5"/>
              </w:rPr>
              <w:t>(22,608)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(15,225)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(10,692)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(0.61)</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Potential Business Combination with Mereo BioPharma</w:t>
      </w:r>
    </w:p>
    <w:p>
      <w:pPr>
        <w:spacing w:after="0" w:line="12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On December 5, 2018, the Company entered into an Agreement and Plan of Merger and Reorganization (the “Merger Agreement”) with Mereo BioPharma Group plc, a public limited company incorporated under the laws of England and Wales (“Mereo”), Mereo US Holdings Inc., a Delaware corporation and a wholly-owned subsidiary of Mereo (“HoldCo”), and Mereo MergerCo One Inc., a Delaware corporation and an indirect wholly-owned subsidiary of Mereo (“Merger Sub”), pursuant to which, among other matters, and subject to the satisfaction or waiver of the conditions set forth in the Merger Agreement, Merger Sub will merge with and into OncoMed, with OncoMed surviving the merger as a wholly owned subsidiary of HoldCo, and an indirect wholly-owned subsidiary of Mereo (the “Merger”). The respective boards of directors of OncoMed and Mereo have each unanimously approved the Merger Agreement. The parties expect the Merger will be completed in the second quarter of 2019.</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 January 2019, the Company signed an agreement to sublease a specified portion of the Company’s office facility located in Redwood City, California. The sublease has a term of 12 months through the end of 2019. The aggregate sublease proceeds for the term of the lease are approximately $0.8 million.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40"/>
          </w:cols>
          <w:pgMar w:left="320" w:top="459" w:right="4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MEREO BIOPHARMA GROUP PLC</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financial information is comprised of the Unaudited Pro Forma Condensed Combined Statement of Operations for the year ended December 31, 2018 and interim period ended June 30, 2019, after giving effect to the merger of Mereo MergerCo One Inc. and OncoMed Pharmaceuticals, Inc. (“OncoMed”), with OncoMed surviving as a wholly-owned subsidiary of Mereo US Holdings Inc., and as an indirect wholly-owned subsidiary of Mereo BioPharma Group plc (“Mereo”) (the “Merger”) as if it had occurred on January 1, 2018.</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has been prepared using the principles of the acquisition method of accounting in accordance with International Financial Reporting Standards (“IFRS”) as issued by the International Accounting Standards Board (“IASB”), and in particular IFRS 3—Business Combinations (“IFRS 3”), under which the Merger qualifies as the acquisition of OncoMed by us. On the date of the acquisition, April 23, 2019, the identifiable assets and liabilities of OncoMed, were recorded by us at their respective fair values.</w:t>
      </w:r>
    </w:p>
    <w:p>
      <w:pPr>
        <w:spacing w:after="0" w:line="202"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Pro forma adjustments reflected in the Unaudited Pro Forma Condensed Combined Statement of Operations are based on items that are factually supportable and directly attributable to the Merger and which are expected to have a continuing impact on the consolidated entity.</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2018 has been prepared based on (i) our audited consolidated financial statements as of and for the year ended December 31, 2018 and (ii) the audited financial statements of OncoMed as of and for year ended December 31, 2018. The Unaudited Pro Forma Condensed Combined Statement of Operations for the interim period ended June 30, 2019 has been prepared based on (i) our unaudited consolidated interim financial statements as of and for the period ended June 30, 2019 and (ii) financial information received by us relating to OncoMed for the period January 1, 2019 through April 23, 2019.</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consolidated financial statements are prepared in accordance with IFRS as issued by the IASB. The audited financial statements of OncoMed as of and for the year ended December 31, 2018 and financial information received by us relating to OncoMed for the period January 1, 2019 through April 23, 2019 was prepared in accordance with generally accepted accounting principles in the United States (“U.S. GAAP”) and for the purposes of the Unaudited Pro Forma Condensed Combined Statement of Operations, have been converted to IFRS as issued by the IASB on a basis consistent with the accounting policies and presentation adopted by us.</w:t>
      </w:r>
    </w:p>
    <w:p>
      <w:pPr>
        <w:spacing w:after="0" w:line="20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noted above, the Unaudited Pro Forma Condensed Combined Statement of Operations has been prepared using the acquisition method of accounting in accordance with IFRS 3. The accounting for the acquisition is dependent upon certain valuations that are preliminary and subject to change. We will finalize amounts as we obtain the information necessary to complete the measurement processes. Accordingly, the pro forma adjustments are preliminary. Differences between these preliminary estimates and the final acquisition accounting may occur and these differences could be material. The differences, if any, could have a material impact on the accompanying Unaudited Pro Forma Condensed Combined Statement of Operations and our future results of operations and financial position.</w:t>
      </w:r>
    </w:p>
    <w:p>
      <w:pPr>
        <w:spacing w:after="0" w:line="20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Unaudited Pro Forma Condensed Combined Statement of Operations has been prepared by our management in accordance with Securities and Exchange Commission (“SEC”) Regulation S-X Article 11 for illustrative purposes only. The Unaudited Pro Forma Condensed Combined Statement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00"/>
          </w:cols>
          <w:pgMar w:left="320" w:top="459" w:right="47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Operations does not purport to represent what the actual results of our operations would have been had the Merger occurred on the respective dates assumed, nor is it indicative of the future results of the consolidated company. The Unaudited Pro Forma Condensed Combined Statement of Operations for the year ended December 31, 2018 and interim period ended June 30, 2019 do not reflect any cost savings, operating synergies or revenue enhancements that the combined company may achieve as a result of the Merger. The pro forma adjustments reflected in the accompanying Unaudited Pro Forma Condensed Combined Statement of Operations reflect estimates and assumptions made by our management that we believe to be reasonable.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20"/>
          </w:cols>
          <w:pgMar w:left="320" w:top="459" w:right="45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740" w:type="dxa"/>
            <w:vAlign w:val="bottom"/>
          </w:tcPr>
          <w:p>
            <w:pPr>
              <w:spacing w:after="0"/>
              <w:rPr>
                <w:sz w:val="15"/>
                <w:szCs w:val="15"/>
                <w:color w:val="auto"/>
              </w:rPr>
            </w:pPr>
          </w:p>
        </w:tc>
        <w:tc>
          <w:tcPr>
            <w:tcW w:w="2060" w:type="dxa"/>
            <w:vAlign w:val="bottom"/>
            <w:gridSpan w:val="4"/>
          </w:tcPr>
          <w:p>
            <w:pPr>
              <w:ind w:left="520"/>
              <w:spacing w:after="0"/>
              <w:rPr>
                <w:sz w:val="20"/>
                <w:szCs w:val="20"/>
                <w:color w:val="auto"/>
              </w:rPr>
            </w:pPr>
            <w:r>
              <w:rPr>
                <w:rFonts w:ascii="Arial" w:cs="Arial" w:eastAsia="Arial" w:hAnsi="Arial"/>
                <w:sz w:val="14"/>
                <w:szCs w:val="14"/>
                <w:b w:val="1"/>
                <w:bCs w:val="1"/>
                <w:color w:val="auto"/>
              </w:rPr>
              <w:t>information</w:t>
            </w: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Pro form adjustment</w:t>
            </w:r>
          </w:p>
        </w:tc>
        <w:tc>
          <w:tcPr>
            <w:tcW w:w="42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47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IFRS</w:t>
            </w: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condensed</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Reclassification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w:t>
            </w:r>
          </w:p>
        </w:tc>
      </w:tr>
      <w:tr>
        <w:trPr>
          <w:trHeight w:val="175"/>
        </w:trPr>
        <w:tc>
          <w:tcPr>
            <w:tcW w:w="474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Mereo</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OncoMed</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Conversion</w:t>
            </w:r>
          </w:p>
        </w:tc>
        <w:tc>
          <w:tcPr>
            <w:tcW w:w="3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operations</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other revenue</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33,243</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2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33,243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(25,776)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(48,285)</w:t>
            </w:r>
          </w:p>
        </w:tc>
      </w:tr>
      <w:tr>
        <w:trPr>
          <w:trHeight w:val="203"/>
        </w:trPr>
        <w:tc>
          <w:tcPr>
            <w:tcW w:w="4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888</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(13,599)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(23,476)</w:t>
            </w:r>
          </w:p>
        </w:tc>
      </w:tr>
      <w:tr>
        <w:trPr>
          <w:trHeight w:val="203"/>
        </w:trPr>
        <w:tc>
          <w:tcPr>
            <w:tcW w:w="4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888</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Restructuring charges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(1,385)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1,385</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(35,209)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(38,518)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charge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(6,348)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(39,447)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5,277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5,563</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(6,062)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(33,884)</w:t>
            </w:r>
          </w:p>
        </w:tc>
      </w:tr>
      <w:tr>
        <w:trPr>
          <w:trHeight w:val="20"/>
        </w:trPr>
        <w:tc>
          <w:tcPr>
            <w:tcW w:w="4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(0.35)</w:t>
            </w:r>
          </w:p>
        </w:tc>
      </w:tr>
      <w:tr>
        <w:trPr>
          <w:trHeight w:val="180"/>
        </w:trPr>
        <w:tc>
          <w:tcPr>
            <w:tcW w:w="47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Shares used to compute net loss per ordinary share,</w:t>
            </w: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71,144,786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24,783,320</w:t>
            </w:r>
          </w:p>
        </w:tc>
        <w:tc>
          <w:tcPr>
            <w:tcW w:w="4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95,928,106</w:t>
            </w:r>
          </w:p>
        </w:tc>
      </w:tr>
      <w:tr>
        <w:trPr>
          <w:trHeight w:val="364"/>
        </w:trPr>
        <w:tc>
          <w:tcPr>
            <w:tcW w:w="4740" w:type="dxa"/>
            <w:vAlign w:val="bottom"/>
          </w:tcPr>
          <w:p>
            <w:pPr>
              <w:spacing w:after="0"/>
              <w:rPr>
                <w:sz w:val="24"/>
                <w:szCs w:val="24"/>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F-107</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ended June 30, 2019</w:t>
      </w:r>
    </w:p>
    <w:tbl>
      <w:tblPr>
        <w:tblLayout w:type="fixed"/>
        <w:tblInd w:w="120" w:type="dxa"/>
        <w:tblCellMar>
          <w:top w:w="0" w:type="dxa"/>
          <w:left w:w="0" w:type="dxa"/>
          <w:bottom w:w="0" w:type="dxa"/>
          <w:right w:w="0" w:type="dxa"/>
        </w:tblCellMar>
      </w:tblPr>
      <w:tr>
        <w:trPr>
          <w:trHeight w:val="145"/>
        </w:trPr>
        <w:tc>
          <w:tcPr>
            <w:tcW w:w="5020" w:type="dxa"/>
            <w:vAlign w:val="bottom"/>
          </w:tcPr>
          <w:p>
            <w:pPr>
              <w:spacing w:after="0"/>
              <w:rPr>
                <w:sz w:val="12"/>
                <w:szCs w:val="12"/>
                <w:color w:val="auto"/>
              </w:rPr>
            </w:pPr>
          </w:p>
        </w:tc>
        <w:tc>
          <w:tcPr>
            <w:tcW w:w="1880" w:type="dxa"/>
            <w:vAlign w:val="bottom"/>
            <w:gridSpan w:val="4"/>
          </w:tcPr>
          <w:p>
            <w:pPr>
              <w:jc w:val="right"/>
              <w:ind w:right="440"/>
              <w:spacing w:after="0" w:line="145" w:lineRule="exact"/>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information</w:t>
            </w: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Pro form adjustment</w:t>
            </w:r>
          </w:p>
        </w:tc>
        <w:tc>
          <w:tcPr>
            <w:tcW w:w="5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IFRS</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OncoMed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Conversion</w:t>
            </w:r>
          </w:p>
        </w:tc>
        <w:tc>
          <w:tcPr>
            <w:tcW w:w="4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other revenue</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(11,918)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480" w:type="dxa"/>
            <w:vAlign w:val="bottom"/>
          </w:tcPr>
          <w:p>
            <w:pPr>
              <w:ind w:left="120"/>
              <w:spacing w:after="0"/>
              <w:rPr>
                <w:sz w:val="20"/>
                <w:szCs w:val="20"/>
                <w:color w:val="auto"/>
              </w:rPr>
            </w:pPr>
            <w:r>
              <w:rPr>
                <w:rFonts w:ascii="Arial" w:cs="Arial" w:eastAsia="Arial" w:hAnsi="Arial"/>
                <w:sz w:val="18"/>
                <w:szCs w:val="18"/>
                <w:color w:val="auto"/>
              </w:rPr>
              <w:t>B</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(16,434)</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(1,852)</w:t>
            </w:r>
          </w:p>
        </w:tc>
        <w:tc>
          <w:tcPr>
            <w:tcW w:w="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1,852</w:t>
            </w:r>
          </w:p>
        </w:tc>
        <w:tc>
          <w:tcPr>
            <w:tcW w:w="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B</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(9,107)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(7,576)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480" w:type="dxa"/>
            <w:vAlign w:val="bottom"/>
          </w:tcPr>
          <w:p>
            <w:pPr>
              <w:ind w:left="120"/>
              <w:spacing w:after="0"/>
              <w:rPr>
                <w:sz w:val="20"/>
                <w:szCs w:val="20"/>
                <w:color w:val="auto"/>
              </w:rPr>
            </w:pPr>
            <w:r>
              <w:rPr>
                <w:rFonts w:ascii="Arial" w:cs="Arial" w:eastAsia="Arial" w:hAnsi="Arial"/>
                <w:sz w:val="18"/>
                <w:szCs w:val="18"/>
                <w:color w:val="auto"/>
              </w:rPr>
              <w:t>B</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2,645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C</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(10,287)</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(1,852)</w:t>
            </w:r>
          </w:p>
        </w:tc>
        <w:tc>
          <w:tcPr>
            <w:tcW w:w="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3,898</w:t>
            </w:r>
          </w:p>
        </w:tc>
        <w:tc>
          <w:tcPr>
            <w:tcW w:w="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C</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1,852</w:t>
            </w:r>
          </w:p>
        </w:tc>
        <w:tc>
          <w:tcPr>
            <w:tcW w:w="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B</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(21,025)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(8,117)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(23,973)</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Gain on bargain purchase adjustment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3,680</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(3,680)</w:t>
            </w:r>
          </w:p>
        </w:tc>
        <w:tc>
          <w:tcPr>
            <w:tcW w:w="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D</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Finance charge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Finance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Net loss before tax:</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(18,682)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6,567</w:t>
            </w:r>
          </w:p>
        </w:tc>
        <w:tc>
          <w:tcPr>
            <w:tcW w:w="5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(25,556)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2,445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(16,223)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(8,377)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6,567</w:t>
            </w:r>
          </w:p>
        </w:tc>
        <w:tc>
          <w:tcPr>
            <w:tcW w:w="5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(23,111)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187"/>
        </w:trPr>
        <w:tc>
          <w:tcPr>
            <w:tcW w:w="5020" w:type="dxa"/>
            <w:vAlign w:val="bottom"/>
          </w:tcPr>
          <w:p>
            <w:pPr>
              <w:spacing w:after="0" w:line="187" w:lineRule="exact"/>
              <w:rPr>
                <w:sz w:val="20"/>
                <w:szCs w:val="20"/>
                <w:color w:val="auto"/>
              </w:rPr>
            </w:pPr>
            <w:r>
              <w:rPr>
                <w:rFonts w:ascii="Arial" w:cs="Arial" w:eastAsia="Arial" w:hAnsi="Arial"/>
                <w:sz w:val="18"/>
                <w:szCs w:val="18"/>
                <w:b w:val="1"/>
                <w:bCs w:val="1"/>
                <w:color w:val="auto"/>
              </w:rPr>
              <w:t>Shares used to compute net loss per ordinary share,</w:t>
            </w: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0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F-108</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the Unaudited Pro Forma Condensed Combined Statement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are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combined statement of operations for the year ended December 31, 2018 and interim period ended June 30, 2019 give effect to the Merger as if it had occurred on January 1,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OncoMed’s financial information—Currency Adjustment</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Combined Statement of Operations,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Exchange Rate from January 1,</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to December 31, 2018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17"/>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3360" w:type="dxa"/>
            <w:vAlign w:val="bottom"/>
          </w:tcPr>
          <w:p>
            <w:pPr>
              <w:ind w:left="80"/>
              <w:spacing w:after="0"/>
              <w:rPr>
                <w:sz w:val="20"/>
                <w:szCs w:val="20"/>
                <w:color w:val="auto"/>
              </w:rPr>
            </w:pPr>
            <w:r>
              <w:rPr>
                <w:rFonts w:ascii="Arial" w:cs="Arial" w:eastAsia="Arial" w:hAnsi="Arial"/>
                <w:sz w:val="18"/>
                <w:szCs w:val="18"/>
                <w:color w:val="auto"/>
              </w:rPr>
              <w:t>Average Exchange Rate from January 1,</w:t>
            </w:r>
          </w:p>
        </w:tc>
        <w:tc>
          <w:tcPr>
            <w:tcW w:w="3780" w:type="dxa"/>
            <w:vAlign w:val="bottom"/>
          </w:tcPr>
          <w:p>
            <w:pPr>
              <w:ind w:left="20"/>
              <w:spacing w:after="0"/>
              <w:rPr>
                <w:sz w:val="20"/>
                <w:szCs w:val="20"/>
                <w:color w:val="auto"/>
              </w:rPr>
            </w:pPr>
            <w:r>
              <w:rPr>
                <w:rFonts w:ascii="Arial" w:cs="Arial" w:eastAsia="Arial" w:hAnsi="Arial"/>
                <w:sz w:val="18"/>
                <w:szCs w:val="18"/>
                <w:color w:val="auto"/>
              </w:rPr>
              <w:t>2019 to June 30, 2019</w:t>
            </w:r>
          </w:p>
        </w:tc>
        <w:tc>
          <w:tcPr>
            <w:tcW w:w="2160" w:type="dxa"/>
            <w:vAlign w:val="bottom"/>
          </w:tcPr>
          <w:p>
            <w:pPr>
              <w:jc w:val="right"/>
              <w:spacing w:after="0"/>
              <w:rPr>
                <w:sz w:val="20"/>
                <w:szCs w:val="20"/>
                <w:color w:val="auto"/>
              </w:rPr>
            </w:pPr>
            <w:r>
              <w:rPr>
                <w:rFonts w:ascii="Arial" w:cs="Arial" w:eastAsia="Arial" w:hAnsi="Arial"/>
                <w:sz w:val="18"/>
                <w:szCs w:val="18"/>
                <w:color w:val="auto"/>
              </w:rPr>
              <w:t>1.2941</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OncoMed financial information—U.S. GAAP to IFRS Adjustment and Reclassifications</w:t>
      </w:r>
    </w:p>
    <w:p>
      <w:pPr>
        <w:spacing w:after="0" w:line="12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Combined Statement of Operations, certain adjustments have been made to convert the financial information of OncoMed from U.S. GAAP to IFRS as issued by the IASB (“IFRS Reclassification and Conversion Adjustments”).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1, 2019, OncoMed adopted ASC 842 (Leases). The nature and effect from the adoption of ASC 842 (Leases) within the historic financial information of OncoMed, as presented in the Unaudited Pro Forma Condensed Combined Statement of Operations, was a depreciation charge for the right-of-use asset within general and administrative expenditure of £0.4 million and a finance charge on the lease liability of £0.5 million. OncoMed’s lease portfolio is a single-leased premise, for which no IFRS Reclassification and Conversion Adjustment is required under IFRS 16 (Leases).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summary of the pro forma adjustments recognized within the Unaudited Pro Forma Condensed Combined Statement of Operations for the year ended December 31, 2018 and interim period ended June 30, 2019 are presented below, with reference by letter key: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w:t>
            </w:r>
          </w:p>
        </w:tc>
        <w:tc>
          <w:tcPr>
            <w:tcW w:w="5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32"/>
        </w:trPr>
        <w:tc>
          <w:tcPr>
            <w:tcW w:w="680" w:type="dxa"/>
            <w:vAlign w:val="bottom"/>
            <w:vMerge w:val="continue"/>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220" w:type="dxa"/>
            <w:vAlign w:val="bottom"/>
          </w:tcPr>
          <w:p>
            <w:pPr>
              <w:spacing w:after="0"/>
              <w:rPr>
                <w:sz w:val="20"/>
                <w:szCs w:val="20"/>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800"/>
        <w:spacing w:after="0" w:line="237" w:lineRule="auto"/>
        <w:rPr>
          <w:sz w:val="20"/>
          <w:szCs w:val="20"/>
          <w:color w:val="auto"/>
        </w:rPr>
      </w:pPr>
      <w:r>
        <w:rPr>
          <w:rFonts w:ascii="Arial" w:cs="Arial" w:eastAsia="Arial" w:hAnsi="Arial"/>
          <w:sz w:val="18"/>
          <w:szCs w:val="18"/>
          <w:color w:val="auto"/>
        </w:rPr>
        <w:t>OncoMed recorded restructuring costs for the year ended December 31, 2018 as a single line in its statement of operations, however, to align to the functional presentation of Mereo’s statement of operations, an adjustment has been made to reclassify OncoMed’s £1.4 million total expense from “Restructuring charges” to “Research and development expenses” and</w:t>
      </w:r>
    </w:p>
    <w:p>
      <w:pPr>
        <w:spacing w:after="0" w:line="14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br w:type="column"/>
      </w:r>
    </w:p>
    <w:p>
      <w:pPr>
        <w:ind w:right="340"/>
        <w:spacing w:after="0" w:line="257" w:lineRule="auto"/>
        <w:rPr>
          <w:sz w:val="20"/>
          <w:szCs w:val="20"/>
          <w:color w:val="auto"/>
        </w:rPr>
      </w:pPr>
      <w:r>
        <w:rPr>
          <w:rFonts w:ascii="Arial" w:cs="Arial" w:eastAsia="Arial" w:hAnsi="Arial"/>
          <w:sz w:val="17"/>
          <w:szCs w:val="17"/>
          <w:color w:val="auto"/>
        </w:rPr>
        <w:t>For the interim period ended June 30, 2019, OncoMed restructuring costs were presented within “Research and development expenses” and “General and administrative expenses”, with no reclassification adjustment required.</w:t>
      </w:r>
    </w:p>
    <w:p>
      <w:pPr>
        <w:sectPr>
          <w:pgSz w:w="11900" w:h="16838" w:orient="portrait"/>
          <w:cols w:equalWidth="0" w:num="2">
            <w:col w:w="6060" w:space="220"/>
            <w:col w:w="4860"/>
          </w:cols>
          <w:pgMar w:left="320" w:top="459" w:right="439" w:bottom="1440" w:gutter="0" w:footer="0" w:header="0"/>
          <w:type w:val="continuous"/>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16510</wp:posOffset>
            </wp:positionV>
            <wp:extent cx="33515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8" w:lineRule="exact"/>
        <w:rPr>
          <w:sz w:val="20"/>
          <w:szCs w:val="20"/>
          <w:color w:val="auto"/>
        </w:rPr>
      </w:pPr>
    </w:p>
    <w:p>
      <w:pPr>
        <w:ind w:left="800" w:right="640"/>
        <w:spacing w:after="0" w:line="246" w:lineRule="auto"/>
        <w:rPr>
          <w:sz w:val="20"/>
          <w:szCs w:val="20"/>
          <w:color w:val="auto"/>
        </w:rPr>
      </w:pPr>
      <w:r>
        <w:rPr>
          <w:rFonts w:ascii="Arial" w:cs="Arial" w:eastAsia="Arial" w:hAnsi="Arial"/>
          <w:sz w:val="18"/>
          <w:szCs w:val="18"/>
          <w:color w:val="auto"/>
        </w:rPr>
        <w:t>“General and administrative expenses” of £0.7 million and £0.7 million, respectively.</w:t>
      </w:r>
    </w:p>
    <w:p>
      <w:pPr>
        <w:spacing w:after="0" w:line="175" w:lineRule="exact"/>
        <w:rPr>
          <w:sz w:val="20"/>
          <w:szCs w:val="20"/>
          <w:color w:val="auto"/>
        </w:rPr>
      </w:pPr>
    </w:p>
    <w:p>
      <w:pPr>
        <w:ind w:left="800" w:hanging="684"/>
        <w:spacing w:after="0"/>
        <w:tabs>
          <w:tab w:leader="none" w:pos="8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awards</w:t>
      </w:r>
    </w:p>
    <w:p>
      <w:pPr>
        <w:spacing w:after="0" w:line="139" w:lineRule="exact"/>
        <w:rPr>
          <w:rFonts w:ascii="Arial" w:cs="Arial" w:eastAsia="Arial" w:hAnsi="Arial"/>
          <w:sz w:val="18"/>
          <w:szCs w:val="18"/>
          <w:b w:val="1"/>
          <w:bCs w:val="1"/>
          <w:color w:val="auto"/>
        </w:rPr>
      </w:pPr>
    </w:p>
    <w:p>
      <w:pPr>
        <w:ind w:left="80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OncoMed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as issued by the IASB requires that compensation expense be recorded to reflect the vesting as it occurs for each tranche/instalment within the grant over the vesting period of that tranche/instalment. As a result, and due to the number of cancellations and forfeitures of the share-based payment awards during the year ended December 31, 2018 for which expense was reversed, the amount of expense recorded under IFRS as issued by the IASB is lower.</w:t>
      </w:r>
    </w:p>
    <w:p>
      <w:pPr>
        <w:spacing w:after="0" w:line="108" w:lineRule="exact"/>
        <w:rPr>
          <w:rFonts w:ascii="Arial" w:cs="Arial" w:eastAsia="Arial" w:hAnsi="Arial"/>
          <w:sz w:val="18"/>
          <w:szCs w:val="18"/>
          <w:b w:val="1"/>
          <w:bCs w:val="1"/>
          <w:color w:val="auto"/>
        </w:rPr>
      </w:pPr>
    </w:p>
    <w:p>
      <w:pPr>
        <w:ind w:left="800" w:right="3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Accordingly, a reduction of £0.9 million of expense has been reflected in “Research and development expenses” and a reduction of £0.9 million of expense has been reflected in “General and administrative expenses” in the Unaudited Pro Forma Condensed Combined Statement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7721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awards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Immediately prior to the closing of the Merger with OncoMed on April 23, 2019, all share-based payment awards were cancelled. The cancellation was a result of the Merger and was only effected because the Merger occurred. Therefore, the impact of the cancellation is directly attributable to the Merger and is deemed non-recurring. IFRS Reclassification and Conversion Adjustments therefore include:</w:t>
      </w:r>
    </w:p>
    <w:p>
      <w:pPr>
        <w:spacing w:after="0" w:line="108" w:lineRule="exact"/>
        <w:rPr>
          <w:sz w:val="20"/>
          <w:szCs w:val="20"/>
          <w:color w:val="auto"/>
        </w:rPr>
      </w:pPr>
    </w:p>
    <w:p>
      <w:pPr>
        <w:ind w:left="360" w:hanging="265"/>
        <w:spacing w:after="0" w:line="237" w:lineRule="auto"/>
        <w:tabs>
          <w:tab w:leader="none" w:pos="3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 amount of £1.4 million recognized (£0.7 million within “Research and development expenses” and the remaining £0.7 million within “General and administrative expenses”) relating to a share-based payment charge under IFRS 2 for the period within the interim period ended June 30, 2019 prior to the cancellation date on April 23, 2019; and</w:t>
      </w:r>
    </w:p>
    <w:p>
      <w:pPr>
        <w:spacing w:after="0" w:line="108" w:lineRule="exact"/>
        <w:rPr>
          <w:rFonts w:ascii="Arial" w:cs="Arial" w:eastAsia="Arial" w:hAnsi="Arial"/>
          <w:sz w:val="18"/>
          <w:szCs w:val="18"/>
          <w:color w:val="auto"/>
        </w:rPr>
      </w:pPr>
    </w:p>
    <w:p>
      <w:pPr>
        <w:ind w:left="360" w:right="40" w:hanging="265"/>
        <w:spacing w:after="0" w:line="237" w:lineRule="auto"/>
        <w:tabs>
          <w:tab w:leader="none" w:pos="3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 amount of £3.7 million recognized (£1.85 million within “Research and development expenses” and the remaining £1.85 million within “General and administrative expenses”) relating to the cancellation of the share-based payment awards on April 23, 2019 and the resultant acceleration charge from the immediate vesting required under IFRS 2.</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£3.7 million recognized relating to the cancellation of the share-based payment awards on April 23, 2019 is a non-recurring charge that is directly attributable to the Merger. Therefore, the charge is an adjusting item within the Unaudited Pro Forma Condensed Combined Statement of Operations for the interim period ended June 30, 2019. of Operations as the charge is non-recurring and directly attributable to the Merger.</w:t>
      </w:r>
    </w:p>
    <w:p>
      <w:pPr>
        <w:sectPr>
          <w:pgSz w:w="11900" w:h="16838" w:orient="portrait"/>
          <w:cols w:equalWidth="0" w:num="2">
            <w:col w:w="6040" w:space="240"/>
            <w:col w:w="4840"/>
          </w:cols>
          <w:pgMar w:left="320" w:top="459" w:right="4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5" w:lineRule="exact"/>
        <w:rPr>
          <w:sz w:val="20"/>
          <w:szCs w:val="20"/>
          <w:color w:val="auto"/>
        </w:rPr>
      </w:pPr>
    </w:p>
    <w:p>
      <w:pPr>
        <w:ind w:left="800" w:hanging="684"/>
        <w:spacing w:after="0"/>
        <w:tabs>
          <w:tab w:leader="none" w:pos="8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130" w:lineRule="exact"/>
        <w:rPr>
          <w:rFonts w:ascii="Arial" w:cs="Arial" w:eastAsia="Arial" w:hAnsi="Arial"/>
          <w:sz w:val="18"/>
          <w:szCs w:val="18"/>
          <w:b w:val="1"/>
          <w:bCs w:val="1"/>
          <w:color w:val="auto"/>
        </w:rPr>
      </w:pPr>
    </w:p>
    <w:p>
      <w:pPr>
        <w:ind w:left="8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£2.4 million has been eliminated from “General and administrative expenses” within the Unaudited Pro Forma Condensed Combined Statement of Operations for the year ended December 31, 2018 which represents non-recurring transactions costs incurred in relation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-864870</wp:posOffset>
            </wp:positionV>
            <wp:extent cx="335153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76" w:lineRule="exact"/>
        <w:rPr>
          <w:sz w:val="20"/>
          <w:szCs w:val="20"/>
          <w:color w:val="auto"/>
        </w:rPr>
      </w:pPr>
    </w:p>
    <w:p>
      <w:pPr>
        <w:ind w:left="800" w:hanging="684"/>
        <w:spacing w:after="0"/>
        <w:tabs>
          <w:tab w:leader="none" w:pos="8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Gain on bargain purchase</w:t>
      </w:r>
    </w:p>
    <w:p>
      <w:pPr>
        <w:spacing w:after="0" w:line="139" w:lineRule="exact"/>
        <w:rPr>
          <w:rFonts w:ascii="Arial" w:cs="Arial" w:eastAsia="Arial" w:hAnsi="Arial"/>
          <w:sz w:val="18"/>
          <w:szCs w:val="18"/>
          <w:b w:val="1"/>
          <w:bCs w:val="1"/>
          <w:color w:val="auto"/>
        </w:rPr>
      </w:pPr>
    </w:p>
    <w:p>
      <w:pPr>
        <w:ind w:left="800" w:right="4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Not recognized in the year ended December 31, 2018 as the transaction closed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0" w:hanging="684"/>
        <w:spacing w:after="0"/>
        <w:tabs>
          <w:tab w:leader="none" w:pos="8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shares</w:t>
      </w:r>
    </w:p>
    <w:p>
      <w:pPr>
        <w:spacing w:after="0" w:line="139" w:lineRule="exact"/>
        <w:rPr>
          <w:rFonts w:ascii="Arial" w:cs="Arial" w:eastAsia="Arial" w:hAnsi="Arial"/>
          <w:sz w:val="18"/>
          <w:szCs w:val="18"/>
          <w:b w:val="1"/>
          <w:bCs w:val="1"/>
          <w:color w:val="auto"/>
        </w:rPr>
      </w:pPr>
    </w:p>
    <w:p>
      <w:pPr>
        <w:ind w:left="800" w:right="260"/>
        <w:spacing w:after="0"/>
        <w:rPr>
          <w:rFonts w:ascii="Arial" w:cs="Arial" w:eastAsia="Arial" w:hAnsi="Arial"/>
          <w:sz w:val="18"/>
          <w:szCs w:val="18"/>
          <w:b w:val="1"/>
          <w:bCs w:val="1"/>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108" w:lineRule="exact"/>
        <w:rPr>
          <w:rFonts w:ascii="Arial" w:cs="Arial" w:eastAsia="Arial" w:hAnsi="Arial"/>
          <w:sz w:val="18"/>
          <w:szCs w:val="18"/>
          <w:b w:val="1"/>
          <w:bCs w:val="1"/>
          <w:color w:val="auto"/>
        </w:rPr>
      </w:pPr>
    </w:p>
    <w:p>
      <w:pPr>
        <w:jc w:val="both"/>
        <w:ind w:left="80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2018).</w:t>
      </w:r>
    </w:p>
    <w:p>
      <w:pPr>
        <w:spacing w:after="0" w:line="3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7721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£6.5 million has been eliminated from “General and administrative expenses” within the Unaudited Pro Forma Condensed Combined Statement of Operations for the interim period ended June 30, 2019 which represents non-recurring transactions costs incurred in relation to the Merger.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bargain purchase</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the closing of the Merger of OncoMed, a gain on bargain purchase of £3.7 million was recognized. As this is a non-recurring gain that is directly attributable to the Merger, the gain is an adjusting item within the Pro Forma Condensed Combined Statement of Operations for the interim period ended June 30,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shares</w:t>
      </w:r>
    </w:p>
    <w:p>
      <w:pPr>
        <w:spacing w:after="0" w:line="13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2019).</w:t>
      </w:r>
    </w:p>
    <w:p>
      <w:pPr>
        <w:sectPr>
          <w:pgSz w:w="11900" w:h="16838" w:orient="portrait"/>
          <w:cols w:equalWidth="0" w:num="2">
            <w:col w:w="6040" w:space="240"/>
            <w:col w:w="4820"/>
          </w:cols>
          <w:pgMar w:left="320" w:top="459" w:right="47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17,902,082 American Depositary Shares</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2602865</wp:posOffset>
            </wp:positionV>
            <wp:extent cx="6995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656590</wp:posOffset>
            </wp:positionV>
            <wp:extent cx="2468880" cy="8997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PRELIMINARY</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1764030</wp:posOffset>
            </wp:positionV>
            <wp:extent cx="18173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8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 the three years preceding the filing of this registration statement, the Company has issued the following securities that were not registered under the Securities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61" w:lineRule="exact"/>
        <w:rPr>
          <w:sz w:val="20"/>
          <w:szCs w:val="20"/>
          <w:color w:val="auto"/>
        </w:rPr>
      </w:pPr>
    </w:p>
    <w:p>
      <w:pPr>
        <w:ind w:left="980" w:right="24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80" w:right="62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Novartis Notes (as defined below).</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1, 2018, the registrant issued 50,076 ordinary shares of nominal value £0.003 each to new and existing investors for aggregate consideration of £150,228.</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23, 2018, the registrant issued 10,000 ordinary shares of nominal value £0.003 each to certain former employees of the registrant upon the exercise of share options.</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20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public offering dated June 1, 2018, the registrant issued and allotted 50,076 ordinary shares of £0.003 in nominal value each on June 1, 2018 at a price of £3.00 per share to investors. Gross cash received was £150,228.</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6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3, 2018, the registrant issued and allotted 10,000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22, 2018, the registrant issued and allotted 85,222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21, 2019, the registrant issued 1,936,030 ordinary shares of £0.003 in nominal value each upon the conversion of £2.4 million of Novartis Notes.</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warrants to purchase 1,449,614 ordinary shares of £0.003 in nominal value each to existing investors in connection with the New Novartis Notes.</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14,295,520 ordinary shares (equivalent to 2,859,104 ADSs) of £0.003 in nominal value each to the selling shareholder for $3.0 million.</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2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19, 2020, the registrant issued 12,252,715 ordinary shares (equivalent to 2,450,543 ADSs) of £0.003 in nominal value each to Boxer Capital, LLC.</w:t>
      </w:r>
    </w:p>
    <w:p>
      <w:pPr>
        <w:spacing w:after="0" w:line="203"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No underwriters were used in the foregoing transactions. The sales of securities described above were made in reliance upon the exemptions from registration provided by Regulation S under the Securities Act, Rule 144A under the Securities Act (before the Registrant’s ADSs became listed on Nasdaq) and/or Section 4(a)(2) of the Securities Act (including Regulation D promulgated thereunder). All of the foregoing securities are deemed restricted securities for the purposes of the Securities Act.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 and Exercises of Options and Restricted Share Awards</w:t>
      </w:r>
    </w:p>
    <w:p>
      <w:pPr>
        <w:spacing w:after="0" w:line="99"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On April 26, 2018, the Company granted 100,817 options under the Deferred Bonus Share Plan to certain directors and certain other persons discharging managerial responsibility. The weighted average fair value of options granted was £3.23. The exercise price is £nil.</w:t>
      </w:r>
    </w:p>
    <w:p>
      <w:pPr>
        <w:spacing w:after="0" w:line="17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May 2, 2018, the Company granted 303,000 options to certain employees under the Mereo BioPharma Group plc Share Option Plan. The weighted average fair value of options granted was £2.38. The exercise price is £3.25.</w:t>
      </w:r>
    </w:p>
    <w:p>
      <w:pPr>
        <w:spacing w:after="0" w:line="197" w:lineRule="exact"/>
        <w:rPr>
          <w:sz w:val="20"/>
          <w:szCs w:val="20"/>
          <w:color w:val="auto"/>
        </w:rPr>
      </w:pPr>
    </w:p>
    <w:p>
      <w:pPr>
        <w:ind w:left="120" w:right="340" w:firstLine="440"/>
        <w:spacing w:after="0" w:line="261" w:lineRule="auto"/>
        <w:rPr>
          <w:sz w:val="20"/>
          <w:szCs w:val="20"/>
          <w:color w:val="auto"/>
        </w:rPr>
      </w:pPr>
      <w:r>
        <w:rPr>
          <w:rFonts w:ascii="Arial" w:cs="Arial" w:eastAsia="Arial" w:hAnsi="Arial"/>
          <w:sz w:val="17"/>
          <w:szCs w:val="17"/>
          <w:color w:val="auto"/>
        </w:rPr>
        <w:t>The issuances of the securities described above were deemed to be exempt from registration pursuant to Section 4(a)(2) of the Securities Act or Rule 701 promulgated under the Securities Act as transactions pursuant to compensatory benefit plans. The ordinary shares and ADSs issued upon the exercise of options are deemed to be restricted securities for purposes of the Securities Act.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April 6, 2017, Novartis delivered to the Company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the Company issued 588,532 ordinary shares to Novartis.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June 6, 2019, Novartis delivered to the Company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the Company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February 10, 2020, the Company entered into a convertible loan note instrument relating to the issue of 3,841,479 New Novartis Notes to Novartis. The New Novartis Notes are convertible at any time at a fixed price of £0.265 per ordinary share.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99"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registrant has issued the following warrants under the Original Loan Agreement and the New Loan Agreement (each as defined in this registration statement) to Silicon Valley Bank or Kreos Capital V (UK) Limited, as the case may be.</w:t>
      </w:r>
    </w:p>
    <w:p>
      <w:pPr>
        <w:spacing w:after="0" w:line="188" w:lineRule="exact"/>
        <w:rPr>
          <w:sz w:val="20"/>
          <w:szCs w:val="20"/>
          <w:color w:val="auto"/>
        </w:rPr>
      </w:pPr>
    </w:p>
    <w:p>
      <w:pPr>
        <w:ind w:left="980" w:hanging="432"/>
        <w:spacing w:after="0"/>
        <w:tabs>
          <w:tab w:leader="none" w:pos="980" w:val="left"/>
        </w:tabs>
        <w:numPr>
          <w:ilvl w:val="0"/>
          <w:numId w:val="20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21, 2017, the registrant issued warrants to purchase 363,156 ordinary shares at an exercise price of £3.029 each.</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20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1, 2018, the registrant issued warrants to purchase 225,974 ordinary shares at an exercise price of £2.31 each.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May 7, 2019, the registrant issued warrants to purchase 321,444 ordinary shares at an exercise price of £2.95 each.</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In addition, on October 8, 2018, the registrant issued warrants to purchase 41,286 ordinary shares at an exercise price of £0.03 each to The Alpha-1 Project, Inc. in connection with the funding agreement entered into with such entity.</w:t>
      </w:r>
    </w:p>
    <w:p>
      <w:pPr>
        <w:spacing w:after="0" w:line="197"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on February 10, 2020, the Company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120" w:firstLine="436"/>
        <w:spacing w:after="0" w:line="271" w:lineRule="auto"/>
        <w:tabs>
          <w:tab w:leader="none" w:pos="83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120" w:firstLine="436"/>
        <w:spacing w:after="0" w:line="271" w:lineRule="auto"/>
        <w:tabs>
          <w:tab w:leader="none" w:pos="83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80" w:hanging="432"/>
        <w:spacing w:after="0"/>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36" w:lineRule="exact"/>
        <w:rPr>
          <w:rFonts w:ascii="Arial" w:cs="Arial" w:eastAsia="Arial" w:hAnsi="Arial"/>
          <w:sz w:val="18"/>
          <w:szCs w:val="18"/>
          <w:color w:val="auto"/>
        </w:rPr>
      </w:pPr>
    </w:p>
    <w:p>
      <w:pPr>
        <w:ind w:left="1860" w:right="300" w:hanging="435"/>
        <w:spacing w:after="0" w:line="253" w:lineRule="auto"/>
        <w:tabs>
          <w:tab w:leader="none" w:pos="1860" w:val="left"/>
        </w:tabs>
        <w:numPr>
          <w:ilvl w:val="2"/>
          <w:numId w:val="21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880" w:right="80"/>
        <w:spacing w:after="0" w:line="273" w:lineRule="auto"/>
        <w:rPr>
          <w:sz w:val="20"/>
          <w:szCs w:val="20"/>
          <w:color w:val="auto"/>
        </w:rPr>
      </w:pPr>
      <w:r>
        <w:rPr>
          <w:rFonts w:ascii="Arial" w:cs="Arial" w:eastAsia="Arial" w:hAnsi="Arial"/>
          <w:sz w:val="17"/>
          <w:szCs w:val="17"/>
          <w:color w:val="auto"/>
        </w:rPr>
        <w:t>chapter) if, in the aggregate, the changes in volume and price represent no more than 20% change in the maximum aggregate offering price set forth in the “Calculation of Registration Fee” table in the effective registration statement.</w:t>
      </w:r>
    </w:p>
    <w:p>
      <w:pPr>
        <w:spacing w:after="0" w:line="1" w:lineRule="exact"/>
        <w:rPr>
          <w:sz w:val="20"/>
          <w:szCs w:val="20"/>
          <w:color w:val="auto"/>
        </w:rPr>
      </w:pPr>
    </w:p>
    <w:p>
      <w:pPr>
        <w:ind w:left="1860" w:right="100" w:hanging="435"/>
        <w:spacing w:after="0" w:line="246" w:lineRule="auto"/>
        <w:tabs>
          <w:tab w:leader="none" w:pos="18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rFonts w:ascii="Arial" w:cs="Arial" w:eastAsia="Arial" w:hAnsi="Arial"/>
          <w:sz w:val="18"/>
          <w:szCs w:val="18"/>
          <w:color w:val="auto"/>
        </w:rPr>
      </w:pPr>
    </w:p>
    <w:p>
      <w:pPr>
        <w:ind w:left="1860" w:right="60"/>
        <w:spacing w:after="0" w:line="238"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7" w:lineRule="exact"/>
        <w:rPr>
          <w:rFonts w:ascii="Arial" w:cs="Arial" w:eastAsia="Arial" w:hAnsi="Arial"/>
          <w:sz w:val="18"/>
          <w:szCs w:val="18"/>
          <w:color w:val="auto"/>
        </w:rPr>
      </w:pPr>
    </w:p>
    <w:p>
      <w:pPr>
        <w:ind w:left="1420" w:right="280" w:hanging="427"/>
        <w:spacing w:after="0"/>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 w:lineRule="exact"/>
        <w:rPr>
          <w:rFonts w:ascii="Arial" w:cs="Arial" w:eastAsia="Arial" w:hAnsi="Arial"/>
          <w:sz w:val="18"/>
          <w:szCs w:val="18"/>
          <w:color w:val="auto"/>
        </w:rPr>
      </w:pPr>
    </w:p>
    <w:p>
      <w:pPr>
        <w:ind w:left="1420" w:right="40" w:hanging="427"/>
        <w:spacing w:after="0" w:line="23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9" w:lineRule="exact"/>
        <w:rPr>
          <w:rFonts w:ascii="Arial" w:cs="Arial" w:eastAsia="Arial" w:hAnsi="Arial"/>
          <w:sz w:val="18"/>
          <w:szCs w:val="18"/>
          <w:color w:val="auto"/>
        </w:rPr>
      </w:pPr>
    </w:p>
    <w:p>
      <w:pPr>
        <w:ind w:left="1420" w:hanging="427"/>
        <w:spacing w:after="0"/>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 w:lineRule="exact"/>
        <w:rPr>
          <w:rFonts w:ascii="Arial" w:cs="Arial" w:eastAsia="Arial" w:hAnsi="Arial"/>
          <w:sz w:val="18"/>
          <w:szCs w:val="18"/>
          <w:color w:val="auto"/>
        </w:rPr>
      </w:pPr>
    </w:p>
    <w:p>
      <w:pPr>
        <w:ind w:left="2300" w:hanging="429"/>
        <w:spacing w:after="0" w:line="236" w:lineRule="auto"/>
        <w:tabs>
          <w:tab w:leader="none" w:pos="230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600"/>
        <w:spacing w:after="0" w:line="246"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effective date; or</w:t>
      </w:r>
    </w:p>
    <w:p>
      <w:pPr>
        <w:spacing w:after="0" w:line="21" w:lineRule="exact"/>
        <w:rPr>
          <w:sz w:val="20"/>
          <w:szCs w:val="20"/>
          <w:color w:val="auto"/>
        </w:rPr>
      </w:pPr>
    </w:p>
    <w:p>
      <w:pPr>
        <w:ind w:left="1860" w:right="20" w:hanging="435"/>
        <w:spacing w:after="0" w:line="236" w:lineRule="auto"/>
        <w:tabs>
          <w:tab w:leader="none" w:pos="186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21"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 w:lineRule="exact"/>
        <w:rPr>
          <w:rFonts w:ascii="Arial" w:cs="Arial" w:eastAsia="Arial" w:hAnsi="Arial"/>
          <w:sz w:val="18"/>
          <w:szCs w:val="18"/>
          <w:color w:val="auto"/>
        </w:rPr>
      </w:pPr>
    </w:p>
    <w:p>
      <w:pPr>
        <w:ind w:left="1860" w:hanging="435"/>
        <w:spacing w:after="0"/>
        <w:tabs>
          <w:tab w:leader="none" w:pos="18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7" w:lineRule="auto"/>
        <w:tabs>
          <w:tab w:leader="none" w:pos="9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7"/>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Exhibit Description</w:t>
            </w:r>
          </w:p>
        </w:tc>
        <w:tc>
          <w:tcPr>
            <w:tcW w:w="4260" w:type="dxa"/>
            <w:vAlign w:val="bottom"/>
            <w:gridSpan w:val="11"/>
          </w:tcPr>
          <w:p>
            <w:pPr>
              <w:spacing w:after="0"/>
              <w:rPr>
                <w:sz w:val="15"/>
                <w:szCs w:val="15"/>
                <w:color w:val="auto"/>
              </w:rPr>
            </w:pPr>
          </w:p>
        </w:tc>
      </w:tr>
      <w:tr>
        <w:trPr>
          <w:trHeight w:val="277"/>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r:id="rId559">
              <w:r>
                <w:rPr>
                  <w:rFonts w:ascii="Arial" w:cs="Arial" w:eastAsia="Arial" w:hAnsi="Arial"/>
                  <w:sz w:val="18"/>
                  <w:szCs w:val="18"/>
                  <w:color w:val="0000EE"/>
                </w:rPr>
                <w:t>Articles of Association (incorporated by reference to Exhibit 3.1 to the registrant’s registration statement on Form F-4 filed</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559">
              <w:r>
                <w:rPr>
                  <w:rFonts w:ascii="Arial" w:cs="Arial" w:eastAsia="Arial" w:hAnsi="Arial"/>
                  <w:sz w:val="18"/>
                  <w:szCs w:val="18"/>
                  <w:color w:val="0000EE"/>
                </w:rPr>
                <w:t>with the SEC on January 25, 2019 (File No. 333-229351)).</w:t>
              </w:r>
            </w:hyperlink>
          </w:p>
        </w:tc>
        <w:tc>
          <w:tcPr>
            <w:tcW w:w="200" w:type="dxa"/>
            <w:vAlign w:val="bottom"/>
            <w:gridSpan w:val="2"/>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20"/>
          </w:tcPr>
          <w:p>
            <w:pPr>
              <w:spacing w:after="0"/>
              <w:rPr>
                <w:rFonts w:ascii="Arial" w:cs="Arial" w:eastAsia="Arial" w:hAnsi="Arial"/>
                <w:sz w:val="18"/>
                <w:szCs w:val="18"/>
                <w:color w:val="0000EE"/>
                <w:w w:val="99"/>
              </w:rPr>
            </w:pPr>
            <w:hyperlink r:id="rId560">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2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560">
              <w:r>
                <w:rPr>
                  <w:rFonts w:ascii="Arial" w:cs="Arial" w:eastAsia="Arial" w:hAnsi="Arial"/>
                  <w:sz w:val="18"/>
                  <w:szCs w:val="18"/>
                  <w:color w:val="0000EE"/>
                </w:rPr>
                <w:t>filed with the SEC on January 25, 2019 (File No. 333-229351)).</w:t>
              </w:r>
            </w:hyperlink>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4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r:id="rId560">
              <w:r>
                <w:rPr>
                  <w:rFonts w:ascii="Arial" w:cs="Arial" w:eastAsia="Arial" w:hAnsi="Arial"/>
                  <w:sz w:val="18"/>
                  <w:szCs w:val="18"/>
                  <w:color w:val="0000EE"/>
                  <w:w w:val="99"/>
                </w:rPr>
                <w:t>Form of American Depositary Receipt (included in Exhibit 4.1).</w:t>
              </w:r>
            </w:hyperlink>
          </w:p>
        </w:tc>
        <w:tc>
          <w:tcPr>
            <w:tcW w:w="40" w:type="dxa"/>
            <w:vAlign w:val="bottom"/>
            <w:tcBorders>
              <w:top w:val="single" w:sz="8" w:color="0000EE"/>
            </w:tcBorders>
          </w:tcPr>
          <w:p>
            <w:pPr>
              <w:spacing w:after="0"/>
              <w:rPr>
                <w:sz w:val="24"/>
                <w:szCs w:val="24"/>
                <w:color w:val="auto"/>
              </w:rPr>
            </w:pPr>
          </w:p>
        </w:tc>
        <w:tc>
          <w:tcPr>
            <w:tcW w:w="4820" w:type="dxa"/>
            <w:vAlign w:val="bottom"/>
            <w:gridSpan w:val="13"/>
          </w:tcPr>
          <w:p>
            <w:pPr>
              <w:spacing w:after="0"/>
              <w:rPr>
                <w:sz w:val="24"/>
                <w:szCs w:val="24"/>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3360" w:type="dxa"/>
            <w:vAlign w:val="bottom"/>
            <w:tcBorders>
              <w:bottom w:val="single" w:sz="8" w:color="0000EE"/>
            </w:tcBorders>
            <w:gridSpan w:val="4"/>
          </w:tcPr>
          <w:p>
            <w:pPr>
              <w:spacing w:after="0"/>
              <w:rPr>
                <w:rFonts w:ascii="Arial" w:cs="Arial" w:eastAsia="Arial" w:hAnsi="Arial"/>
                <w:sz w:val="18"/>
                <w:szCs w:val="18"/>
                <w:color w:val="0000EE"/>
                <w:w w:val="99"/>
              </w:rPr>
            </w:pPr>
            <w:hyperlink r:id="rId561">
              <w:r>
                <w:rPr>
                  <w:rFonts w:ascii="Arial" w:cs="Arial" w:eastAsia="Arial" w:hAnsi="Arial"/>
                  <w:sz w:val="18"/>
                  <w:szCs w:val="18"/>
                  <w:color w:val="0000EE"/>
                  <w:w w:val="99"/>
                </w:rPr>
                <w:t>Opinion of Mayer Brown International LLP</w:t>
              </w:r>
            </w:hyperlink>
          </w:p>
        </w:tc>
        <w:tc>
          <w:tcPr>
            <w:tcW w:w="6480" w:type="dxa"/>
            <w:vAlign w:val="bottom"/>
            <w:gridSpan w:val="17"/>
          </w:tcPr>
          <w:p>
            <w:pPr>
              <w:spacing w:after="0"/>
              <w:rPr>
                <w:sz w:val="24"/>
                <w:szCs w:val="24"/>
                <w:color w:val="auto"/>
              </w:rPr>
            </w:pPr>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r:id="rId562">
              <w:r>
                <w:rPr>
                  <w:rFonts w:ascii="Arial" w:cs="Arial" w:eastAsia="Arial" w:hAnsi="Arial"/>
                  <w:sz w:val="18"/>
                  <w:szCs w:val="18"/>
                  <w:color w:val="0000EE"/>
                </w:rPr>
                <w:t>Securities Purchase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562">
              <w:r>
                <w:rPr>
                  <w:rFonts w:ascii="Arial" w:cs="Arial" w:eastAsia="Arial" w:hAnsi="Arial"/>
                  <w:sz w:val="18"/>
                  <w:szCs w:val="18"/>
                  <w:color w:val="0000EE"/>
                </w:rPr>
                <w:t>Capital Fund, LLC (incorporated by reference to Exhibit 10.1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562">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5"/>
          </w:tcPr>
          <w:p>
            <w:pPr>
              <w:spacing w:after="0"/>
              <w:rPr>
                <w:sz w:val="15"/>
                <w:szCs w:val="15"/>
                <w:color w:val="auto"/>
              </w:rPr>
            </w:pPr>
          </w:p>
        </w:tc>
        <w:tc>
          <w:tcPr>
            <w:tcW w:w="320" w:type="dxa"/>
            <w:vAlign w:val="bottom"/>
            <w:gridSpan w:val="3"/>
          </w:tcPr>
          <w:p>
            <w:pPr>
              <w:spacing w:after="0"/>
              <w:rPr>
                <w:sz w:val="15"/>
                <w:szCs w:val="15"/>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10.2</w:t>
            </w:r>
          </w:p>
        </w:tc>
        <w:tc>
          <w:tcPr>
            <w:tcW w:w="64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rPr>
            </w:pPr>
            <w:hyperlink r:id="rId563">
              <w:r>
                <w:rPr>
                  <w:rFonts w:ascii="Arial" w:cs="Arial" w:eastAsia="Arial" w:hAnsi="Arial"/>
                  <w:sz w:val="18"/>
                  <w:szCs w:val="18"/>
                  <w:color w:val="0000EE"/>
                </w:rPr>
                <w:t>Registration Rights Agreement, dated February 10, 2020, by and between Mereo BioPharma Group PLC and Aspire</w:t>
              </w:r>
            </w:hyperlink>
          </w:p>
        </w:tc>
        <w:tc>
          <w:tcPr>
            <w:tcW w:w="460" w:type="dxa"/>
            <w:vAlign w:val="bottom"/>
            <w:gridSpan w:val="5"/>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563">
              <w:r>
                <w:rPr>
                  <w:rFonts w:ascii="Arial" w:cs="Arial" w:eastAsia="Arial" w:hAnsi="Arial"/>
                  <w:sz w:val="18"/>
                  <w:szCs w:val="18"/>
                  <w:color w:val="0000EE"/>
                </w:rPr>
                <w:t>Capital Fund, LLC (incorporated by reference to Exhibit 10.2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563">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5"/>
          </w:tcPr>
          <w:p>
            <w:pPr>
              <w:spacing w:after="0"/>
              <w:rPr>
                <w:sz w:val="15"/>
                <w:szCs w:val="15"/>
                <w:color w:val="auto"/>
              </w:rPr>
            </w:pPr>
          </w:p>
        </w:tc>
        <w:tc>
          <w:tcPr>
            <w:tcW w:w="320" w:type="dxa"/>
            <w:vAlign w:val="bottom"/>
            <w:gridSpan w:val="3"/>
          </w:tcPr>
          <w:p>
            <w:pPr>
              <w:spacing w:after="0"/>
              <w:rPr>
                <w:sz w:val="15"/>
                <w:szCs w:val="15"/>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10.3</w:t>
            </w:r>
          </w:p>
        </w:tc>
        <w:tc>
          <w:tcPr>
            <w:tcW w:w="64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Arial" w:cs="Arial" w:eastAsia="Arial" w:hAnsi="Arial"/>
                <w:sz w:val="18"/>
                <w:szCs w:val="18"/>
                <w:color w:val="0000EE"/>
                <w:w w:val="99"/>
              </w:rPr>
            </w:pPr>
            <w:hyperlink r:id="rId564">
              <w:r>
                <w:rPr>
                  <w:rFonts w:ascii="Arial" w:cs="Arial" w:eastAsia="Arial" w:hAnsi="Arial"/>
                  <w:sz w:val="18"/>
                  <w:szCs w:val="18"/>
                  <w:color w:val="0000EE"/>
                  <w:w w:val="99"/>
                </w:rPr>
                <w:t>Securities Purchase Agreement, dated February 19, 2020, by and between Mereo BioPharma Group PLC and Boxer</w:t>
              </w:r>
            </w:hyperlink>
          </w:p>
        </w:tc>
        <w:tc>
          <w:tcPr>
            <w:tcW w:w="540" w:type="dxa"/>
            <w:vAlign w:val="bottom"/>
            <w:gridSpan w:val="6"/>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564">
              <w:r>
                <w:rPr>
                  <w:rFonts w:ascii="Arial" w:cs="Arial" w:eastAsia="Arial" w:hAnsi="Arial"/>
                  <w:sz w:val="18"/>
                  <w:szCs w:val="18"/>
                  <w:color w:val="0000EE"/>
                  <w:w w:val="99"/>
                </w:rPr>
                <w:t>Capital, LLC (incorporated by reference to Exhibit 10.1 to the registrant’s report on Form 6-K filed with the SEC on February</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564">
              <w:r>
                <w:rPr>
                  <w:rFonts w:ascii="Arial" w:cs="Arial" w:eastAsia="Arial" w:hAnsi="Arial"/>
                  <w:sz w:val="18"/>
                  <w:szCs w:val="18"/>
                  <w:color w:val="0000EE"/>
                  <w:w w:val="99"/>
                </w:rPr>
                <w:t>19, 2020 (File No. 001-38452)).</w:t>
              </w:r>
            </w:hyperlink>
          </w:p>
        </w:tc>
        <w:tc>
          <w:tcPr>
            <w:tcW w:w="7320" w:type="dxa"/>
            <w:vAlign w:val="bottom"/>
            <w:gridSpan w:val="19"/>
          </w:tcPr>
          <w:p>
            <w:pPr>
              <w:spacing w:after="0"/>
              <w:rPr>
                <w:sz w:val="15"/>
                <w:szCs w:val="15"/>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10.4</w:t>
            </w:r>
          </w:p>
        </w:tc>
        <w:tc>
          <w:tcPr>
            <w:tcW w:w="640" w:type="dxa"/>
            <w:vAlign w:val="bottom"/>
          </w:tcPr>
          <w:p>
            <w:pPr>
              <w:spacing w:after="0"/>
              <w:rPr>
                <w:sz w:val="24"/>
                <w:szCs w:val="24"/>
                <w:color w:val="auto"/>
              </w:rPr>
            </w:pPr>
          </w:p>
        </w:tc>
        <w:tc>
          <w:tcPr>
            <w:tcW w:w="9220" w:type="dxa"/>
            <w:vAlign w:val="bottom"/>
            <w:tcBorders>
              <w:bottom w:val="single" w:sz="8" w:color="0000EE"/>
            </w:tcBorders>
            <w:gridSpan w:val="14"/>
          </w:tcPr>
          <w:p>
            <w:pPr>
              <w:spacing w:after="0"/>
              <w:rPr>
                <w:rFonts w:ascii="Arial" w:cs="Arial" w:eastAsia="Arial" w:hAnsi="Arial"/>
                <w:sz w:val="18"/>
                <w:szCs w:val="18"/>
                <w:color w:val="0000EE"/>
                <w:w w:val="99"/>
              </w:rPr>
            </w:pPr>
            <w:hyperlink r:id="rId565">
              <w:r>
                <w:rPr>
                  <w:rFonts w:ascii="Arial" w:cs="Arial" w:eastAsia="Arial" w:hAnsi="Arial"/>
                  <w:sz w:val="18"/>
                  <w:szCs w:val="18"/>
                  <w:color w:val="0000EE"/>
                  <w:w w:val="99"/>
                </w:rPr>
                <w:t>Registration Rights Agreement, dated February 19, 2020, by and between Mereo BioPharma Group PLC and Boxer</w:t>
              </w:r>
            </w:hyperlink>
          </w:p>
        </w:tc>
        <w:tc>
          <w:tcPr>
            <w:tcW w:w="620" w:type="dxa"/>
            <w:vAlign w:val="bottom"/>
            <w:gridSpan w:val="7"/>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565">
              <w:r>
                <w:rPr>
                  <w:rFonts w:ascii="Arial" w:cs="Arial" w:eastAsia="Arial" w:hAnsi="Arial"/>
                  <w:sz w:val="18"/>
                  <w:szCs w:val="18"/>
                  <w:color w:val="0000EE"/>
                  <w:w w:val="99"/>
                </w:rPr>
                <w:t>Capital, LLC (incorporated by reference to Exhibit 10.2 to the registrant’s report on Form 6-K filed with the SEC on February</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565">
              <w:r>
                <w:rPr>
                  <w:rFonts w:ascii="Arial" w:cs="Arial" w:eastAsia="Arial" w:hAnsi="Arial"/>
                  <w:sz w:val="18"/>
                  <w:szCs w:val="18"/>
                  <w:color w:val="0000EE"/>
                  <w:w w:val="99"/>
                </w:rPr>
                <w:t>19, 2020 (File No. 001-38452)).</w:t>
              </w:r>
            </w:hyperlink>
          </w:p>
        </w:tc>
        <w:tc>
          <w:tcPr>
            <w:tcW w:w="7320" w:type="dxa"/>
            <w:vAlign w:val="bottom"/>
            <w:gridSpan w:val="19"/>
          </w:tcPr>
          <w:p>
            <w:pPr>
              <w:spacing w:after="0"/>
              <w:rPr>
                <w:sz w:val="15"/>
                <w:szCs w:val="15"/>
                <w:color w:val="auto"/>
              </w:rPr>
            </w:pPr>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21.1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9"/>
              </w:rPr>
            </w:pPr>
            <w:hyperlink r:id="rId566">
              <w:r>
                <w:rPr>
                  <w:rFonts w:ascii="Arial" w:cs="Arial" w:eastAsia="Arial" w:hAnsi="Arial"/>
                  <w:sz w:val="18"/>
                  <w:szCs w:val="18"/>
                  <w:color w:val="0000EE"/>
                  <w:w w:val="99"/>
                </w:rPr>
                <w:t>List of Subsidiaries (incorporated by reference to Exhibit 8.1 to the registrants Annual Report on Form 20-F for the year</w:t>
              </w:r>
            </w:hyperlink>
          </w:p>
        </w:tc>
        <w:tc>
          <w:tcPr>
            <w:tcW w:w="380" w:type="dxa"/>
            <w:vAlign w:val="bottom"/>
            <w:gridSpan w:val="4"/>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566">
              <w:r>
                <w:rPr>
                  <w:rFonts w:ascii="Arial" w:cs="Arial" w:eastAsia="Arial" w:hAnsi="Arial"/>
                  <w:sz w:val="18"/>
                  <w:szCs w:val="18"/>
                  <w:color w:val="0000EE"/>
                  <w:w w:val="99"/>
                </w:rPr>
                <w:t>ended December 31, 2018, filed with the SEC on April 29, 2019 (File No. 001-38452)).</w:t>
              </w:r>
            </w:hyperlink>
          </w:p>
        </w:tc>
        <w:tc>
          <w:tcPr>
            <w:tcW w:w="2960" w:type="dxa"/>
            <w:vAlign w:val="bottom"/>
            <w:gridSpan w:val="8"/>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23.1*</w:t>
            </w:r>
          </w:p>
        </w:tc>
        <w:tc>
          <w:tcPr>
            <w:tcW w:w="640" w:type="dxa"/>
            <w:vAlign w:val="bottom"/>
          </w:tcPr>
          <w:p>
            <w:pPr>
              <w:spacing w:after="0"/>
              <w:rPr>
                <w:sz w:val="24"/>
                <w:szCs w:val="24"/>
                <w:color w:val="auto"/>
              </w:rPr>
            </w:pPr>
          </w:p>
        </w:tc>
        <w:tc>
          <w:tcPr>
            <w:tcW w:w="6780" w:type="dxa"/>
            <w:vAlign w:val="bottom"/>
            <w:tcBorders>
              <w:bottom w:val="single" w:sz="8" w:color="0000EE"/>
            </w:tcBorders>
            <w:gridSpan w:val="12"/>
          </w:tcPr>
          <w:p>
            <w:pPr>
              <w:spacing w:after="0"/>
              <w:rPr>
                <w:rFonts w:ascii="Arial" w:cs="Arial" w:eastAsia="Arial" w:hAnsi="Arial"/>
                <w:sz w:val="18"/>
                <w:szCs w:val="18"/>
                <w:color w:val="0000EE"/>
                <w:w w:val="99"/>
              </w:rPr>
            </w:pPr>
            <w:hyperlink r:id="rId567">
              <w:r>
                <w:rPr>
                  <w:rFonts w:ascii="Arial" w:cs="Arial" w:eastAsia="Arial" w:hAnsi="Arial"/>
                  <w:sz w:val="18"/>
                  <w:szCs w:val="18"/>
                  <w:color w:val="0000EE"/>
                  <w:w w:val="99"/>
                </w:rPr>
                <w:t>Consent of Ernst &amp; Young LLP (UK), Independent Registered Public Accounting Firm</w:t>
              </w:r>
            </w:hyperlink>
          </w:p>
        </w:tc>
        <w:tc>
          <w:tcPr>
            <w:tcW w:w="3060" w:type="dxa"/>
            <w:vAlign w:val="bottom"/>
            <w:gridSpan w:val="9"/>
          </w:tcPr>
          <w:p>
            <w:pPr>
              <w:spacing w:after="0"/>
              <w:rPr>
                <w:sz w:val="24"/>
                <w:szCs w:val="24"/>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r:id="rId568">
              <w:r>
                <w:rPr>
                  <w:rFonts w:ascii="Arial" w:cs="Arial" w:eastAsia="Arial" w:hAnsi="Arial"/>
                  <w:sz w:val="18"/>
                  <w:szCs w:val="18"/>
                  <w:color w:val="0000EE"/>
                </w:rPr>
                <w:t>Consent of Ernst &amp; Young LLP (US), Independent Registered Public Accounting Firm</w:t>
              </w:r>
            </w:hyperlink>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23.3</w:t>
            </w:r>
          </w:p>
        </w:tc>
        <w:tc>
          <w:tcPr>
            <w:tcW w:w="6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r:id="rId561">
              <w:r>
                <w:rPr>
                  <w:rFonts w:ascii="Arial" w:cs="Arial" w:eastAsia="Arial" w:hAnsi="Arial"/>
                  <w:sz w:val="18"/>
                  <w:szCs w:val="18"/>
                  <w:color w:val="0000EE"/>
                  <w:w w:val="99"/>
                </w:rPr>
                <w:t>Consent of Mayer Brown International LLP (included in Exhibit 5.1)</w:t>
              </w:r>
            </w:hyperlink>
          </w:p>
        </w:tc>
        <w:tc>
          <w:tcPr>
            <w:tcW w:w="1440" w:type="dxa"/>
            <w:vAlign w:val="bottom"/>
            <w:tcBorders>
              <w:top w:val="single" w:sz="8" w:color="0000EE"/>
            </w:tcBorders>
            <w:gridSpan w:val="2"/>
          </w:tcPr>
          <w:p>
            <w:pPr>
              <w:spacing w:after="0"/>
              <w:rPr>
                <w:sz w:val="24"/>
                <w:szCs w:val="24"/>
                <w:color w:val="auto"/>
              </w:rPr>
            </w:pPr>
          </w:p>
        </w:tc>
        <w:tc>
          <w:tcPr>
            <w:tcW w:w="3080" w:type="dxa"/>
            <w:vAlign w:val="bottom"/>
            <w:gridSpan w:val="10"/>
          </w:tcPr>
          <w:p>
            <w:pPr>
              <w:spacing w:after="0"/>
              <w:rPr>
                <w:sz w:val="24"/>
                <w:szCs w:val="24"/>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24.1*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394">
              <w:r>
                <w:rPr>
                  <w:rFonts w:ascii="Arial" w:cs="Arial" w:eastAsia="Arial" w:hAnsi="Arial"/>
                  <w:sz w:val="18"/>
                  <w:szCs w:val="18"/>
                  <w:color w:val="0000EE"/>
                </w:rPr>
                <w:t>Powers of Attorney</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March 12, 2020.</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tbl>
      <w:tblPr>
        <w:tblLayout w:type="fixed"/>
        <w:tblInd w:w="70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March 12, 2020 in the capacities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422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rPr>
              <w:t>Title</w:t>
            </w:r>
          </w:p>
        </w:tc>
      </w:tr>
      <w:tr>
        <w:trPr>
          <w:trHeight w:val="20"/>
        </w:trPr>
        <w:tc>
          <w:tcPr>
            <w:tcW w:w="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1"/>
        </w:trPr>
        <w:tc>
          <w:tcPr>
            <w:tcW w:w="2940" w:type="dxa"/>
            <w:vAlign w:val="bottom"/>
            <w:gridSpan w:val="2"/>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w w:val="99"/>
              </w:rPr>
              <w:t>Denise Scots-Knight, Ph.D.</w:t>
            </w:r>
          </w:p>
        </w:tc>
        <w:tc>
          <w:tcPr>
            <w:tcW w:w="740" w:type="dxa"/>
            <w:vAlign w:val="bottom"/>
            <w:tcBorders>
              <w:top w:val="single" w:sz="8" w:color="auto"/>
            </w:tcBorders>
          </w:tcPr>
          <w:p>
            <w:pPr>
              <w:spacing w:after="0"/>
              <w:rPr>
                <w:sz w:val="18"/>
                <w:szCs w:val="18"/>
                <w:color w:val="auto"/>
              </w:rPr>
            </w:pPr>
          </w:p>
        </w:tc>
        <w:tc>
          <w:tcPr>
            <w:tcW w:w="4520" w:type="dxa"/>
            <w:vAlign w:val="bottom"/>
            <w:gridSpan w:val="3"/>
          </w:tcPr>
          <w:p>
            <w:pPr>
              <w:jc w:val="center"/>
              <w:ind w:left="29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660" w:type="dxa"/>
            <w:vAlign w:val="bottom"/>
          </w:tcPr>
          <w:p>
            <w:pPr>
              <w:spacing w:after="0"/>
              <w:rPr>
                <w:sz w:val="15"/>
                <w:szCs w:val="15"/>
                <w:color w:val="auto"/>
              </w:rPr>
            </w:pPr>
          </w:p>
        </w:tc>
        <w:tc>
          <w:tcPr>
            <w:tcW w:w="4220" w:type="dxa"/>
            <w:vAlign w:val="bottom"/>
            <w:tcBorders>
              <w:top w:val="single" w:sz="8" w:color="auto"/>
            </w:tcBorders>
            <w:gridSpan w:val="3"/>
          </w:tcPr>
          <w:p>
            <w:pPr>
              <w:jc w:val="center"/>
              <w:ind w:left="632"/>
              <w:spacing w:after="0" w:line="182" w:lineRule="exact"/>
              <w:rPr>
                <w:sz w:val="20"/>
                <w:szCs w:val="20"/>
                <w:color w:val="auto"/>
              </w:rPr>
            </w:pPr>
            <w:r>
              <w:rPr>
                <w:rFonts w:ascii="Arial" w:cs="Arial" w:eastAsia="Arial" w:hAnsi="Arial"/>
                <w:sz w:val="18"/>
                <w:szCs w:val="18"/>
                <w:color w:val="auto"/>
                <w:w w:val="99"/>
              </w:rPr>
              <w:t>Richard Jones</w:t>
            </w:r>
          </w:p>
        </w:tc>
        <w:tc>
          <w:tcPr>
            <w:tcW w:w="740" w:type="dxa"/>
            <w:vAlign w:val="bottom"/>
            <w:tcBorders>
              <w:top w:val="single" w:sz="8" w:color="auto"/>
            </w:tcBorders>
          </w:tcPr>
          <w:p>
            <w:pPr>
              <w:spacing w:after="0"/>
              <w:rPr>
                <w:sz w:val="15"/>
                <w:szCs w:val="15"/>
                <w:color w:val="auto"/>
              </w:rPr>
            </w:pPr>
          </w:p>
        </w:tc>
        <w:tc>
          <w:tcPr>
            <w:tcW w:w="4520" w:type="dxa"/>
            <w:vAlign w:val="bottom"/>
            <w:gridSpan w:val="3"/>
          </w:tcPr>
          <w:p>
            <w:pPr>
              <w:jc w:val="center"/>
              <w:ind w:left="311"/>
              <w:spacing w:after="0" w:line="182" w:lineRule="exact"/>
              <w:rPr>
                <w:sz w:val="20"/>
                <w:szCs w:val="20"/>
                <w:color w:val="auto"/>
              </w:rPr>
            </w:pPr>
            <w:r>
              <w:rPr>
                <w:rFonts w:ascii="Arial" w:cs="Arial" w:eastAsia="Arial" w:hAnsi="Arial"/>
                <w:sz w:val="18"/>
                <w:szCs w:val="18"/>
                <w:color w:val="auto"/>
                <w:w w:val="99"/>
              </w:rPr>
              <w:t>(Principal Financial Officer and Principal Accounting</w:t>
            </w:r>
          </w:p>
        </w:tc>
      </w:tr>
      <w:tr>
        <w:trPr>
          <w:trHeight w:val="217"/>
        </w:trPr>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8"/>
                <w:szCs w:val="18"/>
                <w:color w:val="auto"/>
                <w:w w:val="98"/>
              </w:rPr>
              <w:t>Officer)</w:t>
            </w:r>
          </w:p>
        </w:tc>
      </w:tr>
      <w:tr>
        <w:trPr>
          <w:trHeight w:val="405"/>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w w:val="99"/>
              </w:rPr>
              <w:t>Peter Fellner,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Peter Bains</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Paul Blackburn</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Anders Ekblom, M.D.,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Kunal Kashyap</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Deepika R. Pakianathan,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52"/>
              <w:spacing w:after="0"/>
              <w:rPr>
                <w:sz w:val="20"/>
                <w:szCs w:val="20"/>
                <w:color w:val="auto"/>
              </w:rPr>
            </w:pPr>
            <w:r>
              <w:rPr>
                <w:rFonts w:ascii="Arial" w:cs="Arial" w:eastAsia="Arial" w:hAnsi="Arial"/>
                <w:sz w:val="18"/>
                <w:szCs w:val="18"/>
                <w:color w:val="auto"/>
                <w:w w:val="99"/>
              </w:rPr>
              <w:t>Michael S. Wyzga</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660"/>
        </w:trPr>
        <w:tc>
          <w:tcPr>
            <w:tcW w:w="4880" w:type="dxa"/>
            <w:vAlign w:val="bottom"/>
            <w:gridSpan w:val="4"/>
          </w:tcPr>
          <w:p>
            <w:pPr>
              <w:spacing w:after="0"/>
              <w:rPr>
                <w:sz w:val="20"/>
                <w:szCs w:val="20"/>
                <w:color w:val="auto"/>
              </w:rPr>
            </w:pPr>
            <w:r>
              <w:rPr>
                <w:rFonts w:ascii="Arial" w:cs="Arial" w:eastAsia="Arial" w:hAnsi="Arial"/>
                <w:sz w:val="18"/>
                <w:szCs w:val="18"/>
                <w:color w:val="auto"/>
              </w:rPr>
              <w:t>*By: /s/ Denise Scots-Knight, Ph.D.</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88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Name:  Denise Scots-Knight, Ph.D.</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4880" w:type="dxa"/>
            <w:vAlign w:val="bottom"/>
            <w:gridSpan w:val="4"/>
          </w:tcPr>
          <w:p>
            <w:pPr>
              <w:ind w:left="440"/>
              <w:spacing w:after="0"/>
              <w:rPr>
                <w:sz w:val="20"/>
                <w:szCs w:val="20"/>
                <w:color w:val="auto"/>
              </w:rPr>
            </w:pPr>
            <w:r>
              <w:rPr>
                <w:rFonts w:ascii="Arial" w:cs="Arial" w:eastAsia="Arial" w:hAnsi="Arial"/>
                <w:sz w:val="18"/>
                <w:szCs w:val="18"/>
                <w:color w:val="auto"/>
              </w:rPr>
              <w:t>Title:   Attorney-in-fact</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51"/>
        </w:trPr>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60" w:type="dxa"/>
            <w:vAlign w:val="bottom"/>
            <w:gridSpan w:val="4"/>
          </w:tcPr>
          <w:p>
            <w:pPr>
              <w:ind w:left="50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140"/>
          </w:cols>
          <w:pgMar w:left="32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March 12, 2020.</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sectPr>
      <w:pgSz w:w="11900" w:h="16838" w:orient="portrait"/>
      <w:cols w:equalWidth="0" w:num="1">
        <w:col w:w="10960"/>
      </w:cols>
      <w:pgMar w:left="320" w:top="45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
      <w:numFmt w:val="bullet"/>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1)"/>
      <w:numFmt w:val="decimal"/>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
      <w:numFmt w:val="bullet"/>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
      <w:numFmt w:val="bullet"/>
      <w:start w:val="1"/>
    </w:lvl>
  </w:abstractNum>
  <w:abstractNum w:abstractNumId="24">
    <w:nsid w:val="5675FF36"/>
    <w:multiLevelType w:val="hybridMultilevel"/>
    <w:lvl w:ilvl="0">
      <w:lvlJc w:val="left"/>
      <w:lvlText w:val="∎"/>
      <w:numFmt w:val="bullet"/>
      <w:start w:val="1"/>
    </w:lvl>
  </w:abstractNum>
  <w:abstractNum w:abstractNumId="25">
    <w:nsid w:val="3DD15094"/>
    <w:multiLevelType w:val="hybridMultilevel"/>
    <w:lvl w:ilvl="0">
      <w:lvlJc w:val="left"/>
      <w:lvlText w:val="∎"/>
      <w:numFmt w:val="bullet"/>
      <w:start w:val="1"/>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
      <w:numFmt w:val="bullet"/>
      <w:start w:val="1"/>
    </w:lvl>
  </w:abstractNum>
  <w:abstractNum w:abstractNumId="29">
    <w:nsid w:val="175DFCF0"/>
    <w:multiLevelType w:val="hybridMultilevel"/>
    <w:lvl w:ilvl="0">
      <w:lvlJc w:val="left"/>
      <w:lvlText w:val="∎"/>
      <w:numFmt w:val="bullet"/>
      <w:start w:val="1"/>
    </w:lvl>
  </w:abstractNum>
  <w:abstractNum w:abstractNumId="30">
    <w:nsid w:val="4F97E3E4"/>
    <w:multiLevelType w:val="hybridMultilevel"/>
    <w:lvl w:ilvl="0">
      <w:lvlJc w:val="left"/>
      <w:lvlText w:val="∎"/>
      <w:numFmt w:val="bullet"/>
      <w:start w:val="1"/>
    </w:lvl>
  </w:abstractNum>
  <w:abstractNum w:abstractNumId="31">
    <w:nsid w:val="53B0A9E"/>
    <w:multiLevelType w:val="hybridMultilevel"/>
    <w:lvl w:ilvl="0">
      <w:lvlJc w:val="left"/>
      <w:lvlText w:val="(%1)"/>
      <w:numFmt w:val="lowerRoman"/>
      <w:start w:val="4"/>
    </w:lvl>
  </w:abstractNum>
  <w:abstractNum w:abstractNumId="32">
    <w:nsid w:val="34FD6B4F"/>
    <w:multiLevelType w:val="hybridMultilevel"/>
    <w:lvl w:ilvl="0">
      <w:lvlJc w:val="left"/>
      <w:lvlText w:val="∎"/>
      <w:numFmt w:val="bullet"/>
      <w:start w:val="1"/>
    </w:lvl>
  </w:abstractNum>
  <w:abstractNum w:abstractNumId="33">
    <w:nsid w:val="5915FF32"/>
    <w:multiLevelType w:val="hybridMultilevel"/>
    <w:lvl w:ilvl="0">
      <w:lvlJc w:val="left"/>
      <w:lvlText w:val="∎"/>
      <w:numFmt w:val="bullet"/>
      <w:start w:val="1"/>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
      <w:numFmt w:val="bullet"/>
      <w:start w:val="1"/>
    </w:lvl>
  </w:abstractNum>
  <w:abstractNum w:abstractNumId="36">
    <w:nsid w:val="2C6E4AFD"/>
    <w:multiLevelType w:val="hybridMultilevel"/>
    <w:lvl w:ilvl="0">
      <w:lvlJc w:val="left"/>
      <w:lvlText w:val="(%1)"/>
      <w:numFmt w:val="lowerRoman"/>
      <w:start w:val="6"/>
    </w:lvl>
  </w:abstractNum>
  <w:abstractNum w:abstractNumId="37">
    <w:nsid w:val="17A1B582"/>
    <w:multiLevelType w:val="hybridMultilevel"/>
    <w:lvl w:ilvl="0">
      <w:lvlJc w:val="left"/>
      <w:lvlText w:val="∎"/>
      <w:numFmt w:val="bullet"/>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
      <w:numFmt w:val="bullet"/>
      <w:start w:val="1"/>
    </w:lvl>
  </w:abstractNum>
  <w:abstractNum w:abstractNumId="41">
    <w:nsid w:val="2A082C70"/>
    <w:multiLevelType w:val="hybridMultilevel"/>
    <w:lvl w:ilvl="0">
      <w:lvlJc w:val="left"/>
      <w:lvlText w:val="∎"/>
      <w:numFmt w:val="bullet"/>
      <w:start w:val="1"/>
    </w:lvl>
  </w:abstractNum>
  <w:abstractNum w:abstractNumId="42">
    <w:nsid w:val="5EC6AFD4"/>
    <w:multiLevelType w:val="hybridMultilevel"/>
    <w:lvl w:ilvl="0">
      <w:lvlJc w:val="left"/>
      <w:lvlText w:val="∎"/>
      <w:numFmt w:val="bullet"/>
      <w:start w:val="1"/>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
      <w:numFmt w:val="bullet"/>
      <w:start w:val="1"/>
    </w:lvl>
  </w:abstractNum>
  <w:abstractNum w:abstractNumId="45">
    <w:nsid w:val="57A61A29"/>
    <w:multiLevelType w:val="hybridMultilevel"/>
    <w:lvl w:ilvl="0">
      <w:lvlJc w:val="left"/>
      <w:lvlText w:val="∎"/>
      <w:numFmt w:val="bullet"/>
      <w:start w:val="1"/>
    </w:lvl>
  </w:abstractNum>
  <w:abstractNum w:abstractNumId="46">
    <w:nsid w:val="5399C654"/>
    <w:multiLevelType w:val="hybridMultilevel"/>
    <w:lvl w:ilvl="0">
      <w:lvlJc w:val="left"/>
      <w:lvlText w:val="∎"/>
      <w:numFmt w:val="bullet"/>
      <w:start w:val="1"/>
    </w:lvl>
  </w:abstractNum>
  <w:abstractNum w:abstractNumId="47">
    <w:nsid w:val="20EE1348"/>
    <w:multiLevelType w:val="hybridMultilevel"/>
    <w:lvl w:ilvl="0">
      <w:lvlJc w:val="left"/>
      <w:lvlText w:val="∎"/>
      <w:numFmt w:val="bullet"/>
      <w:start w:val="1"/>
    </w:lvl>
  </w:abstractNum>
  <w:abstractNum w:abstractNumId="48">
    <w:nsid w:val="4427069A"/>
    <w:multiLevelType w:val="hybridMultilevel"/>
    <w:lvl w:ilvl="0">
      <w:lvlJc w:val="left"/>
      <w:lvlText w:val="∎"/>
      <w:numFmt w:val="bullet"/>
      <w:start w:val="1"/>
    </w:lvl>
  </w:abstractNum>
  <w:abstractNum w:abstractNumId="49">
    <w:nsid w:val="B37E80A"/>
    <w:multiLevelType w:val="hybridMultilevel"/>
    <w:lvl w:ilvl="0">
      <w:lvlJc w:val="left"/>
      <w:lvlText w:val="∎"/>
      <w:numFmt w:val="bullet"/>
      <w:start w:val="1"/>
    </w:lvl>
  </w:abstractNum>
  <w:abstractNum w:abstractNumId="50">
    <w:nsid w:val="2157F6BC"/>
    <w:multiLevelType w:val="hybridMultilevel"/>
    <w:lvl w:ilvl="0">
      <w:lvlJc w:val="left"/>
      <w:lvlText w:val="%1."/>
      <w:numFmt w:val="decimal"/>
      <w:start w:val="1"/>
    </w:lvl>
  </w:abstractNum>
  <w:abstractNum w:abstractNumId="51">
    <w:nsid w:val="704E1DD5"/>
    <w:multiLevelType w:val="hybridMultilevel"/>
    <w:lvl w:ilvl="0">
      <w:lvlJc w:val="left"/>
      <w:lvlText w:val="%1."/>
      <w:numFmt w:val="decimal"/>
      <w:start w:val="2"/>
    </w:lvl>
  </w:abstractNum>
  <w:abstractNum w:abstractNumId="52">
    <w:nsid w:val="57D2F10E"/>
    <w:multiLevelType w:val="hybridMultilevel"/>
    <w:lvl w:ilvl="0">
      <w:lvlJc w:val="left"/>
      <w:lvlText w:val="%1."/>
      <w:numFmt w:val="decimal"/>
      <w:start w:val="3"/>
    </w:lvl>
  </w:abstractNum>
  <w:abstractNum w:abstractNumId="53">
    <w:nsid w:val="BFFAE18"/>
    <w:multiLevelType w:val="hybridMultilevel"/>
    <w:lvl w:ilvl="0">
      <w:lvlJc w:val="left"/>
      <w:lvlText w:val="B"/>
      <w:numFmt w:val="bullet"/>
      <w:start w:val="1"/>
    </w:lvl>
  </w:abstractNum>
  <w:abstractNum w:abstractNumId="54">
    <w:nsid w:val="E3E47A8"/>
    <w:multiLevelType w:val="hybridMultilevel"/>
    <w:lvl w:ilvl="0">
      <w:lvlJc w:val="left"/>
      <w:lvlText w:val="∎"/>
      <w:numFmt w:val="bullet"/>
      <w:start w:val="1"/>
    </w:lvl>
  </w:abstractNum>
  <w:abstractNum w:abstractNumId="55">
    <w:nsid w:val="2E48F044"/>
    <w:multiLevelType w:val="hybridMultilevel"/>
    <w:lvl w:ilvl="0">
      <w:lvlJc w:val="left"/>
      <w:lvlText w:val="C"/>
      <w:numFmt w:val="bullet"/>
      <w:start w:val="1"/>
    </w:lvl>
  </w:abstractNum>
  <w:abstractNum w:abstractNumId="56">
    <w:nsid w:val="49D0FEAC"/>
    <w:multiLevelType w:val="hybridMultilevel"/>
    <w:lvl w:ilvl="0">
      <w:lvlJc w:val="left"/>
      <w:lvlText w:val="D"/>
      <w:numFmt w:val="bullet"/>
      <w:start w:val="1"/>
    </w:lvl>
  </w:abstractNum>
  <w:abstractNum w:abstractNumId="57">
    <w:nsid w:val="4BEE5A5B"/>
    <w:multiLevelType w:val="hybridMultilevel"/>
    <w:lvl w:ilvl="0">
      <w:lvlJc w:val="left"/>
      <w:lvlText w:val="E"/>
      <w:numFmt w:val="bullet"/>
      <w:start w:val="1"/>
    </w:lvl>
  </w:abstractNum>
  <w:abstractNum w:abstractNumId="58">
    <w:nsid w:val="5551B9F3"/>
    <w:multiLevelType w:val="hybridMultilevel"/>
    <w:lvl w:ilvl="0">
      <w:lvlJc w:val="left"/>
      <w:lvlText w:val="(%1)"/>
      <w:numFmt w:val="decimal"/>
      <w:start w:val="1"/>
    </w:lvl>
  </w:abstractNum>
  <w:abstractNum w:abstractNumId="59">
    <w:nsid w:val="24F6AB8E"/>
    <w:multiLevelType w:val="hybridMultilevel"/>
    <w:lvl w:ilvl="0">
      <w:lvlJc w:val="left"/>
      <w:lvlText w:val="(%1)"/>
      <w:numFmt w:val="decimal"/>
      <w:start w:val="2"/>
    </w:lvl>
  </w:abstractNum>
  <w:abstractNum w:abstractNumId="60">
    <w:nsid w:val="634C574C"/>
    <w:multiLevelType w:val="hybridMultilevel"/>
    <w:lvl w:ilvl="0">
      <w:lvlJc w:val="left"/>
      <w:lvlText w:val="∎"/>
      <w:numFmt w:val="bullet"/>
      <w:start w:val="1"/>
    </w:lvl>
  </w:abstractNum>
  <w:abstractNum w:abstractNumId="61">
    <w:nsid w:val="24E99DD7"/>
    <w:multiLevelType w:val="hybridMultilevel"/>
    <w:lvl w:ilvl="0">
      <w:lvlJc w:val="left"/>
      <w:lvlText w:val="∎"/>
      <w:numFmt w:val="bullet"/>
      <w:start w:val="1"/>
    </w:lvl>
  </w:abstractNum>
  <w:abstractNum w:abstractNumId="62">
    <w:nsid w:val="2A31B62D"/>
    <w:multiLevelType w:val="hybridMultilevel"/>
    <w:lvl w:ilvl="0">
      <w:lvlJc w:val="left"/>
      <w:lvlText w:val="(%1)"/>
      <w:numFmt w:val="decimal"/>
      <w:start w:val="1"/>
    </w:lvl>
  </w:abstractNum>
  <w:abstractNum w:abstractNumId="63">
    <w:nsid w:val="1849C29B"/>
    <w:multiLevelType w:val="hybridMultilevel"/>
    <w:lvl w:ilvl="0">
      <w:lvlJc w:val="left"/>
      <w:lvlText w:val="∎"/>
      <w:numFmt w:val="bullet"/>
      <w:start w:val="1"/>
    </w:lvl>
  </w:abstractNum>
  <w:abstractNum w:abstractNumId="64">
    <w:nsid w:val="7DFF9D09"/>
    <w:multiLevelType w:val="hybridMultilevel"/>
    <w:lvl w:ilvl="0">
      <w:lvlJc w:val="left"/>
      <w:lvlText w:val="∎"/>
      <w:numFmt w:val="bullet"/>
      <w:start w:val="1"/>
    </w:lvl>
  </w:abstractNum>
  <w:abstractNum w:abstractNumId="65">
    <w:nsid w:val="754342"/>
    <w:multiLevelType w:val="hybridMultilevel"/>
    <w:lvl w:ilvl="0">
      <w:lvlJc w:val="left"/>
      <w:lvlText w:val="∎"/>
      <w:numFmt w:val="bullet"/>
      <w:start w:val="1"/>
    </w:lvl>
  </w:abstractNum>
  <w:abstractNum w:abstractNumId="66">
    <w:nsid w:val="69E7F3E5"/>
    <w:multiLevelType w:val="hybridMultilevel"/>
    <w:lvl w:ilvl="0">
      <w:lvlJc w:val="left"/>
      <w:lvlText w:val="(%1)"/>
      <w:numFmt w:val="decimal"/>
      <w:start w:val="1"/>
    </w:lvl>
  </w:abstractNum>
  <w:abstractNum w:abstractNumId="67">
    <w:nsid w:val="2A6DE806"/>
    <w:multiLevelType w:val="hybridMultilevel"/>
    <w:lvl w:ilvl="0">
      <w:lvlJc w:val="left"/>
      <w:lvlText w:val="(%1)"/>
      <w:numFmt w:val="decimal"/>
      <w:start w:val="1"/>
    </w:lvl>
  </w:abstractNum>
  <w:abstractNum w:abstractNumId="68">
    <w:nsid w:val="1816F8C4"/>
    <w:multiLevelType w:val="hybridMultilevel"/>
    <w:lvl w:ilvl="0">
      <w:lvlJc w:val="left"/>
      <w:lvlText w:val="∎"/>
      <w:numFmt w:val="bullet"/>
      <w:start w:val="1"/>
    </w:lvl>
  </w:abstractNum>
  <w:abstractNum w:abstractNumId="69">
    <w:nsid w:val="37DF2233"/>
    <w:multiLevelType w:val="hybridMultilevel"/>
    <w:lvl w:ilvl="0">
      <w:lvlJc w:val="left"/>
      <w:lvlText w:val="%1)"/>
      <w:numFmt w:val="lowerRoman"/>
      <w:start w:val="1"/>
    </w:lvl>
  </w:abstractNum>
  <w:abstractNum w:abstractNumId="70">
    <w:nsid w:val="7AB49DAF"/>
    <w:multiLevelType w:val="hybridMultilevel"/>
    <w:lvl w:ilvl="0">
      <w:lvlJc w:val="left"/>
      <w:lvlText w:val="∎"/>
      <w:numFmt w:val="bullet"/>
      <w:start w:val="1"/>
    </w:lvl>
  </w:abstractNum>
  <w:abstractNum w:abstractNumId="71">
    <w:nsid w:val="759F82CD"/>
    <w:multiLevelType w:val="hybridMultilevel"/>
    <w:lvl w:ilvl="0">
      <w:lvlJc w:val="left"/>
      <w:lvlText w:val="∎"/>
      <w:numFmt w:val="bullet"/>
      <w:start w:val="1"/>
    </w:lvl>
  </w:abstractNum>
  <w:abstractNum w:abstractNumId="72">
    <w:nsid w:val="61E74EA3"/>
    <w:multiLevelType w:val="hybridMultilevel"/>
    <w:lvl w:ilvl="0">
      <w:lvlJc w:val="left"/>
      <w:lvlText w:val="•"/>
      <w:numFmt w:val="bullet"/>
      <w:start w:val="1"/>
    </w:lvl>
  </w:abstractNum>
  <w:abstractNum w:abstractNumId="73">
    <w:nsid w:val="597B4D84"/>
    <w:multiLevelType w:val="hybridMultilevel"/>
    <w:lvl w:ilvl="0">
      <w:lvlJc w:val="left"/>
      <w:lvlText w:val="∎"/>
      <w:numFmt w:val="bullet"/>
      <w:start w:val="1"/>
    </w:lvl>
  </w:abstractNum>
  <w:abstractNum w:abstractNumId="74">
    <w:nsid w:val="F819E7F"/>
    <w:multiLevelType w:val="hybridMultilevel"/>
    <w:lvl w:ilvl="0">
      <w:lvlJc w:val="left"/>
      <w:lvlText w:val="∎"/>
      <w:numFmt w:val="bullet"/>
      <w:start w:val="1"/>
    </w:lvl>
  </w:abstractNum>
  <w:abstractNum w:abstractNumId="75">
    <w:nsid w:val="57C7D42D"/>
    <w:multiLevelType w:val="hybridMultilevel"/>
    <w:lvl w:ilvl="0">
      <w:lvlJc w:val="left"/>
      <w:lvlText w:val="∎"/>
      <w:numFmt w:val="bullet"/>
      <w:start w:val="1"/>
    </w:lvl>
  </w:abstractNum>
  <w:abstractNum w:abstractNumId="76">
    <w:nsid w:val="312167AD"/>
    <w:multiLevelType w:val="hybridMultilevel"/>
    <w:lvl w:ilvl="0">
      <w:lvlJc w:val="left"/>
      <w:lvlText w:val="∎"/>
      <w:numFmt w:val="bullet"/>
      <w:start w:val="1"/>
    </w:lvl>
  </w:abstractNum>
  <w:abstractNum w:abstractNumId="77">
    <w:nsid w:val="631B64D4"/>
    <w:multiLevelType w:val="hybridMultilevel"/>
    <w:lvl w:ilvl="0">
      <w:lvlJc w:val="left"/>
      <w:lvlText w:val="∎"/>
      <w:numFmt w:val="bullet"/>
      <w:start w:val="1"/>
    </w:lvl>
  </w:abstractNum>
  <w:abstractNum w:abstractNumId="78">
    <w:nsid w:val="78B5E776"/>
    <w:multiLevelType w:val="hybridMultilevel"/>
    <w:lvl w:ilvl="0">
      <w:lvlJc w:val="left"/>
      <w:lvlText w:val="∎"/>
      <w:numFmt w:val="bullet"/>
      <w:start w:val="1"/>
    </w:lvl>
    <w:lvl w:ilvl="1">
      <w:lvlJc w:val="left"/>
      <w:lvlText w:val="∎"/>
      <w:numFmt w:val="bullet"/>
      <w:start w:val="1"/>
    </w:lvl>
  </w:abstractNum>
  <w:abstractNum w:abstractNumId="79">
    <w:nsid w:val="75486E47"/>
    <w:multiLevelType w:val="hybridMultilevel"/>
    <w:lvl w:ilvl="0">
      <w:lvlJc w:val="left"/>
      <w:lvlText w:val="(%1)"/>
      <w:numFmt w:val="decimal"/>
      <w:start w:val="1"/>
    </w:lvl>
  </w:abstractNum>
  <w:abstractNum w:abstractNumId="80">
    <w:nsid w:val="6E534CDE"/>
    <w:multiLevelType w:val="hybridMultilevel"/>
    <w:lvl w:ilvl="0">
      <w:lvlJc w:val="left"/>
      <w:lvlText w:val="(%1)"/>
      <w:numFmt w:val="decimal"/>
      <w:start w:val="1"/>
    </w:lvl>
  </w:abstractNum>
  <w:abstractNum w:abstractNumId="81">
    <w:nsid w:val="1A0DDE32"/>
    <w:multiLevelType w:val="hybridMultilevel"/>
    <w:lvl w:ilvl="0">
      <w:lvlJc w:val="left"/>
      <w:lvlText w:val="∎"/>
      <w:numFmt w:val="bullet"/>
      <w:start w:val="1"/>
    </w:lvl>
  </w:abstractNum>
  <w:abstractNum w:abstractNumId="82">
    <w:nsid w:val="65968C1C"/>
    <w:multiLevelType w:val="hybridMultilevel"/>
    <w:lvl w:ilvl="0">
      <w:lvlJc w:val="left"/>
      <w:lvlText w:val="(%1)"/>
      <w:numFmt w:val="decimal"/>
      <w:start w:val="1"/>
    </w:lvl>
  </w:abstractNum>
  <w:abstractNum w:abstractNumId="83">
    <w:nsid w:val="46263DEC"/>
    <w:multiLevelType w:val="hybridMultilevel"/>
    <w:lvl w:ilvl="0">
      <w:lvlJc w:val="left"/>
      <w:lvlText w:val="∎"/>
      <w:numFmt w:val="bullet"/>
      <w:start w:val="1"/>
    </w:lvl>
  </w:abstractNum>
  <w:abstractNum w:abstractNumId="84">
    <w:nsid w:val="260D8C4A"/>
    <w:multiLevelType w:val="hybridMultilevel"/>
    <w:lvl w:ilvl="0">
      <w:lvlJc w:val="left"/>
      <w:lvlText w:val="∎"/>
      <w:numFmt w:val="bullet"/>
      <w:start w:val="1"/>
    </w:lvl>
  </w:abstractNum>
  <w:abstractNum w:abstractNumId="85">
    <w:nsid w:val="73D4D3C4"/>
    <w:multiLevelType w:val="hybridMultilevel"/>
    <w:lvl w:ilvl="0">
      <w:lvlJc w:val="left"/>
      <w:lvlText w:val="∎"/>
      <w:numFmt w:val="bullet"/>
      <w:start w:val="1"/>
    </w:lvl>
  </w:abstractNum>
  <w:abstractNum w:abstractNumId="86">
    <w:nsid w:val="746F2E30"/>
    <w:multiLevelType w:val="hybridMultilevel"/>
    <w:lvl w:ilvl="0">
      <w:lvlJc w:val="left"/>
      <w:lvlText w:val="%1"/>
      <w:numFmt w:val="upperLetter"/>
      <w:start w:val="34"/>
    </w:lvl>
  </w:abstractNum>
  <w:abstractNum w:abstractNumId="87">
    <w:nsid w:val="6FDE8AF6"/>
    <w:multiLevelType w:val="hybridMultilevel"/>
    <w:lvl w:ilvl="0">
      <w:lvlJc w:val="left"/>
      <w:lvlText w:val="*"/>
      <w:numFmt w:val="bullet"/>
      <w:start w:val="1"/>
    </w:lvl>
  </w:abstractNum>
  <w:abstractNum w:abstractNumId="88">
    <w:nsid w:val="3FC32E20"/>
    <w:multiLevelType w:val="hybridMultilevel"/>
    <w:lvl w:ilvl="0">
      <w:lvlJc w:val="left"/>
      <w:lvlText w:val="**"/>
      <w:numFmt w:val="bullet"/>
      <w:start w:val="1"/>
    </w:lvl>
  </w:abstractNum>
  <w:abstractNum w:abstractNumId="89">
    <w:nsid w:val="49C0E823"/>
    <w:multiLevelType w:val="hybridMultilevel"/>
    <w:lvl w:ilvl="0">
      <w:lvlJc w:val="left"/>
      <w:lvlText w:val="***"/>
      <w:numFmt w:val="bullet"/>
      <w:start w:val="1"/>
    </w:lvl>
  </w:abstractNum>
  <w:abstractNum w:abstractNumId="90">
    <w:nsid w:val="14D53685"/>
    <w:multiLevelType w:val="hybridMultilevel"/>
    <w:lvl w:ilvl="0">
      <w:lvlJc w:val="left"/>
      <w:lvlText w:val="****"/>
      <w:numFmt w:val="bullet"/>
      <w:start w:val="1"/>
    </w:lvl>
  </w:abstractNum>
  <w:abstractNum w:abstractNumId="91">
    <w:nsid w:val="230F856C"/>
    <w:multiLevelType w:val="hybridMultilevel"/>
    <w:lvl w:ilvl="0">
      <w:lvlJc w:val="left"/>
      <w:lvlText w:val="∎"/>
      <w:numFmt w:val="bullet"/>
      <w:start w:val="1"/>
    </w:lvl>
  </w:abstractNum>
  <w:abstractNum w:abstractNumId="92">
    <w:nsid w:val="6EAA85FB"/>
    <w:multiLevelType w:val="hybridMultilevel"/>
    <w:lvl w:ilvl="0">
      <w:lvlJc w:val="left"/>
      <w:lvlText w:val="∎"/>
      <w:numFmt w:val="bullet"/>
      <w:start w:val="1"/>
    </w:lvl>
  </w:abstractNum>
  <w:abstractNum w:abstractNumId="93">
    <w:nsid w:val="3F06ECB2"/>
    <w:multiLevelType w:val="hybridMultilevel"/>
    <w:lvl w:ilvl="0">
      <w:lvlJc w:val="left"/>
      <w:lvlText w:val="∎"/>
      <w:numFmt w:val="bullet"/>
      <w:start w:val="1"/>
    </w:lvl>
  </w:abstractNum>
  <w:abstractNum w:abstractNumId="94">
    <w:nsid w:val="3B594807"/>
    <w:multiLevelType w:val="hybridMultilevel"/>
    <w:lvl w:ilvl="0">
      <w:lvlJc w:val="left"/>
      <w:lvlText w:val="∎"/>
      <w:numFmt w:val="bullet"/>
      <w:start w:val="1"/>
    </w:lvl>
  </w:abstractNum>
  <w:abstractNum w:abstractNumId="95">
    <w:nsid w:val="6CAA2304"/>
    <w:multiLevelType w:val="hybridMultilevel"/>
    <w:lvl w:ilvl="0">
      <w:lvlJc w:val="left"/>
      <w:lvlText w:val="∎"/>
      <w:numFmt w:val="bullet"/>
      <w:start w:val="1"/>
    </w:lvl>
  </w:abstractNum>
  <w:abstractNum w:abstractNumId="96">
    <w:nsid w:val="3F7C2FF4"/>
    <w:multiLevelType w:val="hybridMultilevel"/>
    <w:lvl w:ilvl="0">
      <w:lvlJc w:val="left"/>
      <w:lvlText w:val="∎"/>
      <w:numFmt w:val="bullet"/>
      <w:start w:val="1"/>
    </w:lvl>
  </w:abstractNum>
  <w:abstractNum w:abstractNumId="97">
    <w:nsid w:val="25413BEC"/>
    <w:multiLevelType w:val="hybridMultilevel"/>
    <w:lvl w:ilvl="0">
      <w:lvlJc w:val="left"/>
      <w:lvlText w:val="∎"/>
      <w:numFmt w:val="bullet"/>
      <w:start w:val="1"/>
    </w:lvl>
  </w:abstractNum>
  <w:abstractNum w:abstractNumId="98">
    <w:nsid w:val="17180B0B"/>
    <w:multiLevelType w:val="hybridMultilevel"/>
    <w:lvl w:ilvl="0">
      <w:lvlJc w:val="left"/>
      <w:lvlText w:val="∎"/>
      <w:numFmt w:val="bullet"/>
      <w:start w:val="1"/>
    </w:lvl>
  </w:abstractNum>
  <w:abstractNum w:abstractNumId="99">
    <w:nsid w:val="579328B9"/>
    <w:multiLevelType w:val="hybridMultilevel"/>
    <w:lvl w:ilvl="0">
      <w:lvlJc w:val="left"/>
      <w:lvlText w:val="∎"/>
      <w:numFmt w:val="bullet"/>
      <w:start w:val="1"/>
    </w:lvl>
  </w:abstractNum>
  <w:abstractNum w:abstractNumId="100">
    <w:nsid w:val="5D205E20"/>
    <w:multiLevelType w:val="hybridMultilevel"/>
    <w:lvl w:ilvl="0">
      <w:lvlJc w:val="left"/>
      <w:lvlText w:val="∎"/>
      <w:numFmt w:val="bullet"/>
      <w:start w:val="1"/>
    </w:lvl>
  </w:abstractNum>
  <w:abstractNum w:abstractNumId="101">
    <w:nsid w:val="11CCA8BA"/>
    <w:multiLevelType w:val="hybridMultilevel"/>
    <w:lvl w:ilvl="0">
      <w:lvlJc w:val="left"/>
      <w:lvlText w:val="∎"/>
      <w:numFmt w:val="bullet"/>
      <w:start w:val="1"/>
    </w:lvl>
  </w:abstractNum>
  <w:abstractNum w:abstractNumId="102">
    <w:nsid w:val="4D32AB86"/>
    <w:multiLevelType w:val="hybridMultilevel"/>
    <w:lvl w:ilvl="0">
      <w:lvlJc w:val="left"/>
      <w:lvlText w:val="∎"/>
      <w:numFmt w:val="bullet"/>
      <w:start w:val="1"/>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abstractNum>
  <w:abstractNum w:abstractNumId="105">
    <w:nsid w:val="5CB44A05"/>
    <w:multiLevelType w:val="hybridMultilevel"/>
    <w:lvl w:ilvl="0">
      <w:lvlJc w:val="left"/>
      <w:lvlText w:val="∎"/>
      <w:numFmt w:val="bullet"/>
      <w:start w:val="1"/>
    </w:lvl>
  </w:abstractNum>
  <w:abstractNum w:abstractNumId="106">
    <w:nsid w:val="16CF80F1"/>
    <w:multiLevelType w:val="hybridMultilevel"/>
    <w:lvl w:ilvl="0">
      <w:lvlJc w:val="left"/>
      <w:lvlText w:val="∎"/>
      <w:numFmt w:val="bullet"/>
      <w:start w:val="1"/>
    </w:lvl>
  </w:abstractNum>
  <w:abstractNum w:abstractNumId="107">
    <w:nsid w:val="1C695DEC"/>
    <w:multiLevelType w:val="hybridMultilevel"/>
    <w:lvl w:ilvl="0">
      <w:lvlJc w:val="left"/>
      <w:lvlText w:val="∎"/>
      <w:numFmt w:val="bullet"/>
      <w:start w:val="1"/>
    </w:lvl>
  </w:abstractNum>
  <w:abstractNum w:abstractNumId="108">
    <w:nsid w:val="3FCFAED9"/>
    <w:multiLevelType w:val="hybridMultilevel"/>
    <w:lvl w:ilvl="0">
      <w:lvlJc w:val="left"/>
      <w:lvlText w:val="∎"/>
      <w:numFmt w:val="bullet"/>
      <w:start w:val="1"/>
    </w:lvl>
  </w:abstractNum>
  <w:abstractNum w:abstractNumId="109">
    <w:nsid w:val="F856867"/>
    <w:multiLevelType w:val="hybridMultilevel"/>
    <w:lvl w:ilvl="0">
      <w:lvlJc w:val="left"/>
      <w:lvlText w:val="(%1)"/>
      <w:numFmt w:val="decimal"/>
      <w:start w:val="1"/>
    </w:lvl>
  </w:abstractNum>
  <w:abstractNum w:abstractNumId="110">
    <w:nsid w:val="11B1CC33"/>
    <w:multiLevelType w:val="hybridMultilevel"/>
    <w:lvl w:ilvl="0">
      <w:lvlJc w:val="left"/>
      <w:lvlText w:val="(%1)"/>
      <w:numFmt w:val="lowerRoman"/>
      <w:start w:val="2"/>
    </w:lvl>
  </w:abstractNum>
  <w:abstractNum w:abstractNumId="111">
    <w:nsid w:val="2E22FBB7"/>
    <w:multiLevelType w:val="hybridMultilevel"/>
    <w:lvl w:ilvl="0">
      <w:lvlJc w:val="left"/>
      <w:lvlText w:val="(%1)"/>
      <w:numFmt w:val="lowerRoman"/>
      <w:start w:val="1"/>
    </w:lvl>
  </w:abstractNum>
  <w:abstractNum w:abstractNumId="112">
    <w:nsid w:val="29934699"/>
    <w:multiLevelType w:val="hybridMultilevel"/>
    <w:lvl w:ilvl="0">
      <w:lvlJc w:val="left"/>
      <w:lvlText w:val="(%1)"/>
      <w:numFmt w:val="lowerRoman"/>
      <w:start w:val="1"/>
    </w:lvl>
  </w:abstractNum>
  <w:abstractNum w:abstractNumId="113">
    <w:nsid w:val="77485850"/>
    <w:multiLevelType w:val="hybridMultilevel"/>
    <w:lvl w:ilvl="0">
      <w:lvlJc w:val="left"/>
      <w:lvlText w:val="(%1)"/>
      <w:numFmt w:val="lowerRoman"/>
      <w:start w:val="2"/>
    </w:lvl>
  </w:abstractNum>
  <w:abstractNum w:abstractNumId="114">
    <w:nsid w:val="744939A3"/>
    <w:multiLevelType w:val="hybridMultilevel"/>
    <w:lvl w:ilvl="0">
      <w:lvlJc w:val="left"/>
      <w:lvlText w:val="(%1)"/>
      <w:numFmt w:val="lowerRoman"/>
      <w:start w:val="2"/>
    </w:lvl>
  </w:abstractNum>
  <w:abstractNum w:abstractNumId="115">
    <w:nsid w:val="4FA0D2E3"/>
    <w:multiLevelType w:val="hybridMultilevel"/>
    <w:lvl w:ilvl="0">
      <w:lvlJc w:val="left"/>
      <w:lvlText w:val="∎"/>
      <w:numFmt w:val="bullet"/>
      <w:start w:val="1"/>
    </w:lvl>
  </w:abstractNum>
  <w:abstractNum w:abstractNumId="116">
    <w:nsid w:val="6B1D2C14"/>
    <w:multiLevelType w:val="hybridMultilevel"/>
    <w:lvl w:ilvl="0">
      <w:lvlJc w:val="left"/>
      <w:lvlText w:val="*"/>
      <w:numFmt w:val="bullet"/>
      <w:start w:val="1"/>
    </w:lvl>
  </w:abstractNum>
  <w:abstractNum w:abstractNumId="117">
    <w:nsid w:val="68B867D3"/>
    <w:multiLevelType w:val="hybridMultilevel"/>
    <w:lvl w:ilvl="0">
      <w:lvlJc w:val="left"/>
      <w:lvlText w:val="(%1)"/>
      <w:numFmt w:val="decimal"/>
      <w:start w:val="1"/>
    </w:lvl>
  </w:abstractNum>
  <w:abstractNum w:abstractNumId="118">
    <w:nsid w:val="3F7F5DD9"/>
    <w:multiLevelType w:val="hybridMultilevel"/>
    <w:lvl w:ilvl="0">
      <w:lvlJc w:val="left"/>
      <w:lvlText w:val="(%1)"/>
      <w:numFmt w:val="decimal"/>
      <w:start w:val="6"/>
    </w:lvl>
  </w:abstractNum>
  <w:abstractNum w:abstractNumId="119">
    <w:nsid w:val="2AE05A34"/>
    <w:multiLevelType w:val="hybridMultilevel"/>
    <w:lvl w:ilvl="0">
      <w:lvlJc w:val="left"/>
      <w:lvlText w:val="∎"/>
      <w:numFmt w:val="bullet"/>
      <w:start w:val="1"/>
    </w:lvl>
  </w:abstractNum>
  <w:abstractNum w:abstractNumId="120">
    <w:nsid w:val="32794FF7"/>
    <w:multiLevelType w:val="hybridMultilevel"/>
    <w:lvl w:ilvl="0">
      <w:lvlJc w:val="left"/>
      <w:lvlText w:val="∎"/>
      <w:numFmt w:val="bullet"/>
      <w:start w:val="1"/>
    </w:lvl>
  </w:abstractNum>
  <w:abstractNum w:abstractNumId="121">
    <w:nsid w:val="5454945E"/>
    <w:multiLevelType w:val="hybridMultilevel"/>
    <w:lvl w:ilvl="0">
      <w:lvlJc w:val="left"/>
      <w:lvlText w:val="∎"/>
      <w:numFmt w:val="bullet"/>
      <w:start w:val="1"/>
    </w:lvl>
  </w:abstractNum>
  <w:abstractNum w:abstractNumId="122">
    <w:nsid w:val="4DEFDFA0"/>
    <w:multiLevelType w:val="hybridMultilevel"/>
    <w:lvl w:ilvl="0">
      <w:lvlJc w:val="left"/>
      <w:lvlText w:val="∎"/>
      <w:numFmt w:val="bullet"/>
      <w:start w:val="1"/>
    </w:lvl>
  </w:abstractNum>
  <w:abstractNum w:abstractNumId="123">
    <w:nsid w:val="2123D5F2"/>
    <w:multiLevelType w:val="hybridMultilevel"/>
    <w:lvl w:ilvl="0">
      <w:lvlJc w:val="left"/>
      <w:lvlText w:val="∎"/>
      <w:numFmt w:val="bullet"/>
      <w:start w:val="1"/>
    </w:lvl>
  </w:abstractNum>
  <w:abstractNum w:abstractNumId="124">
    <w:nsid w:val="135B8110"/>
    <w:multiLevelType w:val="hybridMultilevel"/>
    <w:lvl w:ilvl="0">
      <w:lvlJc w:val="left"/>
      <w:lvlText w:val="∎"/>
      <w:numFmt w:val="bullet"/>
      <w:start w:val="1"/>
    </w:lvl>
  </w:abstractNum>
  <w:abstractNum w:abstractNumId="125">
    <w:nsid w:val="94927A8"/>
    <w:multiLevelType w:val="hybridMultilevel"/>
    <w:lvl w:ilvl="0">
      <w:lvlJc w:val="left"/>
      <w:lvlText w:val="∎"/>
      <w:numFmt w:val="bullet"/>
      <w:start w:val="1"/>
    </w:lvl>
    <w:lvl w:ilvl="1">
      <w:lvlJc w:val="left"/>
      <w:lvlText w:val="∎"/>
      <w:numFmt w:val="bullet"/>
      <w:start w:val="1"/>
    </w:lvl>
  </w:abstractNum>
  <w:abstractNum w:abstractNumId="126">
    <w:nsid w:val="DCDF8F6"/>
    <w:multiLevelType w:val="hybridMultilevel"/>
    <w:lvl w:ilvl="0">
      <w:lvlJc w:val="left"/>
      <w:lvlText w:val="∎"/>
      <w:numFmt w:val="bullet"/>
      <w:start w:val="1"/>
    </w:lvl>
  </w:abstractNum>
  <w:abstractNum w:abstractNumId="127">
    <w:nsid w:val="52D7B105"/>
    <w:multiLevelType w:val="hybridMultilevel"/>
    <w:lvl w:ilvl="0">
      <w:lvlJc w:val="left"/>
      <w:lvlText w:val="∎"/>
      <w:numFmt w:val="bullet"/>
      <w:start w:val="1"/>
    </w:lvl>
  </w:abstractNum>
  <w:abstractNum w:abstractNumId="128">
    <w:nsid w:val="2E8A6394"/>
    <w:multiLevelType w:val="hybridMultilevel"/>
    <w:lvl w:ilvl="0">
      <w:lvlJc w:val="left"/>
      <w:lvlText w:val="∎"/>
      <w:numFmt w:val="bullet"/>
      <w:start w:val="1"/>
    </w:lvl>
  </w:abstractNum>
  <w:abstractNum w:abstractNumId="129">
    <w:nsid w:val="24E60401"/>
    <w:multiLevelType w:val="hybridMultilevel"/>
    <w:lvl w:ilvl="0">
      <w:lvlJc w:val="left"/>
      <w:lvlText w:val="∎"/>
      <w:numFmt w:val="bullet"/>
      <w:start w:val="1"/>
    </w:lvl>
  </w:abstractNum>
  <w:abstractNum w:abstractNumId="130">
    <w:nsid w:val="2A6AD9BE"/>
    <w:multiLevelType w:val="hybridMultilevel"/>
    <w:lvl w:ilvl="0">
      <w:lvlJc w:val="left"/>
      <w:lvlText w:val="∎"/>
      <w:numFmt w:val="bullet"/>
      <w:start w:val="1"/>
    </w:lvl>
  </w:abstractNum>
  <w:abstractNum w:abstractNumId="131">
    <w:nsid w:val="BAAC1B4"/>
    <w:multiLevelType w:val="hybridMultilevel"/>
    <w:lvl w:ilvl="0">
      <w:lvlJc w:val="left"/>
      <w:lvlText w:val="∎"/>
      <w:numFmt w:val="bullet"/>
      <w:start w:val="1"/>
    </w:lvl>
  </w:abstractNum>
  <w:abstractNum w:abstractNumId="132">
    <w:nsid w:val="36B2ACBC"/>
    <w:multiLevelType w:val="hybridMultilevel"/>
    <w:lvl w:ilvl="0">
      <w:lvlJc w:val="left"/>
      <w:lvlText w:val="(%1)"/>
      <w:numFmt w:val="lowerLetter"/>
      <w:start w:val="1"/>
    </w:lvl>
  </w:abstractNum>
  <w:abstractNum w:abstractNumId="133">
    <w:nsid w:val="779D8544"/>
    <w:multiLevelType w:val="hybridMultilevel"/>
    <w:lvl w:ilvl="0">
      <w:lvlJc w:val="left"/>
      <w:lvlText w:val="∎"/>
      <w:numFmt w:val="bullet"/>
      <w:start w:val="1"/>
    </w:lvl>
  </w:abstractNum>
  <w:abstractNum w:abstractNumId="134">
    <w:nsid w:val="4AB26E78"/>
    <w:multiLevelType w:val="hybridMultilevel"/>
    <w:lvl w:ilvl="0">
      <w:lvlJc w:val="left"/>
      <w:lvlText w:val="∎"/>
      <w:numFmt w:val="bullet"/>
      <w:start w:val="1"/>
    </w:lvl>
  </w:abstractNum>
  <w:abstractNum w:abstractNumId="135">
    <w:nsid w:val="21FAA2FA"/>
    <w:multiLevelType w:val="hybridMultilevel"/>
    <w:lvl w:ilvl="0">
      <w:lvlJc w:val="left"/>
      <w:lvlText w:val="∎"/>
      <w:numFmt w:val="bullet"/>
      <w:start w:val="1"/>
    </w:lvl>
  </w:abstractNum>
  <w:abstractNum w:abstractNumId="136">
    <w:nsid w:val="5451CF49"/>
    <w:multiLevelType w:val="hybridMultilevel"/>
    <w:lvl w:ilvl="0">
      <w:lvlJc w:val="left"/>
      <w:lvlText w:val="∎"/>
      <w:numFmt w:val="bullet"/>
      <w:start w:val="1"/>
    </w:lvl>
  </w:abstractNum>
  <w:abstractNum w:abstractNumId="137">
    <w:nsid w:val="6181EF69"/>
    <w:multiLevelType w:val="hybridMultilevel"/>
    <w:lvl w:ilvl="0">
      <w:lvlJc w:val="left"/>
      <w:lvlText w:val="∎"/>
      <w:numFmt w:val="bullet"/>
      <w:start w:val="1"/>
    </w:lvl>
  </w:abstractNum>
  <w:abstractNum w:abstractNumId="138">
    <w:nsid w:val="3E6400E6"/>
    <w:multiLevelType w:val="hybridMultilevel"/>
    <w:lvl w:ilvl="0">
      <w:lvlJc w:val="left"/>
      <w:lvlText w:val="∎"/>
      <w:numFmt w:val="bullet"/>
      <w:start w:val="1"/>
    </w:lvl>
  </w:abstractNum>
  <w:abstractNum w:abstractNumId="139">
    <w:nsid w:val="14217E23"/>
    <w:multiLevelType w:val="hybridMultilevel"/>
    <w:lvl w:ilvl="0">
      <w:lvlJc w:val="left"/>
      <w:lvlText w:val="∎"/>
      <w:numFmt w:val="bullet"/>
      <w:start w:val="1"/>
    </w:lvl>
  </w:abstractNum>
  <w:abstractNum w:abstractNumId="140">
    <w:nsid w:val="710757D0"/>
    <w:multiLevelType w:val="hybridMultilevel"/>
    <w:lvl w:ilvl="0">
      <w:lvlJc w:val="left"/>
      <w:lvlText w:val="∎"/>
      <w:numFmt w:val="bullet"/>
      <w:start w:val="1"/>
    </w:lvl>
  </w:abstractNum>
  <w:abstractNum w:abstractNumId="141">
    <w:nsid w:val="5015CD1A"/>
    <w:multiLevelType w:val="hybridMultilevel"/>
    <w:lvl w:ilvl="0">
      <w:lvlJc w:val="left"/>
      <w:lvlText w:val="∎"/>
      <w:numFmt w:val="bullet"/>
      <w:start w:val="1"/>
    </w:lvl>
  </w:abstractNum>
  <w:abstractNum w:abstractNumId="142">
    <w:nsid w:val="424479DA"/>
    <w:multiLevelType w:val="hybridMultilevel"/>
    <w:lvl w:ilvl="0">
      <w:lvlJc w:val="left"/>
      <w:lvlText w:val="∎"/>
      <w:numFmt w:val="bullet"/>
      <w:start w:val="1"/>
    </w:lvl>
  </w:abstractNum>
  <w:abstractNum w:abstractNumId="143">
    <w:nsid w:val="1A9A9E69"/>
    <w:multiLevelType w:val="hybridMultilevel"/>
    <w:lvl w:ilvl="0">
      <w:lvlJc w:val="left"/>
      <w:lvlText w:val="∎"/>
      <w:numFmt w:val="bullet"/>
      <w:start w:val="1"/>
    </w:lvl>
  </w:abstractNum>
  <w:abstractNum w:abstractNumId="144">
    <w:nsid w:val="475E256A"/>
    <w:multiLevelType w:val="hybridMultilevel"/>
    <w:lvl w:ilvl="0">
      <w:lvlJc w:val="left"/>
      <w:lvlText w:val="∎"/>
      <w:numFmt w:val="bullet"/>
      <w:start w:val="1"/>
    </w:lvl>
  </w:abstractNum>
  <w:abstractNum w:abstractNumId="145">
    <w:nsid w:val="368DB37E"/>
    <w:multiLevelType w:val="hybridMultilevel"/>
    <w:lvl w:ilvl="0">
      <w:lvlJc w:val="left"/>
      <w:lvlText w:val="∎"/>
      <w:numFmt w:val="bullet"/>
      <w:start w:val="1"/>
    </w:lvl>
  </w:abstractNum>
  <w:abstractNum w:abstractNumId="146">
    <w:nsid w:val="6A3B714C"/>
    <w:multiLevelType w:val="hybridMultilevel"/>
    <w:lvl w:ilvl="0">
      <w:lvlJc w:val="left"/>
      <w:lvlText w:val="∎"/>
      <w:numFmt w:val="bullet"/>
      <w:start w:val="1"/>
    </w:lvl>
  </w:abstractNum>
  <w:abstractNum w:abstractNumId="147">
    <w:nsid w:val="327B517E"/>
    <w:multiLevelType w:val="hybridMultilevel"/>
    <w:lvl w:ilvl="0">
      <w:lvlJc w:val="left"/>
      <w:lvlText w:val="∎"/>
      <w:numFmt w:val="bullet"/>
      <w:start w:val="1"/>
    </w:lvl>
  </w:abstractNum>
  <w:abstractNum w:abstractNumId="148">
    <w:nsid w:val="1F461B51"/>
    <w:multiLevelType w:val="hybridMultilevel"/>
    <w:lvl w:ilvl="0">
      <w:lvlJc w:val="left"/>
      <w:lvlText w:val="∎"/>
      <w:numFmt w:val="bullet"/>
      <w:start w:val="1"/>
    </w:lvl>
  </w:abstractNum>
  <w:abstractNum w:abstractNumId="149">
    <w:nsid w:val="29BACF25"/>
    <w:multiLevelType w:val="hybridMultilevel"/>
    <w:lvl w:ilvl="0">
      <w:lvlJc w:val="left"/>
      <w:lvlText w:val="∎"/>
      <w:numFmt w:val="bullet"/>
      <w:start w:val="1"/>
    </w:lvl>
  </w:abstractNum>
  <w:abstractNum w:abstractNumId="150">
    <w:nsid w:val="5D5BABB3"/>
    <w:multiLevelType w:val="hybridMultilevel"/>
    <w:lvl w:ilvl="0">
      <w:lvlJc w:val="left"/>
      <w:lvlText w:val="∎"/>
      <w:numFmt w:val="bullet"/>
      <w:start w:val="1"/>
    </w:lvl>
  </w:abstractNum>
  <w:abstractNum w:abstractNumId="151">
    <w:nsid w:val="51BF6B48"/>
    <w:multiLevelType w:val="hybridMultilevel"/>
    <w:lvl w:ilvl="0">
      <w:lvlJc w:val="left"/>
      <w:lvlText w:val="∎"/>
      <w:numFmt w:val="bullet"/>
      <w:start w:val="1"/>
    </w:lvl>
  </w:abstractNum>
  <w:abstractNum w:abstractNumId="152">
    <w:nsid w:val="7E0F6384"/>
    <w:multiLevelType w:val="hybridMultilevel"/>
    <w:lvl w:ilvl="0">
      <w:lvlJc w:val="left"/>
      <w:lvlText w:val="(%1)"/>
      <w:numFmt w:val="lowerRoman"/>
      <w:start w:val="1"/>
    </w:lvl>
  </w:abstractNum>
  <w:abstractNum w:abstractNumId="153">
    <w:nsid w:val="2B4B8B53"/>
    <w:multiLevelType w:val="hybridMultilevel"/>
    <w:lvl w:ilvl="0">
      <w:lvlJc w:val="left"/>
      <w:lvlText w:val="∎"/>
      <w:numFmt w:val="bullet"/>
      <w:start w:val="1"/>
    </w:lvl>
  </w:abstractNum>
  <w:abstractNum w:abstractNumId="154">
    <w:nsid w:val="72E3413A"/>
    <w:multiLevelType w:val="hybridMultilevel"/>
    <w:lvl w:ilvl="0">
      <w:lvlJc w:val="left"/>
      <w:lvlText w:val="∎"/>
      <w:numFmt w:val="bullet"/>
      <w:start w:val="1"/>
    </w:lvl>
    <w:lvl w:ilvl="1">
      <w:lvlJc w:val="left"/>
      <w:lvlText w:val="∎"/>
      <w:numFmt w:val="bullet"/>
      <w:start w:val="1"/>
    </w:lvl>
  </w:abstractNum>
  <w:abstractNum w:abstractNumId="155">
    <w:nsid w:val="116AE494"/>
    <w:multiLevelType w:val="hybridMultilevel"/>
    <w:lvl w:ilvl="0">
      <w:lvlJc w:val="left"/>
      <w:lvlText w:val="∎"/>
      <w:numFmt w:val="bullet"/>
      <w:start w:val="1"/>
    </w:lvl>
  </w:abstractNum>
  <w:abstractNum w:abstractNumId="156">
    <w:nsid w:val="3494B2FB"/>
    <w:multiLevelType w:val="hybridMultilevel"/>
    <w:lvl w:ilvl="0">
      <w:lvlJc w:val="left"/>
      <w:lvlText w:val="(%1)"/>
      <w:numFmt w:val="decimal"/>
      <w:start w:val="1"/>
    </w:lvl>
  </w:abstractNum>
  <w:abstractNum w:abstractNumId="157">
    <w:nsid w:val="B13A31"/>
    <w:multiLevelType w:val="hybridMultilevel"/>
    <w:lvl w:ilvl="0">
      <w:lvlJc w:val="left"/>
      <w:lvlText w:val="(%1)"/>
      <w:numFmt w:val="decimal"/>
      <w:start w:val="4"/>
    </w:lvl>
  </w:abstractNum>
  <w:abstractNum w:abstractNumId="158">
    <w:nsid w:val="64429599"/>
    <w:multiLevelType w:val="hybridMultilevel"/>
    <w:lvl w:ilvl="0">
      <w:lvlJc w:val="left"/>
      <w:lvlText w:val="∎"/>
      <w:numFmt w:val="bullet"/>
      <w:start w:val="1"/>
    </w:lvl>
  </w:abstractNum>
  <w:abstractNum w:abstractNumId="159">
    <w:nsid w:val="631F1690"/>
    <w:multiLevelType w:val="hybridMultilevel"/>
    <w:lvl w:ilvl="0">
      <w:lvlJc w:val="left"/>
      <w:lvlText w:val="$"/>
      <w:numFmt w:val="bullet"/>
      <w:start w:val="1"/>
    </w:lvl>
  </w:abstractNum>
  <w:abstractNum w:abstractNumId="160">
    <w:nsid w:val="25973E32"/>
    <w:multiLevelType w:val="hybridMultilevel"/>
    <w:lvl w:ilvl="0">
      <w:lvlJc w:val="left"/>
      <w:lvlText w:val="∎"/>
      <w:numFmt w:val="bullet"/>
      <w:start w:val="1"/>
    </w:lvl>
  </w:abstractNum>
  <w:abstractNum w:abstractNumId="161">
    <w:nsid w:val="EAD6F57"/>
    <w:multiLevelType w:val="hybridMultilevel"/>
    <w:lvl w:ilvl="0">
      <w:lvlJc w:val="left"/>
      <w:lvlText w:val="∎"/>
      <w:numFmt w:val="bullet"/>
      <w:start w:val="1"/>
    </w:lvl>
  </w:abstractNum>
  <w:abstractNum w:abstractNumId="162">
    <w:nsid w:val="6EC9D844"/>
    <w:multiLevelType w:val="hybridMultilevel"/>
    <w:lvl w:ilvl="0">
      <w:lvlJc w:val="left"/>
      <w:lvlText w:val="∎"/>
      <w:numFmt w:val="bullet"/>
      <w:start w:val="1"/>
    </w:lvl>
  </w:abstractNum>
  <w:abstractNum w:abstractNumId="163">
    <w:nsid w:val="5C49EAEE"/>
    <w:multiLevelType w:val="hybridMultilevel"/>
    <w:lvl w:ilvl="0">
      <w:lvlJc w:val="left"/>
      <w:lvlText w:val="1"/>
      <w:numFmt w:val="bullet"/>
      <w:start w:val="1"/>
    </w:lvl>
  </w:abstractNum>
  <w:abstractNum w:abstractNumId="164">
    <w:nsid w:val="64AF49B"/>
    <w:multiLevelType w:val="hybridMultilevel"/>
    <w:lvl w:ilvl="0">
      <w:lvlJc w:val="left"/>
      <w:lvlText w:val="%1)"/>
      <w:numFmt w:val="lowerRoman"/>
      <w:start w:val="1"/>
    </w:lvl>
  </w:abstractNum>
  <w:abstractNum w:abstractNumId="165">
    <w:nsid w:val="397C46BC"/>
    <w:multiLevelType w:val="hybridMultilevel"/>
    <w:lvl w:ilvl="0">
      <w:lvlJc w:val="left"/>
      <w:lvlText w:val="%1)"/>
      <w:numFmt w:val="lowerRoman"/>
      <w:start w:val="1"/>
    </w:lvl>
  </w:abstractNum>
  <w:abstractNum w:abstractNumId="166">
    <w:nsid w:val="7E448DE9"/>
    <w:multiLevelType w:val="hybridMultilevel"/>
    <w:lvl w:ilvl="0">
      <w:lvlJc w:val="left"/>
      <w:lvlText w:val="(%1)"/>
      <w:numFmt w:val="lowerRoman"/>
      <w:start w:val="1"/>
    </w:lvl>
  </w:abstractNum>
  <w:abstractNum w:abstractNumId="167">
    <w:nsid w:val="5A9CC3E5"/>
    <w:multiLevelType w:val="hybridMultilevel"/>
    <w:lvl w:ilvl="0">
      <w:lvlJc w:val="left"/>
      <w:lvlText w:val="(%1)"/>
      <w:numFmt w:val="lowerRoman"/>
      <w:start w:val="1"/>
    </w:lvl>
  </w:abstractNum>
  <w:abstractNum w:abstractNumId="168">
    <w:nsid w:val="1AFE3625"/>
    <w:multiLevelType w:val="hybridMultilevel"/>
    <w:lvl w:ilvl="0">
      <w:lvlJc w:val="left"/>
      <w:lvlText w:val="%1)"/>
      <w:numFmt w:val="lowerRoman"/>
      <w:start w:val="1"/>
    </w:lvl>
  </w:abstractNum>
  <w:abstractNum w:abstractNumId="169">
    <w:nsid w:val="3CA88ECF"/>
    <w:multiLevelType w:val="hybridMultilevel"/>
    <w:lvl w:ilvl="0">
      <w:lvlJc w:val="left"/>
      <w:lvlText w:val="%1."/>
      <w:numFmt w:val="lowerRoman"/>
      <w:start w:val="1"/>
    </w:lvl>
  </w:abstractNum>
  <w:abstractNum w:abstractNumId="170">
    <w:nsid w:val="6EBE4208"/>
    <w:multiLevelType w:val="hybridMultilevel"/>
    <w:lvl w:ilvl="0">
      <w:lvlJc w:val="left"/>
      <w:lvlText w:val="%1."/>
      <w:numFmt w:val="decimal"/>
      <w:start w:val="2"/>
    </w:lvl>
  </w:abstractNum>
  <w:abstractNum w:abstractNumId="171">
    <w:nsid w:val="C058DF5"/>
    <w:multiLevelType w:val="hybridMultilevel"/>
    <w:lvl w:ilvl="0">
      <w:lvlJc w:val="left"/>
      <w:lvlText w:val="•"/>
      <w:numFmt w:val="bullet"/>
      <w:start w:val="1"/>
    </w:lvl>
  </w:abstractNum>
  <w:abstractNum w:abstractNumId="172">
    <w:nsid w:val="CBE5BE9"/>
    <w:multiLevelType w:val="hybridMultilevel"/>
    <w:lvl w:ilvl="0">
      <w:lvlJc w:val="left"/>
      <w:lvlText w:val="%1)"/>
      <w:numFmt w:val="lowerLetter"/>
      <w:start w:val="1"/>
    </w:lvl>
  </w:abstractNum>
  <w:abstractNum w:abstractNumId="173">
    <w:nsid w:val="3102BBE2"/>
    <w:multiLevelType w:val="hybridMultilevel"/>
    <w:lvl w:ilvl="0">
      <w:lvlJc w:val="left"/>
      <w:lvlText w:val="•"/>
      <w:numFmt w:val="bullet"/>
      <w:start w:val="1"/>
    </w:lvl>
  </w:abstractNum>
  <w:abstractNum w:abstractNumId="174">
    <w:nsid w:val="26A02C5E"/>
    <w:multiLevelType w:val="hybridMultilevel"/>
    <w:lvl w:ilvl="0">
      <w:lvlJc w:val="left"/>
      <w:lvlText w:val="•"/>
      <w:numFmt w:val="bullet"/>
      <w:start w:val="1"/>
    </w:lvl>
  </w:abstractNum>
  <w:abstractNum w:abstractNumId="175">
    <w:nsid w:val="541C8153"/>
    <w:multiLevelType w:val="hybridMultilevel"/>
    <w:lvl w:ilvl="0">
      <w:lvlJc w:val="left"/>
      <w:lvlText w:val="•"/>
      <w:numFmt w:val="bullet"/>
      <w:start w:val="1"/>
    </w:lvl>
  </w:abstractNum>
  <w:abstractNum w:abstractNumId="176">
    <w:nsid w:val="67906F60"/>
    <w:multiLevelType w:val="hybridMultilevel"/>
    <w:lvl w:ilvl="0">
      <w:lvlJc w:val="left"/>
      <w:lvlText w:val="•"/>
      <w:numFmt w:val="bullet"/>
      <w:start w:val="1"/>
    </w:lvl>
  </w:abstractNum>
  <w:abstractNum w:abstractNumId="177">
    <w:nsid w:val="10DB9DAA"/>
    <w:multiLevelType w:val="hybridMultilevel"/>
    <w:lvl w:ilvl="0">
      <w:lvlJc w:val="left"/>
      <w:lvlText w:val="%1)"/>
      <w:numFmt w:val="lowerLetter"/>
      <w:start w:val="10"/>
    </w:lvl>
  </w:abstractNum>
  <w:abstractNum w:abstractNumId="178">
    <w:nsid w:val="697D2D2"/>
    <w:multiLevelType w:val="hybridMultilevel"/>
    <w:lvl w:ilvl="0">
      <w:lvlJc w:val="left"/>
      <w:lvlText w:val="%1."/>
      <w:numFmt w:val="decimal"/>
      <w:start w:val="5"/>
    </w:lvl>
  </w:abstractNum>
  <w:abstractNum w:abstractNumId="179">
    <w:nsid w:val="6D68AB2"/>
    <w:multiLevelType w:val="hybridMultilevel"/>
    <w:lvl w:ilvl="0">
      <w:lvlJc w:val="left"/>
      <w:lvlText w:val="%1."/>
      <w:numFmt w:val="decimal"/>
      <w:start w:val="7"/>
    </w:lvl>
  </w:abstractNum>
  <w:abstractNum w:abstractNumId="180">
    <w:nsid w:val="3A966CD0"/>
    <w:multiLevelType w:val="hybridMultilevel"/>
    <w:lvl w:ilvl="0">
      <w:lvlJc w:val="left"/>
      <w:lvlText w:val="•"/>
      <w:numFmt w:val="bullet"/>
      <w:start w:val="1"/>
    </w:lvl>
  </w:abstractNum>
  <w:abstractNum w:abstractNumId="181">
    <w:nsid w:val="63F37E85"/>
    <w:multiLevelType w:val="hybridMultilevel"/>
    <w:lvl w:ilvl="0">
      <w:lvlJc w:val="left"/>
      <w:lvlText w:val="•"/>
      <w:numFmt w:val="bullet"/>
      <w:start w:val="1"/>
    </w:lvl>
  </w:abstractNum>
  <w:abstractNum w:abstractNumId="182">
    <w:nsid w:val="5895F5FA"/>
    <w:multiLevelType w:val="hybridMultilevel"/>
    <w:lvl w:ilvl="0">
      <w:lvlJc w:val="left"/>
      <w:lvlText w:val="•"/>
      <w:numFmt w:val="bullet"/>
      <w:start w:val="1"/>
    </w:lvl>
  </w:abstractNum>
  <w:abstractNum w:abstractNumId="183">
    <w:nsid w:val="38A5D054"/>
    <w:multiLevelType w:val="hybridMultilevel"/>
    <w:lvl w:ilvl="0">
      <w:lvlJc w:val="left"/>
      <w:lvlText w:val="•"/>
      <w:numFmt w:val="bullet"/>
      <w:start w:val="1"/>
    </w:lvl>
  </w:abstractNum>
  <w:abstractNum w:abstractNumId="184">
    <w:nsid w:val="F3F09D8"/>
    <w:multiLevelType w:val="hybridMultilevel"/>
    <w:lvl w:ilvl="0">
      <w:lvlJc w:val="left"/>
      <w:lvlText w:val="%1."/>
      <w:numFmt w:val="decimal"/>
      <w:start w:val="24"/>
    </w:lvl>
  </w:abstractNum>
  <w:abstractNum w:abstractNumId="185">
    <w:nsid w:val="4B793735"/>
    <w:multiLevelType w:val="hybridMultilevel"/>
    <w:lvl w:ilvl="0">
      <w:lvlJc w:val="left"/>
      <w:lvlText w:val="24.%1."/>
      <w:numFmt w:val="decimal"/>
      <w:start w:val="1"/>
    </w:lvl>
  </w:abstractNum>
  <w:abstractNum w:abstractNumId="186">
    <w:nsid w:val="4A10B4E8"/>
    <w:multiLevelType w:val="hybridMultilevel"/>
    <w:lvl w:ilvl="0">
      <w:lvlJc w:val="left"/>
      <w:lvlText w:val="•"/>
      <w:numFmt w:val="bullet"/>
      <w:start w:val="1"/>
    </w:lvl>
  </w:abstractNum>
  <w:abstractNum w:abstractNumId="187">
    <w:nsid w:val="43D3BCD4"/>
    <w:multiLevelType w:val="hybridMultilevel"/>
    <w:lvl w:ilvl="0">
      <w:lvlJc w:val="left"/>
      <w:lvlText w:val="•"/>
      <w:numFmt w:val="bullet"/>
      <w:start w:val="1"/>
    </w:lvl>
  </w:abstractNum>
  <w:abstractNum w:abstractNumId="188">
    <w:nsid w:val="4C2A7166"/>
    <w:multiLevelType w:val="hybridMultilevel"/>
    <w:lvl w:ilvl="0">
      <w:lvlJc w:val="left"/>
      <w:lvlText w:val="%1."/>
      <w:numFmt w:val="decimal"/>
      <w:start w:val="28"/>
    </w:lvl>
    <w:lvl w:ilvl="1">
      <w:lvlJc w:val="left"/>
      <w:lvlText w:val="•"/>
      <w:numFmt w:val="bullet"/>
      <w:start w:val="1"/>
    </w:lvl>
    <w:lvl w:ilvl="2">
      <w:lvlJc w:val="left"/>
      <w:lvlText w:val="•"/>
      <w:numFmt w:val="bullet"/>
      <w:start w:val="1"/>
    </w:lvl>
  </w:abstractNum>
  <w:abstractNum w:abstractNumId="189">
    <w:nsid w:val="2E534A82"/>
    <w:multiLevelType w:val="hybridMultilevel"/>
    <w:lvl w:ilvl="0">
      <w:lvlJc w:val="left"/>
      <w:lvlText w:val="(%1)"/>
      <w:numFmt w:val="lowerLetter"/>
      <w:start w:val="1"/>
    </w:lvl>
  </w:abstractNum>
  <w:abstractNum w:abstractNumId="190">
    <w:nsid w:val="26F2D364"/>
    <w:multiLevelType w:val="hybridMultilevel"/>
    <w:lvl w:ilvl="0">
      <w:lvlJc w:val="left"/>
      <w:lvlText w:val="(%1)"/>
      <w:numFmt w:val="lowerLetter"/>
      <w:start w:val="3"/>
    </w:lvl>
  </w:abstractNum>
  <w:abstractNum w:abstractNumId="191">
    <w:nsid w:val="71C1AF98"/>
    <w:multiLevelType w:val="hybridMultilevel"/>
    <w:lvl w:ilvl="0">
      <w:lvlJc w:val="left"/>
      <w:lvlText w:val="•"/>
      <w:numFmt w:val="bullet"/>
      <w:start w:val="1"/>
    </w:lvl>
  </w:abstractNum>
  <w:abstractNum w:abstractNumId="192">
    <w:nsid w:val="3D00B9D9"/>
    <w:multiLevelType w:val="hybridMultilevel"/>
    <w:lvl w:ilvl="0">
      <w:lvlJc w:val="left"/>
      <w:lvlText w:val="%1."/>
      <w:numFmt w:val="decimal"/>
      <w:start w:val="2"/>
    </w:lvl>
  </w:abstractNum>
  <w:abstractNum w:abstractNumId="193">
    <w:nsid w:val="15BCABA8"/>
    <w:multiLevelType w:val="hybridMultilevel"/>
    <w:lvl w:ilvl="0">
      <w:lvlJc w:val="left"/>
      <w:lvlText w:val="•"/>
      <w:numFmt w:val="bullet"/>
      <w:start w:val="1"/>
    </w:lvl>
  </w:abstractNum>
  <w:abstractNum w:abstractNumId="194">
    <w:nsid w:val="4E0B9A87"/>
    <w:multiLevelType w:val="hybridMultilevel"/>
    <w:lvl w:ilvl="0">
      <w:lvlJc w:val="left"/>
      <w:lvlText w:val="%1."/>
      <w:numFmt w:val="decimal"/>
      <w:start w:val="7"/>
    </w:lvl>
  </w:abstractNum>
  <w:abstractNum w:abstractNumId="195">
    <w:nsid w:val="434BAE75"/>
    <w:multiLevelType w:val="hybridMultilevel"/>
    <w:lvl w:ilvl="0">
      <w:lvlJc w:val="left"/>
      <w:lvlText w:val="•"/>
      <w:numFmt w:val="bullet"/>
      <w:start w:val="1"/>
    </w:lvl>
  </w:abstractNum>
  <w:abstractNum w:abstractNumId="196">
    <w:nsid w:val="4F38F265"/>
    <w:multiLevelType w:val="hybridMultilevel"/>
    <w:lvl w:ilvl="0">
      <w:lvlJc w:val="left"/>
      <w:lvlText w:val="•"/>
      <w:numFmt w:val="bullet"/>
      <w:start w:val="1"/>
    </w:lvl>
  </w:abstractNum>
  <w:abstractNum w:abstractNumId="197">
    <w:nsid w:val="4C502870"/>
    <w:multiLevelType w:val="hybridMultilevel"/>
    <w:lvl w:ilvl="0">
      <w:lvlJc w:val="left"/>
      <w:lvlText w:val="•"/>
      <w:numFmt w:val="bullet"/>
      <w:start w:val="1"/>
    </w:lvl>
  </w:abstractNum>
  <w:abstractNum w:abstractNumId="198">
    <w:nsid w:val="1DE8725A"/>
    <w:multiLevelType w:val="hybridMultilevel"/>
    <w:lvl w:ilvl="0">
      <w:lvlJc w:val="left"/>
      <w:lvlText w:val="%1."/>
      <w:numFmt w:val="decimal"/>
      <w:start w:val="11"/>
    </w:lvl>
  </w:abstractNum>
  <w:abstractNum w:abstractNumId="199">
    <w:nsid w:val="6A37288A"/>
    <w:multiLevelType w:val="hybridMultilevel"/>
    <w:lvl w:ilvl="0">
      <w:lvlJc w:val="left"/>
      <w:lvlText w:val="%1."/>
      <w:numFmt w:val="decimal"/>
      <w:start w:val="12"/>
    </w:lvl>
  </w:abstractNum>
  <w:abstractNum w:abstractNumId="200">
    <w:nsid w:val="8F8B73F"/>
    <w:multiLevelType w:val="hybridMultilevel"/>
    <w:lvl w:ilvl="0">
      <w:lvlJc w:val="left"/>
      <w:lvlText w:val="B"/>
      <w:numFmt w:val="bullet"/>
      <w:start w:val="1"/>
    </w:lvl>
  </w:abstractNum>
  <w:abstractNum w:abstractNumId="201">
    <w:nsid w:val="CA6B462"/>
    <w:multiLevelType w:val="hybridMultilevel"/>
    <w:lvl w:ilvl="0">
      <w:lvlJc w:val="left"/>
      <w:lvlText w:val="•"/>
      <w:numFmt w:val="bullet"/>
      <w:start w:val="1"/>
    </w:lvl>
  </w:abstractNum>
  <w:abstractNum w:abstractNumId="202">
    <w:nsid w:val="763CB680"/>
    <w:multiLevelType w:val="hybridMultilevel"/>
    <w:lvl w:ilvl="0">
      <w:lvlJc w:val="left"/>
      <w:lvlText w:val="C"/>
      <w:numFmt w:val="bullet"/>
      <w:start w:val="1"/>
    </w:lvl>
  </w:abstractNum>
  <w:abstractNum w:abstractNumId="203">
    <w:nsid w:val="15B71329"/>
    <w:multiLevelType w:val="hybridMultilevel"/>
    <w:lvl w:ilvl="0">
      <w:lvlJc w:val="left"/>
      <w:lvlText w:val="D"/>
      <w:numFmt w:val="bullet"/>
      <w:start w:val="1"/>
    </w:lvl>
  </w:abstractNum>
  <w:abstractNum w:abstractNumId="204">
    <w:nsid w:val="3DA97044"/>
    <w:multiLevelType w:val="hybridMultilevel"/>
    <w:lvl w:ilvl="0">
      <w:lvlJc w:val="left"/>
      <w:lvlText w:val="E"/>
      <w:numFmt w:val="bullet"/>
      <w:start w:val="1"/>
    </w:lvl>
  </w:abstractNum>
  <w:abstractNum w:abstractNumId="205">
    <w:nsid w:val="1CDCE2DE"/>
    <w:multiLevelType w:val="hybridMultilevel"/>
    <w:lvl w:ilvl="0">
      <w:lvlJc w:val="left"/>
      <w:lvlText w:val="∎"/>
      <w:numFmt w:val="bullet"/>
      <w:start w:val="1"/>
    </w:lvl>
  </w:abstractNum>
  <w:abstractNum w:abstractNumId="206">
    <w:nsid w:val="69D3947C"/>
    <w:multiLevelType w:val="hybridMultilevel"/>
    <w:lvl w:ilvl="0">
      <w:lvlJc w:val="left"/>
      <w:lvlText w:val="∎"/>
      <w:numFmt w:val="bullet"/>
      <w:start w:val="1"/>
    </w:lvl>
  </w:abstractNum>
  <w:abstractNum w:abstractNumId="207">
    <w:nsid w:val="2539DFA5"/>
    <w:multiLevelType w:val="hybridMultilevel"/>
    <w:lvl w:ilvl="0">
      <w:lvlJc w:val="left"/>
      <w:lvlText w:val="∎"/>
      <w:numFmt w:val="bullet"/>
      <w:start w:val="1"/>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0">
    <w:nsid w:val="2C106A57"/>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211">
    <w:nsid w:val="684EED59"/>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12">
    <w:nsid w:val="545EE5D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13">
    <w:nsid w:val="4A6605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14">
    <w:nsid w:val="20F4BDA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15">
    <w:nsid w:val="639DE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69" Type="http://schemas.openxmlformats.org/officeDocument/2006/relationships/image" Target="media/image552.png"/><Relationship Id="rId570" Type="http://schemas.openxmlformats.org/officeDocument/2006/relationships/image" Target="media/image553.png"/><Relationship Id="rId571" Type="http://schemas.openxmlformats.org/officeDocument/2006/relationships/image" Target="media/image554.png"/><Relationship Id="rId572" Type="http://schemas.openxmlformats.org/officeDocument/2006/relationships/image" Target="media/image555.png"/><Relationship Id="rId559" Type="http://schemas.openxmlformats.org/officeDocument/2006/relationships/hyperlink" Target="http://www.sec.gov/Archives/edgar/data/1719714/000119312519016112/d680874dex31.htm" TargetMode="External"/><Relationship Id="rId560" Type="http://schemas.openxmlformats.org/officeDocument/2006/relationships/hyperlink" Target="http://www.sec.gov/Archives/edgar/data/1719714/000119312519016112/d680874dex42.htm" TargetMode="External"/><Relationship Id="rId561" Type="http://schemas.openxmlformats.org/officeDocument/2006/relationships/hyperlink" Target="http://www.sec.gov/Archives/edgar/data/1719714/000119312520040643/d885226dex51.htm" TargetMode="External"/><Relationship Id="rId562" Type="http://schemas.openxmlformats.org/officeDocument/2006/relationships/hyperlink" Target="http://www.sec.gov/Archives/edgar/data/1719714/000119312520029019/d884665dex101.htm" TargetMode="External"/><Relationship Id="rId563" Type="http://schemas.openxmlformats.org/officeDocument/2006/relationships/hyperlink" Target="http://www.sec.gov/Archives/edgar/data/1719714/000119312520029019/d884665dex102.htm" TargetMode="External"/><Relationship Id="rId564" Type="http://schemas.openxmlformats.org/officeDocument/2006/relationships/hyperlink" Target="http://www.sec.gov/Archives/edgar/data/1719714/000119312520041452/d886556dex101.htm" TargetMode="External"/><Relationship Id="rId565" Type="http://schemas.openxmlformats.org/officeDocument/2006/relationships/hyperlink" Target="http://www.sec.gov/Archives/edgar/data/1719714/000119312520041452/d886556dex102.htm" TargetMode="External"/><Relationship Id="rId566" Type="http://schemas.openxmlformats.org/officeDocument/2006/relationships/hyperlink" Target="http://www.sec.gov/Archives/edgar/data/1719714/000119312519125560/d734372dex81.htm" TargetMode="External"/><Relationship Id="rId567" Type="http://schemas.openxmlformats.org/officeDocument/2006/relationships/hyperlink" Target="http://www.sec.gov/Archives/edgar/data/1719714/000119312520065267/d885226dex231.htm" TargetMode="External"/><Relationship Id="rId568" Type="http://schemas.openxmlformats.org/officeDocument/2006/relationships/hyperlink" Target="http://www.sec.gov/Archives/edgar/data/1719714/000119312520065267/d885226dex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2020-03-12T16:19:02Z</dcterms:created>
  <dcterms:modified xsi:type="dcterms:W3CDTF">2020-03-12T16:19:02Z</dcterms:modified>
</cp:coreProperties>
</file>