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12)*</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16510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Attention: Brian Kleinhaus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40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of the Issuer, which are quoted on the Nasdaq Global Market under the symbol "MREO." Each ADR represents 5 Ordinary Shares.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4"/>
          <w:szCs w:val="24"/>
          <w:color w:val="auto"/>
        </w:rPr>
      </w:pPr>
    </w:p>
    <w:p>
      <w:pPr>
        <w:ind w:right="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15" w:lineRule="exact"/>
        <w:rPr>
          <w:sz w:val="20"/>
          <w:szCs w:val="20"/>
          <w:color w:val="auto"/>
        </w:rPr>
      </w:pPr>
    </w:p>
    <w:p>
      <w:pPr>
        <w:jc w:val="right"/>
        <w:ind w:left="1960" w:right="6980" w:hanging="1234"/>
        <w:spacing w:after="0" w:line="194" w:lineRule="auto"/>
        <w:tabs>
          <w:tab w:leader="none" w:pos="1636" w:val="left"/>
        </w:tabs>
        <w:numPr>
          <w:ilvl w:val="0"/>
          <w:numId w:val="2"/>
        </w:numPr>
        <w:rPr>
          <w:rFonts w:ascii="Arial" w:cs="Arial" w:eastAsia="Arial" w:hAnsi="Arial"/>
          <w:sz w:val="32"/>
          <w:szCs w:val="32"/>
          <w:b w:val="1"/>
          <w:bCs w:val="1"/>
          <w:color w:val="auto"/>
          <w:vertAlign w:val="subscript"/>
        </w:rPr>
      </w:pPr>
      <w:r>
        <w:rPr>
          <w:rFonts w:ascii="Arial" w:cs="Arial" w:eastAsia="Arial" w:hAnsi="Arial"/>
          <w:sz w:val="16"/>
          <w:szCs w:val="16"/>
          <w:color w:val="auto"/>
        </w:rPr>
        <w:t>NAME OF REPORTING PERSON 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526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5"/>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State of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97,326,555 Ordinary Shares (including 65,376,555 Ordinary Shares represented by 13,075,311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97,326,555 Ordinary Shares (including 65,376,555 Ordinary Shares represented by 13,075,311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97,326,555 Ordinary Shares (including 65,376,555 Ordinary Shares represented by 13,075,311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13.88%</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PN, IA</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8"/>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3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15" w:lineRule="exact"/>
        <w:rPr>
          <w:sz w:val="20"/>
          <w:szCs w:val="20"/>
          <w:color w:val="auto"/>
        </w:rPr>
      </w:pPr>
    </w:p>
    <w:p>
      <w:pPr>
        <w:ind w:left="1960" w:right="7020" w:hanging="1234"/>
        <w:spacing w:after="0" w:line="182" w:lineRule="auto"/>
        <w:tabs>
          <w:tab w:leader="none" w:pos="1636" w:val="left"/>
        </w:tabs>
        <w:numPr>
          <w:ilvl w:val="0"/>
          <w:numId w:val="6"/>
        </w:numPr>
        <w:rPr>
          <w:rFonts w:ascii="Arial" w:cs="Arial" w:eastAsia="Arial" w:hAnsi="Arial"/>
          <w:sz w:val="34"/>
          <w:szCs w:val="34"/>
          <w:b w:val="1"/>
          <w:bCs w:val="1"/>
          <w:color w:val="auto"/>
          <w:vertAlign w:val="subscript"/>
        </w:rPr>
      </w:pPr>
      <w:r>
        <w:rPr>
          <w:rFonts w:ascii="Arial" w:cs="Arial" w:eastAsia="Arial" w:hAnsi="Arial"/>
          <w:sz w:val="17"/>
          <w:szCs w:val="17"/>
          <w:color w:val="auto"/>
        </w:rPr>
        <w:t>NAME OF REPORTING PERSON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526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8"/>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9"/>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United States of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97,326,555 Ordinary Shares (including 65,376,555 Ordinary Shares represented by 13,075,311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97,326,555 Ordinary Shares (including 65,376,555 Ordinary Shares represented by 13,075,311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97,326,555 Ordinary Shares (including 65,376,555 Ordinary Shares represented by 13,075,311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13.88%</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IN</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8"/>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Schedule 13D amends the Schedule 13D initially filed by the Reporting Persons with the Securities and Exchange Commission on May 26, 2022 with respect to the ordinary shares of stock, par value , £0.003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Mereo BioPharma Group plc, a public limited company under the laws of England and Wales (the “</w:t>
      </w:r>
      <w:r>
        <w:rPr>
          <w:rFonts w:ascii="Arial" w:cs="Arial" w:eastAsia="Arial" w:hAnsi="Arial"/>
          <w:sz w:val="18"/>
          <w:szCs w:val="18"/>
          <w:u w:val="single" w:color="auto"/>
          <w:color w:val="auto"/>
        </w:rPr>
        <w:t>Issuer</w:t>
      </w:r>
      <w:r>
        <w:rPr>
          <w:rFonts w:ascii="Arial" w:cs="Arial" w:eastAsia="Arial" w:hAnsi="Arial"/>
          <w:sz w:val="18"/>
          <w:szCs w:val="18"/>
          <w:color w:val="auto"/>
        </w:rPr>
        <w:t>”), which was subsequently amended on June 9, 2022, June 14, 2022, August 24, 2022, September 23, 2022, October 28, 2022, June 14, 2023, October 31, 2023, November 2, 2023, November 6, 2023, November 8, 2023, and November 13, 2023 (collectively, including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IN SECURITIES OF THE ISSUER</w:t>
      </w:r>
    </w:p>
    <w:p>
      <w:pPr>
        <w:spacing w:after="0" w:line="229" w:lineRule="exact"/>
        <w:rPr>
          <w:sz w:val="20"/>
          <w:szCs w:val="20"/>
          <w:color w:val="auto"/>
        </w:rPr>
      </w:pPr>
    </w:p>
    <w:p>
      <w:pPr>
        <w:ind w:left="660" w:right="22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rows (11) and (13) of the cover pages to this Schedule 13D for the aggregate number of Ordinary Shares and percentages of the Ordinary Shares beneficially owned by each of the Reporting Persons. The percentages used in this Schedule 13D are calculated based upon 701,217,089 Ordinary Shares reported to be outstanding as of July 2023 in Exhibit 99.1 and 99.2 attached to the Issuer’s filing on Form 6-K filed with the Securities and Exchange Commission on September 7, 2023.</w:t>
      </w:r>
    </w:p>
    <w:p>
      <w:pPr>
        <w:spacing w:after="0" w:line="187" w:lineRule="exact"/>
        <w:rPr>
          <w:sz w:val="20"/>
          <w:szCs w:val="20"/>
          <w:color w:val="auto"/>
        </w:rPr>
      </w:pPr>
    </w:p>
    <w:p>
      <w:pPr>
        <w:ind w:left="660" w:right="7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Schedule A annexed hereto lists all transactions in the securities of the Issuer by the Reporting Persons during the past 60 days. All such transactions were effected in the open market unless otherwise noted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6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in the Securities of the Issuer During the Past 60 Days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Nature of</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8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Price per Security</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 of</w:t>
            </w:r>
          </w:p>
        </w:tc>
      </w:tr>
      <w:tr>
        <w:trPr>
          <w:trHeight w:val="23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Purchased/(Sold)</w:t>
            </w:r>
          </w:p>
        </w:tc>
        <w:tc>
          <w:tcPr>
            <w:tcW w:w="2820" w:type="dxa"/>
            <w:vAlign w:val="bottom"/>
            <w:tcBorders>
              <w:bottom w:val="single" w:sz="8" w:color="auto"/>
              <w:right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Purchase/Sale</w:t>
            </w:r>
          </w:p>
        </w:tc>
      </w:tr>
      <w:tr>
        <w:trPr>
          <w:trHeight w:val="21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1,440</w:t>
            </w:r>
          </w:p>
        </w:tc>
        <w:tc>
          <w:tcPr>
            <w:tcW w:w="2820" w:type="dxa"/>
            <w:vAlign w:val="bottom"/>
            <w:tcBorders>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2.06</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11/13/2023</w:t>
            </w:r>
          </w:p>
        </w:tc>
      </w:tr>
      <w:tr>
        <w:trPr>
          <w:trHeight w:val="668"/>
        </w:trPr>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6"/>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4"/>
      <w:numFmt w:val="bullet"/>
      <w:start w:val="1"/>
    </w:lvl>
  </w:abstractNum>
  <w:abstractNum w:abstractNumId="8">
    <w:nsid w:val="4DB127F8"/>
    <w:multiLevelType w:val="hybridMultilevel"/>
    <w:lvl w:ilvl="0">
      <w:lvlJc w:val="left"/>
      <w:lvlText w:val="6"/>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2023-11-15T07:32:21Z</dcterms:created>
  <dcterms:modified xsi:type="dcterms:W3CDTF">2023-11-15T07:32:21Z</dcterms:modified>
</cp:coreProperties>
</file>