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One Cavendish Place,</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28, 2022 titled “Mereo BioPharma Reaches Cooperation Agreement with Rubric Capital Management.”</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Cooperation Agreement dated October 28, 2022.</w:t>
      </w:r>
    </w:p>
    <w:p>
      <w:pPr>
        <w:sectPr>
          <w:pgSz w:w="11900" w:h="16838" w:orient="portrait"/>
          <w:cols w:equalWidth="0" w:num="1">
            <w:col w:w="10180"/>
          </w:cols>
          <w:pgMar w:left="440" w:top="266" w:right="12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Reaches Cooperation Agreement with Rubric Capital Management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Mereo to Appoint Four New Directors to its Board of Directors</w:t>
      </w:r>
    </w:p>
    <w:p>
      <w:pPr>
        <w:spacing w:after="0" w:line="225"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Rubric has Withdrawn its General Meeting Requisition Notice and Related Proposals; Agrees to Standstill Provision Through Mereo’s 2024 Annual General Meeting of Shareholders</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LONDON – October 28, 2022 – Mereo BioPharma Group plc (NASDAQ: MREO), (“Mereo” or the “Company”), a clinical-stage biopharmaceutical company focused on rare diseases and oncology, today announced it has entered into a cooperation agreement (the “Agreement”) with Rubric Capital Management LP (“Rubric”), its largest shareholder. Pursuant to the Agreement, four new directors – Dr. Annalisa Jenkins, Dr. Daniel Shames, Mr. Marc Yoskowitz and Mr. Justin Roberts – will be appointed to the Company’s Board of Directors as soon as practicable. Concurrent with these appointments taking effect, directors Dr. Peter Fellner, Dr. Brian Schwartz, Dr. Abdul Mullick and Ms. Anne Hyland will resign from the Board.</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Rubric has withdrawn its notice dated October 3, 2022 (the “Requisition Notice”) which required Mereo to call a General Meeting of its shareholders (the “General Meeting”).</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appreciated Rubric’s perspectives over the last several months and are pleased to have reached this Agreement,” said Michael Wyzga, Chair of Mereo’s Board of Directors. “We look forward to working together constructively with our new colleagues to create value for all Mereo shareholders. I also want to thank our outgoing directors, each of whom has been instrumental in getting Mereo to where it is today, for their commitment and contributions to the Company.”</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“Rubric invested in Mereo because we believe in the Company’s mission and the inherent potential of its promising programs. Our Agreement reflects our confidence in that potential and our shared goal to maximize impact and value for all shareholders,” said David Rosen, Founder and Partner of Rubric Capital Management. “We are pleased to have reached a constructive resolution and look forward to working diligently with management and the full Board as Mereo continues its important work.”</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“Now that we have reached this Agreement with Rubric, we will focus our attention executing on our revised operating plan and optimizing the value of the Company’s assets,” said Denise Scots-Knight, Chief Executive Officer of Mereo. “We look forward to working with the Board as we guide our rare disease programs, setrusumab and alvelestat, through important milestones over the coming year.”</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light of the Agreement with Rubric and the withdrawal of the Requisition Notice, the chair of the General Meeting, which is scheduled to be held on November 18, 2022, intends to present a motion withdrawing the Resolutions. It is not intended that the resolutions proposed by Rubric in the withdrawn Requisition Notice will be put to a vote. Shareholders are encouraged not to attend, submit voting instructions or proxies for, or take any other action in relation to the General Meeting.</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Mereo BioPharma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(2 - &lt;5 years old) in the first half of 2023.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Fast Track designation from the FDA,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000"/>
          </w:cols>
          <w:pgMar w:left="440" w:top="266"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24"/>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+44</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60" w:type="dxa"/>
            <w:vAlign w:val="bottom"/>
          </w:tcPr>
          <w:p>
            <w:pPr>
              <w:spacing w:after="0"/>
              <w:rPr>
                <w:sz w:val="24"/>
                <w:szCs w:val="24"/>
                <w:color w:val="auto"/>
              </w:rPr>
            </w:pPr>
          </w:p>
        </w:tc>
      </w:tr>
      <w:tr>
        <w:trPr>
          <w:trHeight w:val="30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Charles Sermon, General Counsel</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24"/>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Abernathy MacGregor (Communications Adviser to Mereo)</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+01</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212 371 5999</w:t>
            </w:r>
          </w:p>
        </w:tc>
        <w:tc>
          <w:tcPr>
            <w:tcW w:w="160" w:type="dxa"/>
            <w:vAlign w:val="bottom"/>
          </w:tcPr>
          <w:p>
            <w:pPr>
              <w:spacing w:after="0"/>
              <w:rPr>
                <w:sz w:val="24"/>
                <w:szCs w:val="24"/>
                <w:color w:val="auto"/>
              </w:rPr>
            </w:pPr>
          </w:p>
        </w:tc>
      </w:tr>
      <w:tr>
        <w:trPr>
          <w:trHeight w:val="32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Tom Johnson / Dan Scorpio</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3"/>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25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tbj@abmac.com / dps@abmac.com</w:t>
            </w:r>
          </w:p>
        </w:tc>
      </w:tr>
      <w:tr>
        <w:trPr>
          <w:trHeight w:val="20"/>
        </w:trPr>
        <w:tc>
          <w:tcPr>
            <w:tcW w:w="6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344"/>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+01</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212 213 0006</w:t>
            </w:r>
          </w:p>
        </w:tc>
        <w:tc>
          <w:tcPr>
            <w:tcW w:w="160" w:type="dxa"/>
            <w:vAlign w:val="bottom"/>
          </w:tcPr>
          <w:p>
            <w:pPr>
              <w:spacing w:after="0"/>
              <w:rPr>
                <w:sz w:val="24"/>
                <w:szCs w:val="24"/>
                <w:color w:val="auto"/>
              </w:rPr>
            </w:pPr>
          </w:p>
        </w:tc>
      </w:tr>
      <w:tr>
        <w:trPr>
          <w:trHeight w:val="32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3"/>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investors@mereobiopharma.com</w:t>
            </w:r>
          </w:p>
        </w:tc>
        <w:tc>
          <w:tcPr>
            <w:tcW w:w="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COOPERATION AGREEMENT</w:t>
      </w:r>
    </w:p>
    <w:p>
      <w:pPr>
        <w:spacing w:after="0" w:line="229" w:lineRule="exact"/>
        <w:rPr>
          <w:sz w:val="20"/>
          <w:szCs w:val="20"/>
          <w:color w:val="auto"/>
        </w:rPr>
      </w:pPr>
    </w:p>
    <w:p>
      <w:pPr>
        <w:ind w:right="20" w:firstLine="440"/>
        <w:spacing w:after="0" w:line="238" w:lineRule="auto"/>
        <w:rPr>
          <w:sz w:val="20"/>
          <w:szCs w:val="20"/>
          <w:color w:val="auto"/>
        </w:rPr>
      </w:pPr>
      <w:r>
        <w:rPr>
          <w:rFonts w:ascii="Times New Roman" w:cs="Times New Roman" w:eastAsia="Times New Roman" w:hAnsi="Times New Roman"/>
          <w:sz w:val="18"/>
          <w:szCs w:val="18"/>
          <w:color w:val="auto"/>
        </w:rPr>
        <w:t>This cooperation agreement, dated October 28, 2022 (this “</w:t>
      </w:r>
      <w:r>
        <w:rPr>
          <w:rFonts w:ascii="Times New Roman" w:cs="Times New Roman" w:eastAsia="Times New Roman" w:hAnsi="Times New Roman"/>
          <w:sz w:val="18"/>
          <w:szCs w:val="18"/>
          <w:u w:val="single" w:color="auto"/>
          <w:color w:val="auto"/>
        </w:rPr>
        <w:t>Agreemen</w:t>
      </w:r>
      <w:r>
        <w:rPr>
          <w:rFonts w:ascii="Times New Roman" w:cs="Times New Roman" w:eastAsia="Times New Roman" w:hAnsi="Times New Roman"/>
          <w:sz w:val="18"/>
          <w:szCs w:val="18"/>
          <w:color w:val="auto"/>
        </w:rPr>
        <w:t>t”), is by and between Mereo BioPharma Group plc, a company incorporated under the laws of England and Wales with registered number 09481161 and having its registered office at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One, Cavendish Place, London, England, W1G 0QF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Rubric Capital Management L.P., a limited partnership formed under the laws of the state of Delaware with its principal office at 155 East 44th St, Suite 1630, New York, NY 10017 (collectively with its Affiliates and Associates, “</w:t>
      </w:r>
      <w:r>
        <w:rPr>
          <w:rFonts w:ascii="Times New Roman" w:cs="Times New Roman" w:eastAsia="Times New Roman" w:hAnsi="Times New Roman"/>
          <w:sz w:val="18"/>
          <w:szCs w:val="18"/>
          <w:u w:val="single" w:color="auto"/>
          <w:color w:val="auto"/>
        </w:rPr>
        <w:t>Rubric</w:t>
      </w:r>
      <w:r>
        <w:rPr>
          <w:rFonts w:ascii="Times New Roman" w:cs="Times New Roman" w:eastAsia="Times New Roman" w:hAnsi="Times New Roman"/>
          <w:sz w:val="18"/>
          <w:szCs w:val="18"/>
          <w:color w:val="auto"/>
        </w:rPr>
        <w:t>”). The Company and Rubric are each herein referred to as a “party” and, collectively, the “parties.” In consideration of, and reliance upon, the mutual covenants and agreements contained in this Agreement, and for other good and valuable consideration, the receipt and sufficiency of which is acknowledged, the parties agree as follows:</w:t>
      </w:r>
    </w:p>
    <w:p>
      <w:pPr>
        <w:spacing w:after="0" w:line="92" w:lineRule="exact"/>
        <w:rPr>
          <w:sz w:val="20"/>
          <w:szCs w:val="20"/>
          <w:color w:val="auto"/>
        </w:rPr>
      </w:pPr>
    </w:p>
    <w:p>
      <w:pPr>
        <w:ind w:left="620" w:hanging="184"/>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Nomination and Other Company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In accordance with the articles of association of the Company as currently in effect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and English law: (i) each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Peter Fellner, Dr. Brian Schwartz, Dr. Abdul Mullick and Ms. Anne Hyland (the “</w:t>
      </w:r>
      <w:r>
        <w:rPr>
          <w:rFonts w:ascii="Times New Roman" w:cs="Times New Roman" w:eastAsia="Times New Roman" w:hAnsi="Times New Roman"/>
          <w:sz w:val="18"/>
          <w:szCs w:val="18"/>
          <w:u w:val="single" w:color="auto"/>
          <w:color w:val="auto"/>
        </w:rPr>
        <w:t>Resigning Directors</w:t>
      </w:r>
      <w:r>
        <w:rPr>
          <w:rFonts w:ascii="Times New Roman" w:cs="Times New Roman" w:eastAsia="Times New Roman" w:hAnsi="Times New Roman"/>
          <w:sz w:val="18"/>
          <w:szCs w:val="18"/>
          <w:color w:val="auto"/>
        </w:rPr>
        <w:t>”) shall resign from their office as a director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(ii)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appoint each of Dr. Annalisa Jenkins, Dr. Daniel Shames, Mr. Marc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Yoskowitz and Mr. Justin Roberts as a director of the Company designated by Rubric (the “</w:t>
      </w:r>
      <w:r>
        <w:rPr>
          <w:rFonts w:ascii="Times New Roman" w:cs="Times New Roman" w:eastAsia="Times New Roman" w:hAnsi="Times New Roman"/>
          <w:sz w:val="18"/>
          <w:szCs w:val="18"/>
          <w:u w:val="single" w:color="auto"/>
          <w:color w:val="auto"/>
        </w:rPr>
        <w:t>Rubric Nominees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Rubric Nominee</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appointment of each of the Rubric Nominees and the resignation of each of the Resigning Directors shall take effect simultaneously and,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satisfaction of the conditions set forth herein and the eligibility of such Rubric Nominee for appointment in accordance with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as promptly as practicable following the execution of this Agreement. As a condition to, and prior to, the appointment of each Rubric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as a director, such Rubric Nominee shall have (i) disclosed any agreement or arrangement entered into with Rubric in respect of how they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on any matters to be considered by the Board or pursuant to which they are or may be remunerated or financially rewarded in connection with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role on the Board, (ii) executed and delivered a non-executive director appointment letter in a form acceptable to the Company (acting reasonably)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NED Appointment Letter</w:t>
      </w:r>
      <w:r>
        <w:rPr>
          <w:rFonts w:ascii="Times New Roman" w:cs="Times New Roman" w:eastAsia="Times New Roman" w:hAnsi="Times New Roman"/>
          <w:sz w:val="18"/>
          <w:szCs w:val="18"/>
          <w:color w:val="auto"/>
        </w:rPr>
        <w:t>”), (iii) completed, executed and delivered to the Company the Company’s Questionnaire for Directors and Officers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consents and confirmations requested by the Company as may be reasonably necessary or appropriate for the conduct of the Company’s vetting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procedures applicable to directors, including confirmation that they are independent from the Company’s statutory auditor, (iv) agreed to comply with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policies, codes of conduct, confidentiality obligations and codes of ethics applicable to the Company’s directors, including the Company’s Code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Conduct and Ethics, (v) agreed to provide the information regarding themselves that is required to be disclosed for candidates for directors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in a proxy statement under applicable laws and regulations and/or applicable Nasdaq rules and regulations, and to provide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as reasonably requested by the Company and (v) consented to be nominated by the Board for election at the next annual meeting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shareholders in accordance with the Articles (together, the “</w:t>
      </w:r>
      <w:r>
        <w:rPr>
          <w:rFonts w:ascii="Times New Roman" w:cs="Times New Roman" w:eastAsia="Times New Roman" w:hAnsi="Times New Roman"/>
          <w:sz w:val="18"/>
          <w:szCs w:val="18"/>
          <w:u w:val="single" w:color="auto"/>
          <w:color w:val="auto"/>
        </w:rPr>
        <w:t>Mereo Director Requirements</w:t>
      </w:r>
      <w:r>
        <w:rPr>
          <w:rFonts w:ascii="Times New Roman" w:cs="Times New Roman" w:eastAsia="Times New Roman" w:hAnsi="Times New Roman"/>
          <w:sz w:val="18"/>
          <w:szCs w:val="18"/>
          <w:color w:val="auto"/>
        </w:rPr>
        <w:t>”). Subject to their fiduciary duties and save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extent that any Rubric Nominees are required to resign pursuant to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xml:space="preserve"> below, during the period from the date of this Agreement until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 (such period, the “</w:t>
      </w:r>
      <w:r>
        <w:rPr>
          <w:rFonts w:ascii="Times New Roman" w:cs="Times New Roman" w:eastAsia="Times New Roman" w:hAnsi="Times New Roman"/>
          <w:sz w:val="18"/>
          <w:szCs w:val="18"/>
          <w:u w:val="single" w:color="auto"/>
          <w:color w:val="auto"/>
        </w:rPr>
        <w:t>Cooperation Period</w:t>
      </w:r>
      <w:r>
        <w:rPr>
          <w:rFonts w:ascii="Times New Roman" w:cs="Times New Roman" w:eastAsia="Times New Roman" w:hAnsi="Times New Roman"/>
          <w:sz w:val="18"/>
          <w:szCs w:val="18"/>
          <w:color w:val="auto"/>
        </w:rPr>
        <w:t>”) the Company shall procure that the directors of the Company recommend the re-election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Rubric Nominees to the board of the Company.</w:t>
      </w:r>
    </w:p>
    <w:p>
      <w:pPr>
        <w:sectPr>
          <w:pgSz w:w="11900" w:h="16838" w:orient="portrait"/>
          <w:cols w:equalWidth="0" w:num="1">
            <w:col w:w="11020"/>
          </w:cols>
          <w:pgMar w:left="440" w:top="117" w:right="439" w:bottom="1440" w:gutter="0" w:footer="0" w:header="0"/>
        </w:sectPr>
      </w:pPr>
    </w:p>
    <w:bookmarkStart w:id="7" w:name="page8"/>
    <w:bookmarkEnd w:id="7"/>
    <w:p>
      <w:pPr>
        <w:ind w:left="4" w:firstLine="987"/>
        <w:spacing w:after="0" w:line="252" w:lineRule="auto"/>
        <w:tabs>
          <w:tab w:leader="none" w:pos="125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xml:space="preserve"> below, if during the Cooperation Period, any Rubric Nominee is unable to maintain their director role (i) as a result of death or disability or (ii) as a result of resignation or such Rubric Nominee being otherwise unable to act as a director (such Rubric Nominee, a “</w:t>
      </w:r>
      <w:r>
        <w:rPr>
          <w:rFonts w:ascii="Times New Roman" w:cs="Times New Roman" w:eastAsia="Times New Roman" w:hAnsi="Times New Roman"/>
          <w:sz w:val="18"/>
          <w:szCs w:val="18"/>
          <w:u w:val="single" w:color="auto"/>
          <w:color w:val="auto"/>
        </w:rPr>
        <w:t>Former Nominee</w:t>
      </w:r>
      <w:r>
        <w:rPr>
          <w:rFonts w:ascii="Times New Roman" w:cs="Times New Roman" w:eastAsia="Times New Roman" w:hAnsi="Times New Roman"/>
          <w:sz w:val="18"/>
          <w:szCs w:val="18"/>
          <w:color w:val="auto"/>
        </w:rPr>
        <w:t xml:space="preserve">”), and Rubric has not provided notice that it has decreased its ownership level below the Ownership Minimum (as defined below), then Rubric shall be entitled to designate a replacement independent director that is reasonably acceptable to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replacement of a Former Nominee who is not a Rubric Principal (as defined below), Rubric’s proposed designee shall not be a Rubric Principal;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Rubric’s proposed designee is not reasonably acceptable to the Board, Rubric shall continue to have the right to designate a replacement director with respect to such Former Nominee until a replacement director is accepted by the Board. The Rubric Nominee and any replacement of a Former Nominee must, as reasonably determined by the Nomination and Corporate Governance Committee of the Board (each acting in good faith): (i) qualify as an independent director of the Company under the applicable rules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listing rules of Nasdaq and the applicable governance policies of the Company; (ii) have the relevant financial and business experience to be a director of the Company; (iii) comply with the qualifications for directors set forth in the Company’s Code of Business Conduct and Ethics; and</w:t>
      </w:r>
    </w:p>
    <w:p>
      <w:pPr>
        <w:spacing w:after="0" w:line="3" w:lineRule="exact"/>
        <w:rPr>
          <w:rFonts w:ascii="Times New Roman" w:cs="Times New Roman" w:eastAsia="Times New Roman" w:hAnsi="Times New Roman"/>
          <w:sz w:val="18"/>
          <w:szCs w:val="18"/>
          <w:color w:val="auto"/>
        </w:rPr>
      </w:pPr>
    </w:p>
    <w:p>
      <w:pPr>
        <w:ind w:left="4" w:right="200" w:hanging="4"/>
        <w:spacing w:after="0" w:line="253"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fulfill the Mereo Director Requirements. For the avoidance of doubt, a replacement director for a Rubric Nominee shall thereafter be deemed the Rubric Nominee for purposes of this Agreement and be entitled to the same rights and subject to the same requirements under this Agreement as were applicable hereunder to the Rubric Nominee (including, without limitation, the conditions referenced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and satisfaction of the eligibility requirement in the penultimate sentence of such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and all applicable committees of the Board shall give the Rubric Nominees the same due consideration for membership to each committee of the Board as any other independent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least one Rubric Nominee shall be appointed to each committee of the Board. Mr. Justin Roberts shall be the Rubric Nominee appointed to each of the Nomination and Corporate Governance Committee of the Board and the Remuneration Committee of the Board. The Board will not utilize committees of the Board for the purpose of discriminating against any Rubric Nominee in order to limit their participation in substantive deliberations of the Board.</w:t>
      </w:r>
    </w:p>
    <w:p>
      <w:pPr>
        <w:spacing w:after="0" w:line="75"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until the earlier of the Termination Date or the date on which Rubric provides notice that it has decreased its stake below the Ownership Minimum (as defined below), the number of directors of the Company constituting the Board shall not exceed ten (10), including the Rubric Nominees.</w:t>
      </w:r>
    </w:p>
    <w:p>
      <w:pPr>
        <w:spacing w:after="0" w:line="67"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Rubric shall promptly (and in any event within five (5) business days) inform the Company in writing if at any time Rubric’s beneficial ownership decreases to less than 7.5 per cent. of the entire issued share capital of the Company without taking into account any increase in the number of shares that the Company has in issue after the date hereof (the “</w:t>
      </w:r>
      <w:r>
        <w:rPr>
          <w:rFonts w:ascii="Times New Roman" w:cs="Times New Roman" w:eastAsia="Times New Roman" w:hAnsi="Times New Roman"/>
          <w:sz w:val="18"/>
          <w:szCs w:val="18"/>
          <w:u w:val="single" w:color="auto"/>
          <w:color w:val="auto"/>
        </w:rPr>
        <w:t>Ownership Minimum</w:t>
      </w:r>
      <w:r>
        <w:rPr>
          <w:rFonts w:ascii="Times New Roman" w:cs="Times New Roman" w:eastAsia="Times New Roman" w:hAnsi="Times New Roman"/>
          <w:sz w:val="18"/>
          <w:szCs w:val="18"/>
          <w:color w:val="auto"/>
        </w:rPr>
        <w:t xml:space="preserve">”). If Rubric’s beneficial ownership decreases below the Ownership Minimum, then Rubric shall cease to have the right to designate a replacement director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above for any Rubric Nominees.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8" w:name="page9"/>
    <w:bookmarkEnd w:id="8"/>
    <w:p>
      <w:pPr>
        <w:ind w:left="4" w:right="80" w:firstLine="987"/>
        <w:spacing w:after="0" w:line="261" w:lineRule="auto"/>
        <w:tabs>
          <w:tab w:leader="none" w:pos="12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Rubric Nominee who is a Rubric Principal shall promptly offer to resign from the Board and all applicable committees thereof (and, if requested by the Company, promptly deliver to the Board their written resignation from the Board (which written resignation shall provide for such Rubric Nominee’s immediate irrevocable resignation from the Board), it being understood that it shall be in the Board’s sole discretion whether to accept or reject such resignation) upon (i) the Termination Date or (ii) if Rubric’s beneficial ownership decreases below the Ownership Minimum.</w:t>
      </w:r>
    </w:p>
    <w:p>
      <w:pPr>
        <w:spacing w:after="0" w:line="7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00" w:firstLine="987"/>
        <w:spacing w:after="0" w:line="270" w:lineRule="auto"/>
        <w:tabs>
          <w:tab w:leader="none" w:pos="1240"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Rubric agrees that, during the Cooperation Period, neither Rubric nor any of its Affiliates, Associates or Representatives shall in any manner, directly or indirectly, make, or cause to be made, or in any way encourage any other person to make or cause to be made, any statement or announcement that disparages, undermines or reflects adversely on, the Company, its business, any of its subsidiaries or any of its or such subsidiaries’ officers, directors, or employees or any person who has served as an officer, director or employee of the Company or any of its subsidiaries, including:</w:t>
      </w:r>
    </w:p>
    <w:p>
      <w:pPr>
        <w:spacing w:after="0" w:line="2" w:lineRule="exact"/>
        <w:rPr>
          <w:rFonts w:ascii="Times New Roman" w:cs="Times New Roman" w:eastAsia="Times New Roman" w:hAnsi="Times New Roman"/>
          <w:sz w:val="17"/>
          <w:szCs w:val="17"/>
          <w:color w:val="auto"/>
        </w:rPr>
      </w:pPr>
    </w:p>
    <w:p>
      <w:pPr>
        <w:ind w:left="4" w:right="140" w:hanging="4"/>
        <w:spacing w:after="0" w:line="273" w:lineRule="auto"/>
        <w:tabs>
          <w:tab w:leader="none" w:pos="21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any document or report filed with or furnished to the SEC or any other governmental agency, (ii) in any press release, social media or other publicly available format or (iii) to any journalist or member of the media (including, without limitation, in a television, radio, newspaper or magazine interview), or otherwise;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limitations set forth in this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shall not prevent Rubric from responding to any public statement made by the Company of the nature described in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xml:space="preserve"> if such statement by the Company was made in breach of this Agreement.</w:t>
      </w:r>
    </w:p>
    <w:p>
      <w:pPr>
        <w:spacing w:after="0" w:line="64" w:lineRule="exact"/>
        <w:rPr>
          <w:rFonts w:ascii="Times New Roman" w:cs="Times New Roman" w:eastAsia="Times New Roman" w:hAnsi="Times New Roman"/>
          <w:sz w:val="17"/>
          <w:szCs w:val="17"/>
          <w:color w:val="auto"/>
        </w:rPr>
      </w:pPr>
    </w:p>
    <w:p>
      <w:pPr>
        <w:ind w:left="4" w:firstLine="987"/>
        <w:spacing w:after="0" w:line="254" w:lineRule="auto"/>
        <w:tabs>
          <w:tab w:leader="none" w:pos="125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during the Cooperation Period, neither it nor any of its Affiliates, Associates or Representatives shall in any manner, directly or indirectly make, or cause to be made, or in any way encourage any other person to make or cause to be made, any statement or announcement that disparages, undermines or reflects adversely on, Rubric, its business, employees, partners, directors or any of its members or officers or any person who has served as an employee, partner, director, member or officer of Rubric, including: (i) in any document or report filed with or furnished to the SEC or any other governmental agency, (ii) in any press release, social media or other publicly available format or (iii) to any journalist or member of the media (including without limitation, in a television, radio, newspaper or magazine interview),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limitations set forth in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shall not prevent the Company from responding to any public statement made by Rubric of the nature described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if such statement by Rubric was made in breach of this Agreement.</w:t>
      </w:r>
    </w:p>
    <w:p>
      <w:pPr>
        <w:spacing w:after="0" w:line="83" w:lineRule="exact"/>
        <w:rPr>
          <w:rFonts w:ascii="Times New Roman" w:cs="Times New Roman" w:eastAsia="Times New Roman" w:hAnsi="Times New Roman"/>
          <w:sz w:val="18"/>
          <w:szCs w:val="18"/>
          <w:color w:val="auto"/>
        </w:rPr>
      </w:pPr>
    </w:p>
    <w:p>
      <w:pPr>
        <w:ind w:left="4" w:right="180" w:firstLine="987"/>
        <w:spacing w:after="0" w:line="256" w:lineRule="auto"/>
        <w:tabs>
          <w:tab w:leader="none" w:pos="12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limitations set forth in </w:t>
      </w:r>
      <w:r>
        <w:rPr>
          <w:rFonts w:ascii="Times New Roman" w:cs="Times New Roman" w:eastAsia="Times New Roman" w:hAnsi="Times New Roman"/>
          <w:sz w:val="18"/>
          <w:szCs w:val="18"/>
          <w:u w:val="single" w:color="auto"/>
          <w:color w:val="auto"/>
        </w:rPr>
        <w:t>Sections 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shall not (x) apply (i) in any compelled testimony or production of information, whether by legal process or as part of a response to a request for information from any governmental or regulatory authority with jurisdiction over the party from which information is sought, in each case, solely to the extent required, or (ii) to any disclosure that such party reasonably believes, after consultation with outside counsel, to be legally required by applicable law, rules or regulations; or (y) prohibit any party from reporting what it reasonably believes, after consultation with outside counsel, to be violations of federal law or regulation to any governmental authority pursuant to Section 21F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the rules of the SEC promulgated under such Section 21F.</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9" w:name="page10"/>
    <w:bookmarkEnd w:id="9"/>
    <w:p>
      <w:pPr>
        <w:ind w:left="-20" w:firstLine="987"/>
        <w:spacing w:after="0" w:line="252" w:lineRule="auto"/>
        <w:tabs>
          <w:tab w:leader="none" w:pos="12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Cooperation Period, Rubric shall cause all Shares beneficially owned, directly or indirectly, by it, or by any of its Affiliates or Associates (including, without limitation, all Shares beneficially owned as of the respective record dates for any annual general meeting or general meeting of shareholders of the Company and any adjournment or postponement thereof, during the Cooperation Period (a “</w:t>
      </w:r>
      <w:r>
        <w:rPr>
          <w:rFonts w:ascii="Times New Roman" w:cs="Times New Roman" w:eastAsia="Times New Roman" w:hAnsi="Times New Roman"/>
          <w:sz w:val="18"/>
          <w:szCs w:val="18"/>
          <w:u w:val="single" w:color="auto"/>
          <w:color w:val="auto"/>
        </w:rPr>
        <w:t>Covered Meeting</w:t>
      </w:r>
      <w:r>
        <w:rPr>
          <w:rFonts w:ascii="Times New Roman" w:cs="Times New Roman" w:eastAsia="Times New Roman" w:hAnsi="Times New Roman"/>
          <w:sz w:val="18"/>
          <w:szCs w:val="18"/>
          <w:color w:val="auto"/>
        </w:rPr>
        <w:t xml:space="preserve">”)) over which it exercises or has voting authority: (i) in the case of any Covered Meeting, to be present in person or by proxy for quorum purposes and to be voted at such Covered Meeting, or at any adjournment or postponement thereof, in favor of all nominees for director nominated by the Board (including the Rubric Nominees) for election at such Covered Meeting and in accordance with the Board’s recommendations with respect to any other resolution, proposal or business that requires shareholder action at such Covered Meeting (as such recommendations are set forth in the applicable shareholder circular or notice of meeting circulated by the Company in connection with such Covered Meeting) and not to submit any proposal for consideration at, or bring any other business before, such Covered Meeting or initiate, encourage or participate in any “withhold” or similar campaign with respect to the election of directors at such Covered Meeting and shall not permit any of its Affiliates or Associates to do any of the foregoing or publicly or privately encourage or support any other shareholder to take any such actions, and (ii) to be voted against any action to remove any director from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herein to the contrary, with respect to (A) a proposal to authorize or approve any tender offer, takeover offer (whether structured by way of a scheme of arrangement under Part 26 of the Companies Act 2006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or otherwise), exchange offer, recapitalization, restructuring, distribution, spin-off, asset sale, joint venture, amalgamation, merger or acquisition (an “</w:t>
      </w:r>
      <w:r>
        <w:rPr>
          <w:rFonts w:ascii="Times New Roman" w:cs="Times New Roman" w:eastAsia="Times New Roman" w:hAnsi="Times New Roman"/>
          <w:sz w:val="18"/>
          <w:szCs w:val="18"/>
          <w:u w:val="single" w:color="auto"/>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involving the Company or its securities or assets,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Rubric shall vote in accordance with the Board’s recommendations with respect to any resolutions to grant a general authority to allot shares under section 551 of the Companies Act or to disapply pre-emption rights under section 570 of the Companies Act at any annual general meeting of the Company that is a Covered Meeting in accordance with the past practice of the Company and any resolutions put to shareholders at any Covered Meeting in respect of any alteration to the share capital of the Company that the Board deems to be necessary or desirable in order to comply with applicable Nasdaq rules, (B) matters related to the implementation of takeover defenses, or (C) new or amended incentive compensation plans submitted for shareholder approval, Rubric and each Rubric Affiliate may vote its Shares in its sole discretion.</w:t>
      </w:r>
    </w:p>
    <w:p>
      <w:pPr>
        <w:spacing w:after="0" w:line="79" w:lineRule="exact"/>
        <w:rPr>
          <w:rFonts w:ascii="Times New Roman" w:cs="Times New Roman" w:eastAsia="Times New Roman" w:hAnsi="Times New Roman"/>
          <w:sz w:val="18"/>
          <w:szCs w:val="18"/>
          <w:color w:val="auto"/>
        </w:rPr>
      </w:pPr>
    </w:p>
    <w:p>
      <w:pPr>
        <w:ind w:left="-20" w:right="140" w:firstLine="987"/>
        <w:spacing w:after="0" w:line="282" w:lineRule="auto"/>
        <w:tabs>
          <w:tab w:leader="none" w:pos="12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during the Cooperation Period Rubric shall not, and shall cause its Affiliates and Associates to not, directly or indirectly, without the prior written consent of the Company:</w:t>
      </w:r>
    </w:p>
    <w:p>
      <w:pPr>
        <w:spacing w:after="0" w:line="53" w:lineRule="exact"/>
        <w:rPr>
          <w:rFonts w:ascii="Times New Roman" w:cs="Times New Roman" w:eastAsia="Times New Roman" w:hAnsi="Times New Roman"/>
          <w:sz w:val="18"/>
          <w:szCs w:val="18"/>
          <w:color w:val="auto"/>
        </w:rPr>
      </w:pPr>
    </w:p>
    <w:p>
      <w:pPr>
        <w:ind w:left="960" w:right="200" w:firstLine="408"/>
        <w:spacing w:after="0" w:line="261" w:lineRule="auto"/>
        <w:tabs>
          <w:tab w:leader="none" w:pos="15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seek or propose (publicly or otherwise) to acquire, directly or indirectly, through swap or hedging transactions or otherwise, securities of the Company or any rights decoupled from the underlying securities of the Company that would result in Rubric (together with Rubric’s Affiliates and Associates) owning, controlling or otherwise having any beneficial or other ownership interest in 20 per cent. or more of the issued share capital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10" w:name="page11"/>
    <w:bookmarkEnd w:id="10"/>
    <w:p>
      <w:pPr>
        <w:jc w:val="both"/>
        <w:ind w:left="-7" w:right="120" w:firstLine="408"/>
        <w:spacing w:after="0" w:line="257" w:lineRule="auto"/>
        <w:tabs>
          <w:tab w:leader="none" w:pos="6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publicly or privately seek, propose to obtain or advocate for: (A) changes in the management, Board, business strategy, capital allocation priorities or policies of the Company, (B) further representation on the Board, (C) the removal of any member of the Board or fill any vacancies on the Board (except as set forth in this Agreement), (D) any shareholder list or any other Company books and records,</w:t>
      </w:r>
    </w:p>
    <w:p>
      <w:pPr>
        <w:spacing w:after="0" w:line="1" w:lineRule="exact"/>
        <w:rPr>
          <w:rFonts w:ascii="Times New Roman" w:cs="Times New Roman" w:eastAsia="Times New Roman" w:hAnsi="Times New Roman"/>
          <w:sz w:val="18"/>
          <w:szCs w:val="18"/>
          <w:color w:val="auto"/>
        </w:rPr>
      </w:pPr>
    </w:p>
    <w:p>
      <w:pPr>
        <w:ind w:left="-7" w:right="20" w:firstLine="7"/>
        <w:spacing w:after="0" w:line="255" w:lineRule="auto"/>
        <w:tabs>
          <w:tab w:leader="none" w:pos="2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solicitation of, or participation in the solicitation of, any proxies with respect to any securities of the Company, or (F) permission to do any of the foregoing, or take any action which would, or would reasonably be expected to, require public disclosure regarding any of the types of matters set forth in this clause (ii);</w:t>
      </w:r>
    </w:p>
    <w:p>
      <w:pPr>
        <w:spacing w:after="0" w:line="77" w:lineRule="exact"/>
        <w:rPr>
          <w:rFonts w:ascii="Times New Roman" w:cs="Times New Roman" w:eastAsia="Times New Roman" w:hAnsi="Times New Roman"/>
          <w:sz w:val="18"/>
          <w:szCs w:val="18"/>
          <w:color w:val="auto"/>
        </w:rPr>
      </w:pPr>
    </w:p>
    <w:p>
      <w:pPr>
        <w:ind w:left="-7" w:firstLine="408"/>
        <w:spacing w:after="0" w:line="254" w:lineRule="auto"/>
        <w:tabs>
          <w:tab w:leader="none" w:pos="7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proposal or request for, offer of (with or without conditions), or take any action in support of a proposal or request for, or offer of (other than, in each case, Rubric exercising its voting rights permitted under Section 2(d)): (A) any change in the capitalization (including by way of a capital reduction), share buyback programs and practices, capital allocation programs and practices or dividend policy of the Company, (B) any Extraordinary Transaction, (C) any other material change in the Company’s business or corporate structure, including any liquidation or winding-up of the Company, (D) any amendments or modifications to the Articles, (E) the delisting of any securities of the Company from any share exchange, or (F) any action that would result in a class of securities of the Company to become eligible for termination of registration pursuant to Section 12(g)(4) of the Exchange Act, or take any action which would, or would reasonably be expected to, require public disclosure regarding any of the types of matters set forth in this clause (iii);</w:t>
      </w:r>
    </w:p>
    <w:p>
      <w:pPr>
        <w:spacing w:after="0" w:line="83" w:lineRule="exact"/>
        <w:rPr>
          <w:rFonts w:ascii="Times New Roman" w:cs="Times New Roman" w:eastAsia="Times New Roman" w:hAnsi="Times New Roman"/>
          <w:sz w:val="18"/>
          <w:szCs w:val="18"/>
          <w:color w:val="auto"/>
        </w:rPr>
      </w:pPr>
    </w:p>
    <w:p>
      <w:pPr>
        <w:ind w:left="-7" w:right="40" w:firstLine="408"/>
        <w:spacing w:after="0" w:line="266" w:lineRule="auto"/>
        <w:tabs>
          <w:tab w:leader="none" w:pos="6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 the convening of a general meeting of the Company, (B) the tabling of a resolution, proposal or any other business at any annual general meeting or general meeting of the Company, or (C) the circulation of a statement by the Company to its shareholders, in each case whether purporting to make such request pursuant to the Companies Act or otherwise;</w:t>
      </w:r>
    </w:p>
    <w:p>
      <w:pPr>
        <w:spacing w:after="0" w:line="67" w:lineRule="exact"/>
        <w:rPr>
          <w:rFonts w:ascii="Times New Roman" w:cs="Times New Roman" w:eastAsia="Times New Roman" w:hAnsi="Times New Roman"/>
          <w:sz w:val="18"/>
          <w:szCs w:val="18"/>
          <w:color w:val="auto"/>
        </w:rPr>
      </w:pPr>
    </w:p>
    <w:p>
      <w:pPr>
        <w:ind w:left="-7" w:right="120" w:firstLine="408"/>
        <w:spacing w:after="0" w:line="256" w:lineRule="auto"/>
        <w:tabs>
          <w:tab w:leader="none" w:pos="6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assist or enter into any discussions, negotiations, arrangements or understandings with any third party with respect to any of the foregoing, or otherwise form, join or in any way participate in a “group” (as defined in Section 13(d)(3) of the Exchange Act) with respect to any securities of the Company or otherwise in any manner agree, attempt, seek or propose to deposit any securities of the Company in any voting trust or similar arrangement, or subject any securities of the Company to any agreement or arrangement with respect to the voting thereof (including by granting any proxy, consent or other authority to vote), except as expressly set forth in this Agreement;</w:t>
      </w:r>
    </w:p>
    <w:p>
      <w:pPr>
        <w:spacing w:after="0" w:line="79" w:lineRule="exact"/>
        <w:rPr>
          <w:rFonts w:ascii="Times New Roman" w:cs="Times New Roman" w:eastAsia="Times New Roman" w:hAnsi="Times New Roman"/>
          <w:sz w:val="18"/>
          <w:szCs w:val="18"/>
          <w:color w:val="auto"/>
        </w:rPr>
      </w:pPr>
    </w:p>
    <w:p>
      <w:pPr>
        <w:ind w:left="-7" w:right="40" w:firstLine="408"/>
        <w:spacing w:after="0" w:line="266" w:lineRule="auto"/>
        <w:tabs>
          <w:tab w:leader="none" w:pos="6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Rule 144 open market broker sale transactions where the identity of the purchaser is not known and in underwritten widely dispersed public offerings, sell, offer or agree to sell directly or indirectly, through swap or hedging transactions or otherwise, any securities of the Company or any rights decoupled from the underlying securities of the Company held by Rubric or any</w:t>
      </w:r>
    </w:p>
    <w:p>
      <w:pPr>
        <w:spacing w:after="0" w:line="108"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13"/>
          </w:cols>
          <w:pgMar w:left="1427" w:top="270" w:right="459" w:bottom="1440" w:gutter="0" w:footer="0" w:header="0"/>
        </w:sectPr>
      </w:pPr>
    </w:p>
    <w:bookmarkStart w:id="11" w:name="page12"/>
    <w:bookmarkEnd w:id="1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Rubric Affiliate to any person not a party to this Agreement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that, to Rubric’s or such Rubric Affiliate’s knowledge (after due inquiry in connection with a private, non-open-market transaction, it being understood that such knowledge shall be deemed to exist with respect to any publicly available information, including information in documents filed with the SEC) would result in such Third Party, together with its affiliates and associates (in each case as defined in Rule 12b-2 under the Exchange Act), owning or controlling or otherwise having any beneficial or other ownership interest in the aggregate of more than 20% of the Shares outstanding at such time or would increase the beneficial or other ownership interest of any Third Party that, together with its affiliates and associates (in each case as defined in Rule 12b-2 under the Exchange Act), has a beneficial or other ownership interest in the aggregate of more than 20% of the Shares outstanding at such time;</w:t>
      </w:r>
    </w:p>
    <w:p>
      <w:pPr>
        <w:spacing w:after="0" w:line="84" w:lineRule="exact"/>
        <w:rPr>
          <w:sz w:val="20"/>
          <w:szCs w:val="20"/>
          <w:color w:val="auto"/>
        </w:rPr>
      </w:pPr>
    </w:p>
    <w:p>
      <w:pPr>
        <w:ind w:right="160" w:firstLine="408"/>
        <w:spacing w:after="0" w:line="261" w:lineRule="auto"/>
        <w:tabs>
          <w:tab w:leader="none" w:pos="7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short sale or any purchase, sale or grant of any option, warrant, convertible security, share appreciation right, or other similar right (including any put or call option or “swap” transaction with respect to any security (other than a broad based market basket or index)) that includes, relates to or derives any significant part of its value from a decline in the market price or value of the securities of the Company;</w:t>
      </w:r>
    </w:p>
    <w:p>
      <w:pPr>
        <w:spacing w:after="0" w:line="71" w:lineRule="exact"/>
        <w:rPr>
          <w:rFonts w:ascii="Times New Roman" w:cs="Times New Roman" w:eastAsia="Times New Roman" w:hAnsi="Times New Roman"/>
          <w:sz w:val="18"/>
          <w:szCs w:val="18"/>
          <w:color w:val="auto"/>
        </w:rPr>
      </w:pPr>
    </w:p>
    <w:p>
      <w:pPr>
        <w:ind w:right="420" w:firstLine="408"/>
        <w:spacing w:after="0" w:line="266" w:lineRule="auto"/>
        <w:tabs>
          <w:tab w:leader="none" w:pos="8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disclosure regarding any intent, purpose, plan or proposal with respect to the Board, the Company, the Company’s management, policies or affairs, any of the Company’s securities or assets or this Agreement that is inconsistent with the provisions of this Agreement;</w:t>
      </w:r>
    </w:p>
    <w:p>
      <w:pPr>
        <w:spacing w:after="0" w:line="67" w:lineRule="exact"/>
        <w:rPr>
          <w:rFonts w:ascii="Times New Roman" w:cs="Times New Roman" w:eastAsia="Times New Roman" w:hAnsi="Times New Roman"/>
          <w:sz w:val="18"/>
          <w:szCs w:val="18"/>
          <w:color w:val="auto"/>
        </w:rPr>
      </w:pPr>
    </w:p>
    <w:p>
      <w:pPr>
        <w:ind w:right="200" w:firstLine="408"/>
        <w:spacing w:after="0" w:line="282" w:lineRule="auto"/>
        <w:tabs>
          <w:tab w:leader="none" w:pos="7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with respect to the Company that would, or would reasonably be expected to, result in the Company having to make a public announcement or disclosure;</w:t>
      </w:r>
    </w:p>
    <w:p>
      <w:pPr>
        <w:spacing w:after="0" w:line="53"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solicit, assist or join as a party any litigation, arbitration or other proceeding (any of the foregoing, a “</w:t>
      </w:r>
      <w:r>
        <w:rPr>
          <w:rFonts w:ascii="Times New Roman" w:cs="Times New Roman" w:eastAsia="Times New Roman" w:hAnsi="Times New Roman"/>
          <w:sz w:val="18"/>
          <w:szCs w:val="18"/>
          <w:u w:val="single" w:color="auto"/>
          <w:color w:val="auto"/>
        </w:rPr>
        <w:t>Legal</w:t>
      </w:r>
    </w:p>
    <w:p>
      <w:pPr>
        <w:spacing w:after="0" w:line="27" w:lineRule="exact"/>
        <w:rPr>
          <w:rFonts w:ascii="Times New Roman" w:cs="Times New Roman" w:eastAsia="Times New Roman" w:hAnsi="Times New Roman"/>
          <w:sz w:val="18"/>
          <w:szCs w:val="18"/>
          <w:color w:val="auto"/>
        </w:rPr>
      </w:pPr>
    </w:p>
    <w:p>
      <w:pPr>
        <w:ind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against or involving the Company or any of its current or former directors or officers (including derivative actions), other than an action to enforce the provisions of this Agreement instituted in accordance with and 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right="40" w:firstLine="408"/>
        <w:spacing w:after="0" w:line="266" w:lineRule="auto"/>
        <w:tabs>
          <w:tab w:leader="none" w:pos="7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discussions, negotiations, agreements or understandings with any Third Party to take any action with respect to any of the foregoing, or advise, assist, knowingly encourage or seek to persuade any Third Party to take any action or make any statement with respect to any of the foregoing, or otherwise take or cause any action or make any statement inconsistent with the foregoing; or</w:t>
      </w:r>
    </w:p>
    <w:p>
      <w:pPr>
        <w:spacing w:after="0" w:line="67" w:lineRule="exact"/>
        <w:rPr>
          <w:rFonts w:ascii="Times New Roman" w:cs="Times New Roman" w:eastAsia="Times New Roman" w:hAnsi="Times New Roman"/>
          <w:sz w:val="18"/>
          <w:szCs w:val="18"/>
          <w:color w:val="auto"/>
        </w:rPr>
      </w:pPr>
    </w:p>
    <w:p>
      <w:pPr>
        <w:jc w:val="both"/>
        <w:ind w:firstLine="408"/>
        <w:spacing w:after="0" w:line="266" w:lineRule="auto"/>
        <w:tabs>
          <w:tab w:leader="none" w:pos="7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maintain any agreement or arrangement relating to the Company with any Rubric Nominee or any other director or nominee for director of the Company, including with respect to how such person will vote on any matters to be considered by the Board or pursuant to which such person is or may be remunerated or financially rewarded in connection with their role on the Board.</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80"/>
          </w:cols>
          <w:pgMar w:left="1420" w:top="270" w:right="499" w:bottom="1440" w:gutter="0" w:footer="0" w:header="0"/>
        </w:sectPr>
      </w:pPr>
    </w:p>
    <w:bookmarkStart w:id="12" w:name="page13"/>
    <w:bookmarkEnd w:id="12"/>
    <w:p>
      <w:pPr>
        <w:jc w:val="both"/>
        <w:ind w:right="320" w:firstLine="987"/>
        <w:spacing w:after="0" w:line="266" w:lineRule="auto"/>
        <w:tabs>
          <w:tab w:leader="none" w:pos="12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provisions of </w:t>
      </w:r>
      <w:r>
        <w:rPr>
          <w:rFonts w:ascii="Times New Roman" w:cs="Times New Roman" w:eastAsia="Times New Roman" w:hAnsi="Times New Roman"/>
          <w:sz w:val="18"/>
          <w:szCs w:val="18"/>
          <w:u w:val="single" w:color="auto"/>
          <w:color w:val="auto"/>
        </w:rPr>
        <w:t>Sections 2(e)(ii)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2(e)(iii)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2(e)(xii)</w:t>
      </w:r>
      <w:r>
        <w:rPr>
          <w:rFonts w:ascii="Times New Roman" w:cs="Times New Roman" w:eastAsia="Times New Roman" w:hAnsi="Times New Roman"/>
          <w:sz w:val="18"/>
          <w:szCs w:val="18"/>
          <w:color w:val="auto"/>
        </w:rPr>
        <w:t xml:space="preserve"> shall not restrict private discussions between Rubric, any Rubric Nominee who is an employee or shareholder, agent, or an officer of Rubric (a “Rubric Principal”) and any member of the Board that would not reasonably be expected to result in or require a public disclosure by the Company.</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Rubric shall be entitled to (i) vote the Shares that it beneficially owns as it determines in its sole discretion and (ii) disclose, publicly or otherwise, how it intends to vote or act with respect to any securities of the Company on any shareholder proposal or other matter to be voted on by the shareholders of the Company and the reasons therefor.</w:t>
      </w:r>
    </w:p>
    <w:p>
      <w:pPr>
        <w:spacing w:after="0" w:line="67" w:lineRule="exact"/>
        <w:rPr>
          <w:rFonts w:ascii="Times New Roman" w:cs="Times New Roman" w:eastAsia="Times New Roman" w:hAnsi="Times New Roman"/>
          <w:sz w:val="18"/>
          <w:szCs w:val="18"/>
          <w:color w:val="auto"/>
        </w:rPr>
      </w:pPr>
    </w:p>
    <w:p>
      <w:pPr>
        <w:ind w:right="400" w:firstLine="987"/>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deemed to limit the exercise in good faith by Rubric Nominees of such persons’ fiduciary duties solely in such person’s capacity as a director of the Company and in a manner consistent with such person’s and Rubric’s obligations under this Agreement and such person’s obligations under their NED Appointment Letter.</w:t>
      </w:r>
    </w:p>
    <w:p>
      <w:pPr>
        <w:spacing w:after="0" w:line="67"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Rubric acknowledges and agrees that: (i) at any time when one or more Rubric Principals are appointed as a director, Rubric and each of its Associates and Affiliates shall be deemed to have the knowledge of any such Rubric Principal and Rubric shall comply, and shall procure that each of its Associates and Affiliates complies, with the terms of the Company’s insider trading policy (as amended from time to time) to the same extent as such policy applies to the Rubric Principal; and (ii) if there ceases to be a Rubric Principal appointed as a director, Rubric shall not, and shall procure that each of Associates and Affiliates shall not, solicit information regarding the Company or its business from any of the remaining Rubric Nominees.</w:t>
      </w:r>
    </w:p>
    <w:p>
      <w:pPr>
        <w:spacing w:after="0" w:line="75" w:lineRule="exact"/>
        <w:rPr>
          <w:rFonts w:ascii="Times New Roman" w:cs="Times New Roman" w:eastAsia="Times New Roman" w:hAnsi="Times New Roman"/>
          <w:sz w:val="18"/>
          <w:szCs w:val="18"/>
          <w:color w:val="auto"/>
        </w:rPr>
      </w:pPr>
    </w:p>
    <w:p>
      <w:pPr>
        <w:ind w:firstLine="987"/>
        <w:spacing w:after="0" w:line="255" w:lineRule="auto"/>
        <w:tabs>
          <w:tab w:leader="none" w:pos="1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Company complying with its obligations under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Rubric agrees that, with effect from the date of this Agreement, the notice from Rubric to the Company dated October 3, 2022 requiring the Company to convene a general meeting of its members pursuant to Section 303 of the Companies Act (the “</w:t>
      </w:r>
      <w:r>
        <w:rPr>
          <w:rFonts w:ascii="Times New Roman" w:cs="Times New Roman" w:eastAsia="Times New Roman" w:hAnsi="Times New Roman"/>
          <w:sz w:val="18"/>
          <w:szCs w:val="18"/>
          <w:u w:val="single" w:color="auto"/>
          <w:color w:val="auto"/>
        </w:rPr>
        <w:t>General Meeting</w:t>
      </w:r>
      <w:r>
        <w:rPr>
          <w:rFonts w:ascii="Times New Roman" w:cs="Times New Roman" w:eastAsia="Times New Roman" w:hAnsi="Times New Roman"/>
          <w:sz w:val="18"/>
          <w:szCs w:val="18"/>
          <w:color w:val="auto"/>
        </w:rPr>
        <w:t>”) in order to consider certain resolutions proposed by Rubric (the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and requiring the Company to circulate a statement to its members pursuant to Section 314 of the Companies Act is withdrawn and shall cease of be of any further force or effect. Rubric acknowledges that the Company shall be permitted to take all steps that the Company deems necessary or appropriate to withdraw the Resolutions or otherwise ensure that the Resolutions are not put to a vote and, at the General Meeting, Rubric shall (in person or by proxy) vote in favor of any motion proposed by the chair of the General Meeting to that effect.</w:t>
      </w:r>
    </w:p>
    <w:p>
      <w:pPr>
        <w:spacing w:after="0" w:line="80"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Rubric shall not, and shall not cause its Affiliates and Associates to, request any permission, waiver or amendment of any provision of this Agreement (including this sentence), disclose any intent, purpose, plan or proposal to obtain any such permission, waiver or amendment under this Agreement or bring any action or otherwise act to contest the validity of this Agreement or seek a release from the restrictions or obligations contained in this Agreement, in each case publicly or in a manner that would reasonably require or result in public disclosure by Rubric, its Affiliates or Associates, or the Company, other than through non-public communications with the Company that would not be reasonably determined to trigger public disclosure obligations for the parties.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left="600" w:hanging="184"/>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Announcement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987"/>
        <w:spacing w:after="0" w:line="258" w:lineRule="auto"/>
        <w:tabs>
          <w:tab w:leader="none" w:pos="12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Rubric and the Company shall announce this Agreement and the material terms hereof by means of a mutually agreed joint press release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as soon as practicable but in no event later than 9:00 a.m., New York City time, on the first business day after the date of this Agreement. Prior to the issuance of the Press Release, neither the Company nor Rubric shall issue any press release or public announcement regarding this Agreement or take any action that would require public disclosure thereof without the prior written consent of the other party.</w:t>
      </w:r>
    </w:p>
    <w:p>
      <w:pPr>
        <w:spacing w:after="0" w:line="75" w:lineRule="exact"/>
        <w:rPr>
          <w:rFonts w:ascii="Times New Roman" w:cs="Times New Roman" w:eastAsia="Times New Roman" w:hAnsi="Times New Roman"/>
          <w:sz w:val="18"/>
          <w:szCs w:val="18"/>
          <w:color w:val="auto"/>
        </w:rPr>
      </w:pPr>
    </w:p>
    <w:p>
      <w:pPr>
        <w:ind w:left="-20" w:right="880" w:firstLine="987"/>
        <w:spacing w:after="0" w:line="282" w:lineRule="auto"/>
        <w:tabs>
          <w:tab w:leader="none" w:pos="122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Cooperation Period, none of Rubric or any of its Affiliates or Associates shall make any public statement that is inconsistent with or contrary to the Press Release, except as required by law or the rules of any stock exchange.</w:t>
      </w:r>
    </w:p>
    <w:p>
      <w:pPr>
        <w:spacing w:after="0" w:line="53" w:lineRule="exact"/>
        <w:rPr>
          <w:rFonts w:ascii="Times New Roman" w:cs="Times New Roman" w:eastAsia="Times New Roman" w:hAnsi="Times New Roman"/>
          <w:sz w:val="18"/>
          <w:szCs w:val="18"/>
          <w:color w:val="auto"/>
        </w:rPr>
      </w:pPr>
    </w:p>
    <w:p>
      <w:pPr>
        <w:ind w:left="-20" w:firstLine="987"/>
        <w:spacing w:after="0" w:line="289" w:lineRule="auto"/>
        <w:tabs>
          <w:tab w:leader="none" w:pos="121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promptly prepare and file a Current Report on Form 6-K reporting entry into this Agreement and appending or incorporating by reference this Agreement and the Press Release as exhibits thereto. The Company shall provide Rubric with reasonable opportunity to review and comment upon such Current Report on Form 6-K prior to the filing thereof and shall consider in good faith any changes proposed by Rubric.</w:t>
      </w:r>
    </w:p>
    <w:p>
      <w:pPr>
        <w:spacing w:after="0" w:line="49" w:lineRule="exact"/>
        <w:rPr>
          <w:rFonts w:ascii="Times New Roman" w:cs="Times New Roman" w:eastAsia="Times New Roman" w:hAnsi="Times New Roman"/>
          <w:sz w:val="17"/>
          <w:szCs w:val="17"/>
          <w:color w:val="auto"/>
        </w:rPr>
      </w:pPr>
    </w:p>
    <w:p>
      <w:pPr>
        <w:ind w:left="-20" w:right="320" w:firstLine="987"/>
        <w:spacing w:after="0" w:line="258" w:lineRule="auto"/>
        <w:tabs>
          <w:tab w:leader="none" w:pos="122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Rubric shall promptly prepare and file an amendment (the “</w:t>
      </w:r>
      <w:r>
        <w:rPr>
          <w:rFonts w:ascii="Times New Roman" w:cs="Times New Roman" w:eastAsia="Times New Roman" w:hAnsi="Times New Roman"/>
          <w:sz w:val="18"/>
          <w:szCs w:val="18"/>
          <w:u w:val="single" w:color="auto"/>
          <w:color w:val="auto"/>
        </w:rPr>
        <w:t>13D Amendment</w:t>
      </w:r>
      <w:r>
        <w:rPr>
          <w:rFonts w:ascii="Times New Roman" w:cs="Times New Roman" w:eastAsia="Times New Roman" w:hAnsi="Times New Roman"/>
          <w:sz w:val="18"/>
          <w:szCs w:val="18"/>
          <w:color w:val="auto"/>
        </w:rPr>
        <w:t>”) to its Schedule 13D with respect to the Company initially filed with the SEC on May 26, 2022, reporting the entry into this Agreement and amending applicable items to conform to its obligations hereunder. The 13D Amendment shall be consistent with the Press Release and the terms of this Agreement. Rubric shall provide the Company with reasonable opportunity to review and comment upon the 13D Amendment prior to the filing thereof and shall consider in good faith any changes proposed by the Company.</w:t>
      </w:r>
    </w:p>
    <w:p>
      <w:pPr>
        <w:spacing w:after="0" w:line="75" w:lineRule="exact"/>
        <w:rPr>
          <w:rFonts w:ascii="Times New Roman" w:cs="Times New Roman" w:eastAsia="Times New Roman" w:hAnsi="Times New Roman"/>
          <w:sz w:val="18"/>
          <w:szCs w:val="18"/>
          <w:color w:val="auto"/>
        </w:rPr>
      </w:pPr>
    </w:p>
    <w:p>
      <w:pPr>
        <w:ind w:left="-20" w:firstLine="436"/>
        <w:spacing w:after="0" w:line="253"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Rubric that: (a) this Agreement has been duly authorized, executed and delivered by the Company, and is a valid and binding obligation of the Company, enforceable against the Company in accordance with its terms; and (b) the execution of this Agreement, the consummation of any of the transactions contemplated hereby, and the fulfillment of the terms hereof, in each case in accordance with the terms hereof, will not conflict with, or result in a breach or violation of the Company’s articles of association as currently in effect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the execution, delivery and performance of this Agreement by the Company does not and will not violate or conflict with (i) any law, rule, regulation, order, judgment or decree applicable to the Company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the Articles or any agreement, contract, commitment, understanding or arrangement to which the Company is a party or by which it is bound. The Company represents that the current size of the Board is ten (10) directors, excluding the Rubric Nominees.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270" w:right="479" w:bottom="1440" w:gutter="0" w:footer="0" w:header="0"/>
        </w:sectPr>
      </w:pPr>
    </w:p>
    <w:bookmarkStart w:id="14" w:name="page15"/>
    <w:bookmarkEnd w:id="14"/>
    <w:p>
      <w:pPr>
        <w:ind w:firstLine="436"/>
        <w:spacing w:after="0" w:line="25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 of Rubric</w:t>
      </w:r>
      <w:r>
        <w:rPr>
          <w:rFonts w:ascii="Times New Roman" w:cs="Times New Roman" w:eastAsia="Times New Roman" w:hAnsi="Times New Roman"/>
          <w:sz w:val="18"/>
          <w:szCs w:val="18"/>
          <w:color w:val="auto"/>
        </w:rPr>
        <w:t>. Rubric represents and warrants to the Company that: (a) this Agreement has been duly authorized, executed and delivered by Rubric, and is a valid and binding obligation of Rubric, enforceable against Rubric in accordance with its terms; (b) the execution of this Agreement, the consummation of any of the transactions contemplated hereby, and the fulfillment of the terms hereof, in each case in accordance with the terms hereof, will not conflict with, or result in a breach or violation of the organizational documents of it as currently in effect, the execution, delivery and performance of this Agreement by it does not and will not violate or conflict with (i) any law, rule, regulation, order, judgment or decree applicable to it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it is a party or by which it is bound; and (c) as of the date of this Agreement, Rubric, together with its Affiliates and Associates, beneficially owns</w:t>
      </w:r>
    </w:p>
    <w:p>
      <w:pPr>
        <w:spacing w:after="0" w:line="6"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31,950,000 Ordinary Shares and a further 51,830,600 Ordinary Shares represented by ADSs and has voting authority over such Shares and, together with its Affiliates and Associates, does not beneficially or economically own, or otherwise have any interest in, any other Shares or any Synthetic Equity Interests or Short Interest in the Company. The term “</w:t>
      </w:r>
      <w:r>
        <w:rPr>
          <w:rFonts w:ascii="Times New Roman" w:cs="Times New Roman" w:eastAsia="Times New Roman" w:hAnsi="Times New Roman"/>
          <w:sz w:val="18"/>
          <w:szCs w:val="18"/>
          <w:u w:val="single" w:color="auto"/>
          <w:color w:val="auto"/>
        </w:rPr>
        <w:t>Short Interest</w:t>
      </w:r>
      <w:r>
        <w:rPr>
          <w:rFonts w:ascii="Times New Roman" w:cs="Times New Roman" w:eastAsia="Times New Roman" w:hAnsi="Times New Roman"/>
          <w:sz w:val="18"/>
          <w:szCs w:val="18"/>
          <w:color w:val="auto"/>
        </w:rPr>
        <w:t>” shall mean any agreement, arrangement, understanding or relationship, including any repurchase or similar so-called “stock borrowing” agreement or arrangement, engaged in, directly or indirectly, by such person, the purpose or effect of which is to mitigate loss to, reduce the economic risk (of ownership or otherwise) of shares of any class or series of the Company’s equity securities by, manage the risk of share price changes for, or increase or decrease the voting power of, such person with respect to the shares of any class or series of the Company’s equity securities, or that provides, directly or indirectly, the opportunity to profit from any decrease in the price or value of the shares of any class or series of the Company’s equity securities. The term “</w:t>
      </w:r>
      <w:r>
        <w:rPr>
          <w:rFonts w:ascii="Times New Roman" w:cs="Times New Roman" w:eastAsia="Times New Roman" w:hAnsi="Times New Roman"/>
          <w:sz w:val="18"/>
          <w:szCs w:val="18"/>
          <w:u w:val="single" w:color="auto"/>
          <w:color w:val="auto"/>
        </w:rPr>
        <w:t>Synthetic Equity Interests</w:t>
      </w:r>
      <w:r>
        <w:rPr>
          <w:rFonts w:ascii="Times New Roman" w:cs="Times New Roman" w:eastAsia="Times New Roman" w:hAnsi="Times New Roman"/>
          <w:sz w:val="18"/>
          <w:szCs w:val="18"/>
          <w:color w:val="auto"/>
        </w:rPr>
        <w:t>” means any derivative, swap or other transaction or series of transactions engaged in, directly or indirectly, by such person, the purpose or effect of which is to give such person economic risk similar to ownership of equity securities of any class or series of the Company, including due to the fact that the value of such derivative, swap or other transactions are determined by reference to the price, value or volatility of any shares of any class or series of the Company’s equity securities, or which derivative, swap or other transactions provide the opportunity to profit from any increase in the price or value of shares of any class or series of the Company’s equity securities, without regard to whether (a) the derivative, swap or other transactions convey any voting rights in such equity securities to such person; (b) the derivative, swap or other transactions are required to be, or are capable of being, settled through delivery of such equity securities; or (iii) such person may have entered into other transactions that hedge or mitigate the economic effect of such derivative, swap or other transactions.</w:t>
      </w:r>
    </w:p>
    <w:p>
      <w:pPr>
        <w:spacing w:after="0" w:line="82" w:lineRule="exact"/>
        <w:rPr>
          <w:rFonts w:ascii="Times New Roman" w:cs="Times New Roman" w:eastAsia="Times New Roman" w:hAnsi="Times New Roman"/>
          <w:sz w:val="18"/>
          <w:szCs w:val="18"/>
          <w:color w:val="auto"/>
        </w:rPr>
      </w:pPr>
    </w:p>
    <w:p>
      <w:pPr>
        <w:ind w:right="60" w:firstLine="436"/>
        <w:spacing w:after="0" w:line="25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Release.</w:t>
      </w:r>
      <w:r>
        <w:rPr>
          <w:rFonts w:ascii="Times New Roman" w:cs="Times New Roman" w:eastAsia="Times New Roman" w:hAnsi="Times New Roman"/>
          <w:sz w:val="18"/>
          <w:szCs w:val="18"/>
          <w:color w:val="auto"/>
        </w:rPr>
        <w:t xml:space="preserve"> Each party hereby confirms that, as at the date of this Agreement, it has no claim or right of action of any kind whatsoever against the other party or the other party’s Affiliates or Associates, or its or their directors, officers, employees or insurers (the “Released Persons”) in respect of any cause, matter or thing. To the extent that any such claim or right of action exists or may exist in respect of events existing prior to or as of the date of this Agreement, the relevant party hereby irrevocably waives and forever discharges such claim or right of action (whether or not presently known to the parties or to the law and whether in law or equity) and releases the Released Persons from any liability in respect of it, in each case to the maximum extent permitted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 w:name="page16"/>
    <w:bookmarkEnd w:id="15"/>
    <w:p>
      <w:pPr>
        <w:ind w:firstLine="436"/>
        <w:spacing w:after="0" w:line="254"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Disclosure.</w:t>
      </w:r>
      <w:r>
        <w:rPr>
          <w:rFonts w:ascii="Times New Roman" w:cs="Times New Roman" w:eastAsia="Times New Roman" w:hAnsi="Times New Roman"/>
          <w:sz w:val="18"/>
          <w:szCs w:val="18"/>
          <w:color w:val="auto"/>
        </w:rPr>
        <w:t xml:space="preserve"> It is acknowledged that, on or around the date of this Agreement, the Company intends to provide confidential information to Rubric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in connection with certain discussions between the parties relating to clinical data in respect of alvelestat (the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xml:space="preserve">”). Rubric agrees to hold the Confidential Information in confidence and will not: (a) prior to the public disclosure of such data by the Company, disclose or disseminate any of the Confidential Information to any person other than (i) to those employees, officers or advisers who require access to such information pursuant to the Purpose, or (ii) to the extent required by law or a regulatory agency or court of competent jurisdiction; or (b) use any Confidential Information for any purpose other than the Purpose. To the extent that the Confidential Information disclosed to Rubric includes any material non-public information, Rubric agrees that it shall not (directly or indirectly) engage in any transactions in the Company’s securities until the Confidential Information is publicly disclosed by the Company, which is expected to occur on October 31, 2022. The terms of, and the agreements and undertakings set out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will continue in full force and effect until November 5, 2022.</w:t>
      </w:r>
    </w:p>
    <w:p>
      <w:pPr>
        <w:spacing w:after="0" w:line="80"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Affiliates and Associates</w:t>
      </w:r>
      <w:r>
        <w:rPr>
          <w:rFonts w:ascii="Times New Roman" w:cs="Times New Roman" w:eastAsia="Times New Roman" w:hAnsi="Times New Roman"/>
          <w:sz w:val="18"/>
          <w:szCs w:val="18"/>
          <w:color w:val="auto"/>
        </w:rPr>
        <w:t>. Each party shall instruct its controlled Affiliates and Associates to comply with the terms of this Agreement and shall be responsible for any breach of this Agreement by any such controlled Affiliate or Associate. A breach of this Agreement by a controlled Affiliate or Associate of a party, if such controlled Affiliate or Associate is not a party to this Agreement, shall be deemed to occur if such controlled Affiliate or Associate engages in conduct that would constitute a breach of this Agreement if such controlled Affiliate or Associate was a party to the same extent as a party to this Agreement.</w:t>
      </w:r>
    </w:p>
    <w:p>
      <w:pPr>
        <w:spacing w:after="0" w:line="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7"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xml:space="preserve">” shall have the respective meanings set forth in Rule 12b-2 promulgated by the SEC under the Exchange Act and shall include all persons or entities that at any time prior to the termination of this Agreement become Affiliates or Associates of any applicable person or entity referred to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Agreement, (i) Rubric shall not be an Affiliate or Associate of the Company, and (ii) the Company shall not be an Affiliate or Associate of Rubric;</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shall mean American depositary shares issued by CitiBank N.A. (acting in its capacity as depositary, the</w:t>
      </w:r>
    </w:p>
    <w:p>
      <w:pPr>
        <w:spacing w:after="0" w:line="27"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each representing five Ordinary Shares registered in the name of the Depositary, subject to and in accordance with the terms of the depositary agreement, dated April 23, 2019, by and among the Company, the Depositary and each holder of ADSs;</w:t>
      </w:r>
    </w:p>
    <w:p>
      <w:pPr>
        <w:spacing w:after="0" w:line="73" w:lineRule="exact"/>
        <w:rPr>
          <w:sz w:val="20"/>
          <w:szCs w:val="20"/>
          <w:color w:val="auto"/>
        </w:rPr>
      </w:pPr>
    </w:p>
    <w:p>
      <w:pPr>
        <w:ind w:right="20" w:firstLine="987"/>
        <w:spacing w:after="0" w:line="256"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respective meanings of such terms under or as used in Rule 13d-3 promulgated by the SEC under the Exchange Act, except that a person shall also be deemed to be the beneficial owner of all Shares that such person has the right to acquire (whether such right is exercisable immediately or only after the passage of time) pursuant to the exercise of any rights in connection with any securities or any agreement, arrangement or understanding (whether or not in writing), regardless of when such rights may be exercised and whether they are conditional, and all Shares with respect to which such person or any of such person’s Affiliates or Associates has or shares the right to vote or direct the voting of such Shares or has or shares the right to dispose, or to direct the disposition, of such Shares;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6" w:name="page17"/>
    <w:bookmarkEnd w:id="16"/>
    <w:p>
      <w:pPr>
        <w:ind w:left="804" w:hanging="253"/>
        <w:spacing w:after="0"/>
        <w:tabs>
          <w:tab w:leader="none" w:pos="8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Sunday or public holiday in the City of London, England;</w:t>
      </w:r>
    </w:p>
    <w:p>
      <w:pPr>
        <w:spacing w:after="0" w:line="117"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shall mean ordinary shares of £0.003 each in the capital of the Company;</w:t>
      </w:r>
    </w:p>
    <w:p>
      <w:pPr>
        <w:spacing w:after="0" w:line="117" w:lineRule="exact"/>
        <w:rPr>
          <w:rFonts w:ascii="Times New Roman" w:cs="Times New Roman" w:eastAsia="Times New Roman" w:hAnsi="Times New Roman"/>
          <w:sz w:val="18"/>
          <w:szCs w:val="18"/>
          <w:color w:val="auto"/>
        </w:rPr>
      </w:pPr>
    </w:p>
    <w:p>
      <w:pPr>
        <w:ind w:left="-436" w:right="80" w:firstLine="987"/>
        <w:spacing w:after="0" w:line="266" w:lineRule="auto"/>
        <w:tabs>
          <w:tab w:leader="none" w:pos="7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shall mean any individual or any body corporate, corporation (including not-for-profit), partnership, general or limited partnership, limited liability or unlimited liability company, joint venture, estate, trust, association, organization or other entity of any kind or nature, in each case whether or not having separate legal personality;</w:t>
      </w:r>
    </w:p>
    <w:p>
      <w:pPr>
        <w:spacing w:after="0" w:line="67" w:lineRule="exact"/>
        <w:rPr>
          <w:rFonts w:ascii="Times New Roman" w:cs="Times New Roman" w:eastAsia="Times New Roman" w:hAnsi="Times New Roman"/>
          <w:sz w:val="18"/>
          <w:szCs w:val="18"/>
          <w:color w:val="auto"/>
        </w:rPr>
      </w:pPr>
    </w:p>
    <w:p>
      <w:pPr>
        <w:jc w:val="both"/>
        <w:ind w:left="-436" w:right="80" w:firstLine="987"/>
        <w:spacing w:after="0" w:line="266" w:lineRule="auto"/>
        <w:tabs>
          <w:tab w:leader="none" w:pos="8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in reference to any person, such person’s Affiliates and Associates and the respective directors, officers, employees, partners, members, managers, consultants, legal or other advisors, agents and other representatives of such person and its Affiliates and Associates acting in a capacity on behalf of, in concert with or at the direction of such person or its Affiliates or Associates; and</w:t>
      </w:r>
    </w:p>
    <w:p>
      <w:pPr>
        <w:spacing w:after="0" w:line="67"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any Ordinary Shares and/or ADS.</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36" w:firstLine="987"/>
        <w:spacing w:after="0" w:line="256" w:lineRule="auto"/>
        <w:tabs>
          <w:tab w:leader="none" w:pos="8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consents, requests, instructions, approvals and other communications provided for herein and all legal process in regard hereto shall be in writing in the English language, addressed as set out in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and shall be served: (i) by email, to the relevant email address, in which case it shall, subject to no automated notification of delivery failure being received by the sender, be deemed to have been given when sent, (ii) by hand to the relevant address, in which case it shall be deemed to have been given upon delivery to that address, or (iii) by courier (or if from any place outside the country where the relevant address is located, by air courier) to the relevant address, in which case it shall be deemed to have been given two business days after its delivery to a representative of the courier.</w:t>
      </w:r>
    </w:p>
    <w:p>
      <w:pPr>
        <w:spacing w:after="0" w:line="79"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under this Agreement shall be sent for the attention of the person and to the address, subject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as set out below:</w:t>
      </w:r>
    </w:p>
    <w:p>
      <w:pPr>
        <w:sectPr>
          <w:pgSz w:w="11900" w:h="16838" w:orient="portrait"/>
          <w:cols w:equalWidth="0" w:num="1">
            <w:col w:w="10564"/>
          </w:cols>
          <w:pgMar w:left="876" w:top="270" w:right="45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 Floor, One, Cavendish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England, W1G 0QF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Dr. Denise Scots-Knight (Chief Executive Officer), Charles Sermon (General Counsel)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sectPr>
          <w:pgSz w:w="11900" w:h="16838" w:orient="portrait"/>
          <w:cols w:equalWidth="0" w:num="2">
            <w:col w:w="1364" w:space="540"/>
            <w:col w:w="8660"/>
          </w:cols>
          <w:pgMar w:left="876" w:top="270" w:right="459" w:bottom="1440" w:gutter="0" w:footer="0" w:header="0"/>
          <w:type w:val="continuous"/>
        </w:sect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70" w:right="459" w:bottom="1440" w:gutter="0" w:footer="0" w:header="0"/>
          <w:type w:val="continuous"/>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-213360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Bishopsgate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EC2M 3XF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Mark Roeder, Josh Dubofsky, James Inness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112" w:lineRule="exact"/>
        <w:rPr>
          <w:sz w:val="20"/>
          <w:szCs w:val="20"/>
          <w:color w:val="auto"/>
        </w:rPr>
      </w:pPr>
    </w:p>
    <w:p>
      <w:pPr>
        <w:sectPr>
          <w:pgSz w:w="11900" w:h="16838" w:orient="portrait"/>
          <w:cols w:equalWidth="0" w:num="2">
            <w:col w:w="1620" w:space="720"/>
            <w:col w:w="8680"/>
          </w:cols>
          <w:pgMar w:left="440" w:top="270" w:right="439" w:bottom="1440" w:gutter="0" w:footer="0" w:header="0"/>
        </w:sectPr>
      </w:pPr>
    </w:p>
    <w:p>
      <w:pPr>
        <w:ind w:left="440"/>
        <w:spacing w:after="0"/>
        <w:rPr>
          <w:sz w:val="20"/>
          <w:szCs w:val="20"/>
          <w:color w:val="auto"/>
        </w:rPr>
      </w:pPr>
      <w:r>
        <w:rPr>
          <w:rFonts w:ascii="Times New Roman" w:cs="Times New Roman" w:eastAsia="Times New Roman" w:hAnsi="Times New Roman"/>
          <w:sz w:val="17"/>
          <w:szCs w:val="17"/>
          <w:color w:val="auto"/>
        </w:rPr>
        <w:t>if to Rubric: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 East 44th St, Suite 1630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Brian Kleinhaus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sectPr>
          <w:pgSz w:w="11900" w:h="16838" w:orient="portrait"/>
          <w:cols w:equalWidth="0" w:num="2">
            <w:col w:w="1620" w:space="720"/>
            <w:col w:w="8680"/>
          </w:cols>
          <w:pgMar w:left="440" w:top="270"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Fried, Frank, Harris, Shriver &amp; Jacobson (London) LLP</w:t>
      </w:r>
    </w:p>
    <w:p>
      <w:pPr>
        <w:spacing w:after="0" w:line="27" w:lineRule="exact"/>
        <w:rPr>
          <w:sz w:val="20"/>
          <w:szCs w:val="20"/>
          <w:color w:val="auto"/>
        </w:rPr>
      </w:pPr>
    </w:p>
    <w:p>
      <w:pPr>
        <w:sectPr>
          <w:pgSz w:w="11900" w:h="16838" w:orient="portrait"/>
          <w:cols w:equalWidth="0" w:num="2">
            <w:col w:w="1620" w:space="720"/>
            <w:col w:w="8680"/>
          </w:cols>
          <w:pgMar w:left="440" w:top="270" w:right="439" w:bottom="1440" w:gutter="0" w:footer="0" w:header="0"/>
          <w:type w:val="continuous"/>
        </w:sectPr>
      </w:pPr>
    </w:p>
    <w:p>
      <w:pPr>
        <w:ind w:left="2660" w:hanging="315"/>
        <w:spacing w:after="0"/>
        <w:tabs>
          <w:tab w:leader="none" w:pos="26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Bishopsgate</w:t>
      </w:r>
    </w:p>
    <w:p>
      <w:pPr>
        <w:spacing w:after="0" w:line="9" w:lineRule="exact"/>
        <w:rPr>
          <w:rFonts w:ascii="Times New Roman" w:cs="Times New Roman" w:eastAsia="Times New Roman" w:hAnsi="Times New Roman"/>
          <w:sz w:val="18"/>
          <w:szCs w:val="18"/>
          <w:color w:val="auto"/>
        </w:rPr>
      </w:pPr>
    </w:p>
    <w:p>
      <w:pPr>
        <w:ind w:left="2340" w:right="68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London, EC2N 4AG United Kingdom Attention: Ashar Qureshi Email:</w:t>
      </w:r>
    </w:p>
    <w:p>
      <w:pPr>
        <w:spacing w:after="0" w:line="80"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may notify the other party of any change to its address or other details specified in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provided that such notification shall only be effective on the date specified in such notice or two business days after the notice is given, whichever is later.</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 and Remedies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acknowledges and agrees that the other party would be irreparably injured by an actual breach of this Agreement by the first-mentioned party or its Representatives and that monetary remedies may be inadequate to protect either party against any actual or threatened breach or continuation of any breach of this Agreement. Without limitation of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and without prejudice to any other rights and remedies otherwise available to the parties under this Agreement, each party shall be entitled to seek the remedies of injunction, specific performance and any other equitable relief if the other party or any of its Representatives breaches or threatens to breach any provision of this Agreement.</w:t>
      </w:r>
    </w:p>
    <w:p>
      <w:pPr>
        <w:spacing w:after="0" w:line="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and without limiting any other remedies the Company may have in law or equity, in the event that Rubric (or any Affiliate or Associate of Rubric) fails to perform or otherwise fulfill its obligations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has not remedied such failure or non-fulfillment, if capable of being remedied or fulfilled, within twenty-one (21) business days following written notice from the Company of such failure or non-fulfillment, the Company shall not be required to perform or fulfill its obligations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7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 any provision of this Agreement is or becomes illegal, invalid or unenforceable in any respect under any applicable laws, such provision shall be deemed to be severed from this Agreement and, if possible, replaced with a lawful provision which, as closely as possible, gives effect to the intention of the parties under this Agreement and, where permissible, that shall not affect or impair the legality, validity or enforceability of any other provision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type w:val="continuous"/>
        </w:sectPr>
      </w:pPr>
    </w:p>
    <w:bookmarkStart w:id="18" w:name="page19"/>
    <w:bookmarkEnd w:id="18"/>
    <w:p>
      <w:pPr>
        <w:ind w:right="60" w:firstLine="436"/>
        <w:spacing w:after="0" w:line="261" w:lineRule="auto"/>
        <w:tabs>
          <w:tab w:leader="none" w:pos="7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This Agreement shall terminate immediately following the end of the 2024 annual meeting of the Company’s shareholders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Upon termination, this Agreement shall have no further force and effect. Notwithstanding the foregoing: (a) </w:t>
      </w:r>
      <w:r>
        <w:rPr>
          <w:rFonts w:ascii="Times New Roman" w:cs="Times New Roman" w:eastAsia="Times New Roman" w:hAnsi="Times New Roman"/>
          <w:sz w:val="18"/>
          <w:szCs w:val="18"/>
          <w:u w:val="single" w:color="auto"/>
          <w:color w:val="auto"/>
        </w:rPr>
        <w:t>Sections 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shall survive termination of this Agreement; and (b) no termination of this Agreement shall relieve any party of liability for any breach of this Agreement arising prior to such termination.</w:t>
      </w:r>
    </w:p>
    <w:p>
      <w:pPr>
        <w:spacing w:after="0" w:line="71"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each of which shall be deemed to be an original, but all of which shall constitute the same agreement and shall become a binding agreement when a counterpart has been signed by each party and delivered to the other party, thereby constituting the entire agreement among the parties pertaining to the subject matter hereof. Signatures of the parties transmitted by facsimile, PDF, jpeg, .gif, .bmp or other electronic file shall be deemed to be their original signatures for all purposes and the exchange of copies of this Agreement and of signature pages by facsimile transmission, PDF or other electronic file shall constitute effective execution and delivery of this Agreement as to the parties.</w:t>
      </w:r>
    </w:p>
    <w:p>
      <w:pPr>
        <w:spacing w:after="0" w:line="79"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7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 or Assignment</w:t>
      </w:r>
      <w:r>
        <w:rPr>
          <w:rFonts w:ascii="Times New Roman" w:cs="Times New Roman" w:eastAsia="Times New Roman" w:hAnsi="Times New Roman"/>
          <w:sz w:val="18"/>
          <w:szCs w:val="18"/>
          <w:color w:val="auto"/>
        </w:rPr>
        <w:t>. This Agreement is solely for the benefit of the parties hereto and a person who is not a party to this Agreement shall have no right under the Contracts (Rights of Third Parties) Act 1999 to enforce any of its terms. No party to this Agreement may assign transfer, charge or otherwise deal with all or any of its rights under this Agreement nor grant, declare, create or dispose of any right or interest in it , and any assignment in contravention hereof shall be null and void.</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and Variation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or delay by a party to exercise any right or remedy provided under this Agreement or by law, whether by conduct or otherwise, shall not constitute a waiver of that or any other right or remedy, nor shall it preclude or restrict any further exercise of that or any other right or remedy. No single or partial exercise of any right or remedy provided under this Agreement or by law, whether by conduct or otherwise, shall preclude or restrict the further exercise of that or any other right or remedy. A waiver of any right or remedy under this Agreement shall only be effective if given in writing and shall not be deemed a waiver of any subsequent breach or default. A party that waives a right or remedy provided under this Agreement or by law in relation to another party does not affect its rights in relation to any other party.</w:t>
      </w:r>
    </w:p>
    <w:p>
      <w:pPr>
        <w:spacing w:after="0" w:line="79" w:lineRule="exact"/>
        <w:rPr>
          <w:rFonts w:ascii="Times New Roman" w:cs="Times New Roman" w:eastAsia="Times New Roman" w:hAnsi="Times New Roman"/>
          <w:sz w:val="18"/>
          <w:szCs w:val="18"/>
          <w:color w:val="auto"/>
        </w:rPr>
      </w:pPr>
    </w:p>
    <w:p>
      <w:pPr>
        <w:jc w:val="both"/>
        <w:ind w:right="100" w:firstLine="987"/>
        <w:spacing w:after="0" w:line="281" w:lineRule="auto"/>
        <w:tabs>
          <w:tab w:leader="none" w:pos="124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variation or amendment of this Agreement shall be valid unless it is in writing and duly executed by or on behalf of each party to this Agreement. Unless expressly agreed, no variation or amendment shall constitute a general waiver of any provision of this Agreement, nor shall it affect any rights or obligations under or pursuant to this Agreement which have already accrued up to the date of variation or amendment and the rights and obligations under or pursuant to this Agreement shall remain in full force and effect except and only to the extent that they are varied or amended.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9" w:name="page20"/>
    <w:bookmarkEnd w:id="19"/>
    <w:p>
      <w:pPr>
        <w:ind w:left="-20" w:right="20" w:firstLine="436"/>
        <w:spacing w:after="0" w:line="258" w:lineRule="auto"/>
        <w:tabs>
          <w:tab w:leader="none" w:pos="6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This Agreement constitutes the entire agreement between the parties and supersedes and extinguishes all previous and contemporaneous agreements, promises, assurances, and understandings between them, whether written or oral, relating to its subject matter. Each party acknowledges that in entering into this Agreement it does not rely on, and shall have no remedies in respect of, any statement, representation, assurance or warranty (whether made innocently or negligently) that is not set out in this Agreement. Each party agrees that it shall have no claim for innocent or negligent misrepresentation or negligent misstatement based on any statement in this Agreement.</w:t>
      </w:r>
    </w:p>
    <w:p>
      <w:pPr>
        <w:spacing w:after="0" w:line="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 and Construction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40" w:firstLine="987"/>
        <w:spacing w:after="0" w:line="266" w:lineRule="auto"/>
        <w:tabs>
          <w:tab w:leader="none" w:pos="12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set forth in this Agreement are for convenience of reference purposes only and shall not affect or be deemed to affect in any way the meaning or interpretation of this Agreement or any term or provision of this Agreement. References to a document (including this Agreement) include such document as amended or varied in accordance with its terms.</w:t>
      </w:r>
    </w:p>
    <w:p>
      <w:pPr>
        <w:spacing w:after="0" w:line="67"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unless a clear contrary intention appears:</w:t>
      </w:r>
    </w:p>
    <w:p>
      <w:pPr>
        <w:spacing w:after="0" w:line="117" w:lineRule="exact"/>
        <w:rPr>
          <w:rFonts w:ascii="Times New Roman" w:cs="Times New Roman" w:eastAsia="Times New Roman" w:hAnsi="Times New Roman"/>
          <w:sz w:val="18"/>
          <w:szCs w:val="18"/>
          <w:color w:val="auto"/>
        </w:rPr>
      </w:pPr>
    </w:p>
    <w:p>
      <w:pPr>
        <w:ind w:left="960" w:right="140" w:firstLine="408"/>
        <w:spacing w:after="0" w:line="282" w:lineRule="auto"/>
        <w:tabs>
          <w:tab w:leader="none" w:pos="157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introduced by the word “other” shall not be given a restrictive meaning because they are preceded by words referring to a particular class of acts, matters or things;</w:t>
      </w:r>
    </w:p>
    <w:p>
      <w:pPr>
        <w:spacing w:after="0" w:line="53" w:lineRule="exact"/>
        <w:rPr>
          <w:rFonts w:ascii="Times New Roman" w:cs="Times New Roman" w:eastAsia="Times New Roman" w:hAnsi="Times New Roman"/>
          <w:sz w:val="18"/>
          <w:szCs w:val="18"/>
          <w:color w:val="auto"/>
        </w:rPr>
      </w:pPr>
    </w:p>
    <w:p>
      <w:pPr>
        <w:ind w:left="960" w:right="140" w:firstLine="408"/>
        <w:spacing w:after="0" w:line="282" w:lineRule="auto"/>
        <w:tabs>
          <w:tab w:leader="none" w:pos="162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words shall not be given a restrictive meaning because they are followed by words which are particular examples of the acts, matters or things covered by the general words and the words “includes” and “including” shall be construed without limitation;</w:t>
      </w:r>
    </w:p>
    <w:p>
      <w:pPr>
        <w:spacing w:after="0" w:line="53" w:lineRule="exact"/>
        <w:rPr>
          <w:rFonts w:ascii="Times New Roman" w:cs="Times New Roman" w:eastAsia="Times New Roman" w:hAnsi="Times New Roman"/>
          <w:sz w:val="18"/>
          <w:szCs w:val="18"/>
          <w:color w:val="auto"/>
        </w:rPr>
      </w:pPr>
    </w:p>
    <w:p>
      <w:pPr>
        <w:ind w:left="960" w:right="240" w:firstLine="408"/>
        <w:spacing w:after="0" w:line="282" w:lineRule="auto"/>
        <w:tabs>
          <w:tab w:leader="none" w:pos="167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“hereunder,” “hereof,” “hereto” and words of similar import are references in this Agreement as a whole and not to any particular provision of this Agreement;</w:t>
      </w:r>
    </w:p>
    <w:p>
      <w:pPr>
        <w:spacing w:after="0" w:line="53"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w:t>
      </w:r>
    </w:p>
    <w:p>
      <w:pPr>
        <w:spacing w:after="0" w:line="117" w:lineRule="exact"/>
        <w:rPr>
          <w:rFonts w:ascii="Times New Roman" w:cs="Times New Roman" w:eastAsia="Times New Roman" w:hAnsi="Times New Roman"/>
          <w:sz w:val="18"/>
          <w:szCs w:val="18"/>
          <w:color w:val="auto"/>
        </w:rPr>
      </w:pPr>
    </w:p>
    <w:p>
      <w:pPr>
        <w:ind w:left="960" w:firstLine="408"/>
        <w:spacing w:after="0" w:line="258" w:lineRule="auto"/>
        <w:tabs>
          <w:tab w:leader="none" w:pos="161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reference to a particular law shall be construed also as a reference to all other laws made under the law referred to and to all such laws as amended, re-enacted, consolidated or replaced or as their application or interpretation is affected by other laws from time to time provided that, as between the parties, no such amendment or modification after the date of this Agreement shall apply for the purposes of this Agreement to the extent that it would impose any new or extended obligation, liability or restriction on, or otherwise adversely affect the rights of, any party;</w:t>
      </w:r>
    </w:p>
    <w:p>
      <w:pPr>
        <w:spacing w:after="0" w:line="75"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phrase “to the extent that” are a matter of degree and are not synonymous with “if”;</w:t>
      </w:r>
    </w:p>
    <w:p>
      <w:pPr>
        <w:spacing w:after="0" w:line="117" w:lineRule="exact"/>
        <w:rPr>
          <w:rFonts w:ascii="Times New Roman" w:cs="Times New Roman" w:eastAsia="Times New Roman" w:hAnsi="Times New Roman"/>
          <w:sz w:val="18"/>
          <w:szCs w:val="18"/>
          <w:color w:val="auto"/>
        </w:rPr>
      </w:pPr>
    </w:p>
    <w:p>
      <w:pPr>
        <w:ind w:left="1720" w:hanging="352"/>
        <w:spacing w:after="0"/>
        <w:tabs>
          <w:tab w:leader="none" w:pos="17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shall include any modes of reproducing words in a legible and non-transitory form;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60" w:top="270" w:right="479" w:bottom="1440" w:gutter="0" w:footer="0" w:header="0"/>
        </w:sectPr>
      </w:pPr>
    </w:p>
    <w:bookmarkStart w:id="20" w:name="page21"/>
    <w:bookmarkEnd w:id="20"/>
    <w:p>
      <w:pPr>
        <w:jc w:val="both"/>
        <w:ind w:left="960" w:right="160" w:firstLine="408"/>
        <w:spacing w:after="0" w:line="266" w:lineRule="auto"/>
        <w:tabs>
          <w:tab w:leader="none" w:pos="176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to any English legal term for any action, remedy, method of judicial proceeding, legal document, legal status, court official or any other legal concept or thing shall in respect of any jurisdiction other than England be deemed to include what most nearly approximates in that jurisdiction to the English legal term;</w:t>
      </w:r>
    </w:p>
    <w:p>
      <w:pPr>
        <w:spacing w:after="0" w:line="6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in this Agreement are references to Sections of this Agreement unless otherwise indicated; and</w:t>
      </w:r>
    </w:p>
    <w:p>
      <w:pPr>
        <w:spacing w:after="0" w:line="117" w:lineRule="exact"/>
        <w:rPr>
          <w:rFonts w:ascii="Times New Roman" w:cs="Times New Roman" w:eastAsia="Times New Roman" w:hAnsi="Times New Roman"/>
          <w:sz w:val="18"/>
          <w:szCs w:val="18"/>
          <w:color w:val="auto"/>
        </w:rPr>
      </w:pPr>
    </w:p>
    <w:p>
      <w:pPr>
        <w:ind w:left="1620" w:hanging="252"/>
        <w:spacing w:after="0"/>
        <w:tabs>
          <w:tab w:leader="none" w:pos="16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singular shall include the plural and vice versa and references to one gender include any other gender.</w:t>
      </w:r>
    </w:p>
    <w:p>
      <w:pPr>
        <w:spacing w:after="0" w:line="117" w:lineRule="exact"/>
        <w:rPr>
          <w:rFonts w:ascii="Times New Roman" w:cs="Times New Roman" w:eastAsia="Times New Roman" w:hAnsi="Times New Roman"/>
          <w:sz w:val="18"/>
          <w:szCs w:val="18"/>
          <w:color w:val="auto"/>
        </w:rPr>
      </w:pPr>
    </w:p>
    <w:p>
      <w:pPr>
        <w:ind w:left="-20" w:right="120" w:firstLine="436"/>
        <w:spacing w:after="0" w:line="261" w:lineRule="auto"/>
        <w:tabs>
          <w:tab w:leader="none" w:pos="6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Neither the Company, on the one hand, nor Rubric, on the other hand, shall be responsible for any fees or expenses incurred by the other party in connection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within five (5) business days from the date on which Rubric provides the Company with details of its bank account in writing and a duly completed W-8 or W-9 form (as applicable), the Company shall reimburse Rubric for its fees and expenses incurred in connection with Rubric’s involvement at the Company through the date of this Agreement in the amount of $500,000.</w:t>
      </w:r>
    </w:p>
    <w:p>
      <w:pPr>
        <w:spacing w:after="0" w:line="7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p>
    <w:p>
      <w:pPr>
        <w:spacing w:after="0" w:line="117" w:lineRule="exact"/>
        <w:rPr>
          <w:rFonts w:ascii="Times New Roman" w:cs="Times New Roman" w:eastAsia="Times New Roman" w:hAnsi="Times New Roman"/>
          <w:sz w:val="18"/>
          <w:szCs w:val="18"/>
          <w:color w:val="auto"/>
        </w:rPr>
      </w:pPr>
    </w:p>
    <w:p>
      <w:pPr>
        <w:ind w:left="-20" w:firstLine="987"/>
        <w:spacing w:after="0" w:line="282" w:lineRule="auto"/>
        <w:tabs>
          <w:tab w:leader="none" w:pos="12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rights or obligations arising out of or in connection with it shall be governed by and construed in accordance with English law.</w:t>
      </w:r>
    </w:p>
    <w:p>
      <w:pPr>
        <w:spacing w:after="0" w:line="53" w:lineRule="exact"/>
        <w:rPr>
          <w:rFonts w:ascii="Times New Roman" w:cs="Times New Roman" w:eastAsia="Times New Roman" w:hAnsi="Times New Roman"/>
          <w:sz w:val="18"/>
          <w:szCs w:val="18"/>
          <w:color w:val="auto"/>
        </w:rPr>
      </w:pPr>
    </w:p>
    <w:p>
      <w:pPr>
        <w:ind w:left="-20" w:right="100" w:firstLine="987"/>
        <w:spacing w:after="0" w:line="266" w:lineRule="auto"/>
        <w:tabs>
          <w:tab w:leader="none" w:pos="122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irrevocably agree that the courts of England and Wales shall have exclusive jurisdiction to settle any Disputes, and waive any objection to proceedings before such courts on the grounds of venue or on the grounds that such proceedings have been brought in an inappropriate forum.</w:t>
      </w:r>
    </w:p>
    <w:p>
      <w:pPr>
        <w:spacing w:after="0" w:line="67" w:lineRule="exact"/>
        <w:rPr>
          <w:rFonts w:ascii="Times New Roman" w:cs="Times New Roman" w:eastAsia="Times New Roman" w:hAnsi="Times New Roman"/>
          <w:sz w:val="18"/>
          <w:szCs w:val="18"/>
          <w:color w:val="auto"/>
        </w:rPr>
      </w:pPr>
    </w:p>
    <w:p>
      <w:pPr>
        <w:ind w:left="-20" w:right="60" w:firstLine="987"/>
        <w:spacing w:after="0" w:line="261" w:lineRule="auto"/>
        <w:tabs>
          <w:tab w:leader="none" w:pos="12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Section,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means any dispute, controversy, claim or difference of whatever nature arising out of, relating to, or having any connection with this Agreement, including a dispute regarding the existence, formation, validity, interpretation, performance, breach or termination of this Agreement and also including any dispute relating to any non-contractual rights or obligations arising out of, relating to, or having any connection with this Agreement.</w:t>
      </w:r>
    </w:p>
    <w:p>
      <w:pPr>
        <w:spacing w:after="0" w:line="71" w:lineRule="exact"/>
        <w:rPr>
          <w:rFonts w:ascii="Times New Roman" w:cs="Times New Roman" w:eastAsia="Times New Roman" w:hAnsi="Times New Roman"/>
          <w:sz w:val="18"/>
          <w:szCs w:val="18"/>
          <w:color w:val="auto"/>
        </w:rPr>
      </w:pPr>
    </w:p>
    <w:p>
      <w:pPr>
        <w:ind w:left="-20" w:right="80" w:firstLine="436"/>
        <w:spacing w:after="0" w:line="236" w:lineRule="auto"/>
        <w:tabs>
          <w:tab w:leader="none" w:pos="6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Process Agent.</w:t>
      </w:r>
      <w:r>
        <w:rPr>
          <w:rFonts w:ascii="Times New Roman" w:cs="Times New Roman" w:eastAsia="Times New Roman" w:hAnsi="Times New Roman"/>
          <w:sz w:val="18"/>
          <w:szCs w:val="18"/>
          <w:color w:val="auto"/>
        </w:rPr>
        <w:t xml:space="preserve"> Without prejudice to any other permitted mode of service, the parties agree that service of any claim form, notice or other document for the purpose of or in connection with any action or proceeding in England or Wales arising out of or in any way relating to this Agreement shall be duly served upon Rubric if it is delivered personally or courier (or any substantially similar form of mail) to Law Debenture Corporate Services Limited at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100 Bishopsgate, London EC2N 4AG, marked for the attention of Anne Hills, Director of Service of Process, or such other person and address in England or Wales as Rubric may notify to the Company in writing from time to time, whether or not such claim form, notice or other document is forwarded to Rubric or received by Rubric.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70"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has been entered into on the date stated at the beginning of it.</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Denise Scots-Knight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RUBRIC CAPITAL MANAGEMENT L.P.</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As Manager or Sub-Manager of its funds and accounts</w:t>
      </w:r>
    </w:p>
    <w:p>
      <w:pPr>
        <w:spacing w:after="0" w:line="2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Rubric Capital Management GP LLC, its General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Rosen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Member of the General Partner</w:t>
      </w:r>
    </w:p>
    <w:p>
      <w:pPr>
        <w:sectPr>
          <w:pgSz w:w="11900" w:h="16838" w:orient="portrait"/>
          <w:cols w:equalWidth="0" w:num="1">
            <w:col w:w="10100"/>
          </w:cols>
          <w:pgMar w:left="880" w:top="270" w:right="91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PRESS RELEASE</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lowerRoman"/>
      <w:start w:val="1"/>
    </w:lvl>
    <w:lvl w:ilvl="1">
      <w:lvlJc w:val="left"/>
      <w:lvlText w:val="(%2)"/>
      <w:numFmt w:val="lowerLetter"/>
      <w:start w:val="2"/>
    </w:lvl>
  </w:abstractNum>
  <w:abstractNum w:abstractNumId="2">
    <w:nsid w:val="109CF92E"/>
    <w:multiLevelType w:val="hybridMultilevel"/>
    <w:lvl w:ilvl="0">
      <w:lvlJc w:val="left"/>
      <w:lvlText w:val="(%1)"/>
      <w:numFmt w:val="lowerRoman"/>
      <w:start w:val="4"/>
    </w:lvl>
    <w:lvl w:ilvl="1">
      <w:lvlJc w:val="left"/>
      <w:lvlText w:val="(%2)"/>
      <w:numFmt w:val="lowerLetter"/>
      <w:start w:val="3"/>
    </w:lvl>
  </w:abstractNum>
  <w:abstractNum w:abstractNumId="3">
    <w:nsid w:val="DED72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4">
    <w:nsid w:val="7FDCC23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5">
    <w:nsid w:val="1BEFD79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6">
    <w:nsid w:val="41A7C4C9"/>
    <w:multiLevelType w:val="hybridMultilevel"/>
    <w:lvl w:ilvl="0">
      <w:lvlJc w:val="left"/>
      <w:lvlText w:val="(%1)"/>
      <w:numFmt w:val="lowerLetter"/>
      <w:start w:val="4"/>
    </w:lvl>
    <w:lvl w:ilvl="1">
      <w:lvlJc w:val="left"/>
      <w:lvlText w:val="(%2)"/>
      <w:numFmt w:val="lowerLetter"/>
      <w:start w:val="9"/>
    </w:lvl>
  </w:abstractNum>
  <w:abstractNum w:abstractNumId="7">
    <w:nsid w:val="6B68079A"/>
    <w:multiLevelType w:val="hybridMultilevel"/>
    <w:lvl w:ilvl="0">
      <w:lvlJc w:val="left"/>
      <w:lvlText w:val="%1"/>
      <w:numFmt w:val="upperLetter"/>
      <w:start w:val="1"/>
    </w:lvl>
    <w:lvl w:ilvl="1">
      <w:lvlJc w:val="left"/>
      <w:lvlText w:val="(%2)"/>
      <w:numFmt w:val="lowerRoman"/>
      <w:start w:val="2"/>
    </w:lvl>
  </w:abstractNum>
  <w:abstractNum w:abstractNumId="8">
    <w:nsid w:val="4E6AFB66"/>
    <w:multiLevelType w:val="hybridMultilevel"/>
    <w:lvl w:ilvl="0">
      <w:lvlJc w:val="left"/>
      <w:lvlText w:val="(%1)"/>
      <w:numFmt w:val="upperLetter"/>
      <w:start w:val="5"/>
    </w:lvl>
    <w:lvl w:ilvl="1">
      <w:lvlJc w:val="left"/>
      <w:lvlText w:val="(%2)"/>
      <w:numFmt w:val="lowerRoman"/>
      <w:start w:val="3"/>
    </w:lvl>
  </w:abstractNum>
  <w:abstractNum w:abstractNumId="9">
    <w:nsid w:val="25E45D32"/>
    <w:multiLevelType w:val="hybridMultilevel"/>
    <w:lvl w:ilvl="0">
      <w:lvlJc w:val="left"/>
      <w:lvlText w:val="(%1)"/>
      <w:numFmt w:val="lowerRoman"/>
      <w:start w:val="7"/>
    </w:lvl>
  </w:abstractNum>
  <w:abstractNum w:abstractNumId="10">
    <w:nsid w:val="519B500D"/>
    <w:multiLevelType w:val="hybridMultilevel"/>
    <w:lvl w:ilvl="0">
      <w:lvlJc w:val="left"/>
      <w:lvlText w:val="(%1)"/>
      <w:numFmt w:val="lowerLetter"/>
      <w:start w:val="6"/>
    </w:lvl>
  </w:abstractNum>
  <w:abstractNum w:abstractNumId="11">
    <w:nsid w:val="431BD7B7"/>
    <w:multiLevelType w:val="hybridMultilevel"/>
    <w:lvl w:ilvl="0">
      <w:lvlJc w:val="left"/>
      <w:lvlText w:val="%1."/>
      <w:numFmt w:val="decimal"/>
      <w:start w:val="3"/>
    </w:lvl>
    <w:lvl w:ilvl="1">
      <w:lvlJc w:val="left"/>
      <w:lvlText w:val="(%2)"/>
      <w:numFmt w:val="lowerLetter"/>
      <w:start w:val="1"/>
    </w:lvl>
  </w:abstractNum>
  <w:abstractNum w:abstractNumId="12">
    <w:nsid w:val="3F2DBA31"/>
    <w:multiLevelType w:val="hybridMultilevel"/>
    <w:lvl w:ilvl="0">
      <w:lvlJc w:val="left"/>
      <w:lvlText w:val="%1."/>
      <w:numFmt w:val="decimal"/>
      <w:start w:val="5"/>
    </w:lvl>
  </w:abstractNum>
  <w:abstractNum w:abstractNumId="13">
    <w:nsid w:val="7C83E458"/>
    <w:multiLevelType w:val="hybridMultilevel"/>
    <w:lvl w:ilvl="0">
      <w:lvlJc w:val="left"/>
      <w:lvlText w:val="%1."/>
      <w:numFmt w:val="decimal"/>
      <w:start w:val="7"/>
    </w:lvl>
    <w:lvl w:ilvl="1">
      <w:lvlJc w:val="left"/>
      <w:lvlText w:val="(%2)"/>
      <w:numFmt w:val="lowerLetter"/>
      <w:start w:val="1"/>
    </w:lvl>
  </w:abstractNum>
  <w:abstractNum w:abstractNumId="14">
    <w:nsid w:val="257130A3"/>
    <w:multiLevelType w:val="hybridMultilevel"/>
    <w:lvl w:ilvl="0">
      <w:lvlJc w:val="left"/>
      <w:lvlText w:val="(%1)"/>
      <w:numFmt w:val="lowerLetter"/>
      <w:start w:val="3"/>
    </w:lvl>
  </w:abstractNum>
  <w:abstractNum w:abstractNumId="15">
    <w:nsid w:val="62BBD95A"/>
    <w:multiLevelType w:val="hybridMultilevel"/>
    <w:lvl w:ilvl="0">
      <w:lvlJc w:val="left"/>
      <w:lvlText w:val="%1"/>
      <w:numFmt w:val="decimal"/>
      <w:start w:val="1"/>
    </w:lvl>
    <w:lvl w:ilvl="1">
      <w:lvlJc w:val="left"/>
      <w:lvlText w:val="(%2)"/>
      <w:numFmt w:val="lowerLetter"/>
      <w:start w:val="4"/>
    </w:lvl>
  </w:abstractNum>
  <w:abstractNum w:abstractNumId="16">
    <w:nsid w:val="436C6125"/>
    <w:multiLevelType w:val="hybridMultilevel"/>
    <w:lvl w:ilvl="0">
      <w:lvlJc w:val="left"/>
      <w:lvlText w:val="%1."/>
      <w:numFmt w:val="decimal"/>
      <w:start w:val="10"/>
    </w:lvl>
    <w:lvl w:ilvl="1">
      <w:lvlJc w:val="left"/>
      <w:lvlText w:val="(%2)"/>
      <w:numFmt w:val="lowerLetter"/>
      <w:start w:val="1"/>
    </w:lvl>
  </w:abstractNum>
  <w:abstractNum w:abstractNumId="17">
    <w:nsid w:val="628C895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00"/>
    </w:lvl>
  </w:abstractNum>
  <w:abstractNum w:abstractNumId="18">
    <w:nsid w:val="333AB10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9">
    <w:nsid w:val="721DA317"/>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20">
    <w:nsid w:val="2443A858"/>
    <w:multiLevelType w:val="hybridMultilevel"/>
    <w:lvl w:ilvl="0">
      <w:lvlJc w:val="left"/>
      <w:lvlText w:val="%1."/>
      <w:numFmt w:val="decimal"/>
      <w:start w:val="13"/>
    </w:lvl>
    <w:lvl w:ilvl="1">
      <w:lvlJc w:val="left"/>
      <w:lvlText w:val="(%2)"/>
      <w:numFmt w:val="lowerLetter"/>
      <w:start w:val="1"/>
    </w:lvl>
  </w:abstractNum>
  <w:abstractNum w:abstractNumId="21">
    <w:nsid w:val="2D1D5AE9"/>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3">
    <w:nsid w:val="75A2A8D4"/>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2022-10-28T06:16:12Z</dcterms:created>
  <dcterms:modified xsi:type="dcterms:W3CDTF">2022-10-28T06:16:12Z</dcterms:modified>
</cp:coreProperties>
</file>