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22"/>
          <w:szCs w:val="22"/>
          <w:b w:val="1"/>
          <w:bCs w:val="1"/>
          <w:color w:val="0000FF"/>
        </w:rPr>
        <w:t>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11/29/2024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15,917,259.00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15,917,259.00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15,917,259.00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589492107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Biotech Innovation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139"/>
        <w:spacing w:after="0"/>
        <w:rPr>
          <w:sz w:val="20"/>
          <w:szCs w:val="20"/>
          <w:color w:val="auto"/>
        </w:rPr>
      </w:pPr>
      <w:r>
        <w:rPr>
          <w:rFonts w:ascii="Times New Roman" w:cs="Times New Roman" w:eastAsia="Times New Roman" w:hAnsi="Times New Roman"/>
          <w:sz w:val="21"/>
          <w:szCs w:val="21"/>
          <w:color w:val="auto"/>
        </w:rPr>
        <w:t>MASSACHUSETTS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14,384,501.00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14,384,501.00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14,384,501.00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ONE CAVENDISH PLACE, FOURTH FLOOR LONDON, United Kingdom W1G0QF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American Depositary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589492107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JHIUS may be deemed to be the beneficial owner of 15917259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26" w:right="899" w:bottom="32" w:gutter="0" w:footer="0" w:header="0"/>
        </w:sectPr>
      </w:pPr>
    </w:p>
    <w:bookmarkStart w:id="3" w:name="page4"/>
    <w:bookmarkEnd w:id="3"/>
    <w:p>
      <w:pPr>
        <w:spacing w:after="0" w:line="4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8" w:lineRule="exact"/>
        <w:rPr>
          <w:sz w:val="20"/>
          <w:szCs w:val="20"/>
          <w:color w:val="auto"/>
        </w:rPr>
      </w:pPr>
    </w:p>
    <w:p>
      <w:pPr>
        <w:ind w:left="920" w:right="624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15917259</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15917259</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87"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JHIUS, JHIUKL and JHIAIFML are indirect subsidiaries of Janus Henderson and are registered investment advisers furnishing investment advice to Managed Portfolios.</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87" w:orient="portrait"/>
          <w:cols w:equalWidth="0" w:num="2">
            <w:col w:w="620" w:space="300"/>
            <w:col w:w="10220"/>
          </w:cols>
          <w:pgMar w:left="360" w:top="112" w:right="399" w:bottom="0" w:gutter="0" w:footer="0" w:header="0"/>
          <w:type w:val="continuous"/>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0" w:lineRule="exact"/>
        <w:rPr>
          <w:sz w:val="20"/>
          <w:szCs w:val="20"/>
          <w:color w:val="auto"/>
        </w:rPr>
      </w:pPr>
    </w:p>
    <w:p>
      <w:pPr>
        <w:spacing w:after="0" w:line="243"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ectPr>
          <w:pgSz w:w="11900" w:h="16887" w:orient="portrait"/>
          <w:cols w:equalWidth="0" w:num="1">
            <w:col w:w="11140"/>
          </w:cols>
          <w:pgMar w:left="360" w:top="112" w:right="399" w:bottom="0" w:gutter="0" w:footer="0" w:header="0"/>
          <w:type w:val="continuous"/>
        </w:sectPr>
      </w:pPr>
    </w:p>
    <w:bookmarkStart w:id="4" w:name="page5"/>
    <w:bookmarkEnd w:id="4"/>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12/06/2024</w:t>
      </w:r>
    </w:p>
    <w:p>
      <w:pPr>
        <w:spacing w:after="0" w:line="15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Janus Henderson Biotech Innovation Master Fund Ltd</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12/06/2024</w:t>
      </w:r>
    </w:p>
    <w:p>
      <w:pPr>
        <w:spacing w:after="0" w:line="1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1"/>
          <w:szCs w:val="21"/>
          <w:color w:val="auto"/>
        </w:rPr>
        <w:t>POWER OF ATTORNEY 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 be an employee of the Company or one of its affiliates. IN WITNESS WHEREOF, the undersigned has caused this power of attorney to be executed as of this 9th day of December, 2022. Janus Henderson Group plc By: /s/ Michelle Rosenberg Name: Michelle Rosenberg Title: General Counsel and Company Secretary</w:t>
      </w:r>
    </w:p>
    <w:sectPr>
      <w:pgSz w:w="11900" w:h="16838" w:orient="portrait"/>
      <w:cols w:equalWidth="0" w:num="1">
        <w:col w:w="11120"/>
      </w:cols>
      <w:pgMar w:left="360" w:top="153"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2024-12-06T10:47:19Z</dcterms:created>
  <dcterms:modified xsi:type="dcterms:W3CDTF">2024-12-06T10:47:19Z</dcterms:modified>
</cp:coreProperties>
</file>