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3)*</w:t>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nominal value £0.003 per share, represented by American Depository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20" w:hanging="4"/>
        <w:spacing w:after="0" w:line="297" w:lineRule="auto"/>
        <w:tabs>
          <w:tab w:leader="none" w:pos="90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CUSIP number assigned to the Ordinary Shares. CUSIP number 589492107 has been assigned to the American Depositary Shares (“ADSs”) of the Issuer, which are quoted on the Nasdaq Stock Market under the symbol “MREO.” Each ADS represents 5 Ordinary Shares.</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7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GP VII LLC</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7100" w:type="dxa"/>
            <w:vAlign w:val="bottom"/>
            <w:gridSpan w:val="5"/>
            <w:vMerge w:val="continue"/>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Times New Roman" w:cs="Times New Roman" w:eastAsia="Times New Roman" w:hAnsi="Times New Roman"/>
                <w:sz w:val="25"/>
                <w:szCs w:val="25"/>
                <w:color w:val="auto"/>
                <w:w w:val="9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4</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5</w:t>
            </w: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shd w:val="clear" w:color="auto" w:fill="000000"/>
          </w:tcPr>
          <w:p>
            <w:pPr>
              <w:spacing w:after="0"/>
              <w:rPr>
                <w:sz w:val="15"/>
                <w:szCs w:val="15"/>
                <w:color w:val="auto"/>
              </w:rPr>
            </w:pPr>
          </w:p>
        </w:tc>
        <w:tc>
          <w:tcPr>
            <w:tcW w:w="2040" w:type="dxa"/>
            <w:vAlign w:val="bottom"/>
            <w:tcBorders>
              <w:right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line="216" w:lineRule="exact"/>
              <w:rPr>
                <w:sz w:val="20"/>
                <w:szCs w:val="20"/>
                <w:color w:val="auto"/>
              </w:rPr>
            </w:pPr>
            <w:r>
              <w:rPr>
                <w:rFonts w:ascii="Times New Roman" w:cs="Times New Roman" w:eastAsia="Times New Roman" w:hAnsi="Times New Roman"/>
                <w:sz w:val="25"/>
                <w:szCs w:val="25"/>
                <w:color w:val="auto"/>
              </w:rPr>
              <w:t>6</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4"/>
                <w:szCs w:val="4"/>
                <w:color w:val="auto"/>
              </w:rPr>
            </w:pP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7</w:t>
            </w:r>
          </w:p>
        </w:tc>
        <w:tc>
          <w:tcPr>
            <w:tcW w:w="50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8</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9</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10</w:t>
            </w:r>
          </w:p>
        </w:tc>
        <w:tc>
          <w:tcPr>
            <w:tcW w:w="260" w:type="dxa"/>
            <w:vAlign w:val="bottom"/>
            <w:tcBorders>
              <w:right w:val="single" w:sz="8" w:color="auto"/>
            </w:tcBorders>
          </w:tcPr>
          <w:p>
            <w:pPr>
              <w:spacing w:after="0"/>
              <w:rPr>
                <w:sz w:val="20"/>
                <w:szCs w:val="20"/>
                <w:color w:val="auto"/>
              </w:rPr>
            </w:pPr>
          </w:p>
        </w:tc>
        <w:tc>
          <w:tcPr>
            <w:tcW w:w="7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100" w:type="dxa"/>
            <w:vAlign w:val="bottom"/>
            <w:gridSpan w:val="5"/>
            <w:vMerge w:val="continue"/>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3"/>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7"/>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Times New Roman" w:cs="Times New Roman" w:eastAsia="Times New Roman" w:hAnsi="Times New Roman"/>
                <w:sz w:val="25"/>
                <w:szCs w:val="25"/>
                <w:color w:val="auto"/>
                <w:w w:val="9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4</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5</w:t>
            </w: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shd w:val="clear" w:color="auto" w:fill="000000"/>
          </w:tcPr>
          <w:p>
            <w:pPr>
              <w:spacing w:after="0"/>
              <w:rPr>
                <w:sz w:val="15"/>
                <w:szCs w:val="15"/>
                <w:color w:val="auto"/>
              </w:rPr>
            </w:pPr>
          </w:p>
        </w:tc>
        <w:tc>
          <w:tcPr>
            <w:tcW w:w="2040" w:type="dxa"/>
            <w:vAlign w:val="bottom"/>
            <w:tcBorders>
              <w:right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line="216" w:lineRule="exact"/>
              <w:rPr>
                <w:sz w:val="20"/>
                <w:szCs w:val="20"/>
                <w:color w:val="auto"/>
              </w:rPr>
            </w:pPr>
            <w:r>
              <w:rPr>
                <w:rFonts w:ascii="Times New Roman" w:cs="Times New Roman" w:eastAsia="Times New Roman" w:hAnsi="Times New Roman"/>
                <w:sz w:val="25"/>
                <w:szCs w:val="25"/>
                <w:color w:val="auto"/>
              </w:rPr>
              <w:t>6</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4"/>
                <w:szCs w:val="4"/>
                <w:color w:val="auto"/>
              </w:rPr>
            </w:pP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7</w:t>
            </w:r>
          </w:p>
        </w:tc>
        <w:tc>
          <w:tcPr>
            <w:tcW w:w="50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8</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9</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10</w:t>
            </w:r>
          </w:p>
        </w:tc>
        <w:tc>
          <w:tcPr>
            <w:tcW w:w="260" w:type="dxa"/>
            <w:vAlign w:val="bottom"/>
            <w:tcBorders>
              <w:right w:val="single" w:sz="8" w:color="auto"/>
            </w:tcBorders>
          </w:tcPr>
          <w:p>
            <w:pPr>
              <w:spacing w:after="0"/>
              <w:rPr>
                <w:sz w:val="20"/>
                <w:szCs w:val="20"/>
                <w:color w:val="auto"/>
              </w:rPr>
            </w:pPr>
          </w:p>
        </w:tc>
        <w:tc>
          <w:tcPr>
            <w:tcW w:w="7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100" w:type="dxa"/>
            <w:vAlign w:val="bottom"/>
            <w:gridSpan w:val="5"/>
            <w:vMerge w:val="continue"/>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6"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96" w:lineRule="exact"/>
        <w:rPr>
          <w:sz w:val="20"/>
          <w:szCs w:val="20"/>
          <w:color w:val="auto"/>
        </w:rPr>
      </w:pPr>
    </w:p>
    <w:p>
      <w:pPr>
        <w:ind w:left="1180" w:right="7380" w:hanging="668"/>
        <w:spacing w:after="0" w:line="180" w:lineRule="auto"/>
        <w:tabs>
          <w:tab w:leader="none" w:pos="1180" w:val="left"/>
        </w:tabs>
        <w:numPr>
          <w:ilvl w:val="0"/>
          <w:numId w:val="2"/>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5"/>
          <w:szCs w:val="15"/>
          <w:color w:val="auto"/>
        </w:rPr>
        <w:t>NAME OF REPORTING PERSONS OrbiMed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4097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pacing w:after="0" w:line="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ind w:left="1180" w:hanging="668"/>
        <w:spacing w:after="0" w:line="209" w:lineRule="auto"/>
        <w:tabs>
          <w:tab w:leader="none" w:pos="1180" w:val="left"/>
        </w:tabs>
        <w:numPr>
          <w:ilvl w:val="0"/>
          <w:numId w:val="3"/>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2" w:lineRule="exact"/>
        <w:rPr>
          <w:rFonts w:ascii="Times New Roman" w:cs="Times New Roman" w:eastAsia="Times New Roman" w:hAnsi="Times New Roman"/>
          <w:sz w:val="25"/>
          <w:szCs w:val="25"/>
          <w:color w:val="auto"/>
        </w:rPr>
      </w:pPr>
    </w:p>
    <w:p>
      <w:pPr>
        <w:ind w:left="1180"/>
        <w:spacing w:after="0"/>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p>
      <w:pPr>
        <w:spacing w:after="0" w:line="84" w:lineRule="exact"/>
        <w:rPr>
          <w:sz w:val="20"/>
          <w:szCs w:val="20"/>
          <w:color w:val="auto"/>
        </w:rPr>
      </w:pPr>
    </w:p>
    <w:p>
      <w:pPr>
        <w:ind w:left="1180" w:hanging="668"/>
        <w:spacing w:after="0"/>
        <w:tabs>
          <w:tab w:leader="none" w:pos="1180" w:val="left"/>
        </w:tabs>
        <w:numPr>
          <w:ilvl w:val="0"/>
          <w:numId w:val="4"/>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SEC USE ONLY</w:t>
      </w:r>
    </w:p>
    <w:p>
      <w:pPr>
        <w:spacing w:after="0" w:line="13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400" w:type="dxa"/>
            <w:vAlign w:val="bottom"/>
            <w:vMerge w:val="restart"/>
          </w:tcPr>
          <w:p>
            <w:pPr>
              <w:jc w:val="right"/>
              <w:ind w:right="154"/>
              <w:spacing w:after="0"/>
              <w:rPr>
                <w:sz w:val="20"/>
                <w:szCs w:val="20"/>
                <w:color w:val="auto"/>
              </w:rPr>
            </w:pPr>
            <w:r>
              <w:rPr>
                <w:rFonts w:ascii="Times New Roman" w:cs="Times New Roman" w:eastAsia="Times New Roman" w:hAnsi="Times New Roman"/>
                <w:sz w:val="25"/>
                <w:szCs w:val="25"/>
                <w:color w:val="auto"/>
                <w:w w:val="79"/>
              </w:rPr>
              <w:t>4</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CITIZENSHIP OR PLACE OF ORGANIZATION</w:t>
            </w:r>
          </w:p>
        </w:tc>
        <w:tc>
          <w:tcPr>
            <w:tcW w:w="0" w:type="dxa"/>
            <w:vAlign w:val="bottom"/>
          </w:tcPr>
          <w:p>
            <w:pPr>
              <w:spacing w:after="0"/>
              <w:rPr>
                <w:sz w:val="1"/>
                <w:szCs w:val="1"/>
                <w:color w:val="auto"/>
              </w:rPr>
            </w:pPr>
          </w:p>
        </w:tc>
      </w:tr>
      <w:tr>
        <w:trPr>
          <w:trHeight w:val="175"/>
        </w:trPr>
        <w:tc>
          <w:tcPr>
            <w:tcW w:w="400" w:type="dxa"/>
            <w:vAlign w:val="bottom"/>
            <w:vMerge w:val="continue"/>
          </w:tcPr>
          <w:p>
            <w:pPr>
              <w:spacing w:after="0"/>
              <w:rPr>
                <w:sz w:val="15"/>
                <w:szCs w:val="15"/>
                <w:color w:val="auto"/>
              </w:rPr>
            </w:pPr>
          </w:p>
        </w:tc>
        <w:tc>
          <w:tcPr>
            <w:tcW w:w="3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59"/>
        </w:trPr>
        <w:tc>
          <w:tcPr>
            <w:tcW w:w="400" w:type="dxa"/>
            <w:vAlign w:val="bottom"/>
          </w:tcPr>
          <w:p>
            <w:pPr>
              <w:spacing w:after="0"/>
              <w:rPr>
                <w:sz w:val="5"/>
                <w:szCs w:val="5"/>
                <w:color w:val="auto"/>
              </w:rPr>
            </w:pPr>
          </w:p>
        </w:tc>
        <w:tc>
          <w:tcPr>
            <w:tcW w:w="3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40" w:type="dxa"/>
            <w:vAlign w:val="bottom"/>
            <w:tcBorders>
              <w:top w:val="single" w:sz="8" w:color="auto"/>
            </w:tcBorders>
          </w:tcPr>
          <w:p>
            <w:pPr>
              <w:spacing w:after="0"/>
              <w:rPr>
                <w:sz w:val="23"/>
                <w:szCs w:val="23"/>
                <w:color w:val="auto"/>
              </w:rPr>
            </w:pPr>
          </w:p>
        </w:tc>
        <w:tc>
          <w:tcPr>
            <w:tcW w:w="2120" w:type="dxa"/>
            <w:vAlign w:val="bottom"/>
            <w:tcBorders>
              <w:top w:val="single" w:sz="8" w:color="auto"/>
              <w:right w:val="single" w:sz="8" w:color="auto"/>
            </w:tcBorders>
            <w:gridSpan w:val="2"/>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rPr>
              <w:t>NUMBER OF</w:t>
            </w:r>
          </w:p>
        </w:tc>
        <w:tc>
          <w:tcPr>
            <w:tcW w:w="1320" w:type="dxa"/>
            <w:vAlign w:val="bottom"/>
            <w:tcBorders>
              <w:top w:val="single" w:sz="8" w:color="auto"/>
              <w:right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25"/>
                <w:szCs w:val="25"/>
                <w:color w:val="auto"/>
              </w:rPr>
              <w:t>5</w:t>
            </w:r>
          </w:p>
        </w:tc>
        <w:tc>
          <w:tcPr>
            <w:tcW w:w="4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2120" w:type="dxa"/>
            <w:vAlign w:val="bottom"/>
            <w:tcBorders>
              <w:right w:val="single" w:sz="8" w:color="auto"/>
            </w:tcBorders>
            <w:gridSpan w:val="2"/>
            <w:vMerge w:val="continue"/>
          </w:tcPr>
          <w:p>
            <w:pPr>
              <w:spacing w:after="0"/>
              <w:rPr>
                <w:sz w:val="15"/>
                <w:szCs w:val="15"/>
                <w:color w:val="auto"/>
              </w:rPr>
            </w:pPr>
          </w:p>
        </w:tc>
        <w:tc>
          <w:tcPr>
            <w:tcW w:w="1320" w:type="dxa"/>
            <w:vAlign w:val="bottom"/>
            <w:tcBorders>
              <w:right w:val="single" w:sz="8" w:color="auto"/>
            </w:tcBorders>
            <w:vMerge w:val="continue"/>
          </w:tcPr>
          <w:p>
            <w:pPr>
              <w:spacing w:after="0"/>
              <w:rPr>
                <w:sz w:val="15"/>
                <w:szCs w:val="15"/>
                <w:color w:val="auto"/>
              </w:rPr>
            </w:pPr>
          </w:p>
        </w:tc>
        <w:tc>
          <w:tcPr>
            <w:tcW w:w="4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740" w:type="dxa"/>
            <w:vAlign w:val="bottom"/>
          </w:tcPr>
          <w:p>
            <w:pPr>
              <w:spacing w:after="0"/>
              <w:rPr>
                <w:sz w:val="8"/>
                <w:szCs w:val="8"/>
                <w:color w:val="auto"/>
              </w:rPr>
            </w:pPr>
          </w:p>
        </w:tc>
        <w:tc>
          <w:tcPr>
            <w:tcW w:w="2120" w:type="dxa"/>
            <w:vAlign w:val="bottom"/>
            <w:tcBorders>
              <w:right w:val="single" w:sz="8" w:color="auto"/>
            </w:tcBorders>
            <w:gridSpan w:val="2"/>
            <w:vMerge w:val="restart"/>
          </w:tcPr>
          <w:p>
            <w:pPr>
              <w:jc w:val="center"/>
              <w:ind w:right="65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bottom w:val="single" w:sz="8" w:color="auto"/>
              <w:right w:val="single" w:sz="8" w:color="auto"/>
            </w:tcBorders>
          </w:tcPr>
          <w:p>
            <w:pPr>
              <w:spacing w:after="0"/>
              <w:rPr>
                <w:sz w:val="8"/>
                <w:szCs w:val="8"/>
                <w:color w:val="auto"/>
              </w:rPr>
            </w:pPr>
          </w:p>
        </w:tc>
        <w:tc>
          <w:tcPr>
            <w:tcW w:w="498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740" w:type="dxa"/>
            <w:vAlign w:val="bottom"/>
          </w:tcPr>
          <w:p>
            <w:pPr>
              <w:spacing w:after="0"/>
              <w:rPr>
                <w:sz w:val="6"/>
                <w:szCs w:val="6"/>
                <w:color w:val="auto"/>
              </w:rPr>
            </w:pPr>
          </w:p>
        </w:tc>
        <w:tc>
          <w:tcPr>
            <w:tcW w:w="2120" w:type="dxa"/>
            <w:vAlign w:val="bottom"/>
            <w:tcBorders>
              <w:right w:val="single" w:sz="8" w:color="auto"/>
            </w:tcBorders>
            <w:gridSpan w:val="2"/>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4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2120" w:type="dxa"/>
            <w:vAlign w:val="bottom"/>
            <w:tcBorders>
              <w:right w:val="single" w:sz="8" w:color="auto"/>
            </w:tcBorders>
            <w:gridSpan w:val="2"/>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w w:val="97"/>
              </w:rPr>
              <w:t>BENEFICIALLY</w:t>
            </w:r>
          </w:p>
        </w:tc>
        <w:tc>
          <w:tcPr>
            <w:tcW w:w="1320" w:type="dxa"/>
            <w:vAlign w:val="bottom"/>
            <w:tcBorders>
              <w:right w:val="single" w:sz="8" w:color="auto"/>
            </w:tcBorders>
            <w:vMerge w:val="restart"/>
          </w:tcPr>
          <w:p>
            <w:pPr>
              <w:jc w:val="right"/>
              <w:ind w:right="494"/>
              <w:spacing w:after="0" w:line="216" w:lineRule="exact"/>
              <w:rPr>
                <w:sz w:val="20"/>
                <w:szCs w:val="20"/>
                <w:color w:val="auto"/>
              </w:rPr>
            </w:pPr>
            <w:r>
              <w:rPr>
                <w:rFonts w:ascii="Times New Roman" w:cs="Times New Roman" w:eastAsia="Times New Roman" w:hAnsi="Times New Roman"/>
                <w:sz w:val="25"/>
                <w:szCs w:val="25"/>
                <w:color w:val="auto"/>
              </w:rPr>
              <w:t>6</w:t>
            </w:r>
          </w:p>
        </w:tc>
        <w:tc>
          <w:tcPr>
            <w:tcW w:w="498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2120" w:type="dxa"/>
            <w:vAlign w:val="bottom"/>
            <w:tcBorders>
              <w:right w:val="single" w:sz="8" w:color="auto"/>
            </w:tcBorders>
            <w:gridSpan w:val="2"/>
            <w:vMerge w:val="continue"/>
          </w:tcPr>
          <w:p>
            <w:pPr>
              <w:spacing w:after="0"/>
              <w:rPr>
                <w:sz w:val="4"/>
                <w:szCs w:val="4"/>
                <w:color w:val="auto"/>
              </w:rPr>
            </w:pPr>
          </w:p>
        </w:tc>
        <w:tc>
          <w:tcPr>
            <w:tcW w:w="1320" w:type="dxa"/>
            <w:vAlign w:val="bottom"/>
            <w:tcBorders>
              <w:right w:val="single" w:sz="8" w:color="auto"/>
            </w:tcBorders>
            <w:vMerge w:val="continue"/>
          </w:tcPr>
          <w:p>
            <w:pPr>
              <w:spacing w:after="0"/>
              <w:rPr>
                <w:sz w:val="4"/>
                <w:szCs w:val="4"/>
                <w:color w:val="auto"/>
              </w:rPr>
            </w:pPr>
          </w:p>
        </w:tc>
        <w:tc>
          <w:tcPr>
            <w:tcW w:w="4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2120" w:type="dxa"/>
            <w:vAlign w:val="bottom"/>
            <w:tcBorders>
              <w:right w:val="single" w:sz="8" w:color="auto"/>
            </w:tcBorders>
            <w:gridSpan w:val="2"/>
          </w:tcPr>
          <w:p>
            <w:pPr>
              <w:jc w:val="center"/>
              <w:ind w:right="630"/>
              <w:spacing w:after="0"/>
              <w:rPr>
                <w:sz w:val="20"/>
                <w:szCs w:val="20"/>
                <w:color w:val="auto"/>
              </w:rPr>
            </w:pPr>
            <w:r>
              <w:rPr>
                <w:rFonts w:ascii="Times New Roman" w:cs="Times New Roman" w:eastAsia="Times New Roman" w:hAnsi="Times New Roman"/>
                <w:sz w:val="18"/>
                <w:szCs w:val="18"/>
                <w:color w:val="auto"/>
                <w:w w:val="99"/>
              </w:rPr>
              <w:t>OWNED BY</w:t>
            </w:r>
          </w:p>
        </w:tc>
        <w:tc>
          <w:tcPr>
            <w:tcW w:w="1320" w:type="dxa"/>
            <w:vAlign w:val="bottom"/>
            <w:tcBorders>
              <w:bottom w:val="single" w:sz="8" w:color="auto"/>
              <w:right w:val="single" w:sz="8" w:color="auto"/>
            </w:tcBorders>
          </w:tcPr>
          <w:p>
            <w:pPr>
              <w:spacing w:after="0"/>
              <w:rPr>
                <w:sz w:val="19"/>
                <w:szCs w:val="19"/>
                <w:color w:val="auto"/>
              </w:rPr>
            </w:pPr>
          </w:p>
        </w:tc>
        <w:tc>
          <w:tcPr>
            <w:tcW w:w="498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Borders>
              <w:right w:val="single" w:sz="8" w:color="auto"/>
            </w:tcBorders>
          </w:tcPr>
          <w:p>
            <w:pPr>
              <w:jc w:val="center"/>
              <w:ind w:right="105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1320" w:type="dxa"/>
            <w:vAlign w:val="bottom"/>
            <w:tcBorders>
              <w:right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25"/>
                <w:szCs w:val="25"/>
                <w:color w:val="auto"/>
              </w:rPr>
              <w:t>7</w:t>
            </w:r>
          </w:p>
        </w:tc>
        <w:tc>
          <w:tcPr>
            <w:tcW w:w="49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120" w:type="dxa"/>
            <w:vAlign w:val="bottom"/>
            <w:tcBorders>
              <w:right w:val="single" w:sz="8" w:color="auto"/>
            </w:tcBorders>
            <w:gridSpan w:val="2"/>
          </w:tcPr>
          <w:p>
            <w:pPr>
              <w:jc w:val="center"/>
              <w:ind w:right="630"/>
              <w:spacing w:after="0"/>
              <w:rPr>
                <w:sz w:val="20"/>
                <w:szCs w:val="20"/>
                <w:color w:val="auto"/>
              </w:rPr>
            </w:pPr>
            <w:r>
              <w:rPr>
                <w:rFonts w:ascii="Times New Roman" w:cs="Times New Roman" w:eastAsia="Times New Roman" w:hAnsi="Times New Roman"/>
                <w:sz w:val="18"/>
                <w:szCs w:val="18"/>
                <w:color w:val="auto"/>
                <w:w w:val="98"/>
              </w:rPr>
              <w:t>REPORTING</w:t>
            </w:r>
          </w:p>
        </w:tc>
        <w:tc>
          <w:tcPr>
            <w:tcW w:w="1320" w:type="dxa"/>
            <w:vAlign w:val="bottom"/>
            <w:tcBorders>
              <w:right w:val="single" w:sz="8" w:color="auto"/>
            </w:tcBorders>
            <w:vMerge w:val="continue"/>
          </w:tcPr>
          <w:p>
            <w:pPr>
              <w:spacing w:after="0"/>
              <w:rPr>
                <w:sz w:val="18"/>
                <w:szCs w:val="18"/>
                <w:color w:val="auto"/>
              </w:rPr>
            </w:pP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740" w:type="dxa"/>
            <w:vAlign w:val="bottom"/>
          </w:tcPr>
          <w:p>
            <w:pPr>
              <w:spacing w:after="0"/>
              <w:rPr>
                <w:sz w:val="8"/>
                <w:szCs w:val="8"/>
                <w:color w:val="auto"/>
              </w:rPr>
            </w:pPr>
          </w:p>
        </w:tc>
        <w:tc>
          <w:tcPr>
            <w:tcW w:w="2120" w:type="dxa"/>
            <w:vAlign w:val="bottom"/>
            <w:tcBorders>
              <w:right w:val="single" w:sz="8" w:color="auto"/>
            </w:tcBorders>
            <w:gridSpan w:val="2"/>
            <w:vMerge w:val="restart"/>
          </w:tcPr>
          <w:p>
            <w:pPr>
              <w:jc w:val="center"/>
              <w:ind w:right="650"/>
              <w:spacing w:after="0" w:line="198" w:lineRule="exact"/>
              <w:rPr>
                <w:sz w:val="20"/>
                <w:szCs w:val="20"/>
                <w:color w:val="auto"/>
              </w:rPr>
            </w:pPr>
            <w:r>
              <w:rPr>
                <w:rFonts w:ascii="Times New Roman" w:cs="Times New Roman" w:eastAsia="Times New Roman" w:hAnsi="Times New Roman"/>
                <w:sz w:val="18"/>
                <w:szCs w:val="18"/>
                <w:color w:val="auto"/>
              </w:rPr>
              <w:t>PERSON</w:t>
            </w:r>
          </w:p>
        </w:tc>
        <w:tc>
          <w:tcPr>
            <w:tcW w:w="1320" w:type="dxa"/>
            <w:vAlign w:val="bottom"/>
            <w:tcBorders>
              <w:bottom w:val="single" w:sz="8" w:color="auto"/>
              <w:right w:val="single" w:sz="8" w:color="auto"/>
            </w:tcBorders>
          </w:tcPr>
          <w:p>
            <w:pPr>
              <w:spacing w:after="0"/>
              <w:rPr>
                <w:sz w:val="8"/>
                <w:szCs w:val="8"/>
                <w:color w:val="auto"/>
              </w:rPr>
            </w:pPr>
          </w:p>
        </w:tc>
        <w:tc>
          <w:tcPr>
            <w:tcW w:w="498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740" w:type="dxa"/>
            <w:vAlign w:val="bottom"/>
          </w:tcPr>
          <w:p>
            <w:pPr>
              <w:spacing w:after="0"/>
              <w:rPr>
                <w:sz w:val="6"/>
                <w:szCs w:val="6"/>
                <w:color w:val="auto"/>
              </w:rPr>
            </w:pPr>
          </w:p>
        </w:tc>
        <w:tc>
          <w:tcPr>
            <w:tcW w:w="2120" w:type="dxa"/>
            <w:vAlign w:val="bottom"/>
            <w:tcBorders>
              <w:right w:val="single" w:sz="8" w:color="auto"/>
            </w:tcBorders>
            <w:gridSpan w:val="2"/>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4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Borders>
              <w:right w:val="single" w:sz="8" w:color="auto"/>
            </w:tcBorders>
            <w:vMerge w:val="restart"/>
          </w:tcPr>
          <w:p>
            <w:pPr>
              <w:jc w:val="center"/>
              <w:ind w:right="1050"/>
              <w:spacing w:after="0"/>
              <w:rPr>
                <w:sz w:val="20"/>
                <w:szCs w:val="20"/>
                <w:color w:val="auto"/>
              </w:rPr>
            </w:pPr>
            <w:r>
              <w:rPr>
                <w:rFonts w:ascii="Times New Roman" w:cs="Times New Roman" w:eastAsia="Times New Roman" w:hAnsi="Times New Roman"/>
                <w:sz w:val="18"/>
                <w:szCs w:val="18"/>
                <w:color w:val="auto"/>
                <w:w w:val="97"/>
              </w:rPr>
              <w:t>WITH</w:t>
            </w:r>
          </w:p>
        </w:tc>
        <w:tc>
          <w:tcPr>
            <w:tcW w:w="1320" w:type="dxa"/>
            <w:vAlign w:val="bottom"/>
            <w:tcBorders>
              <w:right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25"/>
                <w:szCs w:val="25"/>
                <w:color w:val="auto"/>
              </w:rPr>
              <w:t>8</w:t>
            </w:r>
          </w:p>
        </w:tc>
        <w:tc>
          <w:tcPr>
            <w:tcW w:w="498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1320" w:type="dxa"/>
            <w:vAlign w:val="bottom"/>
            <w:tcBorders>
              <w:right w:val="single" w:sz="8" w:color="auto"/>
            </w:tcBorders>
            <w:vMerge w:val="continue"/>
          </w:tcPr>
          <w:p>
            <w:pPr>
              <w:spacing w:after="0"/>
              <w:rPr>
                <w:sz w:val="15"/>
                <w:szCs w:val="15"/>
                <w:color w:val="auto"/>
              </w:rPr>
            </w:pPr>
          </w:p>
        </w:tc>
        <w:tc>
          <w:tcPr>
            <w:tcW w:w="4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4980" w:type="dxa"/>
            <w:vAlign w:val="bottom"/>
            <w:vMerge w:val="continue"/>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740" w:type="dxa"/>
            <w:vAlign w:val="bottom"/>
            <w:vMerge w:val="restart"/>
          </w:tcPr>
          <w:p>
            <w:pPr>
              <w:jc w:val="center"/>
              <w:ind w:left="294"/>
              <w:spacing w:after="0"/>
              <w:rPr>
                <w:sz w:val="20"/>
                <w:szCs w:val="20"/>
                <w:color w:val="auto"/>
              </w:rPr>
            </w:pPr>
            <w:r>
              <w:rPr>
                <w:rFonts w:ascii="Times New Roman" w:cs="Times New Roman" w:eastAsia="Times New Roman" w:hAnsi="Times New Roman"/>
                <w:sz w:val="25"/>
                <w:szCs w:val="25"/>
                <w:color w:val="auto"/>
                <w:w w:val="95"/>
              </w:rPr>
              <w:t>9</w:t>
            </w:r>
          </w:p>
        </w:tc>
        <w:tc>
          <w:tcPr>
            <w:tcW w:w="400" w:type="dxa"/>
            <w:vAlign w:val="bottom"/>
            <w:tcBorders>
              <w:right w:val="single" w:sz="8" w:color="auto"/>
            </w:tcBorders>
          </w:tcPr>
          <w:p>
            <w:pPr>
              <w:spacing w:after="0"/>
              <w:rPr>
                <w:sz w:val="20"/>
                <w:szCs w:val="20"/>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40" w:type="dxa"/>
            <w:vAlign w:val="bottom"/>
            <w:vMerge w:val="continue"/>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74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172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740" w:type="dxa"/>
            <w:vAlign w:val="bottom"/>
            <w:vMerge w:val="restart"/>
          </w:tcPr>
          <w:p>
            <w:pPr>
              <w:jc w:val="center"/>
              <w:ind w:left="274"/>
              <w:spacing w:after="0"/>
              <w:rPr>
                <w:sz w:val="20"/>
                <w:szCs w:val="20"/>
                <w:color w:val="auto"/>
              </w:rPr>
            </w:pPr>
            <w:r>
              <w:rPr>
                <w:rFonts w:ascii="Times New Roman" w:cs="Times New Roman" w:eastAsia="Times New Roman" w:hAnsi="Times New Roman"/>
                <w:sz w:val="25"/>
                <w:szCs w:val="25"/>
                <w:color w:val="auto"/>
              </w:rPr>
              <w:t>10</w:t>
            </w:r>
          </w:p>
        </w:tc>
        <w:tc>
          <w:tcPr>
            <w:tcW w:w="400" w:type="dxa"/>
            <w:vAlign w:val="bottom"/>
            <w:tcBorders>
              <w:right w:val="single" w:sz="8" w:color="auto"/>
            </w:tcBorders>
          </w:tcPr>
          <w:p>
            <w:pPr>
              <w:spacing w:after="0"/>
              <w:rPr>
                <w:sz w:val="20"/>
                <w:szCs w:val="20"/>
                <w:color w:val="auto"/>
              </w:rPr>
            </w:pPr>
          </w:p>
        </w:tc>
        <w:tc>
          <w:tcPr>
            <w:tcW w:w="8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080" w:type="dxa"/>
            <w:vAlign w:val="bottom"/>
          </w:tcPr>
          <w:p>
            <w:pPr>
              <w:ind w:left="13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740" w:type="dxa"/>
            <w:vAlign w:val="bottom"/>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8020" w:type="dxa"/>
            <w:vAlign w:val="bottom"/>
            <w:gridSpan w:val="3"/>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8020" w:type="dxa"/>
            <w:vAlign w:val="bottom"/>
            <w:tcBorders>
              <w:bottom w:val="single" w:sz="8" w:color="auto"/>
            </w:tcBorders>
            <w:gridSpan w:val="3"/>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740" w:type="dxa"/>
            <w:vAlign w:val="bottom"/>
            <w:vMerge w:val="restart"/>
          </w:tcPr>
          <w:p>
            <w:pPr>
              <w:jc w:val="center"/>
              <w:ind w:left="294"/>
              <w:spacing w:after="0"/>
              <w:rPr>
                <w:sz w:val="20"/>
                <w:szCs w:val="20"/>
                <w:color w:val="auto"/>
              </w:rPr>
            </w:pPr>
            <w:r>
              <w:rPr>
                <w:rFonts w:ascii="Times New Roman" w:cs="Times New Roman" w:eastAsia="Times New Roman" w:hAnsi="Times New Roman"/>
                <w:sz w:val="25"/>
                <w:szCs w:val="25"/>
                <w:color w:val="auto"/>
                <w:w w:val="95"/>
              </w:rPr>
              <w:t>11</w:t>
            </w:r>
          </w:p>
        </w:tc>
        <w:tc>
          <w:tcPr>
            <w:tcW w:w="400" w:type="dxa"/>
            <w:vAlign w:val="bottom"/>
            <w:tcBorders>
              <w:right w:val="single" w:sz="8" w:color="auto"/>
            </w:tcBorders>
          </w:tcPr>
          <w:p>
            <w:pPr>
              <w:spacing w:after="0"/>
              <w:rPr>
                <w:sz w:val="20"/>
                <w:szCs w:val="20"/>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40" w:type="dxa"/>
            <w:vAlign w:val="bottom"/>
            <w:vMerge w:val="continue"/>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74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172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tcBorders>
            <w:gridSpan w:val="2"/>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740" w:type="dxa"/>
            <w:vAlign w:val="bottom"/>
            <w:vMerge w:val="restart"/>
          </w:tcPr>
          <w:p>
            <w:pPr>
              <w:jc w:val="center"/>
              <w:ind w:left="274"/>
              <w:spacing w:after="0"/>
              <w:rPr>
                <w:sz w:val="20"/>
                <w:szCs w:val="20"/>
                <w:color w:val="auto"/>
              </w:rPr>
            </w:pPr>
            <w:r>
              <w:rPr>
                <w:rFonts w:ascii="Times New Roman" w:cs="Times New Roman" w:eastAsia="Times New Roman" w:hAnsi="Times New Roman"/>
                <w:sz w:val="25"/>
                <w:szCs w:val="25"/>
                <w:color w:val="auto"/>
              </w:rPr>
              <w:t>12</w:t>
            </w:r>
          </w:p>
        </w:tc>
        <w:tc>
          <w:tcPr>
            <w:tcW w:w="400" w:type="dxa"/>
            <w:vAlign w:val="bottom"/>
            <w:tcBorders>
              <w:right w:val="single" w:sz="8" w:color="auto"/>
            </w:tcBorders>
          </w:tcPr>
          <w:p>
            <w:pPr>
              <w:spacing w:after="0"/>
              <w:rPr>
                <w:sz w:val="20"/>
                <w:szCs w:val="20"/>
                <w:color w:val="auto"/>
              </w:rPr>
            </w:pPr>
          </w:p>
        </w:tc>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40" w:type="dxa"/>
            <w:vAlign w:val="bottom"/>
            <w:vMerge w:val="continue"/>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13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74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172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0"/>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8"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4th Floor, One Cavendish Place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London, W1G 0QF, United Kingdom</w:t>
      </w:r>
    </w:p>
    <w:p>
      <w:pPr>
        <w:spacing w:after="0" w:line="11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Capital GP VII LLC</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 Citizenship</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Please refer to Item 4 on each cover page for each Reporting Person.</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48" w:lineRule="exact"/>
        <w:rPr>
          <w:sz w:val="20"/>
          <w:szCs w:val="20"/>
          <w:color w:val="auto"/>
        </w:rPr>
      </w:pPr>
    </w:p>
    <w:p>
      <w:pPr>
        <w:ind w:left="700" w:right="3640" w:firstLine="103"/>
        <w:spacing w:after="0" w:line="391" w:lineRule="auto"/>
        <w:rPr>
          <w:sz w:val="20"/>
          <w:szCs w:val="20"/>
          <w:color w:val="auto"/>
        </w:rPr>
      </w:pPr>
      <w:r>
        <w:rPr>
          <w:rFonts w:ascii="Times New Roman" w:cs="Times New Roman" w:eastAsia="Times New Roman" w:hAnsi="Times New Roman"/>
          <w:sz w:val="18"/>
          <w:szCs w:val="18"/>
          <w:color w:val="auto"/>
        </w:rPr>
        <w:t xml:space="preserve">Ordinary Shares, nominal value £0.003 per share, represented by American Depository Shares </w:t>
      </w:r>
      <w:r>
        <w:rPr>
          <w:rFonts w:ascii="Times New Roman" w:cs="Times New Roman" w:eastAsia="Times New Roman" w:hAnsi="Times New Roman"/>
          <w:sz w:val="18"/>
          <w:szCs w:val="18"/>
          <w:b w:val="1"/>
          <w:bCs w:val="1"/>
          <w:color w:val="auto"/>
        </w:rPr>
        <w:t>(e) CUSIP No.:</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1123315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9"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OrbiMed Capital GP VII LLC (“GP VII”) is the general partner of OrbiMed Private Investments VII, LP. OrbiMed Advisors LLC (“Advisors”) and OrbiMed Capital LLC are investment advisors in accordance with ss.240.13d-1(b)(1)(ii)(E) and Advisors is the managing member of GP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3286760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1" w:lineRule="exact"/>
        <w:rPr>
          <w:sz w:val="20"/>
          <w:szCs w:val="20"/>
          <w:color w:val="auto"/>
        </w:rPr>
      </w:pPr>
    </w:p>
    <w:p>
      <w:pPr>
        <w:jc w:val="both"/>
        <w:ind w:left="800"/>
        <w:spacing w:after="0" w:line="260"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as of December 31, 2023 is incorporated by reference to items (5) - (9) and (11) of the cover page for the Reporting Person.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jc w:val="both"/>
        <w:ind w:left="800"/>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580" w:hanging="566"/>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53"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1649095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8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GP VII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OrbiMed Advisors LLC, its Managing Member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agree that this Amendment No. 3 to the Statement on Schedule 13G, dated December 31, 2023 (this “Schedule 13G”), with respect to the Ordinary Share, par value £0.003 per share, of Mereo BioPharma Group plc is filed on behalf of each of us pursuant to and in accordance with the provisions of Rule 13d-1(k) under the Securities Exchange Act of 1934, as amended, and that this Joint Filing Agreement shall be included as an Exhibit to this Schedule 13G. Each of the undersigned agrees to be responsible for the timely filing of this Schedule 13G and for the completeness and accuracy of the information concerning itself contained therein. This Joint Filing Agreement may be executed in any number of counterparts, all of which taken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Joint Filing Agreement as of February 14, 2024.</w:t>
      </w: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8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8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OrbiMed Capital GP VII LLC</w:t>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OrbiMed Advisors LLC, its Managing Member</w:t>
      </w:r>
    </w:p>
    <w:p>
      <w:pPr>
        <w:spacing w:after="0" w:line="2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80" w:val="left"/>
        </w:tabs>
        <w:rPr>
          <w:sz w:val="20"/>
          <w:szCs w:val="20"/>
          <w:color w:val="auto"/>
        </w:rPr>
      </w:pPr>
      <w:r>
        <w:rPr>
          <w:rFonts w:ascii="Times New Roman" w:cs="Times New Roman" w:eastAsia="Times New Roman" w:hAnsi="Times New Roman"/>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1197610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2024-02-14T19:02:31Z</dcterms:created>
  <dcterms:modified xsi:type="dcterms:W3CDTF">2024-02-14T19:02:31Z</dcterms:modified>
</cp:coreProperties>
</file>