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937260</wp:posOffset>
            </wp:positionV>
            <wp:extent cx="5194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949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954405</wp:posOffset>
            </wp:positionV>
            <wp:extent cx="5194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167005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1993900</wp:posOffset>
            </wp:positionH>
            <wp:positionV relativeFrom="paragraph">
              <wp:posOffset>149860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20" w:hanging="31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20" w:hanging="315"/>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620" w:hanging="315"/>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20" w:hanging="315"/>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20" w:hanging="315"/>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MEREO BIOPHARMA GROUP PLC</w:t>
      </w:r>
    </w:p>
    <w:p>
      <w:pPr>
        <w:spacing w:after="0" w:line="45"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20" w:hanging="315"/>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20" w:hanging="315"/>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20" w:hanging="315"/>
        <w:spacing w:after="0"/>
        <w:tabs>
          <w:tab w:leader="none" w:pos="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1042035</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163195</wp:posOffset>
            </wp:positionV>
            <wp:extent cx="4963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6316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180340</wp:posOffset>
            </wp:positionV>
            <wp:extent cx="496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1228725</wp:posOffset>
            </wp:positionV>
            <wp:extent cx="1680210"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02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2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Registered office: 4th Floor, One Cavendish Place,</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London, W1G 0QF, United Kingdom</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Incorporated in England and Wales with registered no.</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09481161</w:t>
      </w:r>
    </w:p>
    <w:p>
      <w:pPr>
        <w:spacing w:after="0" w:line="22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8"/>
          <w:szCs w:val="18"/>
          <w:color w:val="231F20"/>
        </w:rPr>
        <w:t>April 8, 2025</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Dear Shareholder,</w:t>
      </w:r>
    </w:p>
    <w:p>
      <w:pPr>
        <w:spacing w:after="0" w:line="23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2025 Annual General Meeting of Mereo BioPharma Group plc (the “AGM” or the “Meeting”)</w:t>
      </w:r>
    </w:p>
    <w:p>
      <w:pPr>
        <w:spacing w:after="0" w:line="117" w:lineRule="exact"/>
        <w:rPr>
          <w:sz w:val="20"/>
          <w:szCs w:val="20"/>
          <w:color w:val="auto"/>
        </w:rPr>
      </w:pPr>
    </w:p>
    <w:p>
      <w:pPr>
        <w:ind w:left="400" w:right="859" w:firstLine="360"/>
        <w:spacing w:after="0" w:line="256" w:lineRule="auto"/>
        <w:rPr>
          <w:sz w:val="20"/>
          <w:szCs w:val="20"/>
          <w:color w:val="auto"/>
        </w:rPr>
      </w:pPr>
      <w:r>
        <w:rPr>
          <w:rFonts w:ascii="Times New Roman" w:cs="Times New Roman" w:eastAsia="Times New Roman" w:hAnsi="Times New Roman"/>
          <w:sz w:val="18"/>
          <w:szCs w:val="18"/>
          <w:color w:val="231F20"/>
        </w:rPr>
        <w:t>This letter, the notice of the AGM set out in this document (the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 and associated materials for the AGM are being sent or supplied to you because, as of 6:00 p.m. (British Summer Time) (1:00 p.m. Eastern Time) on Friday, April 4, 2025 (being the latest practicable date before the circulation of this document), you are registered in the register of members of Mereo BioPharma Group plc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as a holder of ordinary shares in the capital of the Company. However, this letter, the Notice and associated materials will also be available to holders of American Depositary Shares (</w:t>
      </w:r>
      <w:r>
        <w:rPr>
          <w:rFonts w:ascii="Times New Roman" w:cs="Times New Roman" w:eastAsia="Times New Roman" w:hAnsi="Times New Roman"/>
          <w:sz w:val="18"/>
          <w:szCs w:val="18"/>
          <w:b w:val="1"/>
          <w:bCs w:val="1"/>
          <w:color w:val="231F20"/>
        </w:rPr>
        <w:t>“ADS”</w:t>
      </w:r>
      <w:r>
        <w:rPr>
          <w:rFonts w:ascii="Times New Roman" w:cs="Times New Roman" w:eastAsia="Times New Roman" w:hAnsi="Times New Roman"/>
          <w:sz w:val="18"/>
          <w:szCs w:val="18"/>
          <w:color w:val="231F20"/>
        </w:rPr>
        <w:t>) representing ordinary shares and contains information relevant to holders of ADSs.</w:t>
      </w:r>
    </w:p>
    <w:p>
      <w:pPr>
        <w:spacing w:after="0" w:line="169" w:lineRule="exact"/>
        <w:rPr>
          <w:sz w:val="20"/>
          <w:szCs w:val="20"/>
          <w:color w:val="auto"/>
        </w:rPr>
      </w:pPr>
    </w:p>
    <w:p>
      <w:pPr>
        <w:ind w:left="400" w:right="117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I am pleased to confirm that our AGM will take place at </w:t>
      </w:r>
      <w:r>
        <w:rPr>
          <w:rFonts w:ascii="Times New Roman" w:cs="Times New Roman" w:eastAsia="Times New Roman" w:hAnsi="Times New Roman"/>
          <w:sz w:val="18"/>
          <w:szCs w:val="18"/>
          <w:b w:val="1"/>
          <w:bCs w:val="1"/>
          <w:color w:val="231F20"/>
        </w:rPr>
        <w:t>2:00 p.m. (British Summer Time) (9:00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a.m. Eastern Time) on Tuesday, May 13, 2025 at 5</w:t>
      </w:r>
      <w:r>
        <w:rPr>
          <w:rFonts w:ascii="Times New Roman" w:cs="Times New Roman" w:eastAsia="Times New Roman" w:hAnsi="Times New Roman"/>
          <w:sz w:val="11"/>
          <w:szCs w:val="11"/>
          <w:b w:val="1"/>
          <w:bCs w:val="1"/>
          <w:color w:val="231F20"/>
        </w:rPr>
        <w:t>th</w:t>
      </w:r>
      <w:r>
        <w:rPr>
          <w:rFonts w:ascii="Times New Roman" w:cs="Times New Roman" w:eastAsia="Times New Roman" w:hAnsi="Times New Roman"/>
          <w:sz w:val="18"/>
          <w:szCs w:val="18"/>
          <w:b w:val="1"/>
          <w:bCs w:val="1"/>
          <w:color w:val="231F20"/>
        </w:rPr>
        <w:t xml:space="preserve"> Floor, One Cavendish Place, London W1G 0QF, United Kingdom</w:t>
      </w:r>
      <w:r>
        <w:rPr>
          <w:rFonts w:ascii="Times New Roman" w:cs="Times New Roman" w:eastAsia="Times New Roman" w:hAnsi="Times New Roman"/>
          <w:sz w:val="18"/>
          <w:szCs w:val="18"/>
          <w:color w:val="231F20"/>
        </w:rPr>
        <w:t>. The Notice is set out in this document and it contains the resolutions to be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proposed at the AGM (the “</w:t>
      </w:r>
      <w:r>
        <w:rPr>
          <w:rFonts w:ascii="Times New Roman" w:cs="Times New Roman" w:eastAsia="Times New Roman" w:hAnsi="Times New Roman"/>
          <w:sz w:val="18"/>
          <w:szCs w:val="18"/>
          <w:b w:val="1"/>
          <w:bCs w:val="1"/>
          <w:color w:val="231F20"/>
        </w:rPr>
        <w:t>Resolutions</w:t>
      </w:r>
      <w:r>
        <w:rPr>
          <w:rFonts w:ascii="Times New Roman" w:cs="Times New Roman" w:eastAsia="Times New Roman" w:hAnsi="Times New Roman"/>
          <w:sz w:val="18"/>
          <w:szCs w:val="18"/>
          <w:color w:val="231F20"/>
        </w:rPr>
        <w:t>”).</w:t>
      </w:r>
    </w:p>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Action to be taken by holders of ordinary shares</w:t>
      </w:r>
    </w:p>
    <w:p>
      <w:pPr>
        <w:spacing w:after="0" w:line="133" w:lineRule="exact"/>
        <w:rPr>
          <w:sz w:val="20"/>
          <w:szCs w:val="20"/>
          <w:color w:val="auto"/>
        </w:rPr>
      </w:pPr>
    </w:p>
    <w:p>
      <w:pPr>
        <w:ind w:left="400" w:right="799" w:firstLine="360"/>
        <w:spacing w:after="0" w:line="284" w:lineRule="auto"/>
        <w:rPr>
          <w:sz w:val="20"/>
          <w:szCs w:val="20"/>
          <w:color w:val="auto"/>
        </w:rPr>
      </w:pPr>
      <w:r>
        <w:rPr>
          <w:rFonts w:ascii="Times New Roman" w:cs="Times New Roman" w:eastAsia="Times New Roman" w:hAnsi="Times New Roman"/>
          <w:sz w:val="18"/>
          <w:szCs w:val="18"/>
          <w:color w:val="231F20"/>
        </w:rPr>
        <w:t>If you are a holder of ADSs, please ignore this section and refer instead to the section below — “</w:t>
      </w:r>
      <w:r>
        <w:rPr>
          <w:rFonts w:ascii="Times New Roman" w:cs="Times New Roman" w:eastAsia="Times New Roman" w:hAnsi="Times New Roman"/>
          <w:sz w:val="18"/>
          <w:szCs w:val="18"/>
          <w:i w:val="1"/>
          <w:iCs w:val="1"/>
          <w:color w:val="231F20"/>
        </w:rPr>
        <w:t>Action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to be taken by holders of American Depositary Shares.</w:t>
      </w:r>
      <w:r>
        <w:rPr>
          <w:rFonts w:ascii="Times New Roman" w:cs="Times New Roman" w:eastAsia="Times New Roman" w:hAnsi="Times New Roman"/>
          <w:sz w:val="18"/>
          <w:szCs w:val="18"/>
          <w:color w:val="231F20"/>
        </w:rPr>
        <w:t>”</w:t>
      </w:r>
    </w:p>
    <w:p>
      <w:pPr>
        <w:spacing w:after="0" w:line="147" w:lineRule="exact"/>
        <w:rPr>
          <w:sz w:val="20"/>
          <w:szCs w:val="20"/>
          <w:color w:val="auto"/>
        </w:rPr>
      </w:pPr>
    </w:p>
    <w:p>
      <w:pPr>
        <w:ind w:left="400" w:right="73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ordinary shares and are planning to attend the AGM in person (or by way of corporate representative) it would be helpful if you could inform the Company’s registrar, MUFG Corporate Markets, in advance by submitting a proxy vote electronically via the Investor Centre app or by accessing the web browser at https://uk.investorcentre.mpms.mufg.com/.</w:t>
      </w:r>
    </w:p>
    <w:p>
      <w:pPr>
        <w:spacing w:after="0" w:line="166" w:lineRule="exact"/>
        <w:rPr>
          <w:sz w:val="20"/>
          <w:szCs w:val="20"/>
          <w:color w:val="auto"/>
        </w:rPr>
      </w:pPr>
    </w:p>
    <w:p>
      <w:pPr>
        <w:ind w:left="400" w:right="799" w:firstLine="360"/>
        <w:spacing w:after="0" w:line="258" w:lineRule="auto"/>
        <w:rPr>
          <w:sz w:val="20"/>
          <w:szCs w:val="20"/>
          <w:color w:val="auto"/>
        </w:rPr>
      </w:pPr>
      <w:r>
        <w:rPr>
          <w:rFonts w:ascii="Times New Roman" w:cs="Times New Roman" w:eastAsia="Times New Roman" w:hAnsi="Times New Roman"/>
          <w:sz w:val="18"/>
          <w:szCs w:val="18"/>
          <w:color w:val="231F20"/>
        </w:rPr>
        <w:t>Holders of ordinary shares are entitled to appoint a proxy to exercise all or any of their rights to attend and to speak and vote on their behalf at the AGM. Proxy appointment instructions may be submitted electronically via the Investor Centre app or by accessing the web browser at https://uk.investorcentre.mpms.mufg.com/ by completing and returning the form of proxy enclosed with this document.</w:t>
      </w:r>
    </w:p>
    <w:p>
      <w:pPr>
        <w:spacing w:after="0" w:line="170" w:lineRule="exact"/>
        <w:rPr>
          <w:sz w:val="20"/>
          <w:szCs w:val="20"/>
          <w:color w:val="auto"/>
        </w:rPr>
      </w:pPr>
    </w:p>
    <w:p>
      <w:pPr>
        <w:ind w:left="400" w:right="679" w:firstLine="360"/>
        <w:spacing w:after="0" w:line="256" w:lineRule="auto"/>
        <w:rPr>
          <w:sz w:val="20"/>
          <w:szCs w:val="20"/>
          <w:color w:val="auto"/>
        </w:rPr>
      </w:pPr>
      <w:r>
        <w:rPr>
          <w:rFonts w:ascii="Times New Roman" w:cs="Times New Roman" w:eastAsia="Times New Roman" w:hAnsi="Times New Roman"/>
          <w:sz w:val="18"/>
          <w:szCs w:val="18"/>
          <w:color w:val="231F20"/>
        </w:rPr>
        <w:t xml:space="preserve">In order to be valid, proxy appointment instructions must be submitted using the Investor Centre, or by completing and returning a form of proxy (together with any power of attorney or other authority, if any, under which it is signed or a duly certified copy thereof) in accordance with the instructions printed thereon to the Company’s registrar, MUFG Corporate Markets at PXS 1, Central Square, 29 Wellington Street, Leeds LS1 4DL, United Kingdom, in each case so as to be received by no later than </w:t>
      </w:r>
      <w:r>
        <w:rPr>
          <w:rFonts w:ascii="Times New Roman" w:cs="Times New Roman" w:eastAsia="Times New Roman" w:hAnsi="Times New Roman"/>
          <w:sz w:val="18"/>
          <w:szCs w:val="18"/>
          <w:b w:val="1"/>
          <w:bCs w:val="1"/>
          <w:color w:val="231F20"/>
        </w:rPr>
        <w:t>2:00 p.m. (British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Summer Time) (9:00 a.m. Eastern Time) on Friday, May 9, 2025 </w:t>
      </w:r>
      <w:r>
        <w:rPr>
          <w:rFonts w:ascii="Times New Roman" w:cs="Times New Roman" w:eastAsia="Times New Roman" w:hAnsi="Times New Roman"/>
          <w:sz w:val="18"/>
          <w:szCs w:val="18"/>
          <w:color w:val="231F20"/>
        </w:rPr>
        <w:t>or 48 hours before any adjourned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880745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right="679" w:firstLine="360"/>
        <w:spacing w:after="0" w:line="257" w:lineRule="auto"/>
        <w:rPr>
          <w:sz w:val="20"/>
          <w:szCs w:val="20"/>
          <w:color w:val="auto"/>
        </w:rPr>
      </w:pPr>
      <w:r>
        <w:rPr>
          <w:rFonts w:ascii="Times New Roman" w:cs="Times New Roman" w:eastAsia="Times New Roman" w:hAnsi="Times New Roman"/>
          <w:sz w:val="18"/>
          <w:szCs w:val="18"/>
          <w:color w:val="231F20"/>
        </w:rPr>
        <w:t>If you require additional forms of proxy or assistance with how to complete, sign and return your form of proxy or assistance in submitting your proxy appointment electronically, please email shareholderenquiries@cm.mpms.mufg.com or call MUFG Corporate Markets' portal team on</w:t>
      </w:r>
    </w:p>
    <w:p>
      <w:pPr>
        <w:spacing w:after="0" w:line="1" w:lineRule="exact"/>
        <w:rPr>
          <w:sz w:val="20"/>
          <w:szCs w:val="20"/>
          <w:color w:val="auto"/>
        </w:rPr>
      </w:pPr>
    </w:p>
    <w:p>
      <w:pPr>
        <w:ind w:left="400" w:right="719"/>
        <w:spacing w:after="0" w:line="255" w:lineRule="auto"/>
        <w:rPr>
          <w:sz w:val="20"/>
          <w:szCs w:val="20"/>
          <w:color w:val="auto"/>
        </w:rPr>
      </w:pPr>
      <w:r>
        <w:rPr>
          <w:rFonts w:ascii="Times New Roman" w:cs="Times New Roman" w:eastAsia="Times New Roman" w:hAnsi="Times New Roman"/>
          <w:sz w:val="18"/>
          <w:szCs w:val="18"/>
          <w:color w:val="231F20"/>
        </w:rPr>
        <w:t>+44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w:t>
      </w:r>
    </w:p>
    <w:p>
      <w:pPr>
        <w:spacing w:after="0" w:line="186" w:lineRule="exact"/>
        <w:rPr>
          <w:sz w:val="20"/>
          <w:szCs w:val="20"/>
          <w:color w:val="auto"/>
        </w:rPr>
      </w:pPr>
    </w:p>
    <w:p>
      <w:pPr>
        <w:ind w:left="400" w:right="779" w:firstLine="544"/>
        <w:spacing w:after="0" w:line="255" w:lineRule="auto"/>
        <w:rPr>
          <w:sz w:val="20"/>
          <w:szCs w:val="20"/>
          <w:color w:val="auto"/>
        </w:rPr>
      </w:pPr>
      <w:r>
        <w:rPr>
          <w:rFonts w:ascii="Times New Roman" w:cs="Times New Roman" w:eastAsia="Times New Roman" w:hAnsi="Times New Roman"/>
          <w:sz w:val="18"/>
          <w:szCs w:val="18"/>
          <w:color w:val="231F20"/>
        </w:rPr>
        <w:t xml:space="preserve">If you hold your ordinary shares in uncertificated form (i.e. in CREST), you may appoint a proxy for the AGM by completing and transmitting a CREST Proxy Instruction in accordance with the procedures set out in the CREST Manual issued by Euroclear so that it is received by the Company’s registrar (under CREST Participation ID RA10) by no later than </w:t>
      </w:r>
      <w:r>
        <w:rPr>
          <w:rFonts w:ascii="Times New Roman" w:cs="Times New Roman" w:eastAsia="Times New Roman" w:hAnsi="Times New Roman"/>
          <w:sz w:val="18"/>
          <w:szCs w:val="18"/>
          <w:b w:val="1"/>
          <w:bCs w:val="1"/>
          <w:color w:val="231F20"/>
        </w:rPr>
        <w:t>2:00 p.m. (British Summer Time) (9:00 a.m. Eastern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Time) on Friday, May 9, 2025 </w:t>
      </w:r>
      <w:r>
        <w:rPr>
          <w:rFonts w:ascii="Times New Roman" w:cs="Times New Roman" w:eastAsia="Times New Roman" w:hAnsi="Times New Roman"/>
          <w:sz w:val="18"/>
          <w:szCs w:val="18"/>
          <w:color w:val="231F20"/>
        </w:rPr>
        <w:t>or 48 hours before any adjourned meeting. The time of receipt will be taken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to be the time from which MUFG Corporate Markets is able to retrieve the message by enquiry to CREST in the manner proscribed by CREST.</w:t>
      </w:r>
    </w:p>
    <w:p>
      <w:pPr>
        <w:spacing w:after="0" w:line="189" w:lineRule="exact"/>
        <w:rPr>
          <w:sz w:val="20"/>
          <w:szCs w:val="20"/>
          <w:color w:val="auto"/>
        </w:rPr>
      </w:pPr>
    </w:p>
    <w:p>
      <w:pPr>
        <w:ind w:left="400" w:right="979" w:firstLine="544"/>
        <w:spacing w:after="0" w:line="266" w:lineRule="auto"/>
        <w:rPr>
          <w:sz w:val="20"/>
          <w:szCs w:val="20"/>
          <w:color w:val="auto"/>
        </w:rPr>
      </w:pPr>
      <w:r>
        <w:rPr>
          <w:rFonts w:ascii="Times New Roman" w:cs="Times New Roman" w:eastAsia="Times New Roman" w:hAnsi="Times New Roman"/>
          <w:sz w:val="18"/>
          <w:szCs w:val="18"/>
          <w:color w:val="231F20"/>
        </w:rPr>
        <w:t>If you are an institutional investor you may also be able to appoint a proxy electronically via the Proxymity platform, a process which has been agreed by the Company and approved by the Registrar. For further information regarding Proxymity, please go to www.proxymity.io.</w:t>
      </w:r>
    </w:p>
    <w:p>
      <w:pPr>
        <w:spacing w:after="0" w:line="230" w:lineRule="exact"/>
        <w:rPr>
          <w:sz w:val="20"/>
          <w:szCs w:val="20"/>
          <w:color w:val="auto"/>
        </w:rPr>
      </w:pPr>
    </w:p>
    <w:p>
      <w:pPr>
        <w:ind w:left="400" w:right="779" w:firstLine="360"/>
        <w:spacing w:after="0" w:line="254" w:lineRule="auto"/>
        <w:rPr>
          <w:sz w:val="20"/>
          <w:szCs w:val="20"/>
          <w:color w:val="auto"/>
        </w:rPr>
      </w:pPr>
      <w:r>
        <w:rPr>
          <w:rFonts w:ascii="Times New Roman" w:cs="Times New Roman" w:eastAsia="Times New Roman" w:hAnsi="Times New Roman"/>
          <w:sz w:val="18"/>
          <w:szCs w:val="18"/>
          <w:color w:val="231F20"/>
        </w:rPr>
        <w:t xml:space="preserve">In order to attend and vote at the AGM as an ordinary shareholder or for your proxy appointment instructions to remain valid, you must continue to be registered as a holder of ordinary shares in the Company’s register of members as of </w:t>
      </w:r>
      <w:r>
        <w:rPr>
          <w:rFonts w:ascii="Times New Roman" w:cs="Times New Roman" w:eastAsia="Times New Roman" w:hAnsi="Times New Roman"/>
          <w:sz w:val="18"/>
          <w:szCs w:val="18"/>
          <w:b w:val="1"/>
          <w:bCs w:val="1"/>
          <w:color w:val="231F20"/>
        </w:rPr>
        <w:t>6:00 p.m. (British Summer Time) (1:00 p.m. Eastern Time)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Friday, May 9, 2025 </w:t>
      </w:r>
      <w:r>
        <w:rPr>
          <w:rFonts w:ascii="Times New Roman" w:cs="Times New Roman" w:eastAsia="Times New Roman" w:hAnsi="Times New Roman"/>
          <w:sz w:val="18"/>
          <w:szCs w:val="18"/>
          <w:color w:val="231F20"/>
        </w:rPr>
        <w:t>(or, if the AGM is adjourned, of 6:00 p.m. (British Summer Time) (1:00 p.m. Eastern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Time) on the date which is two business days prior to the adjourned meeting). If you sell or transfer your ordinary shares on or prior to such time, any proxy appointment instructions that you submit (whether before or after you sell or transfer your ordinary shares) will be treated as invalid. Please pass this document to the person who arranged the sale or transfer for delivery to the purchaser or transferee.</w:t>
      </w:r>
    </w:p>
    <w:p>
      <w:pPr>
        <w:spacing w:after="0" w:line="246" w:lineRule="exact"/>
        <w:rPr>
          <w:sz w:val="20"/>
          <w:szCs w:val="20"/>
          <w:color w:val="auto"/>
        </w:rPr>
      </w:pPr>
    </w:p>
    <w:p>
      <w:pPr>
        <w:jc w:val="both"/>
        <w:ind w:left="400" w:right="719" w:firstLine="360"/>
        <w:spacing w:after="0" w:line="261" w:lineRule="auto"/>
        <w:rPr>
          <w:sz w:val="20"/>
          <w:szCs w:val="20"/>
          <w:color w:val="auto"/>
        </w:rPr>
      </w:pPr>
      <w:r>
        <w:rPr>
          <w:rFonts w:ascii="Times New Roman" w:cs="Times New Roman" w:eastAsia="Times New Roman" w:hAnsi="Times New Roman"/>
          <w:sz w:val="18"/>
          <w:szCs w:val="18"/>
          <w:color w:val="231F20"/>
        </w:rPr>
        <w:t>The appointment of a proxy will not preclude you from attending, speaking and voting at the AGM should you wish and be entitled to do so. Please refer to the notes to the Notice for further information relating to your entitlement to attend and vote at the AGM and to appoint a proxy to attend and to speak and vote on your behalf at the AGM.</w:t>
      </w:r>
    </w:p>
    <w:p>
      <w:pPr>
        <w:spacing w:after="0" w:line="234" w:lineRule="exact"/>
        <w:rPr>
          <w:sz w:val="20"/>
          <w:szCs w:val="20"/>
          <w:color w:val="auto"/>
        </w:rPr>
      </w:pPr>
    </w:p>
    <w:p>
      <w:pPr>
        <w:ind w:left="400" w:right="959" w:firstLine="360"/>
        <w:spacing w:after="0" w:line="256" w:lineRule="auto"/>
        <w:rPr>
          <w:sz w:val="20"/>
          <w:szCs w:val="20"/>
          <w:color w:val="auto"/>
        </w:rPr>
      </w:pPr>
      <w:r>
        <w:rPr>
          <w:rFonts w:ascii="Times New Roman" w:cs="Times New Roman" w:eastAsia="Times New Roman" w:hAnsi="Times New Roman"/>
          <w:sz w:val="18"/>
          <w:szCs w:val="18"/>
          <w:color w:val="231F20"/>
        </w:rPr>
        <w:t>Should you elect to convert your holding of ordinary shares into an interest in the capital of the Company represented by ADSs before the AGM, you will cease to be a holder of ordinary shares in your own name and will not be entitled to vote, whether in person or by proxy, at the AGM as an ordinary shareholder. However, you may be able to exercise your vote as a holder of an interest in the capital of the Company represented by ADSs — please refer to the next section — “</w:t>
      </w:r>
      <w:r>
        <w:rPr>
          <w:rFonts w:ascii="Times New Roman" w:cs="Times New Roman" w:eastAsia="Times New Roman" w:hAnsi="Times New Roman"/>
          <w:sz w:val="18"/>
          <w:szCs w:val="18"/>
          <w:i w:val="1"/>
          <w:iCs w:val="1"/>
          <w:color w:val="231F20"/>
        </w:rPr>
        <w:t>Action to be taken by holders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American Depositary Shares.</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Action to be taken by holders of American Depositary Shares</w:t>
      </w:r>
    </w:p>
    <w:p>
      <w:pPr>
        <w:spacing w:after="0" w:line="148" w:lineRule="exact"/>
        <w:rPr>
          <w:sz w:val="20"/>
          <w:szCs w:val="20"/>
          <w:color w:val="auto"/>
        </w:rPr>
      </w:pPr>
    </w:p>
    <w:p>
      <w:pPr>
        <w:ind w:left="400" w:right="859" w:firstLine="360"/>
        <w:spacing w:after="0" w:line="266" w:lineRule="auto"/>
        <w:rPr>
          <w:sz w:val="20"/>
          <w:szCs w:val="20"/>
          <w:color w:val="auto"/>
        </w:rPr>
      </w:pPr>
      <w:r>
        <w:rPr>
          <w:rFonts w:ascii="Times New Roman" w:cs="Times New Roman" w:eastAsia="Times New Roman" w:hAnsi="Times New Roman"/>
          <w:sz w:val="18"/>
          <w:szCs w:val="18"/>
          <w:color w:val="231F20"/>
        </w:rPr>
        <w:t xml:space="preserve">In order to exercise your vote as a holder of an interest in ordinary shares represented by ADSs, you or your bank, broker or nominee must be registered as a holder of ADSs in the ADS register </w:t>
      </w:r>
      <w:r>
        <w:rPr>
          <w:rFonts w:ascii="Times New Roman" w:cs="Times New Roman" w:eastAsia="Times New Roman" w:hAnsi="Times New Roman"/>
          <w:sz w:val="18"/>
          <w:szCs w:val="18"/>
          <w:b w:val="1"/>
          <w:bCs w:val="1"/>
          <w:color w:val="231F20"/>
        </w:rPr>
        <w:t>as of 5:00 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Eastern Time (10:00 p.m. British Summer Time) on Tuesday, April 8, 2025 </w:t>
      </w:r>
      <w:r>
        <w:rPr>
          <w:rFonts w:ascii="Times New Roman" w:cs="Times New Roman" w:eastAsia="Times New Roman" w:hAnsi="Times New Roman"/>
          <w:sz w:val="18"/>
          <w:szCs w:val="18"/>
          <w:color w:val="231F20"/>
        </w:rPr>
        <w:t>(the “</w:t>
      </w:r>
      <w:r>
        <w:rPr>
          <w:rFonts w:ascii="Times New Roman" w:cs="Times New Roman" w:eastAsia="Times New Roman" w:hAnsi="Times New Roman"/>
          <w:sz w:val="18"/>
          <w:szCs w:val="18"/>
          <w:b w:val="1"/>
          <w:bCs w:val="1"/>
          <w:color w:val="231F20"/>
        </w:rPr>
        <w:t>ADS Record Date</w:t>
      </w:r>
      <w:r>
        <w:rPr>
          <w:rFonts w:ascii="Times New Roman" w:cs="Times New Roman" w:eastAsia="Times New Roman" w:hAnsi="Times New Roman"/>
          <w:sz w:val="18"/>
          <w:szCs w:val="18"/>
          <w:color w:val="231F20"/>
        </w:rPr>
        <w:t>”).</w:t>
      </w:r>
    </w:p>
    <w:p>
      <w:pPr>
        <w:spacing w:after="0" w:line="230" w:lineRule="exact"/>
        <w:rPr>
          <w:sz w:val="20"/>
          <w:szCs w:val="20"/>
          <w:color w:val="auto"/>
        </w:rPr>
      </w:pPr>
    </w:p>
    <w:p>
      <w:pPr>
        <w:ind w:left="400" w:right="73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through a bank, broker or nominee as of 5:00 p.m. Eastern Time on the ADS Record Date, the materials for ADS holders, including this proxy statement, the Annual Report on Form 10-K and an ADS proxy card, will be sent to such bank, broker or nominee who should forward the materials to you – you should contact them to provide your voting instructions.</w:t>
      </w:r>
    </w:p>
    <w:p>
      <w:pPr>
        <w:spacing w:after="0" w:line="230" w:lineRule="exact"/>
        <w:rPr>
          <w:sz w:val="20"/>
          <w:szCs w:val="20"/>
          <w:color w:val="auto"/>
        </w:rPr>
      </w:pPr>
    </w:p>
    <w:p>
      <w:pPr>
        <w:jc w:val="both"/>
        <w:ind w:left="400" w:right="103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later than 10:00 a.m. Eastern Time (3:00 p.m. British Summer Time) on Wednesday, May 7, 2025</w:t>
      </w:r>
      <w:r>
        <w:rPr>
          <w:rFonts w:ascii="Times New Roman" w:cs="Times New Roman" w:eastAsia="Times New Roman" w:hAnsi="Times New Roman"/>
          <w:sz w:val="18"/>
          <w:szCs w:val="18"/>
          <w:color w:val="231F2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716915</wp:posOffset>
            </wp:positionV>
            <wp:extent cx="70377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Contact for holders of American Depositary Shares</w:t>
      </w:r>
    </w:p>
    <w:p>
      <w:pPr>
        <w:spacing w:after="0" w:line="148" w:lineRule="exact"/>
        <w:rPr>
          <w:sz w:val="20"/>
          <w:szCs w:val="20"/>
          <w:color w:val="auto"/>
        </w:rPr>
      </w:pPr>
    </w:p>
    <w:p>
      <w:pPr>
        <w:ind w:left="400" w:right="799" w:firstLine="360"/>
        <w:spacing w:after="0" w:line="261" w:lineRule="auto"/>
        <w:rPr>
          <w:sz w:val="20"/>
          <w:szCs w:val="20"/>
          <w:color w:val="auto"/>
        </w:rPr>
      </w:pPr>
      <w:r>
        <w:rPr>
          <w:rFonts w:ascii="Times New Roman" w:cs="Times New Roman" w:eastAsia="Times New Roman" w:hAnsi="Times New Roman"/>
          <w:sz w:val="18"/>
          <w:szCs w:val="18"/>
          <w:color w:val="231F20"/>
        </w:rPr>
        <w:t>If you have queries about how you can deliver voting instructions, please contact Citibank, N.A. — ADR Shareholder Services by telephone on +1-877-248-4237 (toll free within the United States) or +1-781-575-4555 (for international callers) or by emailing citibank@shareholders-online.com or by mail to Citibank Shareholder Services, P.O. Box 43077, Providence, RI 02940-3077.</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Contact at Mereo BioPharma</w:t>
      </w:r>
    </w:p>
    <w:p>
      <w:pPr>
        <w:spacing w:after="0" w:line="148" w:lineRule="exact"/>
        <w:rPr>
          <w:sz w:val="20"/>
          <w:szCs w:val="20"/>
          <w:color w:val="auto"/>
        </w:rPr>
      </w:pPr>
    </w:p>
    <w:p>
      <w:pPr>
        <w:ind w:left="400" w:right="1199" w:firstLine="360"/>
        <w:spacing w:after="0" w:line="282" w:lineRule="auto"/>
        <w:rPr>
          <w:sz w:val="20"/>
          <w:szCs w:val="20"/>
          <w:color w:val="auto"/>
        </w:rPr>
      </w:pPr>
      <w:r>
        <w:rPr>
          <w:rFonts w:ascii="Times New Roman" w:cs="Times New Roman" w:eastAsia="Times New Roman" w:hAnsi="Times New Roman"/>
          <w:sz w:val="18"/>
          <w:szCs w:val="18"/>
          <w:color w:val="231F20"/>
        </w:rPr>
        <w:t>If at any point you require guidance, please contact Charles Sermon, Mereo BioPharma Group plc Company Secretary, by emailing legal@mereobiopharma.com.</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Recommendation</w:t>
      </w:r>
    </w:p>
    <w:p>
      <w:pPr>
        <w:spacing w:after="0" w:line="148" w:lineRule="exact"/>
        <w:rPr>
          <w:sz w:val="20"/>
          <w:szCs w:val="20"/>
          <w:color w:val="auto"/>
        </w:rPr>
      </w:pPr>
    </w:p>
    <w:p>
      <w:pPr>
        <w:ind w:left="380" w:right="779" w:firstLine="360"/>
        <w:spacing w:after="0" w:line="258" w:lineRule="auto"/>
        <w:rPr>
          <w:sz w:val="20"/>
          <w:szCs w:val="20"/>
          <w:color w:val="auto"/>
        </w:rPr>
      </w:pPr>
      <w:r>
        <w:rPr>
          <w:rFonts w:ascii="Times New Roman" w:cs="Times New Roman" w:eastAsia="Times New Roman" w:hAnsi="Times New Roman"/>
          <w:sz w:val="18"/>
          <w:szCs w:val="18"/>
          <w:color w:val="231F20"/>
        </w:rPr>
        <w:t xml:space="preserve">You will find an explanatory note in relation to each of the Resolutions in the attached proxy statement. Your Board of Directors consider that each Resolution is in the best interests of the Company and is likely to promote the success of the Company for the benefit of its members as a whole. </w:t>
      </w:r>
      <w:r>
        <w:rPr>
          <w:rFonts w:ascii="Times New Roman" w:cs="Times New Roman" w:eastAsia="Times New Roman" w:hAnsi="Times New Roman"/>
          <w:sz w:val="18"/>
          <w:szCs w:val="18"/>
          <w:b w:val="1"/>
          <w:bCs w:val="1"/>
          <w:color w:val="231F20"/>
        </w:rPr>
        <w:t>Accordingly, your directors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unanimously recommend that you vote </w:t>
      </w:r>
      <w:r>
        <w:rPr>
          <w:rFonts w:ascii="Times New Roman" w:cs="Times New Roman" w:eastAsia="Times New Roman" w:hAnsi="Times New Roman"/>
          <w:sz w:val="18"/>
          <w:szCs w:val="18"/>
          <w:b w:val="1"/>
          <w:bCs w:val="1"/>
          <w:u w:val="single" w:color="auto"/>
          <w:color w:val="231F20"/>
        </w:rPr>
        <w:t>FOR</w:t>
      </w:r>
      <w:r>
        <w:rPr>
          <w:rFonts w:ascii="Times New Roman" w:cs="Times New Roman" w:eastAsia="Times New Roman" w:hAnsi="Times New Roman"/>
          <w:sz w:val="18"/>
          <w:szCs w:val="18"/>
          <w:b w:val="1"/>
          <w:bCs w:val="1"/>
          <w:color w:val="231F20"/>
        </w:rPr>
        <w:t xml:space="preserve"> the Resolutions as each of the directors with personal holdings of ordinary shares or ADSs intends to do.</w:t>
      </w:r>
    </w:p>
    <w:p>
      <w:pPr>
        <w:spacing w:after="0" w:line="2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Thank you for your ongoing support of Mereo BioPharma Group plc.</w:t>
      </w:r>
    </w:p>
    <w:p>
      <w:pPr>
        <w:spacing w:after="0" w:line="2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Yours faithfully,</w:t>
      </w:r>
    </w:p>
    <w:p>
      <w:pPr>
        <w:spacing w:after="0" w:line="200" w:lineRule="exact"/>
        <w:rPr>
          <w:sz w:val="20"/>
          <w:szCs w:val="20"/>
          <w:color w:val="auto"/>
        </w:rPr>
      </w:pPr>
    </w:p>
    <w:p>
      <w:pPr>
        <w:spacing w:after="0" w:line="3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/s/ Michael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2125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Michael Wyzga</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231F20"/>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619125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132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2590165</wp:posOffset>
            </wp:positionH>
            <wp:positionV relativeFrom="paragraph">
              <wp:posOffset>1005840</wp:posOffset>
            </wp:positionV>
            <wp:extent cx="1680210" cy="505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21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27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4th Floor, One Cavendish Place,</w:t>
      </w:r>
    </w:p>
    <w:p>
      <w:pPr>
        <w:spacing w:after="0" w:line="3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London, W1G 0QF,</w:t>
      </w:r>
    </w:p>
    <w:p>
      <w:pPr>
        <w:spacing w:after="0" w:line="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United Kingdom</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231F20"/>
        </w:rPr>
        <w:t>Registered Company No. 09481161</w:t>
      </w:r>
    </w:p>
    <w:p>
      <w:pPr>
        <w:spacing w:after="0" w:line="25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231F20"/>
        </w:rPr>
        <w:t>NOTICE OF 2025 ANNUAL GENERAL MEETING OF</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231F20"/>
        </w:rPr>
        <w:t>SHAREHOLDERS TO BE HELD ON TUESDAY, MAY 13, 2025</w:t>
      </w:r>
    </w:p>
    <w:p>
      <w:pPr>
        <w:spacing w:after="0" w:line="122" w:lineRule="exact"/>
        <w:rPr>
          <w:sz w:val="20"/>
          <w:szCs w:val="20"/>
          <w:color w:val="auto"/>
        </w:rPr>
      </w:pPr>
    </w:p>
    <w:p>
      <w:pPr>
        <w:ind w:left="1420" w:right="1760" w:firstLine="360"/>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NOTICE IS HEREBY GIVEN </w:t>
      </w:r>
      <w:r>
        <w:rPr>
          <w:rFonts w:ascii="Times New Roman" w:cs="Times New Roman" w:eastAsia="Times New Roman" w:hAnsi="Times New Roman"/>
          <w:sz w:val="18"/>
          <w:szCs w:val="18"/>
          <w:color w:val="231F20"/>
        </w:rPr>
        <w:t>that the Annual General Meeting of Mereo BioPharma Group plc, a</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public limited company incorporated under the laws of England and Wales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xml:space="preserve">”), will be held </w:t>
      </w:r>
      <w:r>
        <w:rPr>
          <w:rFonts w:ascii="Times New Roman" w:cs="Times New Roman" w:eastAsia="Times New Roman" w:hAnsi="Times New Roman"/>
          <w:sz w:val="18"/>
          <w:szCs w:val="18"/>
          <w:b w:val="1"/>
          <w:bCs w:val="1"/>
          <w:color w:val="231F20"/>
        </w:rPr>
        <w:t>on Tuesday, May 13, 2025, at 2:00 p.m. (British Summer Time) (9:00 a.m. Eastern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Time) </w:t>
      </w:r>
      <w:r>
        <w:rPr>
          <w:rFonts w:ascii="Times New Roman" w:cs="Times New Roman" w:eastAsia="Times New Roman" w:hAnsi="Times New Roman"/>
          <w:sz w:val="18"/>
          <w:szCs w:val="18"/>
          <w:color w:val="231F20"/>
        </w:rPr>
        <w:t>at 5</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Floor, One Cavendish Place, London W1G 0QF, United Kingdom to consider and, if thought fit,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to pass resolutions 1 to 9 below, in each case as an ordinary resolution.</w:t>
      </w:r>
    </w:p>
    <w:p>
      <w:pPr>
        <w:spacing w:after="0" w:line="35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231F20"/>
        </w:rPr>
        <w:t>Ordinary resolutions</w:t>
      </w:r>
    </w:p>
    <w:p>
      <w:pPr>
        <w:spacing w:after="0" w:line="200" w:lineRule="exact"/>
        <w:rPr>
          <w:sz w:val="20"/>
          <w:szCs w:val="20"/>
          <w:color w:val="auto"/>
        </w:rPr>
      </w:pPr>
    </w:p>
    <w:p>
      <w:pPr>
        <w:spacing w:after="0" w:line="272" w:lineRule="exact"/>
        <w:rPr>
          <w:sz w:val="20"/>
          <w:szCs w:val="20"/>
          <w:color w:val="auto"/>
        </w:rPr>
      </w:pPr>
    </w:p>
    <w:p>
      <w:pPr>
        <w:ind w:left="2200" w:right="2160" w:hanging="448"/>
        <w:spacing w:after="0" w:line="282"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annual report and accounts for the year ended December 31, 2024, together with the directors’ report and independent auditor’s report thereon, be received and adopted.</w:t>
      </w:r>
    </w:p>
    <w:p>
      <w:pPr>
        <w:spacing w:after="0" w:line="53" w:lineRule="exact"/>
        <w:rPr>
          <w:rFonts w:ascii="Times New Roman" w:cs="Times New Roman" w:eastAsia="Times New Roman" w:hAnsi="Times New Roman"/>
          <w:sz w:val="18"/>
          <w:szCs w:val="18"/>
          <w:color w:val="auto"/>
        </w:rPr>
      </w:pPr>
    </w:p>
    <w:p>
      <w:pPr>
        <w:ind w:left="2200" w:right="1700" w:hanging="448"/>
        <w:spacing w:after="0" w:line="266"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PricewaterhouseCoopers LLP (“PwC”) be re-appointed as auditors to hold office from the conclusion of the annual general meeting until the conclusion of the next annual general meeting at which the Company’s annual report and accounts are presented.</w:t>
      </w:r>
    </w:p>
    <w:p>
      <w:pPr>
        <w:spacing w:after="0" w:line="67" w:lineRule="exact"/>
        <w:rPr>
          <w:rFonts w:ascii="Times New Roman" w:cs="Times New Roman" w:eastAsia="Times New Roman" w:hAnsi="Times New Roman"/>
          <w:sz w:val="18"/>
          <w:szCs w:val="18"/>
          <w:color w:val="auto"/>
        </w:rPr>
      </w:pPr>
    </w:p>
    <w:p>
      <w:pPr>
        <w:ind w:left="2200" w:hanging="448"/>
        <w:spacing w:after="0"/>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Audit and Risk Committee be authorized to determine PwC’s remuneration.</w:t>
      </w:r>
    </w:p>
    <w:p>
      <w:pPr>
        <w:spacing w:after="0" w:line="117" w:lineRule="exact"/>
        <w:rPr>
          <w:rFonts w:ascii="Times New Roman" w:cs="Times New Roman" w:eastAsia="Times New Roman" w:hAnsi="Times New Roman"/>
          <w:sz w:val="18"/>
          <w:szCs w:val="18"/>
          <w:color w:val="auto"/>
        </w:rPr>
      </w:pPr>
    </w:p>
    <w:p>
      <w:pPr>
        <w:ind w:left="2200" w:right="1720" w:hanging="448"/>
        <w:spacing w:after="0" w:line="282"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directors’ remuneration report (excluding the directors’ remuneration policy), as set out in the Company’s annual report and accounts for the year ended December 31, 2024, be approved.</w:t>
      </w:r>
    </w:p>
    <w:p>
      <w:pPr>
        <w:spacing w:after="0" w:line="53" w:lineRule="exact"/>
        <w:rPr>
          <w:rFonts w:ascii="Times New Roman" w:cs="Times New Roman" w:eastAsia="Times New Roman" w:hAnsi="Times New Roman"/>
          <w:sz w:val="18"/>
          <w:szCs w:val="18"/>
          <w:color w:val="auto"/>
        </w:rPr>
      </w:pPr>
    </w:p>
    <w:p>
      <w:pPr>
        <w:ind w:left="2200" w:right="1960" w:hanging="448"/>
        <w:spacing w:after="0" w:line="282"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compensation of the Company's named executive officers be approved, on an advisory (non-binding) basis.</w:t>
      </w:r>
    </w:p>
    <w:p>
      <w:pPr>
        <w:spacing w:after="0" w:line="53" w:lineRule="exact"/>
        <w:rPr>
          <w:rFonts w:ascii="Times New Roman" w:cs="Times New Roman" w:eastAsia="Times New Roman" w:hAnsi="Times New Roman"/>
          <w:sz w:val="18"/>
          <w:szCs w:val="18"/>
          <w:color w:val="auto"/>
        </w:rPr>
      </w:pPr>
    </w:p>
    <w:p>
      <w:pPr>
        <w:ind w:left="2200" w:right="1600" w:hanging="448"/>
        <w:spacing w:after="0" w:line="282" w:lineRule="auto"/>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frequency of future advisory votes on the compensation of the Company’s named executive officers be approved, on an advisory (non-binding) basis.</w:t>
      </w:r>
    </w:p>
    <w:p>
      <w:pPr>
        <w:spacing w:after="0" w:line="53" w:lineRule="exact"/>
        <w:rPr>
          <w:rFonts w:ascii="Times New Roman" w:cs="Times New Roman" w:eastAsia="Times New Roman" w:hAnsi="Times New Roman"/>
          <w:sz w:val="18"/>
          <w:szCs w:val="18"/>
          <w:color w:val="auto"/>
        </w:rPr>
      </w:pPr>
    </w:p>
    <w:p>
      <w:pPr>
        <w:ind w:left="2200" w:hanging="448"/>
        <w:spacing w:after="0"/>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Deepika Pakianathan be re-appointed as a director of the Company.</w:t>
      </w:r>
    </w:p>
    <w:p>
      <w:pPr>
        <w:spacing w:after="0" w:line="117" w:lineRule="exact"/>
        <w:rPr>
          <w:rFonts w:ascii="Times New Roman" w:cs="Times New Roman" w:eastAsia="Times New Roman" w:hAnsi="Times New Roman"/>
          <w:sz w:val="18"/>
          <w:szCs w:val="18"/>
          <w:color w:val="auto"/>
        </w:rPr>
      </w:pPr>
    </w:p>
    <w:p>
      <w:pPr>
        <w:ind w:left="2200" w:hanging="448"/>
        <w:spacing w:after="0"/>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Pierre Jacquet be re-appointed as a director of the Company.</w:t>
      </w:r>
    </w:p>
    <w:p>
      <w:pPr>
        <w:spacing w:after="0" w:line="117" w:lineRule="exact"/>
        <w:rPr>
          <w:rFonts w:ascii="Times New Roman" w:cs="Times New Roman" w:eastAsia="Times New Roman" w:hAnsi="Times New Roman"/>
          <w:sz w:val="18"/>
          <w:szCs w:val="18"/>
          <w:color w:val="auto"/>
        </w:rPr>
      </w:pPr>
    </w:p>
    <w:p>
      <w:pPr>
        <w:ind w:left="2200" w:hanging="448"/>
        <w:spacing w:after="0"/>
        <w:tabs>
          <w:tab w:leader="none" w:pos="2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Michael Wyzga be re-appointed as a director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BY ORDER OF THE BOARD</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231F20"/>
              </w:rPr>
              <w:t>Registered Office</w:t>
            </w:r>
          </w:p>
        </w:tc>
      </w:tr>
      <w:tr>
        <w:trPr>
          <w:trHeight w:val="216"/>
        </w:trPr>
        <w:tc>
          <w:tcPr>
            <w:tcW w:w="13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4th Floor, One Cavendish Place,</w:t>
            </w:r>
          </w:p>
        </w:tc>
      </w:tr>
      <w:tr>
        <w:trPr>
          <w:trHeight w:val="234"/>
        </w:trPr>
        <w:tc>
          <w:tcPr>
            <w:tcW w:w="1320" w:type="dxa"/>
            <w:vAlign w:val="bottom"/>
          </w:tcPr>
          <w:p>
            <w:pPr>
              <w:spacing w:after="0"/>
              <w:rPr>
                <w:sz w:val="20"/>
                <w:szCs w:val="20"/>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Sermon</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London, W1G 0QF, United Kingdom</w:t>
            </w:r>
          </w:p>
        </w:tc>
      </w:tr>
      <w:tr>
        <w:trPr>
          <w:trHeight w:val="191"/>
        </w:trPr>
        <w:tc>
          <w:tcPr>
            <w:tcW w:w="1320" w:type="dxa"/>
            <w:vAlign w:val="bottom"/>
          </w:tcPr>
          <w:p>
            <w:pPr>
              <w:spacing w:after="0"/>
              <w:rPr>
                <w:sz w:val="16"/>
                <w:szCs w:val="16"/>
                <w:color w:val="auto"/>
              </w:rPr>
            </w:pPr>
          </w:p>
        </w:tc>
        <w:tc>
          <w:tcPr>
            <w:tcW w:w="42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Charles Sermon</w:t>
            </w:r>
          </w:p>
        </w:tc>
        <w:tc>
          <w:tcPr>
            <w:tcW w:w="54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Registered in England &amp; Wales</w:t>
            </w:r>
          </w:p>
        </w:tc>
      </w:tr>
      <w:tr>
        <w:trPr>
          <w:trHeight w:val="248"/>
        </w:trPr>
        <w:tc>
          <w:tcPr>
            <w:tcW w:w="1320" w:type="dxa"/>
            <w:vAlign w:val="bottom"/>
          </w:tcPr>
          <w:p>
            <w:pPr>
              <w:spacing w:after="0"/>
              <w:rPr>
                <w:sz w:val="21"/>
                <w:szCs w:val="21"/>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8, 2025</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231F20"/>
              </w:rPr>
              <w:t>No. 09481161</w:t>
            </w:r>
          </w:p>
        </w:tc>
      </w:tr>
      <w:tr>
        <w:trPr>
          <w:trHeight w:val="1411"/>
        </w:trPr>
        <w:tc>
          <w:tcPr>
            <w:tcW w:w="13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231F20"/>
        </w:rPr>
        <w:t>Notes:</w:t>
      </w:r>
    </w:p>
    <w:p>
      <w:pPr>
        <w:spacing w:after="0" w:line="119" w:lineRule="exact"/>
        <w:rPr>
          <w:sz w:val="20"/>
          <w:szCs w:val="20"/>
          <w:color w:val="auto"/>
        </w:rPr>
      </w:pPr>
    </w:p>
    <w:p>
      <w:pPr>
        <w:ind w:left="380" w:right="1239"/>
        <w:spacing w:after="0" w:line="267" w:lineRule="auto"/>
        <w:rPr>
          <w:sz w:val="20"/>
          <w:szCs w:val="20"/>
          <w:color w:val="auto"/>
        </w:rPr>
      </w:pPr>
      <w:r>
        <w:rPr>
          <w:rFonts w:ascii="Times New Roman" w:cs="Times New Roman" w:eastAsia="Times New Roman" w:hAnsi="Times New Roman"/>
          <w:sz w:val="18"/>
          <w:szCs w:val="18"/>
          <w:i w:val="1"/>
          <w:iCs w:val="1"/>
          <w:color w:val="231F20"/>
        </w:rPr>
        <w:t>The following notes apply to ordinary shareholders. Holders of ADSs should review the information in the section of the letter accompanying this Notice titled “Action to be taken by holders of American Depositary Shares” for voting and other relevant information for the Meeting.</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Entitlement to Attend and Vote</w:t>
      </w:r>
    </w:p>
    <w:p>
      <w:pPr>
        <w:spacing w:after="0" w:line="243" w:lineRule="exact"/>
        <w:rPr>
          <w:sz w:val="20"/>
          <w:szCs w:val="20"/>
          <w:color w:val="auto"/>
        </w:rPr>
      </w:pPr>
    </w:p>
    <w:p>
      <w:pPr>
        <w:ind w:left="1180" w:right="659" w:hanging="448"/>
        <w:spacing w:after="0" w:line="254"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entitled to attend and vote at the Meeting (and for the purposes of the determination by the Company of the votes that may be cast in accordance with Regulation 41 of the Uncertified Securities Regulations 2001), only those members registered in the Company’s register of members at 6:00 p.m. (British Summer Time) (1:00 p.m. Eastern Time) on Friday, May 9, 2025 (or, if the Meeting is adjourned at 6:00 p.m. (British Summer Time) (1:00 p.m. Eastern Time) on the date which is two business days prior to the adjourned meeting) shall be entitled to attend and vote at the Meeting. Changes to the register of members of the Company after the relevant deadline shall be disregarded in determining the rights of any person to attend and vote at the Meeting.</w:t>
      </w: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w:t>
      </w:r>
    </w:p>
    <w:p>
      <w:pPr>
        <w:spacing w:after="0" w:line="229" w:lineRule="exact"/>
        <w:rPr>
          <w:sz w:val="20"/>
          <w:szCs w:val="20"/>
          <w:color w:val="auto"/>
        </w:rPr>
      </w:pPr>
    </w:p>
    <w:p>
      <w:pPr>
        <w:ind w:left="1180" w:right="599" w:hanging="448"/>
        <w:spacing w:after="0" w:line="258"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member of the Company at the time set out in note 1 above, you are entitled to appoint a proxy to exercise all or any of your rights to attend, speak and vote at the Meeting. You can appoint a proxy only using the procedures set out in these notes and the notes to the proxy form by no later than 2:00 p.m. (British Summer Time) (9:00 a.m. Eastern Time) on Friday, May 9, 2025 or 48 hours before any adjourned meeting.</w:t>
      </w:r>
    </w:p>
    <w:p>
      <w:pPr>
        <w:spacing w:after="0" w:line="75" w:lineRule="exact"/>
        <w:rPr>
          <w:rFonts w:ascii="Times New Roman" w:cs="Times New Roman" w:eastAsia="Times New Roman" w:hAnsi="Times New Roman"/>
          <w:sz w:val="18"/>
          <w:szCs w:val="18"/>
          <w:color w:val="auto"/>
        </w:rPr>
      </w:pPr>
    </w:p>
    <w:p>
      <w:pPr>
        <w:jc w:val="both"/>
        <w:ind w:left="1180" w:right="839" w:hanging="448"/>
        <w:spacing w:after="0" w:line="289"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proxy does not need to be a member of the Company but must attend the Meeting to represent you. If you wish your proxy to speak on your behalf at the Meeting you will need to appoint your own choice of proxy (not the Chair of the Meeting) and give your instructions directly to them.</w:t>
      </w:r>
    </w:p>
    <w:p>
      <w:pPr>
        <w:spacing w:after="0" w:line="49" w:lineRule="exact"/>
        <w:rPr>
          <w:rFonts w:ascii="Times New Roman" w:cs="Times New Roman" w:eastAsia="Times New Roman" w:hAnsi="Times New Roman"/>
          <w:sz w:val="17"/>
          <w:szCs w:val="17"/>
          <w:color w:val="auto"/>
        </w:rPr>
      </w:pPr>
    </w:p>
    <w:p>
      <w:pPr>
        <w:ind w:left="1180" w:right="639" w:hanging="448"/>
        <w:spacing w:after="0" w:line="261"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appoint more than one proxy provided each proxy is appointed to exercise rights attached to different ordinary shares. You may not appoint more than one proxy to exercise rights attached to any one ordinary share. To appoint more than one proxy, please indicate on your proxy submission how many ordinary shares it relates to.</w:t>
      </w:r>
    </w:p>
    <w:p>
      <w:pPr>
        <w:spacing w:after="0" w:line="71" w:lineRule="exact"/>
        <w:rPr>
          <w:rFonts w:ascii="Times New Roman" w:cs="Times New Roman" w:eastAsia="Times New Roman" w:hAnsi="Times New Roman"/>
          <w:sz w:val="18"/>
          <w:szCs w:val="18"/>
          <w:color w:val="auto"/>
        </w:rPr>
      </w:pPr>
    </w:p>
    <w:p>
      <w:pPr>
        <w:ind w:left="1180" w:right="599" w:hanging="448"/>
        <w:spacing w:after="0" w:line="261" w:lineRule="auto"/>
        <w:tabs>
          <w:tab w:leader="none" w:pos="1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withheld is not a vote in law, which means that the vote will not be counted in the calculation of votes for or against the resolution. If no voting indication is given, your proxy will vote or abstain from voting at their discretion. Your proxy will vote (or abstain from voting) as they think fit in relation to any other matter which is put before the Meeting.</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Proxy Using Hard Copy Proxy Form</w:t>
      </w:r>
    </w:p>
    <w:p>
      <w:pPr>
        <w:spacing w:after="0" w:line="229" w:lineRule="exact"/>
        <w:rPr>
          <w:sz w:val="20"/>
          <w:szCs w:val="20"/>
          <w:color w:val="auto"/>
        </w:rPr>
      </w:pPr>
    </w:p>
    <w:p>
      <w:pPr>
        <w:ind w:left="1180" w:right="559" w:hanging="448"/>
        <w:spacing w:after="0" w:line="253" w:lineRule="auto"/>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proxy for use at the Meeting has been provided. Instructions for its use are set out in the form. If you require additional forms of proxy or assistance with how to complete, sign and return a form of proxy or assistance in submitting your proxy appointment electronically, please call MUFG Corporate Markets’ general helpline team on +44 (0) 371 664 0391. Calls are charged at the standard geographic rate and will vary by provider. Calls from outside the U.K. will be charged at the applicable international rate. Lines are open 9:00 a.m. to 5:30 p.m. (British Summer Time), Monday to Friday, excluding public holidays in England and Wales. Alternatively, you can request additional forms of proxy via email at shareholderenquiries@cm.mpms.mufg.com or via postal address to MUFG Corporate Markets, PXS1, Central Square, 29 Wellington Street, Leeds LS1 4DL, United Kingdom. In the case of a member which is a company, the form of proxy must be executed under its common seal or signed on its behalf by an officer of the company or an attorney for the company. Any power of attorney or any other authority under which the proxy form is signed (or a duly certified copy of such power or authority) must be included with the 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743585</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a Proxy Online</w:t>
      </w:r>
    </w:p>
    <w:p>
      <w:pPr>
        <w:spacing w:after="0" w:line="200" w:lineRule="exact"/>
        <w:rPr>
          <w:sz w:val="20"/>
          <w:szCs w:val="20"/>
          <w:color w:val="auto"/>
        </w:rPr>
      </w:pPr>
    </w:p>
    <w:p>
      <w:pPr>
        <w:spacing w:after="0" w:line="245" w:lineRule="exact"/>
        <w:rPr>
          <w:sz w:val="20"/>
          <w:szCs w:val="20"/>
          <w:color w:val="auto"/>
        </w:rPr>
      </w:pPr>
    </w:p>
    <w:p>
      <w:pPr>
        <w:ind w:left="1180" w:right="579" w:hanging="448"/>
        <w:spacing w:after="0" w:line="268" w:lineRule="auto"/>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can vote electronically via the Investor Centre, a free app for smartphone and tablet provided by MUFG Corporate Markets (the Company's registrar). It allows you to securely manage and monitor your shareholdings in real time, take part in online voting, keep your details up to date, access a range of information including payment history and much more. The app is available to download on both the Apple App Store and Google Play, or by scanning the relevant QR code below. Alternatively, you may access the Investor Centre via a web browser at: https://uk.investorcentre.mpms.mufg.com/. Shareholders can use this service to vote or appoint a proxy online. The same voting deadline of 48 hours before the time of the Meeting applies. Shareholders will need to use the unique personal identification Investor Code (“IVC”) printed on your share certificate. If you need help with voting online, please contact MUFG Corporate Markets’ portal team on +44 (0) 371 664 0391 or via email at shareholderenquiries@cm.mpms.mufg.com. Calls are charged at the standard geographic rate and will vary by provider. Calls from outside the U.K. will be charged at the applicable international rate. Lines are open 9:00 a.m. to 5:30 p.m. (British Summer Time), Monday to Friday, excluding public holidays in 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145415</wp:posOffset>
            </wp:positionV>
            <wp:extent cx="2700020" cy="1371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002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 Through CREST</w:t>
      </w:r>
    </w:p>
    <w:p>
      <w:pPr>
        <w:spacing w:after="0" w:line="121" w:lineRule="exact"/>
        <w:rPr>
          <w:sz w:val="20"/>
          <w:szCs w:val="20"/>
          <w:color w:val="auto"/>
        </w:rPr>
      </w:pPr>
    </w:p>
    <w:p>
      <w:pPr>
        <w:ind w:left="1180" w:right="559" w:hanging="448"/>
        <w:spacing w:after="0" w:line="266" w:lineRule="auto"/>
        <w:tabs>
          <w:tab w:leader="none" w:pos="11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CREST members who wish to appoint a proxy or proxies by utilizing the CREST electronic proxy appointment service may do so for the Meeting and any adjournment(s) of it by using the procedures described in the CREST Manual (available from www.euroclear.com). CREST Personal Members or other CREST sponsored members, and those CREST members who have appointed a voting service provider(s), should refer to their CREST sponsor or voting service provider(s), who will be able to take the appropriate action on their behalf. In order for a proxy appointment made by means of CREST to be valid, the appropriate CREST message (a CREST Proxy Instruction) must be properly authenticated in accordance with Euroclear UK &amp; International Limited’s (EUI) specifications and must contain the information required for such instructions, as described in the CREST Manual. The message must be transmitted so as to be received by the issuer’s agent (ID: RA10) by no later than 2:00 p.m. (British Summer Time) (9:00 a.m. Eastern Time) on Friday, May 9, 2025 or 48 hours before any adjourned meeting. For this purpose, the time of receipt will be taken to be the time (as determined by the time stamp applied to the message by the CREST Applications Host) from which the issuer’s agent is able to retrieve the message by enquiry to CREST in the manner prescribed by</w:t>
      </w:r>
    </w:p>
    <w:p>
      <w:pPr>
        <w:spacing w:after="0" w:line="9" w:lineRule="exact"/>
        <w:rPr>
          <w:rFonts w:ascii="Times New Roman" w:cs="Times New Roman" w:eastAsia="Times New Roman" w:hAnsi="Times New Roman"/>
          <w:sz w:val="17"/>
          <w:szCs w:val="17"/>
          <w:color w:val="auto"/>
        </w:rPr>
      </w:pPr>
    </w:p>
    <w:p>
      <w:pPr>
        <w:ind w:left="11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CREST.</w:t>
      </w:r>
    </w:p>
    <w:p>
      <w:pPr>
        <w:spacing w:after="0" w:line="98" w:lineRule="exact"/>
        <w:rPr>
          <w:rFonts w:ascii="Times New Roman" w:cs="Times New Roman" w:eastAsia="Times New Roman" w:hAnsi="Times New Roman"/>
          <w:sz w:val="17"/>
          <w:szCs w:val="17"/>
          <w:color w:val="auto"/>
        </w:rPr>
      </w:pPr>
    </w:p>
    <w:p>
      <w:pPr>
        <w:ind w:left="1180" w:right="579" w:hanging="448"/>
        <w:spacing w:after="0" w:line="254" w:lineRule="auto"/>
        <w:tabs>
          <w:tab w:leader="none" w:pos="1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members and, where applicable, their CREST sponsors or voting service providers should note that EUI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provider(s), to procure that their CREST sponsor or voting service provider(s) take(s)) such action as shall be necessary to ensure that a message is transmitted by means of the CREST system by any particular time.</w:t>
      </w:r>
    </w:p>
    <w:p>
      <w:pPr>
        <w:spacing w:after="0" w:line="83" w:lineRule="exact"/>
        <w:rPr>
          <w:rFonts w:ascii="Times New Roman" w:cs="Times New Roman" w:eastAsia="Times New Roman" w:hAnsi="Times New Roman"/>
          <w:sz w:val="18"/>
          <w:szCs w:val="18"/>
          <w:color w:val="auto"/>
        </w:rPr>
      </w:pPr>
    </w:p>
    <w:p>
      <w:pPr>
        <w:ind w:left="1180" w:right="639" w:hanging="448"/>
        <w:spacing w:after="0" w:line="312" w:lineRule="auto"/>
        <w:tabs>
          <w:tab w:leader="none" w:pos="11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connection, CREST members and, where applicable, their CREST sponsors or voting service providers are referred, in particular, to those sections of the CREST Manual concerning practical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567690</wp:posOffset>
            </wp:positionV>
            <wp:extent cx="70377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80" w:right="799"/>
        <w:spacing w:after="0" w:line="266" w:lineRule="auto"/>
        <w:rPr>
          <w:sz w:val="20"/>
          <w:szCs w:val="20"/>
          <w:color w:val="auto"/>
        </w:rPr>
      </w:pPr>
      <w:r>
        <w:rPr>
          <w:rFonts w:ascii="Times New Roman" w:cs="Times New Roman" w:eastAsia="Times New Roman" w:hAnsi="Times New Roman"/>
          <w:sz w:val="18"/>
          <w:szCs w:val="18"/>
          <w:color w:val="auto"/>
        </w:rPr>
        <w:t>limitations of the CREST system and timings. The Company may treat as invalid a CREST Proxy Instruction in the circumstances set out in Regulation 35(5)(a) of the Uncertificated Securities Regulations 2001.</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Proxies via Proxymity</w:t>
      </w:r>
    </w:p>
    <w:p>
      <w:pPr>
        <w:spacing w:after="0" w:line="256" w:lineRule="exact"/>
        <w:rPr>
          <w:sz w:val="20"/>
          <w:szCs w:val="20"/>
          <w:color w:val="auto"/>
        </w:rPr>
      </w:pPr>
    </w:p>
    <w:p>
      <w:pPr>
        <w:ind w:left="1180" w:right="559" w:hanging="448"/>
        <w:spacing w:after="0" w:line="253" w:lineRule="auto"/>
        <w:tabs>
          <w:tab w:leader="none" w:pos="1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institutional investor you may also be able to appoint a proxy electronically via the Proxymity platform, a process which has been agreed by the Company and approved by the registrar. For further information regarding Proxymity, please go to www.proxymity.io. Your proxy must be received 48 hours (excluding non-working days) before the time of the Meeting in order to be considered valid or, if the Meeting is adjourned, by the time which is 48 hours before the time of the adjourned meeting. Before you can appoint a proxy via this process you will need to have agreed to Proxymity’s associated terms and conditions. It is important that you read these carefully as you will be bound by them and they will govern the electronic appointment of your proxy. An electronic proxy appointment via the Proxymity platform may be revoked completely by sending an authenticated message via the platform instructing the removal of your proxy vote.</w:t>
      </w:r>
    </w:p>
    <w:p>
      <w:pPr>
        <w:spacing w:after="0" w:line="2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Appointment of Proxy by Joint Members</w:t>
      </w:r>
    </w:p>
    <w:p>
      <w:pPr>
        <w:spacing w:after="0" w:line="243" w:lineRule="exact"/>
        <w:rPr>
          <w:sz w:val="20"/>
          <w:szCs w:val="20"/>
          <w:color w:val="auto"/>
        </w:rPr>
      </w:pPr>
    </w:p>
    <w:p>
      <w:pPr>
        <w:ind w:left="1180" w:right="619" w:hanging="448"/>
        <w:spacing w:after="0" w:line="261" w:lineRule="auto"/>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Changing Proxy Instructions</w:t>
      </w:r>
    </w:p>
    <w:p>
      <w:pPr>
        <w:spacing w:after="0" w:line="337" w:lineRule="exact"/>
        <w:rPr>
          <w:sz w:val="20"/>
          <w:szCs w:val="20"/>
          <w:color w:val="auto"/>
        </w:rPr>
      </w:pPr>
    </w:p>
    <w:p>
      <w:pPr>
        <w:ind w:left="1180" w:right="619" w:hanging="448"/>
        <w:spacing w:after="0" w:line="254" w:lineRule="auto"/>
        <w:tabs>
          <w:tab w:leader="none" w:pos="118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change your proxy instructions simply submit a new proxy appointment using the methods set out above. Note that the cutoff times for receipt of proxy appointments (see above) also apply in relation to amended instructions; any amended proxy appointment received after the relevant cut-off time will be disregarded. Where you have appointed a proxy using a hard-copy Form or Proxy and would like to change the instructions using another hard-copy Form or Proxy, please contact MUFG Corporate Markets as per the communication methods shown in note 6. If you submit more than one valid proxy appointment, the appointment received last before the latest time for the receipt of proxies will take precedence.</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Termination of Proxy Appointments</w:t>
      </w:r>
    </w:p>
    <w:p>
      <w:pPr>
        <w:spacing w:after="0" w:line="256" w:lineRule="exact"/>
        <w:rPr>
          <w:sz w:val="20"/>
          <w:szCs w:val="20"/>
          <w:color w:val="auto"/>
        </w:rPr>
      </w:pPr>
    </w:p>
    <w:p>
      <w:pPr>
        <w:ind w:left="1180" w:right="619" w:hanging="448"/>
        <w:spacing w:after="0" w:line="253" w:lineRule="auto"/>
        <w:tabs>
          <w:tab w:leader="none" w:pos="118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order to revoke a proxy instruction, you will need to inform the Company by sending a signed hard copy notice clearly stating your intention to revoke your proxy appointment to MUFG Corporate Markets, at the address shown in note 6 above. In the case of a member which is a company, the revocation notice must be executed under its common seal or signed on its behalf by an officer of the company or an attorney for the company. Any power of attorney or any other authority under which the revocation notice is signed, or a duly certified copy of such power or authority, must be included with the revocation notice. The revocation notice must be received by MUFG Corporate Markets no later than 48 hours before the Meeting. If you attempt to revoke your proxy appointment but the revocation is received after the time specified then, subject to the paragraph directly below, your proxy appointment will remain valid. Completion of a proxy will not preclude you from attending the Meeting and voting in person if you so wish.</w:t>
      </w:r>
    </w:p>
    <w:p>
      <w:pPr>
        <w:spacing w:after="0" w:line="3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Corporate Representatives</w:t>
      </w:r>
    </w:p>
    <w:p>
      <w:pPr>
        <w:spacing w:after="0" w:line="270" w:lineRule="exact"/>
        <w:rPr>
          <w:sz w:val="20"/>
          <w:szCs w:val="20"/>
          <w:color w:val="auto"/>
        </w:rPr>
      </w:pPr>
    </w:p>
    <w:p>
      <w:pPr>
        <w:ind w:left="1180" w:right="1079" w:hanging="448"/>
        <w:spacing w:after="0" w:line="266" w:lineRule="auto"/>
        <w:tabs>
          <w:tab w:leader="none" w:pos="118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corporation which is a member can appoint one or more corporate representatives who may exercise, on its behalf, all its powers as a member provided that no more than one corporate representative exercises powers over the same ordinary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822325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Issued Shares and Total Voting Rights</w:t>
      </w:r>
    </w:p>
    <w:p>
      <w:pPr>
        <w:spacing w:after="0" w:line="256" w:lineRule="exact"/>
        <w:rPr>
          <w:sz w:val="20"/>
          <w:szCs w:val="20"/>
          <w:color w:val="auto"/>
        </w:rPr>
      </w:pPr>
    </w:p>
    <w:p>
      <w:pPr>
        <w:ind w:left="1180" w:right="639" w:hanging="448"/>
        <w:spacing w:after="0" w:line="258" w:lineRule="auto"/>
        <w:tabs>
          <w:tab w:leader="none" w:pos="118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at close of business on the day immediately prior to the date of posting of this Notice, the Company’s issued share capital comprised 795,001,444 ordinary shares. Each ordinary share carries the right to one vote at a general meeting of the Company and, therefore, the total number of voting rights in the Company as at close of business on the day immediately prior to the date of posting of this Notice is 795,001,444.</w:t>
      </w: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Electronic Address</w:t>
      </w:r>
    </w:p>
    <w:p>
      <w:pPr>
        <w:spacing w:after="0" w:line="270" w:lineRule="exact"/>
        <w:rPr>
          <w:sz w:val="20"/>
          <w:szCs w:val="20"/>
          <w:color w:val="auto"/>
        </w:rPr>
      </w:pPr>
    </w:p>
    <w:p>
      <w:pPr>
        <w:jc w:val="both"/>
        <w:ind w:left="1180" w:right="559" w:hanging="448"/>
        <w:spacing w:after="0" w:line="266" w:lineRule="auto"/>
        <w:tabs>
          <w:tab w:leader="none" w:pos="11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You may not use any electronic address (within the meaning of Section 333(4) of the Companies Act 2006) provided in this Notice (or in any related documents including any form of proxy) to communicate with the Company for any purposes other than those expressly stated.</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Website Publication of Audit Concerns</w:t>
      </w:r>
    </w:p>
    <w:p>
      <w:pPr>
        <w:spacing w:after="0" w:line="256" w:lineRule="exact"/>
        <w:rPr>
          <w:sz w:val="20"/>
          <w:szCs w:val="20"/>
          <w:color w:val="auto"/>
        </w:rPr>
      </w:pPr>
    </w:p>
    <w:p>
      <w:pPr>
        <w:ind w:left="1180" w:right="559" w:hanging="448"/>
        <w:spacing w:after="0" w:line="253" w:lineRule="auto"/>
        <w:tabs>
          <w:tab w:leader="none" w:pos="118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Under Section 527 of the Companies Act 2006, members meeting the threshold requirement set out in that Section have the right to require the Company to publish on a website a statement setting out any matter relating to: (a) the audit of the Company’s accounts (including the auditor’s report and the conduct of the audit) that are to be laid before the meeting; or (b) any circumstance connected with an auditor of the Company ceasing to hold office since the previous meeting at which annual reports and accounts were laid in accordance with Section 437 Companies Act 2006. The Company may not require the shareholders requesting any such website publication to pay its expenses in compliance with Sections 527 or 528. Where the Company is required to place a statement on a website under Section 527 Companies Act 2006, it must forward the statement to the Company’s auditor not later than the time when it makes the statement available on the website. The business which may be dealt with at the AGM includes any statement that the Company has been required, under Section 527 Companies Act 2006, to publish on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599440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231F20"/>
              </w:rPr>
              <w:t>Page</w:t>
            </w:r>
          </w:p>
        </w:tc>
      </w:tr>
      <w:tr>
        <w:trPr>
          <w:trHeight w:val="208"/>
        </w:trPr>
        <w:tc>
          <w:tcPr>
            <w:tcW w:w="748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INFORMATION CONCERNING PROXY SOLICITATION AND VOTING</w:t>
            </w:r>
          </w:p>
        </w:tc>
        <w:tc>
          <w:tcPr>
            <w:tcW w:w="7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QUESTIONS AND ANSWERS ABOUT VOTING AT THE ANNUAL GENERAL MEETING</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PROPOSAL 1 — RESOLUTION TO ADOPT THE COMPANY’S U.K. STATUTORY ANNUAL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200" w:type="dxa"/>
            <w:vAlign w:val="bottom"/>
            <w:tcBorders>
              <w:top w:val="single" w:sz="8" w:color="0000FF"/>
            </w:tcBorders>
            <w:gridSpan w:val="30"/>
          </w:tcPr>
          <w:p>
            <w:pPr>
              <w:ind w:left="240"/>
              <w:spacing w:after="0" w:line="196" w:lineRule="exact"/>
              <w:rPr>
                <w:sz w:val="20"/>
                <w:szCs w:val="20"/>
                <w:color w:val="auto"/>
              </w:rPr>
            </w:pPr>
            <w:r>
              <w:rPr>
                <w:rFonts w:ascii="Times New Roman" w:cs="Times New Roman" w:eastAsia="Times New Roman" w:hAnsi="Times New Roman"/>
                <w:sz w:val="18"/>
                <w:szCs w:val="18"/>
                <w:color w:val="0000FF"/>
              </w:rPr>
              <w:t>REPORT AND ACCOUNTS</w:t>
            </w:r>
          </w:p>
        </w:tc>
        <w:tc>
          <w:tcPr>
            <w:tcW w:w="280" w:type="dxa"/>
            <w:vAlign w:val="bottom"/>
            <w:tcBorders>
              <w:top w:val="single" w:sz="8" w:color="0000EE"/>
            </w:tcBorders>
            <w:gridSpan w:val="3"/>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84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2 — RE-APPOINTMENT OF PRICEWATERHOUSECOOPERS LLP AS OUR</w:t>
            </w:r>
          </w:p>
        </w:tc>
        <w:tc>
          <w:tcPr>
            <w:tcW w:w="40" w:type="dxa"/>
            <w:vAlign w:val="bottom"/>
            <w:tcBorders>
              <w:bottom w:val="single" w:sz="8" w:color="0000EE"/>
            </w:tcBorders>
          </w:tcPr>
          <w:p>
            <w:pPr>
              <w:spacing w:after="0"/>
              <w:rPr>
                <w:sz w:val="17"/>
                <w:szCs w:val="17"/>
                <w:color w:val="auto"/>
              </w:rPr>
            </w:pPr>
          </w:p>
        </w:tc>
        <w:tc>
          <w:tcPr>
            <w:tcW w:w="600" w:type="dxa"/>
            <w:vAlign w:val="bottom"/>
            <w:gridSpan w:val="9"/>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6900" w:type="dxa"/>
            <w:vAlign w:val="bottom"/>
            <w:tcBorders>
              <w:bottom w:val="single" w:sz="8" w:color="0000EE"/>
            </w:tcBorders>
            <w:gridSpan w:val="25"/>
          </w:tcPr>
          <w:p>
            <w:pPr>
              <w:ind w:left="240"/>
              <w:spacing w:after="0" w:line="196" w:lineRule="exact"/>
              <w:rPr>
                <w:sz w:val="20"/>
                <w:szCs w:val="20"/>
                <w:color w:val="auto"/>
              </w:rPr>
            </w:pPr>
            <w:r>
              <w:rPr>
                <w:rFonts w:ascii="Times New Roman" w:cs="Times New Roman" w:eastAsia="Times New Roman" w:hAnsi="Times New Roman"/>
                <w:sz w:val="18"/>
                <w:szCs w:val="18"/>
                <w:color w:val="0000FF"/>
              </w:rPr>
              <w:t>AUDITORS, TO HOLD OFFICE UNTIL THE CONCLUSION OF THE NEXT ANNUAL</w:t>
            </w:r>
          </w:p>
        </w:tc>
        <w:tc>
          <w:tcPr>
            <w:tcW w:w="58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480" w:type="dxa"/>
            <w:vAlign w:val="bottom"/>
            <w:gridSpan w:val="33"/>
          </w:tcPr>
          <w:p>
            <w:pPr>
              <w:ind w:left="240"/>
              <w:spacing w:after="0" w:line="196" w:lineRule="exact"/>
              <w:rPr>
                <w:sz w:val="20"/>
                <w:szCs w:val="20"/>
                <w:color w:val="auto"/>
              </w:rPr>
            </w:pPr>
            <w:r>
              <w:rPr>
                <w:rFonts w:ascii="Times New Roman" w:cs="Times New Roman" w:eastAsia="Times New Roman" w:hAnsi="Times New Roman"/>
                <w:sz w:val="18"/>
                <w:szCs w:val="18"/>
                <w:color w:val="0000FF"/>
              </w:rPr>
              <w:t>GENERAL MEETING OF SHAREHOLDERS</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50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3 — AUTHORIZATION FOR THE AUDIT AND RISK COMMITTEE TO</w:t>
            </w:r>
          </w:p>
        </w:tc>
        <w:tc>
          <w:tcPr>
            <w:tcW w:w="40" w:type="dxa"/>
            <w:vAlign w:val="bottom"/>
            <w:tcBorders>
              <w:bottom w:val="single" w:sz="8" w:color="0000EE"/>
            </w:tcBorders>
          </w:tcPr>
          <w:p>
            <w:pPr>
              <w:spacing w:after="0"/>
              <w:rPr>
                <w:sz w:val="17"/>
                <w:szCs w:val="17"/>
                <w:color w:val="auto"/>
              </w:rPr>
            </w:pPr>
          </w:p>
        </w:tc>
        <w:tc>
          <w:tcPr>
            <w:tcW w:w="940" w:type="dxa"/>
            <w:vAlign w:val="bottom"/>
            <w:gridSpan w:val="13"/>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480" w:type="dxa"/>
            <w:vAlign w:val="bottom"/>
            <w:gridSpan w:val="33"/>
          </w:tcPr>
          <w:p>
            <w:pPr>
              <w:ind w:left="240"/>
              <w:spacing w:after="0" w:line="196" w:lineRule="exact"/>
              <w:rPr>
                <w:sz w:val="20"/>
                <w:szCs w:val="20"/>
                <w:color w:val="auto"/>
              </w:rPr>
            </w:pPr>
            <w:r>
              <w:rPr>
                <w:rFonts w:ascii="Times New Roman" w:cs="Times New Roman" w:eastAsia="Times New Roman" w:hAnsi="Times New Roman"/>
                <w:sz w:val="18"/>
                <w:szCs w:val="18"/>
                <w:color w:val="0000FF"/>
              </w:rPr>
              <w:t>DETERMINE THE AUDITORS’ REMUNERATION FOR THE FISCAL YEAR ENDING</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6880" w:type="dxa"/>
            <w:vAlign w:val="bottom"/>
            <w:tcBorders>
              <w:top w:val="single" w:sz="8" w:color="0000FF"/>
            </w:tcBorders>
            <w:gridSpan w:val="24"/>
          </w:tcPr>
          <w:p>
            <w:pPr>
              <w:ind w:left="240"/>
              <w:spacing w:after="0" w:line="196" w:lineRule="exact"/>
              <w:rPr>
                <w:sz w:val="20"/>
                <w:szCs w:val="20"/>
                <w:color w:val="auto"/>
              </w:rPr>
            </w:pPr>
            <w:r>
              <w:rPr>
                <w:rFonts w:ascii="Times New Roman" w:cs="Times New Roman" w:eastAsia="Times New Roman" w:hAnsi="Times New Roman"/>
                <w:sz w:val="18"/>
                <w:szCs w:val="18"/>
                <w:color w:val="0000FF"/>
              </w:rPr>
              <w:t>DECEMBER 31, 2025</w:t>
            </w:r>
          </w:p>
        </w:tc>
        <w:tc>
          <w:tcPr>
            <w:tcW w:w="80" w:type="dxa"/>
            <w:vAlign w:val="bottom"/>
            <w:tcBorders>
              <w:top w:val="single" w:sz="8" w:color="0000EE"/>
            </w:tcBorders>
            <w:gridSpan w:val="2"/>
          </w:tcPr>
          <w:p>
            <w:pPr>
              <w:spacing w:after="0"/>
              <w:rPr>
                <w:sz w:val="17"/>
                <w:szCs w:val="17"/>
                <w:color w:val="auto"/>
              </w:rPr>
            </w:pPr>
          </w:p>
        </w:tc>
        <w:tc>
          <w:tcPr>
            <w:tcW w:w="520" w:type="dxa"/>
            <w:vAlign w:val="bottom"/>
            <w:gridSpan w:val="7"/>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44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4 — APPROVAL OF OUR U.K. STATUTORY DIRECTORS’ ANNUAL REPORT ON</w:t>
            </w:r>
          </w:p>
        </w:tc>
        <w:tc>
          <w:tcPr>
            <w:tcW w:w="40" w:type="dxa"/>
            <w:vAlign w:val="bottom"/>
            <w:tcBorders>
              <w:bottom w:val="single" w:sz="8" w:color="0000EE"/>
            </w:tcBorders>
          </w:tcPr>
          <w:p>
            <w:pPr>
              <w:spacing w:after="0"/>
              <w:rPr>
                <w:sz w:val="17"/>
                <w:szCs w:val="17"/>
                <w:color w:val="auto"/>
              </w:rPr>
            </w:pPr>
          </w:p>
        </w:tc>
        <w:tc>
          <w:tcPr>
            <w:tcW w:w="40" w:type="dxa"/>
            <w:vAlign w:val="bottom"/>
            <w:tcBorders>
              <w:bottom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220" w:type="dxa"/>
            <w:vAlign w:val="bottom"/>
            <w:gridSpan w:val="32"/>
          </w:tcPr>
          <w:p>
            <w:pPr>
              <w:ind w:left="20"/>
              <w:spacing w:after="0" w:line="196" w:lineRule="exact"/>
              <w:rPr>
                <w:sz w:val="20"/>
                <w:szCs w:val="20"/>
                <w:color w:val="auto"/>
              </w:rPr>
            </w:pPr>
            <w:r>
              <w:rPr>
                <w:rFonts w:ascii="Times New Roman" w:cs="Times New Roman" w:eastAsia="Times New Roman" w:hAnsi="Times New Roman"/>
                <w:sz w:val="18"/>
                <w:szCs w:val="18"/>
                <w:color w:val="0000FF"/>
              </w:rPr>
              <w:t>REMUNERATION ON AN ADVISORY (NON-BINDING) BASIS</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2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16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PROPOSAL 5 — APPROVAL OF THE COMPENSATION OF THE COMPANY’S NAMED</w:t>
            </w:r>
          </w:p>
        </w:tc>
        <w:tc>
          <w:tcPr>
            <w:tcW w:w="320" w:type="dxa"/>
            <w:vAlign w:val="bottom"/>
            <w:gridSpan w:val="4"/>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260" w:type="dxa"/>
            <w:vAlign w:val="bottom"/>
          </w:tcPr>
          <w:p>
            <w:pPr>
              <w:spacing w:after="0"/>
              <w:rPr>
                <w:sz w:val="17"/>
                <w:szCs w:val="17"/>
                <w:color w:val="auto"/>
              </w:rPr>
            </w:pPr>
          </w:p>
        </w:tc>
        <w:tc>
          <w:tcPr>
            <w:tcW w:w="54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 ON AN ADVISORY (NON-BINDING) BASIS</w:t>
            </w:r>
          </w:p>
        </w:tc>
        <w:tc>
          <w:tcPr>
            <w:tcW w:w="20" w:type="dxa"/>
            <w:vAlign w:val="bottom"/>
            <w:tcBorders>
              <w:bottom w:val="single" w:sz="8" w:color="0000EE"/>
            </w:tcBorders>
          </w:tcPr>
          <w:p>
            <w:pPr>
              <w:spacing w:after="0"/>
              <w:rPr>
                <w:sz w:val="17"/>
                <w:szCs w:val="17"/>
                <w:color w:val="auto"/>
              </w:rPr>
            </w:pPr>
          </w:p>
        </w:tc>
        <w:tc>
          <w:tcPr>
            <w:tcW w:w="1780" w:type="dxa"/>
            <w:vAlign w:val="bottom"/>
            <w:gridSpan w:val="15"/>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PROPOSAL 6 — APPROVAL OF THE FREQUENCY OF FUTURE ADVISORY VOTES ON THE</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15</w:t>
            </w:r>
          </w:p>
        </w:tc>
      </w:tr>
      <w:tr>
        <w:trPr>
          <w:trHeight w:val="196"/>
        </w:trPr>
        <w:tc>
          <w:tcPr>
            <w:tcW w:w="260" w:type="dxa"/>
            <w:vAlign w:val="bottom"/>
            <w:tcBorders>
              <w:top w:val="single" w:sz="8" w:color="0000FF"/>
            </w:tcBorders>
          </w:tcPr>
          <w:p>
            <w:pPr>
              <w:spacing w:after="0"/>
              <w:rPr>
                <w:sz w:val="17"/>
                <w:szCs w:val="17"/>
                <w:color w:val="auto"/>
              </w:rPr>
            </w:pPr>
          </w:p>
        </w:tc>
        <w:tc>
          <w:tcPr>
            <w:tcW w:w="6700" w:type="dxa"/>
            <w:vAlign w:val="bottom"/>
            <w:tcBorders>
              <w:top w:val="single" w:sz="8" w:color="0000FF"/>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COMPENSATION OF THE COMPANY’S NAMED EXECUTIVE OFFICERS ON AN</w:t>
            </w:r>
          </w:p>
        </w:tc>
        <w:tc>
          <w:tcPr>
            <w:tcW w:w="520" w:type="dxa"/>
            <w:vAlign w:val="bottom"/>
            <w:tcBorders>
              <w:top w:val="single" w:sz="8" w:color="0000FF"/>
            </w:tcBorders>
            <w:gridSpan w:val="7"/>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260" w:type="dxa"/>
            <w:vAlign w:val="bottom"/>
          </w:tcPr>
          <w:p>
            <w:pPr>
              <w:spacing w:after="0"/>
              <w:rPr>
                <w:sz w:val="17"/>
                <w:szCs w:val="17"/>
                <w:color w:val="auto"/>
              </w:rPr>
            </w:pPr>
          </w:p>
        </w:tc>
        <w:tc>
          <w:tcPr>
            <w:tcW w:w="72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ADVISORY (NON-BINDING) BASIS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96"/>
        </w:trPr>
        <w:tc>
          <w:tcPr>
            <w:tcW w:w="714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PROPOSAL 7 — RE-ELECTION OF DR. DEEPIKA PAKIANATHAN TO THE BOARD OF</w:t>
            </w:r>
          </w:p>
        </w:tc>
        <w:tc>
          <w:tcPr>
            <w:tcW w:w="340" w:type="dxa"/>
            <w:vAlign w:val="bottom"/>
            <w:gridSpan w:val="5"/>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17</w:t>
            </w:r>
          </w:p>
        </w:tc>
      </w:tr>
      <w:tr>
        <w:trPr>
          <w:trHeight w:val="196"/>
        </w:trPr>
        <w:tc>
          <w:tcPr>
            <w:tcW w:w="260" w:type="dxa"/>
            <w:vAlign w:val="bottom"/>
          </w:tcPr>
          <w:p>
            <w:pPr>
              <w:spacing w:after="0"/>
              <w:rPr>
                <w:sz w:val="17"/>
                <w:szCs w:val="17"/>
                <w:color w:val="auto"/>
              </w:rPr>
            </w:pPr>
          </w:p>
        </w:tc>
        <w:tc>
          <w:tcPr>
            <w:tcW w:w="722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DIRECTORS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96"/>
        </w:trPr>
        <w:tc>
          <w:tcPr>
            <w:tcW w:w="7300" w:type="dxa"/>
            <w:vAlign w:val="bottom"/>
            <w:tcBorders>
              <w:bottom w:val="single" w:sz="8" w:color="0000FF"/>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8 — RE-ELECTION OF DR. PIERRE JACQUET TO THE BOARD OF DIRECTORS</w:t>
            </w:r>
          </w:p>
        </w:tc>
        <w:tc>
          <w:tcPr>
            <w:tcW w:w="180" w:type="dxa"/>
            <w:vAlign w:val="bottom"/>
            <w:gridSpan w:val="2"/>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18</w:t>
            </w: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PROPOSAL 9 — RE-ELECTION OF MICHAEL WYZGA TO THE BOARD OF DIRECTORS</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19</w:t>
            </w:r>
          </w:p>
        </w:tc>
      </w:tr>
      <w:tr>
        <w:trPr>
          <w:trHeight w:val="196"/>
        </w:trPr>
        <w:tc>
          <w:tcPr>
            <w:tcW w:w="702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BOARD OF DIRECTORS AND CORPORATE GOVERNANCE</w:t>
            </w:r>
          </w:p>
        </w:tc>
        <w:tc>
          <w:tcPr>
            <w:tcW w:w="460" w:type="dxa"/>
            <w:vAlign w:val="bottom"/>
            <w:gridSpan w:val="6"/>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20</w:t>
            </w:r>
          </w:p>
        </w:tc>
      </w:tr>
      <w:tr>
        <w:trPr>
          <w:trHeight w:val="196"/>
        </w:trPr>
        <w:tc>
          <w:tcPr>
            <w:tcW w:w="242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DIRECTORS COMPENSATION</w:t>
            </w:r>
          </w:p>
        </w:tc>
        <w:tc>
          <w:tcPr>
            <w:tcW w:w="2360" w:type="dxa"/>
            <w:vAlign w:val="bottom"/>
            <w:tcBorders>
              <w:top w:val="single" w:sz="8" w:color="0000FF"/>
            </w:tcBorders>
            <w:gridSpan w:val="10"/>
          </w:tcPr>
          <w:p>
            <w:pPr>
              <w:spacing w:after="0"/>
              <w:rPr>
                <w:sz w:val="17"/>
                <w:szCs w:val="17"/>
                <w:color w:val="auto"/>
              </w:rPr>
            </w:pPr>
          </w:p>
        </w:tc>
        <w:tc>
          <w:tcPr>
            <w:tcW w:w="2700" w:type="dxa"/>
            <w:vAlign w:val="bottom"/>
            <w:gridSpan w:val="19"/>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28</w:t>
            </w:r>
          </w:p>
        </w:tc>
      </w:tr>
      <w:tr>
        <w:trPr>
          <w:trHeight w:val="196"/>
        </w:trPr>
        <w:tc>
          <w:tcPr>
            <w:tcW w:w="67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40" w:type="dxa"/>
            <w:vAlign w:val="bottom"/>
            <w:tcBorders>
              <w:bottom w:val="single" w:sz="8" w:color="0000EE"/>
            </w:tcBorders>
          </w:tcPr>
          <w:p>
            <w:pPr>
              <w:spacing w:after="0"/>
              <w:rPr>
                <w:sz w:val="17"/>
                <w:szCs w:val="17"/>
                <w:color w:val="auto"/>
              </w:rPr>
            </w:pPr>
          </w:p>
        </w:tc>
        <w:tc>
          <w:tcPr>
            <w:tcW w:w="680" w:type="dxa"/>
            <w:vAlign w:val="bottom"/>
            <w:gridSpan w:val="11"/>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32</w:t>
            </w: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TRANSACTIONS WITH RELATED PERSONS</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34</w:t>
            </w:r>
          </w:p>
        </w:tc>
      </w:tr>
      <w:tr>
        <w:trPr>
          <w:trHeight w:val="196"/>
        </w:trPr>
        <w:tc>
          <w:tcPr>
            <w:tcW w:w="3520" w:type="dxa"/>
            <w:vAlign w:val="bottom"/>
            <w:tcBorders>
              <w:top w:val="single" w:sz="8" w:color="0000FF"/>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 OF THE COMPANY</w:t>
            </w:r>
          </w:p>
        </w:tc>
        <w:tc>
          <w:tcPr>
            <w:tcW w:w="60" w:type="dxa"/>
            <w:vAlign w:val="bottom"/>
            <w:tcBorders>
              <w:top w:val="single" w:sz="8" w:color="0000FF"/>
            </w:tcBorders>
          </w:tcPr>
          <w:p>
            <w:pPr>
              <w:spacing w:after="0"/>
              <w:rPr>
                <w:sz w:val="17"/>
                <w:szCs w:val="17"/>
                <w:color w:val="auto"/>
              </w:rPr>
            </w:pPr>
          </w:p>
        </w:tc>
        <w:tc>
          <w:tcPr>
            <w:tcW w:w="3900" w:type="dxa"/>
            <w:vAlign w:val="bottom"/>
            <w:gridSpan w:val="23"/>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2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r>
      <w:tr>
        <w:trPr>
          <w:trHeight w:val="196"/>
        </w:trPr>
        <w:tc>
          <w:tcPr>
            <w:tcW w:w="24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PAY VERSUS PERFORMANCE</w:t>
            </w:r>
          </w:p>
        </w:tc>
        <w:tc>
          <w:tcPr>
            <w:tcW w:w="80" w:type="dxa"/>
            <w:vAlign w:val="bottom"/>
            <w:tcBorders>
              <w:bottom w:val="single" w:sz="8" w:color="0000EE"/>
            </w:tcBorders>
          </w:tcPr>
          <w:p>
            <w:pPr>
              <w:spacing w:after="0"/>
              <w:rPr>
                <w:sz w:val="17"/>
                <w:szCs w:val="17"/>
                <w:color w:val="auto"/>
              </w:rPr>
            </w:pPr>
          </w:p>
        </w:tc>
        <w:tc>
          <w:tcPr>
            <w:tcW w:w="4980" w:type="dxa"/>
            <w:vAlign w:val="bottom"/>
            <w:gridSpan w:val="28"/>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96"/>
        </w:trPr>
        <w:tc>
          <w:tcPr>
            <w:tcW w:w="74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AUDIT AND RISK COMMITTEE REPORT</w:t>
            </w: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45</w:t>
            </w:r>
          </w:p>
        </w:tc>
      </w:tr>
      <w:tr>
        <w:trPr>
          <w:trHeight w:val="196"/>
        </w:trPr>
        <w:tc>
          <w:tcPr>
            <w:tcW w:w="330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DELIVERY OF PROXY MATERIALS</w:t>
            </w:r>
          </w:p>
        </w:tc>
        <w:tc>
          <w:tcPr>
            <w:tcW w:w="4180" w:type="dxa"/>
            <w:vAlign w:val="bottom"/>
            <w:gridSpan w:val="25"/>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47</w:t>
            </w:r>
          </w:p>
        </w:tc>
      </w:tr>
      <w:tr>
        <w:trPr>
          <w:trHeight w:val="196"/>
        </w:trPr>
        <w:tc>
          <w:tcPr>
            <w:tcW w:w="29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ADDITIONAL INFORMATION</w:t>
            </w:r>
          </w:p>
        </w:tc>
        <w:tc>
          <w:tcPr>
            <w:tcW w:w="4580" w:type="dxa"/>
            <w:vAlign w:val="bottom"/>
            <w:gridSpan w:val="27"/>
          </w:tcPr>
          <w:p>
            <w:pPr>
              <w:spacing w:after="0"/>
              <w:rPr>
                <w:sz w:val="17"/>
                <w:szCs w:val="17"/>
                <w:color w:val="auto"/>
              </w:rPr>
            </w:pPr>
          </w:p>
        </w:tc>
        <w:tc>
          <w:tcPr>
            <w:tcW w:w="740" w:type="dxa"/>
            <w:vAlign w:val="bottom"/>
            <w:gridSpan w:val="3"/>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2420" w:type="dxa"/>
            <w:vAlign w:val="bottom"/>
            <w:tcBorders>
              <w:right w:val="single" w:sz="8" w:color="0000FF"/>
            </w:tcBorders>
            <w:gridSpan w:val="4"/>
            <w:shd w:val="clear" w:color="auto" w:fill="0000FF"/>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3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FORM OF PROXY FOR ORDINARY SHAREHOLDERS</w:t>
            </w:r>
          </w:p>
        </w:tc>
        <w:tc>
          <w:tcPr>
            <w:tcW w:w="20" w:type="dxa"/>
            <w:vAlign w:val="bottom"/>
            <w:tcBorders>
              <w:bottom w:val="single" w:sz="8" w:color="0000EE"/>
            </w:tcBorders>
          </w:tcPr>
          <w:p>
            <w:pPr>
              <w:spacing w:after="0"/>
              <w:rPr>
                <w:sz w:val="17"/>
                <w:szCs w:val="17"/>
                <w:color w:val="auto"/>
              </w:rPr>
            </w:pPr>
          </w:p>
        </w:tc>
        <w:tc>
          <w:tcPr>
            <w:tcW w:w="316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w w:val="92"/>
              </w:rPr>
              <w:t>A-1</w:t>
            </w: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621665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231F20"/>
        </w:rPr>
        <w:t>Mereo BioPharma Group plc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4</w:t>
      </w:r>
      <w:r>
        <w:rPr>
          <w:rFonts w:ascii="Times New Roman" w:cs="Times New Roman" w:eastAsia="Times New Roman" w:hAnsi="Times New Roman"/>
          <w:sz w:val="11"/>
          <w:szCs w:val="11"/>
          <w:b w:val="1"/>
          <w:bCs w:val="1"/>
          <w:color w:val="231F20"/>
        </w:rPr>
        <w:t>th</w:t>
      </w:r>
      <w:r>
        <w:rPr>
          <w:rFonts w:ascii="Times New Roman" w:cs="Times New Roman" w:eastAsia="Times New Roman" w:hAnsi="Times New Roman"/>
          <w:sz w:val="18"/>
          <w:szCs w:val="18"/>
          <w:b w:val="1"/>
          <w:bCs w:val="1"/>
          <w:color w:val="231F20"/>
        </w:rPr>
        <w:t xml:space="preserve"> Floor, One Cavendish Place,</w:t>
      </w:r>
    </w:p>
    <w:p>
      <w:pPr>
        <w:spacing w:after="0" w:line="23"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231F20"/>
        </w:rPr>
        <w:t>London, W1G 0QF, United Kingdom</w:t>
      </w:r>
    </w:p>
    <w:p>
      <w:pPr>
        <w:spacing w:after="0" w:line="9"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8"/>
          <w:szCs w:val="18"/>
          <w:b w:val="1"/>
          <w:bCs w:val="1"/>
          <w:color w:val="231F20"/>
        </w:rPr>
        <w:t>Registered Company No. 09481161</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PROXY STATEMENT FOR THE 2025 ANNUAL GENERAL MEETING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SHAREHOLDERS TO BE HELD ON, TUESDAY MAY 13, 2025</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INFORMATION CONCERNING PROXY SOLICITATION AND VOTING</w:t>
      </w:r>
    </w:p>
    <w:p>
      <w:pPr>
        <w:spacing w:after="0" w:line="297" w:lineRule="exact"/>
        <w:rPr>
          <w:sz w:val="20"/>
          <w:szCs w:val="20"/>
          <w:color w:val="auto"/>
        </w:rPr>
      </w:pPr>
    </w:p>
    <w:p>
      <w:pPr>
        <w:ind w:left="400" w:right="519" w:firstLine="360"/>
        <w:spacing w:after="0" w:line="258" w:lineRule="auto"/>
        <w:rPr>
          <w:sz w:val="20"/>
          <w:szCs w:val="20"/>
          <w:color w:val="auto"/>
        </w:rPr>
      </w:pPr>
      <w:r>
        <w:rPr>
          <w:rFonts w:ascii="Times New Roman" w:cs="Times New Roman" w:eastAsia="Times New Roman" w:hAnsi="Times New Roman"/>
          <w:sz w:val="18"/>
          <w:szCs w:val="18"/>
          <w:color w:val="231F20"/>
        </w:rPr>
        <w:t>We have sent you this proxy statement and the enclosed form of proxy because the Board of Directors of Mereo BioPharma Group plc (referred to herein as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Mereo</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is soliciting your proxy to vote at our annual general meeting of shareholders (referred to herein as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AGM</w:t>
      </w:r>
      <w:r>
        <w:rPr>
          <w:rFonts w:ascii="Times New Roman" w:cs="Times New Roman" w:eastAsia="Times New Roman" w:hAnsi="Times New Roman"/>
          <w:sz w:val="18"/>
          <w:szCs w:val="18"/>
          <w:color w:val="231F20"/>
        </w:rPr>
        <w:t xml:space="preserve">”) to be held on </w:t>
      </w:r>
      <w:r>
        <w:rPr>
          <w:rFonts w:ascii="Times New Roman" w:cs="Times New Roman" w:eastAsia="Times New Roman" w:hAnsi="Times New Roman"/>
          <w:sz w:val="18"/>
          <w:szCs w:val="18"/>
          <w:b w:val="1"/>
          <w:bCs w:val="1"/>
          <w:color w:val="231F20"/>
        </w:rPr>
        <w:t>Tuesday, May 13, 2025, at 2:00 p.m. (British Summer Time) (9:00 a.m. Eastern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Time)</w:t>
      </w:r>
      <w:r>
        <w:rPr>
          <w:rFonts w:ascii="Times New Roman" w:cs="Times New Roman" w:eastAsia="Times New Roman" w:hAnsi="Times New Roman"/>
          <w:sz w:val="18"/>
          <w:szCs w:val="18"/>
          <w:color w:val="231F20"/>
        </w:rPr>
        <w:t>, at 5</w:t>
      </w:r>
      <w:r>
        <w:rPr>
          <w:rFonts w:ascii="Times New Roman" w:cs="Times New Roman" w:eastAsia="Times New Roman" w:hAnsi="Times New Roman"/>
          <w:sz w:val="17"/>
          <w:szCs w:val="17"/>
          <w:color w:val="231F20"/>
        </w:rPr>
        <w:t>th</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Floor, One Cavendish Place, London W1G 0QF, United Kingdom.</w:t>
      </w:r>
    </w:p>
    <w:p>
      <w:pPr>
        <w:spacing w:after="0" w:line="210" w:lineRule="exact"/>
        <w:rPr>
          <w:sz w:val="20"/>
          <w:szCs w:val="20"/>
          <w:color w:val="auto"/>
        </w:rPr>
      </w:pPr>
    </w:p>
    <w:p>
      <w:pPr>
        <w:ind w:left="1180" w:right="479" w:hanging="448"/>
        <w:spacing w:after="0" w:line="282" w:lineRule="auto"/>
        <w:tabs>
          <w:tab w:leader="none" w:pos="11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This proxy statement summarizes information about the proposals to be considered at the Meeting and other information you may find useful in determining how to vote.</w:t>
      </w:r>
    </w:p>
    <w:p>
      <w:pPr>
        <w:spacing w:after="0" w:line="188" w:lineRule="exact"/>
        <w:rPr>
          <w:rFonts w:ascii="Times New Roman" w:cs="Times New Roman" w:eastAsia="Times New Roman" w:hAnsi="Times New Roman"/>
          <w:sz w:val="18"/>
          <w:szCs w:val="18"/>
          <w:color w:val="231F20"/>
        </w:rPr>
      </w:pPr>
    </w:p>
    <w:p>
      <w:pPr>
        <w:ind w:left="1180" w:right="519" w:hanging="448"/>
        <w:spacing w:after="0" w:line="282" w:lineRule="auto"/>
        <w:tabs>
          <w:tab w:leader="none" w:pos="118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form of proxy is the means by which you actually authorize another person to vote your shares in accordance with your instructions.</w:t>
      </w:r>
    </w:p>
    <w:p>
      <w:pPr>
        <w:spacing w:after="0" w:line="229" w:lineRule="exact"/>
        <w:rPr>
          <w:sz w:val="20"/>
          <w:szCs w:val="20"/>
          <w:color w:val="auto"/>
        </w:rPr>
      </w:pPr>
    </w:p>
    <w:p>
      <w:pPr>
        <w:ind w:left="400" w:right="479" w:firstLine="360"/>
        <w:spacing w:after="0" w:line="266" w:lineRule="auto"/>
        <w:rPr>
          <w:sz w:val="20"/>
          <w:szCs w:val="20"/>
          <w:color w:val="auto"/>
        </w:rPr>
      </w:pPr>
      <w:r>
        <w:rPr>
          <w:rFonts w:ascii="Times New Roman" w:cs="Times New Roman" w:eastAsia="Times New Roman" w:hAnsi="Times New Roman"/>
          <w:sz w:val="18"/>
          <w:szCs w:val="18"/>
          <w:color w:val="231F20"/>
        </w:rPr>
        <w:t>In addition to solicitations by mail, our directors, officers and regular employees, without additional remuneration, may solicit proxies by telephone, e-mail, internet and personal solicitation. All costs of solicitation of proxies will be covered by us.</w:t>
      </w:r>
    </w:p>
    <w:p>
      <w:pPr>
        <w:spacing w:after="0" w:line="243" w:lineRule="exact"/>
        <w:rPr>
          <w:sz w:val="20"/>
          <w:szCs w:val="20"/>
          <w:color w:val="auto"/>
        </w:rPr>
      </w:pPr>
    </w:p>
    <w:p>
      <w:pPr>
        <w:ind w:left="400" w:right="519" w:firstLine="360"/>
        <w:spacing w:after="0" w:line="254" w:lineRule="auto"/>
        <w:rPr>
          <w:sz w:val="20"/>
          <w:szCs w:val="20"/>
          <w:color w:val="auto"/>
        </w:rPr>
      </w:pPr>
      <w:r>
        <w:rPr>
          <w:rFonts w:ascii="Times New Roman" w:cs="Times New Roman" w:eastAsia="Times New Roman" w:hAnsi="Times New Roman"/>
          <w:sz w:val="18"/>
          <w:szCs w:val="18"/>
          <w:color w:val="231F20"/>
        </w:rPr>
        <w:t>We are mailing the Notice, this proxy statement and the form of proxy to our ordinary shareholders of record as of 6:00 p.m. (British Summer Time) (1:00 p.m. Eastern Time) on Friday, April 4, 2025 (being the latest practicable date before the circulation of this document) for the first time on or about Tuesday, April 8, 2025. We are also including our annual report on Form 10-K for the year ended December 31, 2024 (the “</w:t>
      </w:r>
      <w:r>
        <w:rPr>
          <w:rFonts w:ascii="Times New Roman" w:cs="Times New Roman" w:eastAsia="Times New Roman" w:hAnsi="Times New Roman"/>
          <w:sz w:val="18"/>
          <w:szCs w:val="18"/>
          <w:b w:val="1"/>
          <w:bCs w:val="1"/>
          <w:color w:val="231F20"/>
        </w:rPr>
        <w:t>Annual Report on Form 10-K</w:t>
      </w:r>
      <w:r>
        <w:rPr>
          <w:rFonts w:ascii="Times New Roman" w:cs="Times New Roman" w:eastAsia="Times New Roman" w:hAnsi="Times New Roman"/>
          <w:sz w:val="18"/>
          <w:szCs w:val="18"/>
          <w:color w:val="231F20"/>
        </w:rPr>
        <w:t>”). This includes mailing or supplying our proxy materials, including the Notice, this proxy statement and the accompanying form of proxy, and the Annual Report on Form 10-K, to relevant brokers, dealers, bankers and their nominees in their capacity as shareholders of record, so that they can supply these materials to the relevant beneficial owners of ordinary shares.</w:t>
      </w:r>
    </w:p>
    <w:p>
      <w:pPr>
        <w:spacing w:after="0" w:line="246" w:lineRule="exact"/>
        <w:rPr>
          <w:sz w:val="20"/>
          <w:szCs w:val="20"/>
          <w:color w:val="auto"/>
        </w:rPr>
      </w:pPr>
    </w:p>
    <w:p>
      <w:pPr>
        <w:ind w:left="400" w:right="519" w:firstLine="360"/>
        <w:spacing w:after="0" w:line="266" w:lineRule="auto"/>
        <w:rPr>
          <w:sz w:val="20"/>
          <w:szCs w:val="20"/>
          <w:color w:val="auto"/>
        </w:rPr>
      </w:pPr>
      <w:r>
        <w:rPr>
          <w:rFonts w:ascii="Times New Roman" w:cs="Times New Roman" w:eastAsia="Times New Roman" w:hAnsi="Times New Roman"/>
          <w:sz w:val="18"/>
          <w:szCs w:val="18"/>
          <w:color w:val="231F20"/>
        </w:rPr>
        <w:t>While this document is being sent or supplied to our ordinary shareholders of record, this document will also be made available to holders of American Depositary Shares (“</w:t>
      </w:r>
      <w:r>
        <w:rPr>
          <w:rFonts w:ascii="Times New Roman" w:cs="Times New Roman" w:eastAsia="Times New Roman" w:hAnsi="Times New Roman"/>
          <w:sz w:val="18"/>
          <w:szCs w:val="18"/>
          <w:b w:val="1"/>
          <w:bCs w:val="1"/>
          <w:color w:val="231F20"/>
        </w:rPr>
        <w:t>ADSs</w:t>
      </w:r>
      <w:r>
        <w:rPr>
          <w:rFonts w:ascii="Times New Roman" w:cs="Times New Roman" w:eastAsia="Times New Roman" w:hAnsi="Times New Roman"/>
          <w:sz w:val="18"/>
          <w:szCs w:val="18"/>
          <w:color w:val="231F20"/>
        </w:rPr>
        <w:t>”) and contains information relevant to holders of ADSs.</w:t>
      </w:r>
    </w:p>
    <w:p>
      <w:pPr>
        <w:spacing w:after="0" w:line="239" w:lineRule="exact"/>
        <w:rPr>
          <w:sz w:val="20"/>
          <w:szCs w:val="20"/>
          <w:color w:val="auto"/>
        </w:rPr>
      </w:pPr>
    </w:p>
    <w:p>
      <w:pPr>
        <w:ind w:left="400" w:right="659"/>
        <w:spacing w:after="0" w:line="286" w:lineRule="auto"/>
        <w:rPr>
          <w:sz w:val="20"/>
          <w:szCs w:val="20"/>
          <w:color w:val="auto"/>
        </w:rPr>
      </w:pPr>
      <w:r>
        <w:rPr>
          <w:rFonts w:ascii="Times New Roman" w:cs="Times New Roman" w:eastAsia="Times New Roman" w:hAnsi="Times New Roman"/>
          <w:sz w:val="18"/>
          <w:szCs w:val="18"/>
          <w:b w:val="1"/>
          <w:bCs w:val="1"/>
          <w:color w:val="231F20"/>
        </w:rPr>
        <w:t>Important Notice Regarding the Availability of Proxy Materials for the Shareholder Meeting to be Held on Tuesday, May 13, 2025</w:t>
      </w:r>
    </w:p>
    <w:p>
      <w:pPr>
        <w:spacing w:after="0" w:line="213" w:lineRule="exact"/>
        <w:rPr>
          <w:sz w:val="20"/>
          <w:szCs w:val="20"/>
          <w:color w:val="auto"/>
        </w:rPr>
      </w:pPr>
    </w:p>
    <w:p>
      <w:pPr>
        <w:ind w:left="400" w:right="439" w:firstLine="360"/>
        <w:spacing w:after="0" w:line="297" w:lineRule="auto"/>
        <w:rPr>
          <w:sz w:val="20"/>
          <w:szCs w:val="20"/>
          <w:color w:val="auto"/>
        </w:rPr>
      </w:pPr>
      <w:r>
        <w:rPr>
          <w:rFonts w:ascii="Times New Roman" w:cs="Times New Roman" w:eastAsia="Times New Roman" w:hAnsi="Times New Roman"/>
          <w:sz w:val="18"/>
          <w:szCs w:val="18"/>
          <w:color w:val="231F20"/>
        </w:rPr>
        <w:t xml:space="preserve">Our Notice, this proxy statement and the accompanying form of proxy and the Annual Report on Form 10-K are available in the Investors section of our website at: </w:t>
      </w:r>
      <w:r>
        <w:rPr>
          <w:rFonts w:ascii="Times New Roman" w:cs="Times New Roman" w:eastAsia="Times New Roman" w:hAnsi="Times New Roman"/>
          <w:sz w:val="18"/>
          <w:szCs w:val="18"/>
          <w:color w:val="000000"/>
        </w:rPr>
        <w:t>http://www.mereobiopharma.com/agm2025</w:t>
      </w:r>
      <w:r>
        <w:rPr>
          <w:rFonts w:ascii="Times New Roman" w:cs="Times New Roman" w:eastAsia="Times New Roman" w:hAnsi="Times New Roman"/>
          <w:sz w:val="18"/>
          <w:szCs w:val="18"/>
          <w:color w:val="231F20"/>
        </w:rPr>
        <w:t>.</w:t>
      </w:r>
    </w:p>
    <w:p>
      <w:pPr>
        <w:spacing w:after="0" w:line="348" w:lineRule="exact"/>
        <w:rPr>
          <w:sz w:val="20"/>
          <w:szCs w:val="20"/>
          <w:color w:val="auto"/>
        </w:rPr>
      </w:pPr>
    </w:p>
    <w:p>
      <w:pPr>
        <w:ind w:left="400" w:right="1359"/>
        <w:spacing w:after="0" w:line="263" w:lineRule="auto"/>
        <w:rPr>
          <w:sz w:val="20"/>
          <w:szCs w:val="20"/>
          <w:color w:val="auto"/>
        </w:rPr>
      </w:pPr>
      <w:r>
        <w:rPr>
          <w:rFonts w:ascii="Times New Roman" w:cs="Times New Roman" w:eastAsia="Times New Roman" w:hAnsi="Times New Roman"/>
          <w:sz w:val="18"/>
          <w:szCs w:val="18"/>
          <w:b w:val="1"/>
          <w:bCs w:val="1"/>
          <w:color w:val="231F20"/>
        </w:rPr>
        <w:t>QUESTIONS AND ANSWERS ABOUT VOTING AT THE ANNUAL GENERAL MEETING Why am I receiving these materials?</w:t>
      </w:r>
    </w:p>
    <w:p>
      <w:pPr>
        <w:spacing w:after="0" w:line="1" w:lineRule="exact"/>
        <w:rPr>
          <w:sz w:val="20"/>
          <w:szCs w:val="20"/>
          <w:color w:val="auto"/>
        </w:rPr>
      </w:pPr>
    </w:p>
    <w:p>
      <w:pPr>
        <w:ind w:left="400" w:right="399" w:firstLine="360"/>
        <w:spacing w:after="0" w:line="259" w:lineRule="auto"/>
        <w:rPr>
          <w:sz w:val="20"/>
          <w:szCs w:val="20"/>
          <w:color w:val="auto"/>
        </w:rPr>
      </w:pPr>
      <w:r>
        <w:rPr>
          <w:rFonts w:ascii="Times New Roman" w:cs="Times New Roman" w:eastAsia="Times New Roman" w:hAnsi="Times New Roman"/>
          <w:sz w:val="18"/>
          <w:szCs w:val="18"/>
          <w:color w:val="231F20"/>
        </w:rPr>
        <w:t>We have sent you this proxy statement and the enclosed form of proxy because you are an ordinary shareholder of record and our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Board of Directors</w:t>
      </w:r>
      <w:r>
        <w:rPr>
          <w:rFonts w:ascii="Times New Roman" w:cs="Times New Roman" w:eastAsia="Times New Roman" w:hAnsi="Times New Roman"/>
          <w:sz w:val="18"/>
          <w:szCs w:val="18"/>
          <w:color w:val="231F20"/>
        </w:rPr>
        <w:t>”) is soliciting your vote at the Meeting, including at any adjournments or postponements of the Meeting. You are invited to attend the Meeting to vote on the proposals described in this proxy statement. However, you do not need to attend the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419"/>
        <w:spacing w:after="0" w:line="257" w:lineRule="auto"/>
        <w:rPr>
          <w:sz w:val="20"/>
          <w:szCs w:val="20"/>
          <w:color w:val="auto"/>
        </w:rPr>
      </w:pPr>
      <w:r>
        <w:rPr>
          <w:rFonts w:ascii="Times New Roman" w:cs="Times New Roman" w:eastAsia="Times New Roman" w:hAnsi="Times New Roman"/>
          <w:sz w:val="18"/>
          <w:szCs w:val="18"/>
          <w:color w:val="231F20"/>
        </w:rPr>
        <w:t xml:space="preserve">Meeting to vote your shares. Instead, please submit your proxy online using the Investor Centre app or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https://uk.investorcentre.mpms.mufg.com/ </w:t>
      </w:r>
      <w:r>
        <w:rPr>
          <w:rFonts w:ascii="Times New Roman" w:cs="Times New Roman" w:eastAsia="Times New Roman" w:hAnsi="Times New Roman"/>
          <w:sz w:val="18"/>
          <w:szCs w:val="18"/>
          <w:color w:val="231F20"/>
        </w:rPr>
        <w:t>(see instructions in the explanatory notes to the Notice). Alternatively,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you may simply complete, sign and return the enclosed form of proxy in accordance with the instructions printed thereon. CREST members may appoint a proxy by using the CREST electronic proxy appointment service. If you are an institutional investor you may also be able to appoint a proxy electronically via the Proxymity platform. All proxies, however submitted, must be received by our registrar, MUFG Corporate Markets, </w:t>
      </w:r>
      <w:r>
        <w:rPr>
          <w:rFonts w:ascii="Times New Roman" w:cs="Times New Roman" w:eastAsia="Times New Roman" w:hAnsi="Times New Roman"/>
          <w:sz w:val="18"/>
          <w:szCs w:val="18"/>
          <w:b w:val="1"/>
          <w:bCs w:val="1"/>
          <w:color w:val="231F20"/>
        </w:rPr>
        <w:t>by no later than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2:00 p.m. (British Summer Time) (9:00 a.m. Eastern Time) on Friday, May 9, 2025 </w:t>
      </w:r>
      <w:r>
        <w:rPr>
          <w:rFonts w:ascii="Times New Roman" w:cs="Times New Roman" w:eastAsia="Times New Roman" w:hAnsi="Times New Roman"/>
          <w:sz w:val="18"/>
          <w:szCs w:val="18"/>
          <w:color w:val="231F20"/>
        </w:rPr>
        <w:t>or 48 hours before any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adjourned meeting.</w:t>
      </w:r>
    </w:p>
    <w:p>
      <w:pPr>
        <w:spacing w:after="0" w:line="238" w:lineRule="exact"/>
        <w:rPr>
          <w:sz w:val="20"/>
          <w:szCs w:val="20"/>
          <w:color w:val="auto"/>
        </w:rPr>
      </w:pPr>
    </w:p>
    <w:p>
      <w:pPr>
        <w:ind w:left="400" w:right="659" w:firstLine="360"/>
        <w:spacing w:after="0" w:line="281" w:lineRule="auto"/>
        <w:rPr>
          <w:sz w:val="20"/>
          <w:szCs w:val="20"/>
          <w:color w:val="auto"/>
        </w:rPr>
      </w:pPr>
      <w:r>
        <w:rPr>
          <w:rFonts w:ascii="Times New Roman" w:cs="Times New Roman" w:eastAsia="Times New Roman" w:hAnsi="Times New Roman"/>
          <w:sz w:val="18"/>
          <w:szCs w:val="18"/>
          <w:color w:val="231F20"/>
        </w:rPr>
        <w:t>We intend to mail this proxy statement, the accompanying form of proxy and the Annual Report on Form 10-K on or about Tuesday, April 8, 2025 to all ordinary shareholders of record as of 6:00 p.m. (British Summer Time) (1:00 p.m. Eastern Time) on Friday, April 4, 2025.</w:t>
      </w:r>
    </w:p>
    <w:p>
      <w:pPr>
        <w:spacing w:after="0" w:line="231" w:lineRule="exact"/>
        <w:rPr>
          <w:sz w:val="20"/>
          <w:szCs w:val="20"/>
          <w:color w:val="auto"/>
        </w:rPr>
      </w:pPr>
    </w:p>
    <w:p>
      <w:pPr>
        <w:jc w:val="both"/>
        <w:ind w:left="400" w:right="479" w:firstLine="360"/>
        <w:spacing w:after="0" w:line="261" w:lineRule="auto"/>
        <w:rPr>
          <w:sz w:val="20"/>
          <w:szCs w:val="20"/>
          <w:color w:val="auto"/>
        </w:rPr>
      </w:pPr>
      <w:r>
        <w:rPr>
          <w:rFonts w:ascii="Times New Roman" w:cs="Times New Roman" w:eastAsia="Times New Roman" w:hAnsi="Times New Roman"/>
          <w:sz w:val="18"/>
          <w:szCs w:val="18"/>
          <w:color w:val="231F20"/>
        </w:rPr>
        <w:t xml:space="preserve">Materials for ADS holders of record, including this proxy statement, the Annual Report on Form 10-K and the ADS proxy card, will be mailed on or about Friday, April 11, 2025 to all ADS holders, including banks, brokers and nominees, who are registered as holders of ADSs in the ADS register by </w:t>
      </w:r>
      <w:r>
        <w:rPr>
          <w:rFonts w:ascii="Times New Roman" w:cs="Times New Roman" w:eastAsia="Times New Roman" w:hAnsi="Times New Roman"/>
          <w:sz w:val="18"/>
          <w:szCs w:val="18"/>
          <w:b w:val="1"/>
          <w:bCs w:val="1"/>
          <w:color w:val="231F20"/>
        </w:rPr>
        <w:t>5:00 p.m. Eastern Time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(10:00 p.m. British Summer Time) on Tuesday, April 8, 2025 (the "ADS Record Date").</w:t>
      </w:r>
    </w:p>
    <w:p>
      <w:pPr>
        <w:spacing w:after="0" w:line="3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Who can vote at the Meeting?</w:t>
      </w:r>
    </w:p>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Ordinary shareholders</w:t>
      </w:r>
    </w:p>
    <w:p>
      <w:pPr>
        <w:spacing w:after="0" w:line="158" w:lineRule="exact"/>
        <w:rPr>
          <w:sz w:val="20"/>
          <w:szCs w:val="20"/>
          <w:color w:val="auto"/>
        </w:rPr>
      </w:pPr>
    </w:p>
    <w:p>
      <w:pPr>
        <w:ind w:left="400" w:right="63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Only ordinary shareholders of record registered in the register of members at </w:t>
      </w:r>
      <w:r>
        <w:rPr>
          <w:rFonts w:ascii="Times New Roman" w:cs="Times New Roman" w:eastAsia="Times New Roman" w:hAnsi="Times New Roman"/>
          <w:sz w:val="18"/>
          <w:szCs w:val="18"/>
          <w:b w:val="1"/>
          <w:bCs w:val="1"/>
          <w:color w:val="231F20"/>
        </w:rPr>
        <w:t>6:00 p.m. (British Summer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Time) (1:00 p.m. Eastern Time) on Friday, May 9, 2025 </w:t>
      </w:r>
      <w:r>
        <w:rPr>
          <w:rFonts w:ascii="Times New Roman" w:cs="Times New Roman" w:eastAsia="Times New Roman" w:hAnsi="Times New Roman"/>
          <w:sz w:val="18"/>
          <w:szCs w:val="18"/>
          <w:color w:val="231F20"/>
        </w:rPr>
        <w:t>will be entitled to attend and vote in person at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Meeting. As of Friday, April 4, 2025 (being the last practicable date before the circulation of this proxy statement) there were 795,001,444 ordinary shares issued and outstanding and entitled to vote.</w:t>
      </w:r>
    </w:p>
    <w:p>
      <w:pPr>
        <w:spacing w:after="0" w:line="230" w:lineRule="exact"/>
        <w:rPr>
          <w:sz w:val="20"/>
          <w:szCs w:val="20"/>
          <w:color w:val="auto"/>
        </w:rPr>
      </w:pPr>
    </w:p>
    <w:p>
      <w:pPr>
        <w:ind w:left="400" w:right="959" w:firstLine="360"/>
        <w:spacing w:after="0" w:line="268" w:lineRule="auto"/>
        <w:rPr>
          <w:sz w:val="20"/>
          <w:szCs w:val="20"/>
          <w:color w:val="auto"/>
        </w:rPr>
      </w:pPr>
      <w:r>
        <w:rPr>
          <w:rFonts w:ascii="Times New Roman" w:cs="Times New Roman" w:eastAsia="Times New Roman" w:hAnsi="Times New Roman"/>
          <w:sz w:val="18"/>
          <w:szCs w:val="18"/>
          <w:color w:val="231F20"/>
        </w:rPr>
        <w:t xml:space="preserve">All proxies must be received by our registrar, MUFG Corporate Markets, </w:t>
      </w:r>
      <w:r>
        <w:rPr>
          <w:rFonts w:ascii="Times New Roman" w:cs="Times New Roman" w:eastAsia="Times New Roman" w:hAnsi="Times New Roman"/>
          <w:sz w:val="18"/>
          <w:szCs w:val="18"/>
          <w:b w:val="1"/>
          <w:bCs w:val="1"/>
          <w:color w:val="231F20"/>
        </w:rPr>
        <w:t>by no later than 2:00 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 xml:space="preserve">(British Summer Time) (9:00 a.m. Eastern Time) on Friday, May 9, 2025 </w:t>
      </w:r>
      <w:r>
        <w:rPr>
          <w:rFonts w:ascii="Times New Roman" w:cs="Times New Roman" w:eastAsia="Times New Roman" w:hAnsi="Times New Roman"/>
          <w:sz w:val="18"/>
          <w:szCs w:val="18"/>
          <w:color w:val="231F20"/>
        </w:rPr>
        <w:t>or 48 hours before any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adjourned meeting.</w:t>
      </w:r>
    </w:p>
    <w:p>
      <w:pPr>
        <w:spacing w:after="0" w:line="242" w:lineRule="exact"/>
        <w:rPr>
          <w:sz w:val="20"/>
          <w:szCs w:val="20"/>
          <w:color w:val="auto"/>
        </w:rPr>
      </w:pPr>
    </w:p>
    <w:p>
      <w:pPr>
        <w:ind w:left="400" w:right="439" w:firstLine="360"/>
        <w:spacing w:after="0" w:line="258" w:lineRule="auto"/>
        <w:rPr>
          <w:sz w:val="20"/>
          <w:szCs w:val="20"/>
          <w:color w:val="auto"/>
        </w:rPr>
      </w:pPr>
      <w:r>
        <w:rPr>
          <w:rFonts w:ascii="Times New Roman" w:cs="Times New Roman" w:eastAsia="Times New Roman" w:hAnsi="Times New Roman"/>
          <w:sz w:val="18"/>
          <w:szCs w:val="18"/>
          <w:color w:val="231F20"/>
        </w:rPr>
        <w:t>If you sell or transfer your ordinary shares in the Company on or prior to Friday, May 9, 2025,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Company’s registrar, MUFG Corporate Markets, using the details set out in the Notice, to request a new form of proxy for its use.</w:t>
      </w:r>
    </w:p>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Beneficial owners of ordinary shares which are registered in the name of a broker, bank or other agent</w:t>
      </w:r>
    </w:p>
    <w:p>
      <w:pPr>
        <w:spacing w:after="0" w:line="148" w:lineRule="exact"/>
        <w:rPr>
          <w:sz w:val="20"/>
          <w:szCs w:val="20"/>
          <w:color w:val="auto"/>
        </w:rPr>
      </w:pPr>
    </w:p>
    <w:p>
      <w:pPr>
        <w:ind w:left="400" w:right="439" w:firstLine="360"/>
        <w:spacing w:after="0" w:line="258" w:lineRule="auto"/>
        <w:rPr>
          <w:sz w:val="20"/>
          <w:szCs w:val="20"/>
          <w:color w:val="auto"/>
        </w:rPr>
      </w:pPr>
      <w:r>
        <w:rPr>
          <w:rFonts w:ascii="Times New Roman" w:cs="Times New Roman" w:eastAsia="Times New Roman" w:hAnsi="Times New Roman"/>
          <w:sz w:val="18"/>
          <w:szCs w:val="18"/>
          <w:color w:val="231F20"/>
        </w:rPr>
        <w:t>If, on Friday, April 4, 2025,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by proxy. You are encouraged to provide voting instructions to your broker or other agent so that they may submit a proxy.</w:t>
      </w:r>
    </w:p>
    <w:p>
      <w:pPr>
        <w:spacing w:after="0" w:line="3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Holders of American Depositary Shares</w:t>
      </w:r>
    </w:p>
    <w:p>
      <w:pPr>
        <w:spacing w:after="0" w:line="148" w:lineRule="exact"/>
        <w:rPr>
          <w:sz w:val="20"/>
          <w:szCs w:val="20"/>
          <w:color w:val="auto"/>
        </w:rPr>
      </w:pPr>
    </w:p>
    <w:p>
      <w:pPr>
        <w:jc w:val="both"/>
        <w:ind w:left="400" w:right="459" w:firstLine="360"/>
        <w:spacing w:after="0" w:line="274" w:lineRule="auto"/>
        <w:rPr>
          <w:sz w:val="20"/>
          <w:szCs w:val="20"/>
          <w:color w:val="auto"/>
        </w:rPr>
      </w:pPr>
      <w:r>
        <w:rPr>
          <w:rFonts w:ascii="Times New Roman" w:cs="Times New Roman" w:eastAsia="Times New Roman" w:hAnsi="Times New Roman"/>
          <w:sz w:val="18"/>
          <w:szCs w:val="18"/>
          <w:color w:val="231F20"/>
        </w:rPr>
        <w:t>You are entitled to exercise your vote as a holder of an interest in the capital of the Company represented by ADSs if you or your brokerage firm, bank or nominee is registered as a holder of ADSs in the ADS register as of the ADS Record Date.</w:t>
      </w:r>
    </w:p>
    <w:p>
      <w:pPr>
        <w:spacing w:after="0" w:line="182" w:lineRule="exact"/>
        <w:rPr>
          <w:sz w:val="20"/>
          <w:szCs w:val="20"/>
          <w:color w:val="auto"/>
        </w:rPr>
      </w:pPr>
    </w:p>
    <w:p>
      <w:pPr>
        <w:ind w:left="400" w:right="539" w:firstLine="544"/>
        <w:spacing w:after="0" w:line="312" w:lineRule="auto"/>
        <w:rPr>
          <w:sz w:val="20"/>
          <w:szCs w:val="20"/>
          <w:color w:val="auto"/>
        </w:rPr>
      </w:pPr>
      <w:r>
        <w:rPr>
          <w:rFonts w:ascii="Times New Roman" w:cs="Times New Roman" w:eastAsia="Times New Roman" w:hAnsi="Times New Roman"/>
          <w:sz w:val="17"/>
          <w:szCs w:val="17"/>
          <w:color w:val="231F20"/>
        </w:rPr>
        <w:t>If you hold ADSs through a brokerage firm, bank or nominee on the ADS Record Date, the materials for ADS holders, including this proxy statement, the Annual Report on Form 10-K and the ADS proxy card, will be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right="579"/>
        <w:spacing w:after="0" w:line="282" w:lineRule="auto"/>
        <w:rPr>
          <w:sz w:val="20"/>
          <w:szCs w:val="20"/>
          <w:color w:val="auto"/>
        </w:rPr>
      </w:pPr>
      <w:r>
        <w:rPr>
          <w:rFonts w:ascii="Times New Roman" w:cs="Times New Roman" w:eastAsia="Times New Roman" w:hAnsi="Times New Roman"/>
          <w:sz w:val="18"/>
          <w:szCs w:val="18"/>
          <w:color w:val="231F20"/>
        </w:rPr>
        <w:t>sent to that organization. The organization holding your account is considered the ADS holder of record. Please reach out to that organization to provide your voting instructions.</w:t>
      </w:r>
    </w:p>
    <w:p>
      <w:pPr>
        <w:spacing w:after="0" w:line="225" w:lineRule="exact"/>
        <w:rPr>
          <w:sz w:val="20"/>
          <w:szCs w:val="20"/>
          <w:color w:val="auto"/>
        </w:rPr>
      </w:pPr>
    </w:p>
    <w:p>
      <w:pPr>
        <w:ind w:left="380" w:right="83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by no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later than 10:00 a.m. Eastern Time (3:00 p.m. British Summer Time) on Wednesday, May 7, 2025</w:t>
      </w:r>
      <w:r>
        <w:rPr>
          <w:rFonts w:ascii="Times New Roman" w:cs="Times New Roman" w:eastAsia="Times New Roman" w:hAnsi="Times New Roman"/>
          <w:sz w:val="18"/>
          <w:szCs w:val="18"/>
          <w:color w:val="231F20"/>
        </w:rPr>
        <w:t>.</w:t>
      </w:r>
    </w:p>
    <w:p>
      <w:pPr>
        <w:spacing w:after="0" w:line="186" w:lineRule="exact"/>
        <w:rPr>
          <w:sz w:val="20"/>
          <w:szCs w:val="20"/>
          <w:color w:val="auto"/>
        </w:rPr>
      </w:pPr>
    </w:p>
    <w:p>
      <w:pPr>
        <w:ind w:left="740" w:right="639"/>
        <w:spacing w:after="0" w:line="282" w:lineRule="auto"/>
        <w:rPr>
          <w:sz w:val="20"/>
          <w:szCs w:val="20"/>
          <w:color w:val="auto"/>
        </w:rPr>
      </w:pPr>
      <w:r>
        <w:rPr>
          <w:rFonts w:ascii="Times New Roman" w:cs="Times New Roman" w:eastAsia="Times New Roman" w:hAnsi="Times New Roman"/>
          <w:sz w:val="18"/>
          <w:szCs w:val="18"/>
          <w:color w:val="231F20"/>
        </w:rPr>
        <w:t>Citibank, N.A. will collate all votes properly submitted by ADS holders and submit a vote on behalf of all ADS holders.</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are the differences between ADS holders and ordinary shareholders?</w:t>
      </w:r>
    </w:p>
    <w:p>
      <w:pPr>
        <w:spacing w:after="0" w:line="148" w:lineRule="exact"/>
        <w:rPr>
          <w:sz w:val="20"/>
          <w:szCs w:val="20"/>
          <w:color w:val="auto"/>
        </w:rPr>
      </w:pPr>
    </w:p>
    <w:p>
      <w:pPr>
        <w:ind w:left="380" w:right="639" w:firstLine="360"/>
        <w:spacing w:after="0" w:line="266" w:lineRule="auto"/>
        <w:rPr>
          <w:sz w:val="20"/>
          <w:szCs w:val="20"/>
          <w:color w:val="auto"/>
        </w:rPr>
      </w:pPr>
      <w:r>
        <w:rPr>
          <w:rFonts w:ascii="Times New Roman" w:cs="Times New Roman" w:eastAsia="Times New Roman" w:hAnsi="Times New Roman"/>
          <w:sz w:val="18"/>
          <w:szCs w:val="18"/>
          <w:color w:val="231F20"/>
        </w:rPr>
        <w:t>We are requesting Citibank, N.A., which holds the ordinary shares represented by the ADSs, to seek ADS holders’ instructions for voting at the Meeting. As a result, ADS holders may instruct Citibank, N.A., as Depositary, to vote the ordinary shares represented by their ADSs.</w:t>
      </w:r>
    </w:p>
    <w:p>
      <w:pPr>
        <w:spacing w:after="0" w:line="203" w:lineRule="exact"/>
        <w:rPr>
          <w:sz w:val="20"/>
          <w:szCs w:val="20"/>
          <w:color w:val="auto"/>
        </w:rPr>
      </w:pPr>
    </w:p>
    <w:p>
      <w:pPr>
        <w:ind w:left="380" w:right="419" w:firstLine="360"/>
        <w:spacing w:after="0" w:line="253" w:lineRule="auto"/>
        <w:rPr>
          <w:sz w:val="20"/>
          <w:szCs w:val="20"/>
          <w:color w:val="auto"/>
        </w:rPr>
      </w:pPr>
      <w:r>
        <w:rPr>
          <w:rFonts w:ascii="Times New Roman" w:cs="Times New Roman" w:eastAsia="Times New Roman" w:hAnsi="Times New Roman"/>
          <w:sz w:val="18"/>
          <w:szCs w:val="18"/>
          <w:color w:val="231F20"/>
        </w:rPr>
        <w:t>Because we have asked Citibank, N.A. to seek the instructions of ADS holders, Citibank, N.A. will notify ADS holders of the upcoming vote and arrange to deliver the proxy materials to them. Citibank, N.A., as Depositary, then tries, as far as practicable, to vote the ordinary shares as our ADS holders instruct. We cannot guarantee that ADS holders will receive this proxy statement and the other proxy materials from Citibank, N.A. in time to permit them to instruct Citibank, N.A., as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ADS holders may not receive proxy materials about the AGM early enough to exchange their ADSs for ordinary shares. ADS holders are not required to be treated as holders of ordinary shares and do not have the rights of holders of ordinary shares.</w:t>
      </w:r>
    </w:p>
    <w:p>
      <w:pPr>
        <w:spacing w:after="0" w:line="3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the difference between a shareholder of record and a beneficial owner?</w:t>
      </w:r>
    </w:p>
    <w:p>
      <w:pPr>
        <w:spacing w:after="0" w:line="148" w:lineRule="exact"/>
        <w:rPr>
          <w:sz w:val="20"/>
          <w:szCs w:val="20"/>
          <w:color w:val="auto"/>
        </w:rPr>
      </w:pPr>
    </w:p>
    <w:p>
      <w:pPr>
        <w:ind w:left="380" w:right="379" w:firstLine="360"/>
        <w:spacing w:after="0" w:line="254" w:lineRule="auto"/>
        <w:rPr>
          <w:sz w:val="20"/>
          <w:szCs w:val="20"/>
          <w:color w:val="auto"/>
        </w:rPr>
      </w:pPr>
      <w:r>
        <w:rPr>
          <w:rFonts w:ascii="Times New Roman" w:cs="Times New Roman" w:eastAsia="Times New Roman" w:hAnsi="Times New Roman"/>
          <w:sz w:val="18"/>
          <w:szCs w:val="18"/>
          <w:color w:val="231F20"/>
        </w:rPr>
        <w:t>These terms describe how your ordinary shares are held. If your ordinary shares are registered directly in our register of members,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spacing w:after="0" w:line="3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Who do I contact regarding my ADS holdings?</w:t>
      </w:r>
    </w:p>
    <w:p>
      <w:pPr>
        <w:spacing w:after="0" w:line="148" w:lineRule="exact"/>
        <w:rPr>
          <w:sz w:val="20"/>
          <w:szCs w:val="20"/>
          <w:color w:val="auto"/>
        </w:rPr>
      </w:pPr>
    </w:p>
    <w:p>
      <w:pPr>
        <w:ind w:left="380" w:right="659" w:firstLine="360"/>
        <w:spacing w:after="0" w:line="261" w:lineRule="auto"/>
        <w:rPr>
          <w:sz w:val="20"/>
          <w:szCs w:val="20"/>
          <w:color w:val="auto"/>
        </w:rPr>
      </w:pPr>
      <w:r>
        <w:rPr>
          <w:rFonts w:ascii="Times New Roman" w:cs="Times New Roman" w:eastAsia="Times New Roman" w:hAnsi="Times New Roman"/>
          <w:sz w:val="18"/>
          <w:szCs w:val="18"/>
          <w:color w:val="231F20"/>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43077, Providence, RI 02940-3077.</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do I do if I have additional questions?</w:t>
      </w:r>
    </w:p>
    <w:p>
      <w:pPr>
        <w:spacing w:after="0" w:line="1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If at any point you require guidance, please contact Charles Sermon, Company Secretary, by email:</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231F20"/>
        </w:rPr>
        <w:t>legal@mereobiopharma.com, or telephone: +44 (0) 333 023 7300.</w:t>
      </w:r>
    </w:p>
    <w:p>
      <w:pPr>
        <w:spacing w:after="0" w:line="3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are the requirements to elect the directors and approve each of the proposals?</w:t>
      </w:r>
    </w:p>
    <w:p>
      <w:pPr>
        <w:spacing w:after="0" w:line="148" w:lineRule="exact"/>
        <w:rPr>
          <w:sz w:val="20"/>
          <w:szCs w:val="20"/>
          <w:color w:val="auto"/>
        </w:rPr>
      </w:pPr>
    </w:p>
    <w:p>
      <w:pPr>
        <w:ind w:left="380" w:right="659" w:firstLine="360"/>
        <w:spacing w:after="0" w:line="266" w:lineRule="auto"/>
        <w:rPr>
          <w:sz w:val="20"/>
          <w:szCs w:val="20"/>
          <w:color w:val="auto"/>
        </w:rPr>
      </w:pPr>
      <w:r>
        <w:rPr>
          <w:rFonts w:ascii="Times New Roman" w:cs="Times New Roman" w:eastAsia="Times New Roman" w:hAnsi="Times New Roman"/>
          <w:sz w:val="18"/>
          <w:szCs w:val="18"/>
          <w:color w:val="231F20"/>
        </w:rPr>
        <w:t>The proposed resolutions will be subject to vote on a poll. This results in a more accurate reflection of the views of shareholders ensuring that votes by proxy will be fully counted. On a poll, each shareholder has one vote for every share held.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3" w:name="page14"/>
    <w:bookmarkEnd w:id="1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80" w:right="779" w:firstLine="360"/>
        <w:spacing w:after="0" w:line="289" w:lineRule="auto"/>
        <w:rPr>
          <w:sz w:val="20"/>
          <w:szCs w:val="20"/>
          <w:color w:val="auto"/>
        </w:rPr>
      </w:pPr>
      <w:r>
        <w:rPr>
          <w:rFonts w:ascii="Times New Roman" w:cs="Times New Roman" w:eastAsia="Times New Roman" w:hAnsi="Times New Roman"/>
          <w:sz w:val="17"/>
          <w:szCs w:val="17"/>
          <w:color w:val="231F20"/>
        </w:rPr>
        <w:t>Proposals 1 through 9 will be proposed as ordinary resolutions. On a poll, assuming that a quorum is present, an ordinary resolution is passed on a show of hands if it is approved by a simple majority (more than 50%) of the votes cast by shareholders present (in person or by proxy) at the Meeting and entitled to vote.</w:t>
      </w:r>
    </w:p>
    <w:p>
      <w:pPr>
        <w:spacing w:after="0" w:line="289" w:lineRule="exact"/>
        <w:rPr>
          <w:sz w:val="20"/>
          <w:szCs w:val="20"/>
          <w:color w:val="auto"/>
        </w:rPr>
      </w:pPr>
    </w:p>
    <w:p>
      <w:pPr>
        <w:ind w:left="400" w:right="1199"/>
        <w:spacing w:after="0" w:line="286" w:lineRule="auto"/>
        <w:rPr>
          <w:sz w:val="20"/>
          <w:szCs w:val="20"/>
          <w:color w:val="auto"/>
        </w:rPr>
      </w:pPr>
      <w:r>
        <w:rPr>
          <w:rFonts w:ascii="Times New Roman" w:cs="Times New Roman" w:eastAsia="Times New Roman" w:hAnsi="Times New Roman"/>
          <w:sz w:val="18"/>
          <w:szCs w:val="18"/>
          <w:b w:val="1"/>
          <w:bCs w:val="1"/>
          <w:color w:val="231F20"/>
        </w:rPr>
        <w:t>What are the voting recommendations of our Board regarding the election of directors and other proposals?</w:t>
      </w:r>
    </w:p>
    <w:p>
      <w:pPr>
        <w:spacing w:after="0" w:line="64" w:lineRule="exact"/>
        <w:rPr>
          <w:sz w:val="20"/>
          <w:szCs w:val="20"/>
          <w:color w:val="auto"/>
        </w:rPr>
      </w:pPr>
    </w:p>
    <w:p>
      <w:pPr>
        <w:ind w:left="400" w:right="479" w:firstLine="360"/>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the items that will be brought for a vote of our shareholders at the Meeting, along with the Board’s voting recommendations.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Proposal</w:t>
            </w:r>
          </w:p>
        </w:tc>
        <w:tc>
          <w:tcPr>
            <w:tcW w:w="180" w:type="dxa"/>
            <w:vAlign w:val="bottom"/>
          </w:tcPr>
          <w:p>
            <w:pPr>
              <w:spacing w:after="0"/>
              <w:rPr>
                <w:sz w:val="13"/>
                <w:szCs w:val="13"/>
                <w:color w:val="auto"/>
              </w:rPr>
            </w:pPr>
          </w:p>
        </w:tc>
        <w:tc>
          <w:tcPr>
            <w:tcW w:w="5520" w:type="dxa"/>
            <w:vAlign w:val="bottom"/>
            <w:vMerge w:val="restart"/>
          </w:tcPr>
          <w:p>
            <w:pPr>
              <w:ind w:left="2100"/>
              <w:spacing w:after="0"/>
              <w:rPr>
                <w:sz w:val="20"/>
                <w:szCs w:val="20"/>
                <w:color w:val="auto"/>
              </w:rPr>
            </w:pPr>
            <w:r>
              <w:rPr>
                <w:rFonts w:ascii="Times New Roman" w:cs="Times New Roman" w:eastAsia="Times New Roman" w:hAnsi="Times New Roman"/>
                <w:sz w:val="14"/>
                <w:szCs w:val="14"/>
                <w:b w:val="1"/>
                <w:bCs w:val="1"/>
                <w:color w:val="231F20"/>
              </w:rPr>
              <w:t>Description of Proposal</w:t>
            </w:r>
          </w:p>
        </w:tc>
        <w:tc>
          <w:tcPr>
            <w:tcW w:w="7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Board’s</w:t>
            </w: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5520" w:type="dxa"/>
            <w:vAlign w:val="bottom"/>
            <w:tcBorders>
              <w:bottom w:val="single" w:sz="8" w:color="auto"/>
            </w:tcBorders>
            <w:vMerge w:val="continue"/>
          </w:tcPr>
          <w:p>
            <w:pPr>
              <w:spacing w:after="0"/>
              <w:rPr>
                <w:sz w:val="15"/>
                <w:szCs w:val="15"/>
                <w:color w:val="auto"/>
              </w:rPr>
            </w:pPr>
          </w:p>
        </w:tc>
        <w:tc>
          <w:tcPr>
            <w:tcW w:w="760" w:type="dxa"/>
            <w:vAlign w:val="bottom"/>
          </w:tcPr>
          <w:p>
            <w:pPr>
              <w:spacing w:after="0"/>
              <w:rPr>
                <w:sz w:val="15"/>
                <w:szCs w:val="15"/>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231F20"/>
              </w:rPr>
              <w:t>Recommendation</w:t>
            </w:r>
          </w:p>
        </w:tc>
        <w:tc>
          <w:tcPr>
            <w:tcW w:w="0" w:type="dxa"/>
            <w:vAlign w:val="bottom"/>
          </w:tcPr>
          <w:p>
            <w:pPr>
              <w:spacing w:after="0"/>
              <w:rPr>
                <w:sz w:val="1"/>
                <w:szCs w:val="1"/>
                <w:color w:val="auto"/>
              </w:rPr>
            </w:pPr>
          </w:p>
        </w:tc>
      </w:tr>
      <w:tr>
        <w:trPr>
          <w:trHeight w:val="299"/>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receive and adopt the U.K. statutory annual report and accounts for the</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Re-appointment of PricewaterhouseCoopers LLP as the Company’s</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auditors, to hold office until the conclusion of the next annual general</w:t>
            </w: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 of shareholders at which the Company’s annual report and</w:t>
            </w: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are presented</w:t>
            </w: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Authorization of the Audit and Risk Committee to determine PwC’s</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w:t>
            </w: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our U.K. directors’ remuneration report (excluding the</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remuneration policy), as set out in the Company’s annual report</w:t>
            </w: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accounts for the year ended December 31, 2024, on an advisory (non-</w:t>
            </w: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binding) basis</w:t>
            </w: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the compensation of the Company’s named executive officers,</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an advisory (non-binding) basis</w:t>
            </w: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the frequency of future advisory votes on the compensation of</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YEARS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named executive officers, on an advisory (non-binding)</w:t>
            </w:r>
          </w:p>
        </w:tc>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w:t>
            </w:r>
          </w:p>
        </w:tc>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Re-appointment of Dr. Deepika Pakianathan as a director</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432"/>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Re-appointment of Dr. Pierre Jacquet as a director</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432"/>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Re-appointment of Michael Wyzga as a director</w:t>
            </w:r>
          </w:p>
        </w:tc>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What constitutes a quorum?</w:t>
      </w:r>
    </w:p>
    <w:p>
      <w:pPr>
        <w:spacing w:after="0" w:line="148" w:lineRule="exact"/>
        <w:rPr>
          <w:sz w:val="20"/>
          <w:szCs w:val="20"/>
          <w:color w:val="auto"/>
        </w:rPr>
      </w:pPr>
    </w:p>
    <w:p>
      <w:pPr>
        <w:ind w:left="400" w:right="439" w:firstLine="360"/>
        <w:spacing w:after="0" w:line="253" w:lineRule="auto"/>
        <w:rPr>
          <w:sz w:val="20"/>
          <w:szCs w:val="20"/>
          <w:color w:val="auto"/>
        </w:rPr>
      </w:pPr>
      <w:r>
        <w:rPr>
          <w:rFonts w:ascii="Times New Roman" w:cs="Times New Roman" w:eastAsia="Times New Roman" w:hAnsi="Times New Roman"/>
          <w:sz w:val="18"/>
          <w:szCs w:val="18"/>
          <w:color w:val="231F20"/>
        </w:rPr>
        <w:t>For the purposes of the Meeting, the quorum requirement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 cent. of the Company’s issued and outstanding ordinary shares must be present at such meeting, whether represented in person (including, in the case of a corporate member, by a duly authorized representative) or by a duly appointed proxy. If you are an ordinary shareholder of record, your shares will be counted towards the quorum only if you are present in person or represented by proxy at the Meeting. If you are a beneficial owner of ordinary shares 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4" w:name="page15"/>
    <w:bookmarkEnd w:id="1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459"/>
        <w:spacing w:after="0" w:line="282" w:lineRule="auto"/>
        <w:rPr>
          <w:sz w:val="20"/>
          <w:szCs w:val="20"/>
          <w:color w:val="auto"/>
        </w:rPr>
      </w:pPr>
      <w:r>
        <w:rPr>
          <w:rFonts w:ascii="Times New Roman" w:cs="Times New Roman" w:eastAsia="Times New Roman" w:hAnsi="Times New Roman"/>
          <w:sz w:val="18"/>
          <w:szCs w:val="18"/>
          <w:color w:val="231F20"/>
        </w:rPr>
        <w:t>vote as he or she sees fit or abstain in relation to any business of the Meeting, but the member represented by that proxy at the Meeting will be counted towards the quorum requirement.</w:t>
      </w:r>
    </w:p>
    <w:p>
      <w:pPr>
        <w:spacing w:after="0" w:line="229" w:lineRule="exact"/>
        <w:rPr>
          <w:sz w:val="20"/>
          <w:szCs w:val="20"/>
          <w:color w:val="auto"/>
        </w:rPr>
      </w:pPr>
    </w:p>
    <w:p>
      <w:pPr>
        <w:ind w:left="380" w:right="1259" w:firstLine="360"/>
        <w:spacing w:after="0" w:line="282" w:lineRule="auto"/>
        <w:rPr>
          <w:sz w:val="20"/>
          <w:szCs w:val="20"/>
          <w:color w:val="auto"/>
        </w:rPr>
      </w:pPr>
      <w:r>
        <w:rPr>
          <w:rFonts w:ascii="Times New Roman" w:cs="Times New Roman" w:eastAsia="Times New Roman" w:hAnsi="Times New Roman"/>
          <w:sz w:val="18"/>
          <w:szCs w:val="18"/>
          <w:color w:val="231F20"/>
        </w:rPr>
        <w:t>Where Citibank N.A. submits votes on behalf of any ADS holders, the number of ordinary shares represented by the ADSs held by the relevant ADS holders will count towards the quorum.</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do I vote my shares?</w:t>
      </w:r>
    </w:p>
    <w:p>
      <w:pPr>
        <w:spacing w:after="0" w:line="135" w:lineRule="exact"/>
        <w:rPr>
          <w:sz w:val="20"/>
          <w:szCs w:val="20"/>
          <w:color w:val="auto"/>
        </w:rPr>
      </w:pPr>
    </w:p>
    <w:p>
      <w:pPr>
        <w:ind w:left="380" w:right="719" w:firstLine="360"/>
        <w:spacing w:after="0" w:line="282" w:lineRule="auto"/>
        <w:rPr>
          <w:sz w:val="20"/>
          <w:szCs w:val="20"/>
          <w:color w:val="auto"/>
        </w:rPr>
      </w:pPr>
      <w:r>
        <w:rPr>
          <w:rFonts w:ascii="Times New Roman" w:cs="Times New Roman" w:eastAsia="Times New Roman" w:hAnsi="Times New Roman"/>
          <w:sz w:val="18"/>
          <w:szCs w:val="18"/>
          <w:color w:val="231F20"/>
        </w:rPr>
        <w:t>You may vote “for” or “against” or abstain from voting on the applicable resolutions. The procedures for voting are as follows:</w:t>
      </w:r>
    </w:p>
    <w:p>
      <w:pPr>
        <w:spacing w:after="0" w:line="3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31F20"/>
        </w:rPr>
        <w:t>Ordinary shareholders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If you are an ordinary shareholder of record, you may appoint a proxy to vote on your behalf:</w:t>
      </w:r>
    </w:p>
    <w:p>
      <w:pPr>
        <w:spacing w:after="0" w:line="252" w:lineRule="exact"/>
        <w:rPr>
          <w:sz w:val="20"/>
          <w:szCs w:val="20"/>
          <w:color w:val="auto"/>
        </w:rPr>
      </w:pPr>
    </w:p>
    <w:p>
      <w:pPr>
        <w:ind w:left="1180" w:right="519" w:hanging="448"/>
        <w:spacing w:after="0" w:line="312" w:lineRule="auto"/>
        <w:tabs>
          <w:tab w:leader="none" w:pos="1180" w:val="left"/>
        </w:tabs>
        <w:numPr>
          <w:ilvl w:val="0"/>
          <w:numId w:val="2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submitting your proxy electronically using the Investor Centre app or at https://uk.investorcentre.mpms.mufg.com/ (see instructions in the explanatory notes to the Notice); or</w:t>
      </w:r>
    </w:p>
    <w:p>
      <w:pPr>
        <w:spacing w:after="0" w:line="139" w:lineRule="exact"/>
        <w:rPr>
          <w:rFonts w:ascii="Times New Roman" w:cs="Times New Roman" w:eastAsia="Times New Roman" w:hAnsi="Times New Roman"/>
          <w:sz w:val="17"/>
          <w:szCs w:val="17"/>
          <w:color w:val="231F20"/>
        </w:rPr>
      </w:pPr>
    </w:p>
    <w:p>
      <w:pPr>
        <w:ind w:left="1180" w:right="319" w:hanging="448"/>
        <w:spacing w:after="0" w:line="282" w:lineRule="auto"/>
        <w:tabs>
          <w:tab w:leader="none" w:pos="11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By completing and signing the form of proxy and returning it in accordance with the instructions printed thereon;</w:t>
      </w:r>
    </w:p>
    <w:p>
      <w:pPr>
        <w:spacing w:after="0" w:line="161" w:lineRule="exact"/>
        <w:rPr>
          <w:rFonts w:ascii="Times New Roman" w:cs="Times New Roman" w:eastAsia="Times New Roman" w:hAnsi="Times New Roman"/>
          <w:sz w:val="18"/>
          <w:szCs w:val="18"/>
          <w:color w:val="231F20"/>
        </w:rPr>
      </w:pPr>
    </w:p>
    <w:p>
      <w:pPr>
        <w:ind w:left="1180" w:right="919" w:hanging="448"/>
        <w:spacing w:after="0" w:line="282" w:lineRule="auto"/>
        <w:tabs>
          <w:tab w:leader="none" w:pos="11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CREST members, by appointing a proxy by using the CREST electronic proxy appointment service; or</w:t>
      </w:r>
    </w:p>
    <w:p>
      <w:pPr>
        <w:spacing w:after="0" w:line="161" w:lineRule="exact"/>
        <w:rPr>
          <w:rFonts w:ascii="Times New Roman" w:cs="Times New Roman" w:eastAsia="Times New Roman" w:hAnsi="Times New Roman"/>
          <w:sz w:val="18"/>
          <w:szCs w:val="18"/>
          <w:color w:val="231F20"/>
        </w:rPr>
      </w:pPr>
    </w:p>
    <w:p>
      <w:pPr>
        <w:ind w:left="1180" w:right="919" w:hanging="448"/>
        <w:spacing w:after="0" w:line="282" w:lineRule="auto"/>
        <w:tabs>
          <w:tab w:leader="none" w:pos="118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you are an institutional investor you may also be able to appoint a proxy electronically via the Proxymity platform.</w:t>
      </w:r>
    </w:p>
    <w:p>
      <w:pPr>
        <w:spacing w:after="0" w:line="171" w:lineRule="exact"/>
        <w:rPr>
          <w:sz w:val="20"/>
          <w:szCs w:val="20"/>
          <w:color w:val="auto"/>
        </w:rPr>
      </w:pPr>
    </w:p>
    <w:p>
      <w:pPr>
        <w:ind w:left="380" w:right="55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All proxies (however submitted) must be received by our registrar (MUFG Corporate Markets) </w:t>
      </w:r>
      <w:r>
        <w:rPr>
          <w:rFonts w:ascii="Times New Roman" w:cs="Times New Roman" w:eastAsia="Times New Roman" w:hAnsi="Times New Roman"/>
          <w:sz w:val="18"/>
          <w:szCs w:val="18"/>
          <w:b w:val="1"/>
          <w:bCs w:val="1"/>
          <w:color w:val="231F20"/>
        </w:rPr>
        <w:t>by no later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than 2:00 p.m. (British Summer time) (9:00 a.m. Eastern Time) on Friday, May 9, 2025.</w:t>
      </w:r>
    </w:p>
    <w:p>
      <w:pPr>
        <w:spacing w:after="0" w:line="172" w:lineRule="exact"/>
        <w:rPr>
          <w:sz w:val="20"/>
          <w:szCs w:val="20"/>
          <w:color w:val="auto"/>
        </w:rPr>
      </w:pPr>
    </w:p>
    <w:p>
      <w:pPr>
        <w:ind w:left="380" w:right="579" w:firstLine="360"/>
        <w:spacing w:after="0" w:line="261" w:lineRule="auto"/>
        <w:rPr>
          <w:sz w:val="20"/>
          <w:szCs w:val="20"/>
          <w:color w:val="auto"/>
        </w:rPr>
      </w:pPr>
      <w:r>
        <w:rPr>
          <w:rFonts w:ascii="Times New Roman" w:cs="Times New Roman" w:eastAsia="Times New Roman" w:hAnsi="Times New Roman"/>
          <w:sz w:val="18"/>
          <w:szCs w:val="18"/>
          <w:color w:val="231F20"/>
        </w:rPr>
        <w:t>If you properly give instructions as to your proxy appointment by executing and returning a form of proxy, or by submitting your proxy online or CREST or Proxymity, and your proxy appointment is not subsequently revoked, your shares will be voted by the attendance of your proxy at the Meeting and your proxy voting in accordance with your instructions.</w:t>
      </w:r>
    </w:p>
    <w:p>
      <w:pPr>
        <w:spacing w:after="0" w:line="193" w:lineRule="exact"/>
        <w:rPr>
          <w:sz w:val="20"/>
          <w:szCs w:val="20"/>
          <w:color w:val="auto"/>
        </w:rPr>
      </w:pPr>
    </w:p>
    <w:p>
      <w:pPr>
        <w:jc w:val="both"/>
        <w:ind w:left="380" w:right="579" w:firstLine="360"/>
        <w:spacing w:after="0" w:line="282" w:lineRule="auto"/>
        <w:rPr>
          <w:sz w:val="20"/>
          <w:szCs w:val="20"/>
          <w:color w:val="auto"/>
        </w:rPr>
      </w:pPr>
      <w:r>
        <w:rPr>
          <w:rFonts w:ascii="Times New Roman" w:cs="Times New Roman" w:eastAsia="Times New Roman" w:hAnsi="Times New Roman"/>
          <w:sz w:val="18"/>
          <w:szCs w:val="18"/>
          <w:color w:val="231F20"/>
        </w:rPr>
        <w:t>If your ordinary shares are held in an account at a brokerage firm, bank or similar organization, you should follow directions provided by your broker, bank or other nominee.</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231F20"/>
        </w:rPr>
        <w:t>Holders of American Depositary Shares</w:t>
      </w:r>
    </w:p>
    <w:p>
      <w:pPr>
        <w:spacing w:after="0" w:line="135" w:lineRule="exact"/>
        <w:rPr>
          <w:sz w:val="20"/>
          <w:szCs w:val="20"/>
          <w:color w:val="auto"/>
        </w:rPr>
      </w:pPr>
    </w:p>
    <w:p>
      <w:pPr>
        <w:jc w:val="both"/>
        <w:ind w:left="380" w:right="59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record of ADSs, you can return your executed ADS proxy card to Citibank, N.A. for tabulation. If you hold your ADSs through a broker, bank or other organization, that organization can return the ADS proxy card to Citibank, N.A. following your instruction. Citibank, N.A. will submit your votes to MUFG Corporate Markets for tabulation.</w:t>
      </w:r>
    </w:p>
    <w:p>
      <w:pPr>
        <w:spacing w:after="0" w:line="189" w:lineRule="exact"/>
        <w:rPr>
          <w:sz w:val="20"/>
          <w:szCs w:val="20"/>
          <w:color w:val="auto"/>
        </w:rPr>
      </w:pPr>
    </w:p>
    <w:p>
      <w:pPr>
        <w:ind w:left="380" w:right="659" w:firstLine="360"/>
        <w:spacing w:after="0" w:line="286" w:lineRule="auto"/>
        <w:rPr>
          <w:sz w:val="20"/>
          <w:szCs w:val="20"/>
          <w:color w:val="auto"/>
        </w:rPr>
      </w:pPr>
      <w:r>
        <w:rPr>
          <w:rFonts w:ascii="Times New Roman" w:cs="Times New Roman" w:eastAsia="Times New Roman" w:hAnsi="Times New Roman"/>
          <w:sz w:val="18"/>
          <w:szCs w:val="18"/>
          <w:color w:val="231F20"/>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231F20"/>
        </w:rPr>
        <w:t>no later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than 10:00 a.m. Eastern Time- (3:00 p.m. British Summer Time) on Wednesday, May 7, 2025</w:t>
      </w:r>
      <w:r>
        <w:rPr>
          <w:rFonts w:ascii="Times New Roman" w:cs="Times New Roman" w:eastAsia="Times New Roman" w:hAnsi="Times New Roman"/>
          <w:sz w:val="18"/>
          <w:szCs w:val="18"/>
          <w:color w:val="231F20"/>
        </w:rPr>
        <w:t>.</w:t>
      </w:r>
    </w:p>
    <w:p>
      <w:pPr>
        <w:spacing w:after="0" w:line="2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will my shares be voted if I do not specify how they should be voted?</w:t>
      </w:r>
    </w:p>
    <w:p>
      <w:pPr>
        <w:spacing w:after="0" w:line="148" w:lineRule="exact"/>
        <w:rPr>
          <w:sz w:val="20"/>
          <w:szCs w:val="20"/>
          <w:color w:val="auto"/>
        </w:rPr>
      </w:pPr>
    </w:p>
    <w:p>
      <w:pPr>
        <w:ind w:left="380" w:right="499" w:firstLine="360"/>
        <w:spacing w:after="0" w:line="266" w:lineRule="auto"/>
        <w:rPr>
          <w:sz w:val="20"/>
          <w:szCs w:val="20"/>
          <w:color w:val="auto"/>
        </w:rPr>
      </w:pPr>
      <w:r>
        <w:rPr>
          <w:rFonts w:ascii="Times New Roman" w:cs="Times New Roman" w:eastAsia="Times New Roman" w:hAnsi="Times New Roman"/>
          <w:sz w:val="18"/>
          <w:szCs w:val="18"/>
          <w:color w:val="231F20"/>
        </w:rPr>
        <w:t>If you are an ordinary shareholder and you sign and send your form of proxy but do not indicate how you want your shares to be voted, your shares may be voted by the person that you appoint as your proxy as he or she sees fit or such person may abstain in relation to any business of the Meeting.</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5" w:name="page16"/>
    <w:bookmarkEnd w:id="1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right="499" w:firstLine="360"/>
        <w:spacing w:after="0" w:line="255" w:lineRule="auto"/>
        <w:rPr>
          <w:sz w:val="20"/>
          <w:szCs w:val="20"/>
          <w:color w:val="auto"/>
        </w:rPr>
      </w:pPr>
      <w:r>
        <w:rPr>
          <w:rFonts w:ascii="Times New Roman" w:cs="Times New Roman" w:eastAsia="Times New Roman" w:hAnsi="Times New Roman"/>
          <w:sz w:val="18"/>
          <w:szCs w:val="18"/>
          <w:color w:val="231F20"/>
        </w:rPr>
        <w:t>If a holder of ADSs does not submit an ADS proxy card to Citibank, N.A. by the deadline specified, the ADS holder shall be deemed to have instructed Citibank, N.A. to give a discretionary proxy to a person designated by us to vote the ordinary shares represented by his or her ADSs (provided that no such discretionary proxy shall be given if we inform Citibank, N.A. that we do not want such proxy to be given, substantial opposition exists or the rights of ADS holders may be adversely affected). If the ADS proxy card is signed but is missing voting instructions with respect to any resolution, then Citibank, N.A. will deem the ADS holder to have instructed it to vote in favor of such unvoted resolution(s).</w:t>
      </w:r>
    </w:p>
    <w:p>
      <w:pPr>
        <w:spacing w:after="0" w:line="3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Can I change my vote or revoke a proxy?</w:t>
      </w:r>
    </w:p>
    <w:p>
      <w:pPr>
        <w:spacing w:after="0" w:line="148" w:lineRule="exact"/>
        <w:rPr>
          <w:sz w:val="20"/>
          <w:szCs w:val="20"/>
          <w:color w:val="auto"/>
        </w:rPr>
      </w:pPr>
    </w:p>
    <w:p>
      <w:pPr>
        <w:ind w:left="380" w:right="499" w:firstLine="360"/>
        <w:spacing w:after="0" w:line="282" w:lineRule="auto"/>
        <w:rPr>
          <w:sz w:val="20"/>
          <w:szCs w:val="20"/>
          <w:color w:val="auto"/>
        </w:rPr>
      </w:pPr>
      <w:r>
        <w:rPr>
          <w:rFonts w:ascii="Times New Roman" w:cs="Times New Roman" w:eastAsia="Times New Roman" w:hAnsi="Times New Roman"/>
          <w:sz w:val="18"/>
          <w:szCs w:val="18"/>
          <w:color w:val="231F20"/>
        </w:rPr>
        <w:t>To change your proxy instructions simply submit a new proxy appointment using the methods set out above prior to the relevant deadline or attend the Meeting and vote in-person.</w:t>
      </w:r>
    </w:p>
    <w:p>
      <w:pPr>
        <w:spacing w:after="0" w:line="202" w:lineRule="exact"/>
        <w:rPr>
          <w:sz w:val="20"/>
          <w:szCs w:val="20"/>
          <w:color w:val="auto"/>
        </w:rPr>
      </w:pPr>
    </w:p>
    <w:p>
      <w:pPr>
        <w:ind w:left="380" w:right="459" w:firstLine="360"/>
        <w:spacing w:after="0" w:line="258" w:lineRule="auto"/>
        <w:rPr>
          <w:sz w:val="20"/>
          <w:szCs w:val="20"/>
          <w:color w:val="auto"/>
        </w:rPr>
      </w:pPr>
      <w:r>
        <w:rPr>
          <w:rFonts w:ascii="Times New Roman" w:cs="Times New Roman" w:eastAsia="Times New Roman" w:hAnsi="Times New Roman"/>
          <w:sz w:val="18"/>
          <w:szCs w:val="18"/>
          <w:color w:val="231F20"/>
        </w:rPr>
        <w:t>In order to revoke a proxy instruction, you will need to inform the Company by sending a signed hard copy notice clearly stating your intention to revoke your proxy appointment to MUFG Corporate Markets, at MUFG Corporate Markets, PXS1, Central Square, 29 Wellington Street, Leeds LS1 4DL, United Kingdom. The revocation notice, together with the accompanying material set out in the notes to the Notice, must be received by MUFG Corporate Markets no later than 48 hours before the meeting.</w:t>
      </w:r>
    </w:p>
    <w:p>
      <w:pPr>
        <w:spacing w:after="0" w:line="224" w:lineRule="exact"/>
        <w:rPr>
          <w:sz w:val="20"/>
          <w:szCs w:val="20"/>
          <w:color w:val="auto"/>
        </w:rPr>
      </w:pPr>
    </w:p>
    <w:p>
      <w:pPr>
        <w:jc w:val="both"/>
        <w:ind w:left="380" w:right="719" w:firstLine="360"/>
        <w:spacing w:after="0" w:line="282" w:lineRule="auto"/>
        <w:rPr>
          <w:sz w:val="20"/>
          <w:szCs w:val="20"/>
          <w:color w:val="auto"/>
        </w:rPr>
      </w:pPr>
      <w:r>
        <w:rPr>
          <w:rFonts w:ascii="Times New Roman" w:cs="Times New Roman" w:eastAsia="Times New Roman" w:hAnsi="Times New Roman"/>
          <w:sz w:val="18"/>
          <w:szCs w:val="18"/>
          <w:color w:val="231F20"/>
        </w:rPr>
        <w:t>If your ordinary shares are held in an account at a brokerage firm, bank or similar organization, you may change or revoke your voting instructions by contacting the broker, bank or other nominee holding the shares.</w:t>
      </w:r>
    </w:p>
    <w:p>
      <w:pPr>
        <w:spacing w:after="0" w:line="202" w:lineRule="exact"/>
        <w:rPr>
          <w:sz w:val="20"/>
          <w:szCs w:val="20"/>
          <w:color w:val="auto"/>
        </w:rPr>
      </w:pPr>
    </w:p>
    <w:p>
      <w:pPr>
        <w:ind w:left="380" w:right="47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directly or through a broker, bank or other nominee, you must follow the instructions provided by Citibank, N.A. or such broker, bank or other nominee if you wish to change your vote. The last instructions you submit prior to the deadline indicated by Citibank, N.A. or the broker, bank or other nominee, as applicable, will be used to instruct Citibank, N.A. how to vote your ADSs.</w:t>
      </w:r>
    </w:p>
    <w:p>
      <w:pPr>
        <w:spacing w:after="0" w:line="3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Who counts the votes?</w:t>
      </w:r>
    </w:p>
    <w:p>
      <w:pPr>
        <w:spacing w:after="0" w:line="148" w:lineRule="exact"/>
        <w:rPr>
          <w:sz w:val="20"/>
          <w:szCs w:val="20"/>
          <w:color w:val="auto"/>
        </w:rPr>
      </w:pPr>
    </w:p>
    <w:p>
      <w:pPr>
        <w:jc w:val="both"/>
        <w:ind w:left="380" w:right="399" w:firstLine="360"/>
        <w:spacing w:after="0" w:line="261" w:lineRule="auto"/>
        <w:rPr>
          <w:sz w:val="20"/>
          <w:szCs w:val="20"/>
          <w:color w:val="auto"/>
        </w:rPr>
      </w:pPr>
      <w:r>
        <w:rPr>
          <w:rFonts w:ascii="Times New Roman" w:cs="Times New Roman" w:eastAsia="Times New Roman" w:hAnsi="Times New Roman"/>
          <w:sz w:val="18"/>
          <w:szCs w:val="18"/>
          <w:color w:val="231F20"/>
        </w:rPr>
        <w:t>MUFG Corporate Markets has been engaged as our independent agent to tabulate shareholder votes. If you are an ordinary shareholder of record, you may submit your proxy to MUFG Corporate Markets online, via CREST, via Proxymity, or return the form of proxy to MUFG Corporate Markets prior to the relevant deadline above.</w:t>
      </w:r>
    </w:p>
    <w:p>
      <w:pPr>
        <w:spacing w:after="0" w:line="180" w:lineRule="exact"/>
        <w:rPr>
          <w:sz w:val="20"/>
          <w:szCs w:val="20"/>
          <w:color w:val="auto"/>
        </w:rPr>
      </w:pPr>
    </w:p>
    <w:p>
      <w:pPr>
        <w:jc w:val="both"/>
        <w:ind w:left="380" w:right="399" w:firstLine="360"/>
        <w:spacing w:after="0" w:line="266" w:lineRule="auto"/>
        <w:rPr>
          <w:sz w:val="20"/>
          <w:szCs w:val="20"/>
          <w:color w:val="auto"/>
        </w:rPr>
      </w:pPr>
      <w:r>
        <w:rPr>
          <w:rFonts w:ascii="Times New Roman" w:cs="Times New Roman" w:eastAsia="Times New Roman" w:hAnsi="Times New Roman"/>
          <w:sz w:val="18"/>
          <w:szCs w:val="18"/>
          <w:color w:val="231F20"/>
        </w:rPr>
        <w:t>If you hold your ordinary shares through a broker, your broker will directly submit your proxy to MUFG Corporate Markets online, via CREST, via Proxymity, or return the form of proxy to MUFG Corporate Markets prior to the relevant deadline above.</w:t>
      </w:r>
    </w:p>
    <w:p>
      <w:pPr>
        <w:spacing w:after="0" w:line="230" w:lineRule="exact"/>
        <w:rPr>
          <w:sz w:val="20"/>
          <w:szCs w:val="20"/>
          <w:color w:val="auto"/>
        </w:rPr>
      </w:pPr>
    </w:p>
    <w:p>
      <w:pPr>
        <w:ind w:left="380" w:right="439" w:firstLine="360"/>
        <w:spacing w:after="0" w:line="261" w:lineRule="auto"/>
        <w:rPr>
          <w:sz w:val="20"/>
          <w:szCs w:val="20"/>
          <w:color w:val="auto"/>
        </w:rPr>
      </w:pPr>
      <w:r>
        <w:rPr>
          <w:rFonts w:ascii="Times New Roman" w:cs="Times New Roman" w:eastAsia="Times New Roman" w:hAnsi="Times New Roman"/>
          <w:sz w:val="18"/>
          <w:szCs w:val="18"/>
          <w:color w:val="231F20"/>
        </w:rPr>
        <w:t>If you are a holder of record of ADSs, you can return your executed ADS proxy card to Citibank, N.A. prior to the relevant deadline above for tabulation. If you hold your ADSs through a broker, bank or other organization, that organization can return the ADS proxy card to Citibank, N.A. prior to such deadline following your instruction. Citibank, N.A. will submit your votes to MUFG Corporate Markets for tabulation.</w:t>
      </w: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are votes counted?</w:t>
      </w:r>
    </w:p>
    <w:p>
      <w:pPr>
        <w:spacing w:after="0" w:line="148" w:lineRule="exact"/>
        <w:rPr>
          <w:sz w:val="20"/>
          <w:szCs w:val="20"/>
          <w:color w:val="auto"/>
        </w:rPr>
      </w:pPr>
    </w:p>
    <w:p>
      <w:pPr>
        <w:jc w:val="both"/>
        <w:ind w:left="380" w:right="799" w:firstLine="360"/>
        <w:spacing w:after="0" w:line="266" w:lineRule="auto"/>
        <w:rPr>
          <w:sz w:val="20"/>
          <w:szCs w:val="20"/>
          <w:color w:val="auto"/>
        </w:rPr>
      </w:pPr>
      <w:r>
        <w:rPr>
          <w:rFonts w:ascii="Times New Roman" w:cs="Times New Roman" w:eastAsia="Times New Roman" w:hAnsi="Times New Roman"/>
          <w:sz w:val="18"/>
          <w:szCs w:val="18"/>
          <w:color w:val="231F20"/>
        </w:rPr>
        <w:t>Votes will be counted by MUFG Corporate Markets, who will separately count “for” and “against” votes, and “votes withheld” or abstentions. A “vote withheld” or abstention is not a vote in law and will not be counted in the calculation of the votes “for” and “against” a resolution.</w:t>
      </w:r>
    </w:p>
    <w:p>
      <w:pPr>
        <w:spacing w:after="0" w:line="3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many votes do I have?</w:t>
      </w:r>
    </w:p>
    <w:p>
      <w:pPr>
        <w:spacing w:after="0" w:line="162" w:lineRule="exact"/>
        <w:rPr>
          <w:sz w:val="20"/>
          <w:szCs w:val="20"/>
          <w:color w:val="auto"/>
        </w:rPr>
      </w:pPr>
    </w:p>
    <w:p>
      <w:pPr>
        <w:ind w:left="380" w:right="859" w:firstLine="360"/>
        <w:spacing w:after="0" w:line="282" w:lineRule="auto"/>
        <w:rPr>
          <w:sz w:val="20"/>
          <w:szCs w:val="20"/>
          <w:color w:val="auto"/>
        </w:rPr>
      </w:pPr>
      <w:r>
        <w:rPr>
          <w:rFonts w:ascii="Times New Roman" w:cs="Times New Roman" w:eastAsia="Times New Roman" w:hAnsi="Times New Roman"/>
          <w:sz w:val="18"/>
          <w:szCs w:val="18"/>
          <w:color w:val="231F20"/>
        </w:rPr>
        <w:t>On a poll, each shareholder present in person or by proxy or (being a corporation) by a duly authorized representative has one vote for each share held by the shareholder.</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6" w:name="page17"/>
    <w:bookmarkEnd w:id="1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about joint holders?</w:t>
      </w:r>
    </w:p>
    <w:p>
      <w:pPr>
        <w:spacing w:after="0" w:line="148" w:lineRule="exact"/>
        <w:rPr>
          <w:sz w:val="20"/>
          <w:szCs w:val="20"/>
          <w:color w:val="auto"/>
        </w:rPr>
      </w:pPr>
    </w:p>
    <w:p>
      <w:pPr>
        <w:ind w:left="300" w:right="519" w:firstLine="450"/>
        <w:spacing w:after="0" w:line="266" w:lineRule="auto"/>
        <w:rPr>
          <w:sz w:val="20"/>
          <w:szCs w:val="20"/>
          <w:color w:val="auto"/>
        </w:rPr>
      </w:pPr>
      <w:r>
        <w:rPr>
          <w:rFonts w:ascii="Times New Roman" w:cs="Times New Roman" w:eastAsia="Times New Roman" w:hAnsi="Times New Roman"/>
          <w:sz w:val="18"/>
          <w:szCs w:val="18"/>
          <w:color w:val="231F20"/>
        </w:rPr>
        <w:t>In the case of joint holders of record of an ordinary share, the vote of the senior holder who tenders the vote (whether in person or by proxy) will be accepted to the exclusion of the votes of any other joint holders. For these purposes, seniority shall be determined by the order in which the names stand in the register of members of the company in respect of the joint holding (with the first named being the most senior).</w:t>
      </w: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if I plan to attend the Meeting?</w:t>
      </w:r>
    </w:p>
    <w:p>
      <w:pPr>
        <w:spacing w:after="0" w:line="144" w:lineRule="exact"/>
        <w:rPr>
          <w:sz w:val="20"/>
          <w:szCs w:val="20"/>
          <w:color w:val="auto"/>
        </w:rPr>
      </w:pPr>
    </w:p>
    <w:p>
      <w:pPr>
        <w:jc w:val="both"/>
        <w:ind w:left="380" w:right="959" w:firstLine="360"/>
        <w:spacing w:after="0" w:line="262" w:lineRule="auto"/>
        <w:rPr>
          <w:sz w:val="20"/>
          <w:szCs w:val="20"/>
          <w:color w:val="auto"/>
        </w:rPr>
      </w:pPr>
      <w:r>
        <w:rPr>
          <w:rFonts w:ascii="Times New Roman" w:cs="Times New Roman" w:eastAsia="Times New Roman" w:hAnsi="Times New Roman"/>
          <w:sz w:val="18"/>
          <w:szCs w:val="18"/>
          <w:color w:val="231F20"/>
        </w:rPr>
        <w:t xml:space="preserve">Attendance at the Meeting will be limited to ordinary shareholders of record </w:t>
      </w:r>
      <w:r>
        <w:rPr>
          <w:rFonts w:ascii="Times New Roman" w:cs="Times New Roman" w:eastAsia="Times New Roman" w:hAnsi="Times New Roman"/>
          <w:sz w:val="18"/>
          <w:szCs w:val="18"/>
          <w:b w:val="1"/>
          <w:bCs w:val="1"/>
          <w:color w:val="231F20"/>
        </w:rPr>
        <w:t>as of 6:00 p.m. (British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Summer Time) (1:00 p.m. Eastern Time) on Friday, May 9, 2025</w:t>
      </w:r>
      <w:r>
        <w:rPr>
          <w:rFonts w:ascii="Times New Roman" w:cs="Times New Roman" w:eastAsia="Times New Roman" w:hAnsi="Times New Roman"/>
          <w:sz w:val="18"/>
          <w:szCs w:val="18"/>
          <w:color w:val="231F20"/>
        </w:rPr>
        <w:t>. In order to obtain admittance to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Meeting each shareholder may be asked to present valid picture identification, such as a driver’s license or passport.</w:t>
      </w:r>
    </w:p>
    <w:p>
      <w:pPr>
        <w:spacing w:after="0" w:line="3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do you solicit proxies?</w:t>
      </w:r>
    </w:p>
    <w:p>
      <w:pPr>
        <w:spacing w:after="0" w:line="148" w:lineRule="exact"/>
        <w:rPr>
          <w:sz w:val="20"/>
          <w:szCs w:val="20"/>
          <w:color w:val="auto"/>
        </w:rPr>
      </w:pPr>
    </w:p>
    <w:p>
      <w:pPr>
        <w:ind w:left="380" w:right="379" w:firstLine="360"/>
        <w:spacing w:after="0" w:line="258" w:lineRule="auto"/>
        <w:rPr>
          <w:sz w:val="20"/>
          <w:szCs w:val="20"/>
          <w:color w:val="auto"/>
        </w:rPr>
      </w:pPr>
      <w:r>
        <w:rPr>
          <w:rFonts w:ascii="Times New Roman" w:cs="Times New Roman" w:eastAsia="Times New Roman" w:hAnsi="Times New Roman"/>
          <w:sz w:val="18"/>
          <w:szCs w:val="18"/>
          <w:color w:val="231F20"/>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Citibank, N.A. for their expenses in sending materials, including ADS proxy cards, to ADS holders of record.</w:t>
      </w: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do I do if I receive more than one Notice or form of proxy?</w:t>
      </w:r>
    </w:p>
    <w:p>
      <w:pPr>
        <w:spacing w:after="0" w:line="148" w:lineRule="exact"/>
        <w:rPr>
          <w:sz w:val="20"/>
          <w:szCs w:val="20"/>
          <w:color w:val="auto"/>
        </w:rPr>
      </w:pPr>
    </w:p>
    <w:p>
      <w:pPr>
        <w:ind w:left="380" w:right="439" w:firstLine="388"/>
        <w:spacing w:after="0" w:line="274" w:lineRule="auto"/>
        <w:rPr>
          <w:sz w:val="20"/>
          <w:szCs w:val="20"/>
          <w:color w:val="auto"/>
        </w:rPr>
      </w:pPr>
      <w:r>
        <w:rPr>
          <w:rFonts w:ascii="Times New Roman" w:cs="Times New Roman" w:eastAsia="Times New Roman" w:hAnsi="Times New Roman"/>
          <w:sz w:val="18"/>
          <w:szCs w:val="18"/>
          <w:color w:val="231F20"/>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96" w:lineRule="exact"/>
        <w:rPr>
          <w:sz w:val="20"/>
          <w:szCs w:val="20"/>
          <w:color w:val="auto"/>
        </w:rPr>
      </w:pPr>
    </w:p>
    <w:p>
      <w:pPr>
        <w:ind w:left="380" w:right="679" w:firstLine="360"/>
        <w:spacing w:after="0" w:line="261" w:lineRule="auto"/>
        <w:rPr>
          <w:sz w:val="20"/>
          <w:szCs w:val="20"/>
          <w:color w:val="auto"/>
        </w:rPr>
      </w:pPr>
      <w:r>
        <w:rPr>
          <w:rFonts w:ascii="Times New Roman" w:cs="Times New Roman" w:eastAsia="Times New Roman" w:hAnsi="Times New Roman"/>
          <w:sz w:val="18"/>
          <w:szCs w:val="18"/>
          <w:color w:val="231F20"/>
        </w:rPr>
        <w:t>If you hold ADSs in your own name registered on the books of Citibank, N.A., as Depositary, you are considered the registered holder of the ADSs and will receive a form of proxy from Citibank, N.A. If you hold ADSs through a broker, bank or other nominee, you are considered the beneficial owner of the ADSs and you will receive a form of proxy from your broker, bank or other nominee.</w:t>
      </w:r>
    </w:p>
    <w:p>
      <w:pPr>
        <w:spacing w:after="0" w:line="31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Will there be any other business conducted at the Meeting?</w:t>
      </w:r>
    </w:p>
    <w:p>
      <w:pPr>
        <w:spacing w:after="0" w:line="148" w:lineRule="exact"/>
        <w:rPr>
          <w:sz w:val="20"/>
          <w:szCs w:val="20"/>
          <w:color w:val="auto"/>
        </w:rPr>
      </w:pPr>
    </w:p>
    <w:p>
      <w:pPr>
        <w:jc w:val="both"/>
        <w:ind w:left="380" w:right="379" w:firstLine="360"/>
        <w:spacing w:after="0" w:line="266" w:lineRule="auto"/>
        <w:rPr>
          <w:sz w:val="20"/>
          <w:szCs w:val="20"/>
          <w:color w:val="auto"/>
        </w:rPr>
      </w:pPr>
      <w:r>
        <w:rPr>
          <w:rFonts w:ascii="Times New Roman" w:cs="Times New Roman" w:eastAsia="Times New Roman" w:hAnsi="Times New Roman"/>
          <w:sz w:val="18"/>
          <w:szCs w:val="18"/>
          <w:color w:val="231F20"/>
        </w:rPr>
        <w:t>No. In accordance with our Articles of Association, other than with respect to procedural matters in relation to the Meeting, no business other than proposals 1 through 9 may be presented at this Meeting. We have not been notified of, and our Board is not aware of, any other matters to be presented for action at the Meeting.</w:t>
      </w:r>
    </w:p>
    <w:p>
      <w:pPr>
        <w:spacing w:after="0" w:line="3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the role of PwC?</w:t>
      </w:r>
    </w:p>
    <w:p>
      <w:pPr>
        <w:spacing w:after="0" w:line="148" w:lineRule="exact"/>
        <w:rPr>
          <w:sz w:val="20"/>
          <w:szCs w:val="20"/>
          <w:color w:val="auto"/>
        </w:rPr>
      </w:pPr>
    </w:p>
    <w:p>
      <w:pPr>
        <w:ind w:left="380" w:right="499" w:firstLine="360"/>
        <w:spacing w:after="0" w:line="258" w:lineRule="auto"/>
        <w:rPr>
          <w:sz w:val="20"/>
          <w:szCs w:val="20"/>
          <w:color w:val="auto"/>
        </w:rPr>
      </w:pPr>
      <w:r>
        <w:rPr>
          <w:rFonts w:ascii="Times New Roman" w:cs="Times New Roman" w:eastAsia="Times New Roman" w:hAnsi="Times New Roman"/>
          <w:sz w:val="18"/>
          <w:szCs w:val="18"/>
          <w:color w:val="231F20"/>
        </w:rPr>
        <w:t>PwC is our auditor for the year ended December 31, 2024 and our Audit and Risk Committee has selected PwC as our independent registered public accounting firm for the fiscal year ending December 31, 2025, and has further directed that we submit the selection of PwC for approval by our shareholders at the Meeting. Proposal 2 seeks your approval of the re-appointment of PwC to serve as our auditor, to hold office until the conclusion of the next annual general meeting of shareholders at which our annual report and accounts are presented.</w:t>
      </w:r>
    </w:p>
    <w:p>
      <w:pPr>
        <w:spacing w:after="0" w:line="224" w:lineRule="exact"/>
        <w:rPr>
          <w:sz w:val="20"/>
          <w:szCs w:val="20"/>
          <w:color w:val="auto"/>
        </w:rPr>
      </w:pPr>
    </w:p>
    <w:p>
      <w:pPr>
        <w:ind w:left="380" w:right="679" w:firstLine="360"/>
        <w:spacing w:after="0" w:line="282" w:lineRule="auto"/>
        <w:rPr>
          <w:sz w:val="20"/>
          <w:szCs w:val="20"/>
          <w:color w:val="auto"/>
        </w:rPr>
      </w:pPr>
      <w:r>
        <w:rPr>
          <w:rFonts w:ascii="Times New Roman" w:cs="Times New Roman" w:eastAsia="Times New Roman" w:hAnsi="Times New Roman"/>
          <w:sz w:val="18"/>
          <w:szCs w:val="18"/>
          <w:color w:val="231F20"/>
        </w:rPr>
        <w:t>PwC is entitled to attend any general meeting of the Company and be heard on any part of the business of the meeting that concerns them as auditors.</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What is MUFG Corporate Markets’ role?</w:t>
      </w:r>
    </w:p>
    <w:p>
      <w:pPr>
        <w:spacing w:after="0" w:line="148" w:lineRule="exact"/>
        <w:rPr>
          <w:sz w:val="20"/>
          <w:szCs w:val="20"/>
          <w:color w:val="auto"/>
        </w:rPr>
      </w:pPr>
    </w:p>
    <w:p>
      <w:pPr>
        <w:jc w:val="both"/>
        <w:ind w:left="380" w:right="539" w:firstLine="360"/>
        <w:spacing w:after="0" w:line="266" w:lineRule="auto"/>
        <w:rPr>
          <w:sz w:val="20"/>
          <w:szCs w:val="20"/>
          <w:color w:val="auto"/>
        </w:rPr>
      </w:pPr>
      <w:r>
        <w:rPr>
          <w:rFonts w:ascii="Times New Roman" w:cs="Times New Roman" w:eastAsia="Times New Roman" w:hAnsi="Times New Roman"/>
          <w:sz w:val="18"/>
          <w:szCs w:val="18"/>
          <w:color w:val="231F20"/>
        </w:rPr>
        <w:t>MUFG Corporate Markets is our registrar. All communications concerning ordinary shareholder of record accounts, including address changes, name changes, ordinary share transfer requirements and similar issues can be handled by contacting MUFG Corporate Markets via email shareholderenquiries@cm.mpms.mufg.com or by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80" w:right="399"/>
        <w:spacing w:after="0" w:line="266" w:lineRule="auto"/>
        <w:rPr>
          <w:sz w:val="20"/>
          <w:szCs w:val="20"/>
          <w:color w:val="auto"/>
        </w:rPr>
      </w:pPr>
      <w:r>
        <w:rPr>
          <w:rFonts w:ascii="Times New Roman" w:cs="Times New Roman" w:eastAsia="Times New Roman" w:hAnsi="Times New Roman"/>
          <w:sz w:val="18"/>
          <w:szCs w:val="18"/>
          <w:color w:val="231F20"/>
        </w:rPr>
        <w:t>telephone to the general helpline: +44 (0) 371 664 0391 (if calling from overseas, please ensure the country code is used) or by writing to MUFG Corporate Markets, PXS1, Central Square, 29 Wellington Street, Leeds LS1 4DL, United Kingdom.</w:t>
      </w:r>
    </w:p>
    <w:p>
      <w:pPr>
        <w:spacing w:after="0" w:line="3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How can I find out the results of the voting at the Meeting?</w:t>
      </w:r>
    </w:p>
    <w:p>
      <w:pPr>
        <w:spacing w:after="0" w:line="148" w:lineRule="exact"/>
        <w:rPr>
          <w:sz w:val="20"/>
          <w:szCs w:val="20"/>
          <w:color w:val="auto"/>
        </w:rPr>
      </w:pPr>
    </w:p>
    <w:p>
      <w:pPr>
        <w:jc w:val="both"/>
        <w:ind w:left="380" w:right="419" w:firstLine="360"/>
        <w:spacing w:after="0" w:line="266" w:lineRule="auto"/>
        <w:rPr>
          <w:sz w:val="20"/>
          <w:szCs w:val="20"/>
          <w:color w:val="auto"/>
        </w:rPr>
      </w:pPr>
      <w:r>
        <w:rPr>
          <w:rFonts w:ascii="Times New Roman" w:cs="Times New Roman" w:eastAsia="Times New Roman" w:hAnsi="Times New Roman"/>
          <w:sz w:val="18"/>
          <w:szCs w:val="18"/>
          <w:color w:val="231F20"/>
        </w:rPr>
        <w:t>Voting results will be announced by the filing of a current report on Form 8-K within four business days after the Meeting. If final voting results are unavailable at that time, we will file an amended current report on Form 8-K within four business days of the day the final results are available.</w:t>
      </w:r>
    </w:p>
    <w:p>
      <w:pPr>
        <w:spacing w:after="0" w:line="3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231F20"/>
        </w:rPr>
        <w:t>Directions to Meeting</w:t>
      </w:r>
    </w:p>
    <w:p>
      <w:pPr>
        <w:spacing w:after="0" w:line="148" w:lineRule="exact"/>
        <w:rPr>
          <w:sz w:val="20"/>
          <w:szCs w:val="20"/>
          <w:color w:val="auto"/>
        </w:rPr>
      </w:pPr>
    </w:p>
    <w:p>
      <w:pPr>
        <w:ind w:left="380" w:right="379" w:firstLine="360"/>
        <w:spacing w:after="0" w:line="282" w:lineRule="auto"/>
        <w:rPr>
          <w:sz w:val="20"/>
          <w:szCs w:val="20"/>
          <w:color w:val="auto"/>
        </w:rPr>
      </w:pPr>
      <w:r>
        <w:rPr>
          <w:rFonts w:ascii="Times New Roman" w:cs="Times New Roman" w:eastAsia="Times New Roman" w:hAnsi="Times New Roman"/>
          <w:sz w:val="18"/>
          <w:szCs w:val="18"/>
          <w:color w:val="231F20"/>
        </w:rPr>
        <w:t>Directions to our Meeting, which is to be held at 5</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are available in the Contact Us section of our website at: </w:t>
      </w:r>
      <w:r>
        <w:rPr>
          <w:rFonts w:ascii="Times New Roman" w:cs="Times New Roman" w:eastAsia="Times New Roman" w:hAnsi="Times New Roman"/>
          <w:sz w:val="18"/>
          <w:szCs w:val="18"/>
          <w:color w:val="000000"/>
        </w:rPr>
        <w:t>https://www.mereobiopharma.com.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980" w:right="200"/>
        <w:spacing w:after="0" w:line="286" w:lineRule="auto"/>
        <w:rPr>
          <w:sz w:val="20"/>
          <w:szCs w:val="20"/>
          <w:color w:val="auto"/>
        </w:rPr>
      </w:pPr>
      <w:r>
        <w:rPr>
          <w:rFonts w:ascii="Times New Roman" w:cs="Times New Roman" w:eastAsia="Times New Roman" w:hAnsi="Times New Roman"/>
          <w:sz w:val="18"/>
          <w:szCs w:val="18"/>
          <w:b w:val="1"/>
          <w:bCs w:val="1"/>
          <w:color w:val="231F20"/>
        </w:rPr>
        <w:t>PROPOSAL 1 — RESOLUTION TO ADOPT THE COMPANY’S U.K. STATUTORY ANNUAL REPORT AND ACCOUNTS</w:t>
      </w:r>
    </w:p>
    <w:p>
      <w:pPr>
        <w:spacing w:after="0" w:line="213" w:lineRule="exact"/>
        <w:rPr>
          <w:sz w:val="20"/>
          <w:szCs w:val="20"/>
          <w:color w:val="auto"/>
        </w:rPr>
      </w:pPr>
    </w:p>
    <w:p>
      <w:pPr>
        <w:ind w:left="400" w:right="699" w:firstLine="360"/>
        <w:spacing w:after="0" w:line="261" w:lineRule="auto"/>
        <w:rPr>
          <w:sz w:val="20"/>
          <w:szCs w:val="20"/>
          <w:color w:val="auto"/>
        </w:rPr>
      </w:pPr>
      <w:r>
        <w:rPr>
          <w:rFonts w:ascii="Times New Roman" w:cs="Times New Roman" w:eastAsia="Times New Roman" w:hAnsi="Times New Roman"/>
          <w:sz w:val="18"/>
          <w:szCs w:val="18"/>
          <w:color w:val="231F20"/>
        </w:rPr>
        <w:t>At the Meeting, our Board of Directors will present our U.K. statutory annual report and accounts for the period January 1, 2024 through December 31, 2024, which includes the directors’ report and independent auditor’s report thereon. We will provide our shareholders with an opportunity to review the U.K. statutory annual report and accounts and to adopt them.</w:t>
      </w:r>
    </w:p>
    <w:p>
      <w:pPr>
        <w:spacing w:after="0" w:line="23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231F20"/>
        </w:rPr>
        <w:t>FOR THE RESOLUTION TO RECEIVE AND ADOPT THE COMPANY’S U.K. STATUTORY ANNUAL</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REPORT AND ACCOUNTS</w:t>
      </w:r>
    </w:p>
    <w:p>
      <w:pPr>
        <w:spacing w:after="0" w:line="200" w:lineRule="exact"/>
        <w:rPr>
          <w:sz w:val="20"/>
          <w:szCs w:val="20"/>
          <w:color w:val="auto"/>
        </w:rPr>
      </w:pPr>
    </w:p>
    <w:p>
      <w:pPr>
        <w:spacing w:after="0" w:line="3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860" w:right="120"/>
        <w:spacing w:after="0" w:line="268" w:lineRule="auto"/>
        <w:rPr>
          <w:sz w:val="20"/>
          <w:szCs w:val="20"/>
          <w:color w:val="auto"/>
        </w:rPr>
      </w:pPr>
      <w:r>
        <w:rPr>
          <w:rFonts w:ascii="Times New Roman" w:cs="Times New Roman" w:eastAsia="Times New Roman" w:hAnsi="Times New Roman"/>
          <w:sz w:val="18"/>
          <w:szCs w:val="18"/>
          <w:b w:val="1"/>
          <w:bCs w:val="1"/>
          <w:color w:val="231F20"/>
        </w:rPr>
        <w:t>PROPOSAL 2 — RE-APPOINTMENT OF PRICEWATERHOUSECOOPERS LLP AS OUR AUDITORS, TO HOLD OFFICE UNTIL THE CONCLUSION OF THE NEXT ANNUAL GENERAL MEETING OF SHAREHOLDERS</w:t>
      </w:r>
    </w:p>
    <w:p>
      <w:pPr>
        <w:spacing w:after="0" w:line="229" w:lineRule="exact"/>
        <w:rPr>
          <w:sz w:val="20"/>
          <w:szCs w:val="20"/>
          <w:color w:val="auto"/>
        </w:rPr>
      </w:pPr>
    </w:p>
    <w:p>
      <w:pPr>
        <w:ind w:left="400" w:right="659" w:firstLine="360"/>
        <w:spacing w:after="0" w:line="261" w:lineRule="auto"/>
        <w:rPr>
          <w:sz w:val="20"/>
          <w:szCs w:val="20"/>
          <w:color w:val="auto"/>
        </w:rPr>
      </w:pPr>
      <w:r>
        <w:rPr>
          <w:rFonts w:ascii="Times New Roman" w:cs="Times New Roman" w:eastAsia="Times New Roman" w:hAnsi="Times New Roman"/>
          <w:sz w:val="18"/>
          <w:szCs w:val="18"/>
          <w:color w:val="231F20"/>
        </w:rPr>
        <w:t>Proposal 2 seeks your approval of the re-appointment of PricewaterhouseCoopers LLP to serve as our auditor, to hold office until the conclusion of the next annual general meeting of shareholders. In the event this proposal does not receive the affirmative vote of the shareholders by the requisite majority set out above, the Board of Directors may appoint an auditor to fill the vacancy.</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Background to Proposal 2</w:t>
      </w:r>
    </w:p>
    <w:p>
      <w:pPr>
        <w:spacing w:after="0" w:line="144" w:lineRule="exact"/>
        <w:rPr>
          <w:sz w:val="20"/>
          <w:szCs w:val="20"/>
          <w:color w:val="auto"/>
        </w:rPr>
      </w:pPr>
    </w:p>
    <w:p>
      <w:pPr>
        <w:ind w:left="400" w:right="559" w:firstLine="360"/>
        <w:spacing w:after="0" w:line="268" w:lineRule="auto"/>
        <w:rPr>
          <w:sz w:val="20"/>
          <w:szCs w:val="20"/>
          <w:color w:val="auto"/>
        </w:rPr>
      </w:pPr>
      <w:r>
        <w:rPr>
          <w:rFonts w:ascii="Times New Roman" w:cs="Times New Roman" w:eastAsia="Times New Roman" w:hAnsi="Times New Roman"/>
          <w:sz w:val="18"/>
          <w:szCs w:val="18"/>
          <w:color w:val="231F20"/>
        </w:rPr>
        <w:t>Our Audit and Risk Committee has selected PricewaterhouseCoopers LLP (“</w:t>
      </w:r>
      <w:r>
        <w:rPr>
          <w:rFonts w:ascii="Times New Roman" w:cs="Times New Roman" w:eastAsia="Times New Roman" w:hAnsi="Times New Roman"/>
          <w:sz w:val="18"/>
          <w:szCs w:val="18"/>
          <w:b w:val="1"/>
          <w:bCs w:val="1"/>
          <w:color w:val="231F20"/>
        </w:rPr>
        <w:t>PwC</w:t>
      </w:r>
      <w:r>
        <w:rPr>
          <w:rFonts w:ascii="Times New Roman" w:cs="Times New Roman" w:eastAsia="Times New Roman" w:hAnsi="Times New Roman"/>
          <w:sz w:val="18"/>
          <w:szCs w:val="18"/>
          <w:color w:val="231F20"/>
        </w:rPr>
        <w:t>”) as our independent registered public accounting firm for the fiscal year ending December 31, 2025, and has further directed that we submit the selection of PwC for approval by our shareholders at the Meeting.</w:t>
      </w:r>
    </w:p>
    <w:p>
      <w:pPr>
        <w:spacing w:after="0" w:line="229" w:lineRule="exact"/>
        <w:rPr>
          <w:sz w:val="20"/>
          <w:szCs w:val="20"/>
          <w:color w:val="auto"/>
        </w:rPr>
      </w:pPr>
    </w:p>
    <w:p>
      <w:pPr>
        <w:ind w:left="400" w:right="439" w:firstLine="360"/>
        <w:spacing w:after="0" w:line="253" w:lineRule="auto"/>
        <w:rPr>
          <w:sz w:val="20"/>
          <w:szCs w:val="20"/>
          <w:color w:val="auto"/>
        </w:rPr>
      </w:pPr>
      <w:r>
        <w:rPr>
          <w:rFonts w:ascii="Times New Roman" w:cs="Times New Roman" w:eastAsia="Times New Roman" w:hAnsi="Times New Roman"/>
          <w:sz w:val="18"/>
          <w:szCs w:val="18"/>
          <w:color w:val="231F20"/>
        </w:rPr>
        <w:t>The Audit and Risk Committee approves PwC’s and its affiliates audit and non-audit services in advance as required under Sarbanes-Oxley and SEC rules. Before the commencement of each fiscal year, the Audit and Risk Committee appoints the independent auditor to perform audit services that we expect to be performed for the fiscal year and appoints the auditor to perform audit-related, tax and other permitted non-audit services. In addition, our Audit and Risk Committee approves the terms of the engagement letter to be entered into by us with the independent auditor. The Audit and Risk Committee has also delegated to its chairman the authority, from time to time, to pre-approve audit-related and non-audit services not prohibited by law to be performed by our independent auditors and associated fees, provided that the chairman shall report any decisions to pre-approve such audit-related and non-audit services and fees to our full Audit and Risk Committee at its next regular meeting. Additional information concerning the Audit and Risk Committee and its activities can be found in the following sections of this proxy statement: “</w:t>
      </w:r>
      <w:r>
        <w:rPr>
          <w:rFonts w:ascii="Times New Roman" w:cs="Times New Roman" w:eastAsia="Times New Roman" w:hAnsi="Times New Roman"/>
          <w:sz w:val="18"/>
          <w:szCs w:val="18"/>
          <w:i w:val="1"/>
          <w:iCs w:val="1"/>
          <w:color w:val="231F20"/>
        </w:rPr>
        <w:t>Board Committees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Audit and Risk Committee Report.</w:t>
      </w:r>
      <w:r>
        <w:rPr>
          <w:rFonts w:ascii="Times New Roman" w:cs="Times New Roman" w:eastAsia="Times New Roman" w:hAnsi="Times New Roman"/>
          <w:sz w:val="18"/>
          <w:szCs w:val="18"/>
          <w:color w:val="231F20"/>
        </w:rPr>
        <w:t>”</w:t>
      </w:r>
    </w:p>
    <w:p>
      <w:pPr>
        <w:spacing w:after="0" w:line="3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Fees for Independent Registered Public Accounting Firm — PwC</w:t>
      </w:r>
    </w:p>
    <w:p>
      <w:pPr>
        <w:spacing w:after="0" w:line="148" w:lineRule="exact"/>
        <w:rPr>
          <w:sz w:val="20"/>
          <w:szCs w:val="20"/>
          <w:color w:val="auto"/>
        </w:rPr>
      </w:pPr>
    </w:p>
    <w:p>
      <w:pPr>
        <w:ind w:left="400" w:right="639" w:firstLine="360"/>
        <w:spacing w:after="0" w:line="266" w:lineRule="auto"/>
        <w:rPr>
          <w:sz w:val="20"/>
          <w:szCs w:val="20"/>
          <w:color w:val="auto"/>
        </w:rPr>
      </w:pPr>
      <w:r>
        <w:rPr>
          <w:rFonts w:ascii="Times New Roman" w:cs="Times New Roman" w:eastAsia="Times New Roman" w:hAnsi="Times New Roman"/>
          <w:sz w:val="18"/>
          <w:szCs w:val="18"/>
          <w:color w:val="231F20"/>
        </w:rPr>
        <w:t>On September 20, 2023, our Board, following the recommendation of the Audit and Risk Committee, dismissed BDO LLP (“</w:t>
      </w:r>
      <w:r>
        <w:rPr>
          <w:rFonts w:ascii="Times New Roman" w:cs="Times New Roman" w:eastAsia="Times New Roman" w:hAnsi="Times New Roman"/>
          <w:sz w:val="18"/>
          <w:szCs w:val="18"/>
          <w:b w:val="1"/>
          <w:bCs w:val="1"/>
          <w:color w:val="231F20"/>
        </w:rPr>
        <w:t>BDO</w:t>
      </w:r>
      <w:r>
        <w:rPr>
          <w:rFonts w:ascii="Times New Roman" w:cs="Times New Roman" w:eastAsia="Times New Roman" w:hAnsi="Times New Roman"/>
          <w:sz w:val="18"/>
          <w:szCs w:val="18"/>
          <w:color w:val="231F20"/>
        </w:rPr>
        <w:t>”) as our independent registered public accounting firm and appointed PwC as our new independent registered public accounting firm effective immediately.</w:t>
      </w:r>
    </w:p>
    <w:p>
      <w:pPr>
        <w:spacing w:after="0" w:line="2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231F20"/>
        </w:rPr>
        <w:t>BDO had served as our independent registered public accounting firm for the year ended December 31,</w:t>
      </w:r>
    </w:p>
    <w:p>
      <w:pPr>
        <w:spacing w:after="0" w:line="27" w:lineRule="exact"/>
        <w:rPr>
          <w:sz w:val="20"/>
          <w:szCs w:val="20"/>
          <w:color w:val="auto"/>
        </w:rPr>
      </w:pPr>
    </w:p>
    <w:p>
      <w:pPr>
        <w:ind w:left="400" w:right="919"/>
        <w:spacing w:after="0" w:line="276" w:lineRule="auto"/>
        <w:rPr>
          <w:sz w:val="20"/>
          <w:szCs w:val="20"/>
          <w:color w:val="auto"/>
        </w:rPr>
      </w:pPr>
      <w:r>
        <w:rPr>
          <w:rFonts w:ascii="Times New Roman" w:cs="Times New Roman" w:eastAsia="Times New Roman" w:hAnsi="Times New Roman"/>
          <w:sz w:val="18"/>
          <w:szCs w:val="18"/>
          <w:color w:val="231F20"/>
        </w:rPr>
        <w:t>2022 and until September 20, 2023 while we reported as a foreign private issuer and prepared our financial statements in accordance with IFRS.</w:t>
      </w:r>
    </w:p>
    <w:p>
      <w:pPr>
        <w:spacing w:after="0" w:line="221" w:lineRule="exact"/>
        <w:rPr>
          <w:sz w:val="20"/>
          <w:szCs w:val="20"/>
          <w:color w:val="auto"/>
        </w:rPr>
      </w:pPr>
    </w:p>
    <w:p>
      <w:pPr>
        <w:ind w:left="400" w:right="439" w:firstLine="360"/>
        <w:spacing w:after="0" w:line="255" w:lineRule="auto"/>
        <w:rPr>
          <w:sz w:val="20"/>
          <w:szCs w:val="20"/>
          <w:color w:val="auto"/>
        </w:rPr>
      </w:pPr>
      <w:r>
        <w:rPr>
          <w:rFonts w:ascii="Times New Roman" w:cs="Times New Roman" w:eastAsia="Times New Roman" w:hAnsi="Times New Roman"/>
          <w:sz w:val="18"/>
          <w:szCs w:val="18"/>
          <w:color w:val="231F20"/>
        </w:rPr>
        <w:t>PwC has served as our independent registered public accountants since September 20, 2023, and was appointed by our Board to act as our independent auditor for the fiscal year ending December 31, 2023. PwC's appointment as our independent auditor for the fiscal year ending December 31, 2024 was approved by shareholders at our 2024 Annual General Meeting. PwC has audited our U.K. statutory annual report and accounts prepared in accordance with UK-adopted International Financial Reporting Standards ("IFRS") for the fiscal year 2024 and has audited our financial statements prepared in accordance with U.S. GAAP included in our Annual Report on Form 10-K for the years ended December 31, 2024 and 2023.</w:t>
      </w:r>
    </w:p>
    <w:p>
      <w:pPr>
        <w:spacing w:after="0" w:line="243" w:lineRule="exact"/>
        <w:rPr>
          <w:sz w:val="20"/>
          <w:szCs w:val="20"/>
          <w:color w:val="auto"/>
        </w:rPr>
      </w:pPr>
    </w:p>
    <w:p>
      <w:pPr>
        <w:jc w:val="both"/>
        <w:ind w:left="400" w:right="799" w:firstLine="360"/>
        <w:spacing w:after="0" w:line="266" w:lineRule="auto"/>
        <w:rPr>
          <w:sz w:val="20"/>
          <w:szCs w:val="20"/>
          <w:color w:val="auto"/>
        </w:rPr>
      </w:pPr>
      <w:r>
        <w:rPr>
          <w:rFonts w:ascii="Times New Roman" w:cs="Times New Roman" w:eastAsia="Times New Roman" w:hAnsi="Times New Roman"/>
          <w:sz w:val="18"/>
          <w:szCs w:val="18"/>
          <w:color w:val="231F20"/>
        </w:rPr>
        <w:t>The table below sets forth a summary of the fees billed to the Company by our auditors for professional services rendered for the fiscal years ended December 31, 2024 and December 31, 2023. All such audit and audit-related services were pre-approved by the Audit and Risk Committee.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20" w:name="page21"/>
    <w:bookmarkEnd w:id="2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Types of Fees</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17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(1)(2)</w:t>
            </w: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(3)</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(4)</w:t>
            </w: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-170815</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2" w:lineRule="exact"/>
        <w:rPr>
          <w:sz w:val="20"/>
          <w:szCs w:val="20"/>
          <w:color w:val="auto"/>
        </w:rPr>
      </w:pPr>
    </w:p>
    <w:p>
      <w:pPr>
        <w:jc w:val="both"/>
        <w:ind w:left="760" w:right="519" w:hanging="365"/>
        <w:spacing w:after="0" w:line="266" w:lineRule="auto"/>
        <w:tabs>
          <w:tab w:leader="none" w:pos="751" w:val="left"/>
        </w:tabs>
        <w:numPr>
          <w:ilvl w:val="0"/>
          <w:numId w:val="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Fees paid to the auditors are denominated in pounds sterling. For the purposes of this table, all 2024 amounts have been converted based on the pound sterling/U.S. dollar exchange rate in effect as of December 31, 2024 (£1/$1.2546) and all 2023 amounts have been converted based on the pound Sterling/U.S. dollar exchange rate in effect as of December 31, 2023 (£1/$1.2103).</w:t>
      </w:r>
    </w:p>
    <w:p>
      <w:pPr>
        <w:spacing w:after="0" w:line="2" w:lineRule="exact"/>
        <w:rPr>
          <w:rFonts w:ascii="Times New Roman" w:cs="Times New Roman" w:eastAsia="Times New Roman" w:hAnsi="Times New Roman"/>
          <w:sz w:val="16"/>
          <w:szCs w:val="16"/>
          <w:color w:val="231F20"/>
        </w:rPr>
      </w:pPr>
    </w:p>
    <w:p>
      <w:pPr>
        <w:ind w:left="760" w:right="379" w:hanging="365"/>
        <w:spacing w:after="0" w:line="264" w:lineRule="auto"/>
        <w:tabs>
          <w:tab w:leader="none" w:pos="711" w:val="left"/>
        </w:tabs>
        <w:numPr>
          <w:ilvl w:val="0"/>
          <w:numId w:val="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There was a change in registered auditor during the year ended December 31, 2023. Of the 2023 amount, $1.0 million was in relation to the current auditors and includes amounts paid for the Company’s transition from IFRS to U.S. GAAP.</w:t>
      </w:r>
    </w:p>
    <w:p>
      <w:pPr>
        <w:ind w:left="760" w:right="719" w:hanging="365"/>
        <w:spacing w:after="0" w:line="264" w:lineRule="auto"/>
        <w:tabs>
          <w:tab w:leader="none" w:pos="751" w:val="left"/>
        </w:tabs>
        <w:numPr>
          <w:ilvl w:val="0"/>
          <w:numId w:val="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 the year ended December 31, 2024, these fees were in relation to the current auditors while in the year ended December 31, 2023, these fees were in relation to the former auditors. All such fees were approved by the Audit and Risk Committee pursuant to its pre-approval policies.</w:t>
      </w:r>
    </w:p>
    <w:p>
      <w:pPr>
        <w:ind w:left="700" w:hanging="305"/>
        <w:spacing w:after="0"/>
        <w:tabs>
          <w:tab w:leader="none" w:pos="700" w:val="left"/>
        </w:tabs>
        <w:numPr>
          <w:ilvl w:val="0"/>
          <w:numId w:val="2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of these fees were approved by the Audit and Risk Committee pursuant to its pre-approval policies.</w:t>
      </w: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ind w:left="1800" w:right="300"/>
        <w:spacing w:after="0" w:line="263" w:lineRule="auto"/>
        <w:rPr>
          <w:sz w:val="20"/>
          <w:szCs w:val="20"/>
          <w:color w:val="auto"/>
        </w:rPr>
      </w:pPr>
      <w:r>
        <w:rPr>
          <w:rFonts w:ascii="Times New Roman" w:cs="Times New Roman" w:eastAsia="Times New Roman" w:hAnsi="Times New Roman"/>
          <w:sz w:val="18"/>
          <w:szCs w:val="18"/>
          <w:b w:val="1"/>
          <w:bCs w:val="1"/>
          <w:i w:val="1"/>
          <w:iCs w:val="1"/>
          <w:color w:val="231F20"/>
        </w:rPr>
        <w:t>FOR THE RE-APPOINTMENT OF PRICEWATERHOUSECOOPERS LLP AS OUR AUDITORS, TO HOLD OFFICE UNTIL THE CONCLUSION OF THE NEXT ANNUAL GENERAL MEETING OF SHAREHOLDERS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20" w:right="499" w:hanging="211"/>
        <w:spacing w:after="0" w:line="317" w:lineRule="auto"/>
        <w:rPr>
          <w:sz w:val="20"/>
          <w:szCs w:val="20"/>
          <w:color w:val="auto"/>
        </w:rPr>
      </w:pPr>
      <w:r>
        <w:rPr>
          <w:rFonts w:ascii="Times New Roman" w:cs="Times New Roman" w:eastAsia="Times New Roman" w:hAnsi="Times New Roman"/>
          <w:sz w:val="17"/>
          <w:szCs w:val="17"/>
          <w:b w:val="1"/>
          <w:bCs w:val="1"/>
          <w:color w:val="231F20"/>
        </w:rPr>
        <w:t>PROPOSAL 3 — AUTHORIZATION FOR THE AUDIT AND RISK COMMITTEE TO DETERMINE THE AUDITORS’ REMUNERATION FOR THE FISCAL YEAR ENDING DECEMBER 31, 2025</w:t>
      </w:r>
    </w:p>
    <w:p>
      <w:pPr>
        <w:spacing w:after="0" w:line="190" w:lineRule="exact"/>
        <w:rPr>
          <w:sz w:val="20"/>
          <w:szCs w:val="20"/>
          <w:color w:val="auto"/>
        </w:rPr>
      </w:pPr>
    </w:p>
    <w:p>
      <w:pPr>
        <w:ind w:left="420" w:right="579" w:firstLine="360"/>
        <w:spacing w:after="0" w:line="266" w:lineRule="auto"/>
        <w:rPr>
          <w:sz w:val="20"/>
          <w:szCs w:val="20"/>
          <w:color w:val="auto"/>
        </w:rPr>
      </w:pPr>
      <w:r>
        <w:rPr>
          <w:rFonts w:ascii="Times New Roman" w:cs="Times New Roman" w:eastAsia="Times New Roman" w:hAnsi="Times New Roman"/>
          <w:sz w:val="18"/>
          <w:szCs w:val="18"/>
          <w:color w:val="231F20"/>
        </w:rPr>
        <w:t>Proposal 3 authorizes the Audit and Risk Committee to determine our auditors’ remuneration for the fiscal year ending December 31, 2025. Fees for PwC, our independent registered public accounting firm and U.K. statutory auditors, in respect of the year ended December 31, 2024 are set forth in Proposal 2 above.</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ind w:left="1040" w:right="759" w:hanging="278"/>
        <w:spacing w:after="0" w:line="290" w:lineRule="auto"/>
        <w:rPr>
          <w:sz w:val="20"/>
          <w:szCs w:val="20"/>
          <w:color w:val="auto"/>
        </w:rPr>
      </w:pPr>
      <w:r>
        <w:rPr>
          <w:rFonts w:ascii="Times New Roman" w:cs="Times New Roman" w:eastAsia="Times New Roman" w:hAnsi="Times New Roman"/>
          <w:sz w:val="17"/>
          <w:szCs w:val="17"/>
          <w:b w:val="1"/>
          <w:bCs w:val="1"/>
          <w:i w:val="1"/>
          <w:iCs w:val="1"/>
          <w:color w:val="231F20"/>
        </w:rPr>
        <w:t>FOR THE AUTHORIZATION OF OUR AUDIT AND RISK COMMITTEE TO DETERMINE OUR AUDITORS’ REMUNERATION FOR THE FISCAL YEAR ENDING DECEMBER 31, 2025</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231F2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PROPOSAL 4 — APPROVAL OF OUR U.K. DIRECTORS’ ANNUAL REPORT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REMUNERATION ON AN ADVISORY (NON-BINDING) BASIS</w:t>
      </w:r>
    </w:p>
    <w:p>
      <w:pPr>
        <w:spacing w:after="0" w:line="261" w:lineRule="exact"/>
        <w:rPr>
          <w:sz w:val="20"/>
          <w:szCs w:val="20"/>
          <w:color w:val="auto"/>
        </w:rPr>
      </w:pPr>
    </w:p>
    <w:p>
      <w:pPr>
        <w:ind w:left="400" w:right="659" w:firstLine="360"/>
        <w:spacing w:after="0" w:line="255" w:lineRule="auto"/>
        <w:rPr>
          <w:sz w:val="20"/>
          <w:szCs w:val="20"/>
          <w:color w:val="auto"/>
        </w:rPr>
      </w:pPr>
      <w:r>
        <w:rPr>
          <w:rFonts w:ascii="Times New Roman" w:cs="Times New Roman" w:eastAsia="Times New Roman" w:hAnsi="Times New Roman"/>
          <w:sz w:val="18"/>
          <w:szCs w:val="18"/>
          <w:color w:val="231F20"/>
        </w:rPr>
        <w:t>Our U.K. directors’ remuneration report will be set out in our 2024 U.K. Annual Report. This document describes in detail our remuneration policies and procedures and explains how these policies and procedures help to achieve our compensation objectives with regard to our directors and the retention of high- quality directors. Our Board of Directors and the Remuneration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243" w:lineRule="exact"/>
        <w:rPr>
          <w:sz w:val="20"/>
          <w:szCs w:val="20"/>
          <w:color w:val="auto"/>
        </w:rPr>
      </w:pPr>
    </w:p>
    <w:p>
      <w:pPr>
        <w:ind w:left="400" w:right="619" w:firstLine="360"/>
        <w:spacing w:after="0" w:line="266" w:lineRule="auto"/>
        <w:rPr>
          <w:sz w:val="20"/>
          <w:szCs w:val="20"/>
          <w:color w:val="auto"/>
        </w:rPr>
      </w:pPr>
      <w:r>
        <w:rPr>
          <w:rFonts w:ascii="Times New Roman" w:cs="Times New Roman" w:eastAsia="Times New Roman" w:hAnsi="Times New Roman"/>
          <w:sz w:val="18"/>
          <w:szCs w:val="18"/>
          <w:color w:val="231F20"/>
        </w:rPr>
        <w:t>At the Meeting, the shareholders will vote on the annual report on remuneration. This vote is advisory and non-binding. Although non-binding, our Board of Directors and Remuneration Committee will review and consider the voting results when making future decisions regarding our director remuneration program.</w:t>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THE BOARD RECOMMENDS YOU VOTE, ON AN ADVISORY (NON-BINDING) BASIS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FOR THE APPROVAL OF OUR U.K. DIRECTORS’ ANNUAL REPORT ON REMUNERATION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76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APPROVAL OF THE COMPENSATION OF THE COMPANY’S NAMED EXECUTIVE OFFICERS ON AN ADVISORY (NON-BINDING) BASIS</w:t>
      </w:r>
    </w:p>
    <w:p>
      <w:pPr>
        <w:spacing w:after="0" w:line="159" w:lineRule="exact"/>
        <w:rPr>
          <w:sz w:val="20"/>
          <w:szCs w:val="20"/>
          <w:color w:val="auto"/>
        </w:rPr>
      </w:pPr>
    </w:p>
    <w:p>
      <w:pPr>
        <w:ind w:left="400" w:right="599" w:firstLine="360"/>
        <w:spacing w:after="0" w:line="254" w:lineRule="auto"/>
        <w:rPr>
          <w:sz w:val="20"/>
          <w:szCs w:val="20"/>
          <w:color w:val="auto"/>
        </w:rPr>
      </w:pPr>
      <w:r>
        <w:rPr>
          <w:rFonts w:ascii="Times New Roman" w:cs="Times New Roman" w:eastAsia="Times New Roman" w:hAnsi="Times New Roman"/>
          <w:sz w:val="18"/>
          <w:szCs w:val="18"/>
          <w:color w:val="231F20"/>
        </w:rPr>
        <w:t>Pursuant to the Dodd-Frank Wall Street Reform and Consumer Protection Act of 2010 (the “Dodd-Frank Act”) and Section 14A of the Exchange Act, we are asking our shareholders to vote to approve, on a non-binding, advisory basis, the compensation paid to our named executive officers in the year ended December 31, 2024, as disclosed in this proxy statement. This advisory vote, commonly known as a “say-on-pay” vote, gives our shareholders the opportunity to express their views on the Company’s executive compensation policies and programs and the compensation paid to our named executive officers in the year ended December 31, 2024. Although this advisory vote is non-binding, our Board of Directors will review and consider the voting results when making future decisions regarding our named executive officer compensation and related executive compensation programs.</w:t>
      </w:r>
    </w:p>
    <w:p>
      <w:pPr>
        <w:spacing w:after="0" w:line="188" w:lineRule="exact"/>
        <w:rPr>
          <w:sz w:val="20"/>
          <w:szCs w:val="20"/>
          <w:color w:val="auto"/>
        </w:rPr>
      </w:pPr>
    </w:p>
    <w:p>
      <w:pPr>
        <w:ind w:left="400" w:right="559" w:firstLine="360"/>
        <w:spacing w:after="0" w:line="253" w:lineRule="auto"/>
        <w:rPr>
          <w:sz w:val="20"/>
          <w:szCs w:val="20"/>
          <w:color w:val="auto"/>
        </w:rPr>
      </w:pPr>
      <w:r>
        <w:rPr>
          <w:rFonts w:ascii="Times New Roman" w:cs="Times New Roman" w:eastAsia="Times New Roman" w:hAnsi="Times New Roman"/>
          <w:sz w:val="18"/>
          <w:szCs w:val="18"/>
          <w:color w:val="231F20"/>
        </w:rPr>
        <w:t>We are asking that our shareholders to indicate their support of our executive compensation as described in this proxy statement. This vote is not intended to address any specific item of compensation, but rather the overall compensation of our named executive officers and the philosophy, policies and practices described in this proxy statement. We encourage shareholders to read the “Executive Compensation” section in this proxy statement, including the compensation tables and the related narrative disclosure, which describes the structure and amounts of the compensation of our named executive officers in the year ended December 31, 2024. As further discussed in the “Executive Compensation” section, the compensation of our named executive officers is designed to enable us to attract and retain talented and experienced executives to lead us successfully in a competitive environment. The Board of Directors will determine when the next “say-on-pay” advisory vote will be held after considering the results of the advisory vote on the frequency of future advisory votes on executive compensation (see Proposal 6).</w:t>
      </w:r>
    </w:p>
    <w:p>
      <w:pPr>
        <w:spacing w:after="0" w:line="188" w:lineRule="exact"/>
        <w:rPr>
          <w:sz w:val="20"/>
          <w:szCs w:val="20"/>
          <w:color w:val="auto"/>
        </w:rPr>
      </w:pPr>
    </w:p>
    <w:p>
      <w:pPr>
        <w:jc w:val="center"/>
        <w:ind w:left="17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BOARD RECOMMENDS YOU VOTE, ON AN ADVISORY (NON-BINDING) BASIS, FOR THE APPROVAL OF THE COMPENSATION OF OUR NAMED EXECUTIVE OFFICERS AS SET FORTH IN THIS PROXY STATEMENT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1780"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 xml:space="preserve"> APPROVAL OF THE FREQUENCY OF FUTURE ADVISORY VOTES ON THE COMPENSATION OF THE COMPANY’S NAMED EXECUTIVE OFFICERS ON AN ADVISORY (NON-BINDING) BASIS</w:t>
      </w:r>
    </w:p>
    <w:p>
      <w:pPr>
        <w:spacing w:after="0" w:line="175" w:lineRule="exact"/>
        <w:rPr>
          <w:sz w:val="20"/>
          <w:szCs w:val="20"/>
          <w:color w:val="auto"/>
        </w:rPr>
      </w:pPr>
    </w:p>
    <w:p>
      <w:pPr>
        <w:ind w:left="400" w:right="619" w:firstLine="360"/>
        <w:spacing w:after="0" w:line="281" w:lineRule="auto"/>
        <w:rPr>
          <w:sz w:val="20"/>
          <w:szCs w:val="20"/>
          <w:color w:val="auto"/>
        </w:rPr>
      </w:pPr>
      <w:r>
        <w:rPr>
          <w:rFonts w:ascii="Times New Roman" w:cs="Times New Roman" w:eastAsia="Times New Roman" w:hAnsi="Times New Roman"/>
          <w:sz w:val="17"/>
          <w:szCs w:val="17"/>
          <w:color w:val="231F20"/>
        </w:rPr>
        <w:t>As required by the Dodd-Frank Act and Section 14A of the Exchange Act, we are asking our shareholders to provide their input with regard to the frequency of future advisory votes on the compensation of our named executive officers, such as Proposal 5 of this proxy statement. In particular, we are asking whether the advisory vote on executive compensation should occur once every year, every two years or every three years.</w:t>
      </w:r>
    </w:p>
    <w:p>
      <w:pPr>
        <w:spacing w:after="0" w:line="164" w:lineRule="exact"/>
        <w:rPr>
          <w:sz w:val="20"/>
          <w:szCs w:val="20"/>
          <w:color w:val="auto"/>
        </w:rPr>
      </w:pPr>
    </w:p>
    <w:p>
      <w:pPr>
        <w:ind w:left="400" w:right="579" w:firstLine="360"/>
        <w:spacing w:after="0" w:line="253" w:lineRule="auto"/>
        <w:rPr>
          <w:sz w:val="20"/>
          <w:szCs w:val="20"/>
          <w:color w:val="auto"/>
        </w:rPr>
      </w:pPr>
      <w:r>
        <w:rPr>
          <w:rFonts w:ascii="Times New Roman" w:cs="Times New Roman" w:eastAsia="Times New Roman" w:hAnsi="Times New Roman"/>
          <w:sz w:val="18"/>
          <w:szCs w:val="18"/>
          <w:color w:val="231F20"/>
        </w:rPr>
        <w:t>The Board of Directors has determined that an advisory vote on executive compensation that occurs once every three years is the most appropriate alternative for the Company and therefore the Board recommends that you vote for a three-year interval for the advisory vote on executive compensation. In determining to recommend that shareholders vote for a frequency of once every three years, the Board considered how an advisory vote at this frequency will provide our shareholders with sufficient time to evaluate the effectiveness of our overall compensation philosophy, policies and practices in the context of our long-term business results for the corresponding period, while avoiding over-emphasis on short-term variations in compensation and business results. An advisory vote occurring once every three years will also permit our shareholders to observe and evaluate the effect of any changes to our executive compensation policies and practices which have occurred since the last advisory vote on executive compensation, including changes made in response to the outcome of a prior advisory vote on executive compensation. This approach will also allow the Board and the Remuneration Committee sufficient time to thoughtfully evaluate shareholder feedback, engage with shareholders, and make any appropriate adjustments to the executive compensation program.</w:t>
      </w:r>
    </w:p>
    <w:p>
      <w:pPr>
        <w:spacing w:after="0" w:line="187" w:lineRule="exact"/>
        <w:rPr>
          <w:sz w:val="20"/>
          <w:szCs w:val="20"/>
          <w:color w:val="auto"/>
        </w:rPr>
      </w:pPr>
    </w:p>
    <w:p>
      <w:pPr>
        <w:ind w:left="400" w:right="579" w:firstLine="360"/>
        <w:spacing w:after="0" w:line="254" w:lineRule="auto"/>
        <w:rPr>
          <w:sz w:val="20"/>
          <w:szCs w:val="20"/>
          <w:color w:val="auto"/>
        </w:rPr>
      </w:pPr>
      <w:r>
        <w:rPr>
          <w:rFonts w:ascii="Times New Roman" w:cs="Times New Roman" w:eastAsia="Times New Roman" w:hAnsi="Times New Roman"/>
          <w:sz w:val="18"/>
          <w:szCs w:val="18"/>
          <w:color w:val="231F20"/>
        </w:rPr>
        <w:t>You may cast your vote for your preferred voting frequency by choosing the option of one year, two years, or three years or electing to withhold your vote. The frequency that receives the affirmative vote of shareholders representing a simple majority of the total voting rights of shareholders present (in person or by proxy) who (being entitled to vote) vote on the proposal will be the frequency recommended by shareholders. If no frequency receives the foregoing level of support, then the Board of Director will consider the option of one year, two years, or three years that receives the highest number of votes cast to be the frequency recommended by shareholders. Withheld votes are not considered to be votes cast and, accordingly, will have no effect on the outcome of the vote on this proposal.</w:t>
      </w:r>
    </w:p>
    <w:p>
      <w:pPr>
        <w:spacing w:after="0" w:line="192" w:lineRule="exact"/>
        <w:rPr>
          <w:sz w:val="20"/>
          <w:szCs w:val="20"/>
          <w:color w:val="auto"/>
        </w:rPr>
      </w:pPr>
    </w:p>
    <w:p>
      <w:pPr>
        <w:ind w:left="400" w:right="679" w:firstLine="360"/>
        <w:spacing w:after="0" w:line="255" w:lineRule="auto"/>
        <w:rPr>
          <w:sz w:val="20"/>
          <w:szCs w:val="20"/>
          <w:color w:val="auto"/>
        </w:rPr>
      </w:pPr>
      <w:r>
        <w:rPr>
          <w:rFonts w:ascii="Times New Roman" w:cs="Times New Roman" w:eastAsia="Times New Roman" w:hAnsi="Times New Roman"/>
          <w:sz w:val="18"/>
          <w:szCs w:val="18"/>
          <w:color w:val="231F20"/>
        </w:rPr>
        <w:t>Your vote on this proposal is advisory, and therefore not binding on the Company or the Board, and will not be interpreted as overruling a decision by, or creating or implying any additional fiduciary duty for, the Board. Shareholders are not voting to approve or disapprove the Board of Directors’ recommendation. Rather, shareholders are being asked to express their preference regarding the frequency of future advisory votes to approve executive compensation. Although this vote is advisory and not binding, the Board will carefully review the results of the vote in making the determination as to the frequency of future advisory votes on our executive compensation.</w:t>
      </w:r>
    </w:p>
    <w:p>
      <w:pPr>
        <w:spacing w:after="0" w:line="185" w:lineRule="exact"/>
        <w:rPr>
          <w:sz w:val="20"/>
          <w:szCs w:val="20"/>
          <w:color w:val="auto"/>
        </w:rPr>
      </w:pPr>
    </w:p>
    <w:p>
      <w:pPr>
        <w:jc w:val="center"/>
        <w:ind w:left="1800"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BOARD OF DIRECTORS RECOMMENDS YOU VOTE, ON AN ADVISORY (NON-BINDING) BASIS, FOR THE OPTION OF ONCE EVERY THREE YEARS AS THE FREQUENCY WITH WHICH SHAREHOLDERS ARE PROVIDED AN ADVISORY VOTE ON EXECUTIVE COMPENSATION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b w:val="1"/>
          <w:bCs w:val="1"/>
          <w:color w:val="auto"/>
        </w:rPr>
        <w:t>ELECTION OF</w:t>
      </w:r>
    </w:p>
    <w:p>
      <w:pPr>
        <w:spacing w:after="0" w:line="31"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Our Board of Directors currently consists of ten directors.</w:t>
      </w:r>
    </w:p>
    <w:p>
      <w:pPr>
        <w:spacing w:after="0" w:line="279" w:lineRule="exact"/>
        <w:rPr>
          <w:sz w:val="20"/>
          <w:szCs w:val="20"/>
          <w:color w:val="auto"/>
        </w:rPr>
      </w:pPr>
    </w:p>
    <w:p>
      <w:pPr>
        <w:ind w:left="400" w:right="639" w:firstLine="360"/>
        <w:spacing w:after="0" w:line="254" w:lineRule="auto"/>
        <w:rPr>
          <w:sz w:val="20"/>
          <w:szCs w:val="20"/>
          <w:color w:val="auto"/>
        </w:rPr>
      </w:pPr>
      <w:r>
        <w:rPr>
          <w:rFonts w:ascii="Times New Roman" w:cs="Times New Roman" w:eastAsia="Times New Roman" w:hAnsi="Times New Roman"/>
          <w:sz w:val="18"/>
          <w:szCs w:val="18"/>
          <w:color w:val="231F20"/>
        </w:rPr>
        <w:t>Our Articles of Association require any director (i) in office who has been appointed by the Board since the previous general meeting, or (ii) for whom it is the third annual general meeting following the annual general meeting at which they were elected or last re-elected, to retire from office and (if they wish to continue to serve on the Board) stand for re-election by our shareholders. This is a constitutional arrangement that is routinely adopted by public limited companies incorporated in the United Kingdom. These provisions apply equally to all directors and ensure that each director is required to stand for re-election by our shareholders at regular intervals. For the avoidance of doubt, this arrangement does not amount to a “classified board” or “staggered board” structure of the sort adopted by some U.S. public companies, which typically have the intention of entrenching the positions of certain directors on a board.</w:t>
      </w:r>
    </w:p>
    <w:p>
      <w:pPr>
        <w:spacing w:after="0" w:line="242" w:lineRule="exact"/>
        <w:rPr>
          <w:sz w:val="20"/>
          <w:szCs w:val="20"/>
          <w:color w:val="auto"/>
        </w:rPr>
      </w:pPr>
    </w:p>
    <w:p>
      <w:pPr>
        <w:ind w:left="400" w:right="659" w:firstLine="360"/>
        <w:spacing w:after="0" w:line="258" w:lineRule="auto"/>
        <w:rPr>
          <w:sz w:val="20"/>
          <w:szCs w:val="20"/>
          <w:color w:val="auto"/>
        </w:rPr>
      </w:pPr>
      <w:r>
        <w:rPr>
          <w:rFonts w:ascii="Times New Roman" w:cs="Times New Roman" w:eastAsia="Times New Roman" w:hAnsi="Times New Roman"/>
          <w:sz w:val="18"/>
          <w:szCs w:val="18"/>
          <w:color w:val="231F20"/>
        </w:rPr>
        <w:t>Having carried out an evaluation of the individual performance of each of Dr. Deepika Pakianathan, Dr. Pierre Jacquet and Michael Wyzga with the support of the Nomination and Corporate Governance Committee, the Board is satisfied that their performance continues to be effective and that they continue to demonstrate commitment to their roles. The Board considers that it is entirely appropriate for each of Dr. Deepika Pakianathan, Dr. Pierre Jacquet and Michael Wyzga to seek re-election at the Meeting.</w:t>
      </w:r>
    </w:p>
    <w:p>
      <w:pPr>
        <w:spacing w:after="0" w:line="237" w:lineRule="exact"/>
        <w:rPr>
          <w:sz w:val="20"/>
          <w:szCs w:val="20"/>
          <w:color w:val="auto"/>
        </w:rPr>
      </w:pPr>
    </w:p>
    <w:p>
      <w:pPr>
        <w:ind w:left="400" w:right="759" w:firstLine="360"/>
        <w:spacing w:after="0" w:line="266" w:lineRule="auto"/>
        <w:rPr>
          <w:sz w:val="20"/>
          <w:szCs w:val="20"/>
          <w:color w:val="auto"/>
        </w:rPr>
      </w:pPr>
      <w:r>
        <w:rPr>
          <w:rFonts w:ascii="Times New Roman" w:cs="Times New Roman" w:eastAsia="Times New Roman" w:hAnsi="Times New Roman"/>
          <w:sz w:val="18"/>
          <w:szCs w:val="18"/>
          <w:color w:val="231F20"/>
        </w:rPr>
        <w:t>Each of the above directors has been nominated for re-election and no other nominees for directors have been presented. Therefore, it is anticipated that following the Meeting, if all of the above directors are re-elected, the Board of Directors will be comprised of ten members.</w:t>
      </w:r>
    </w:p>
    <w:p>
      <w:pPr>
        <w:spacing w:after="0" w:line="230" w:lineRule="exact"/>
        <w:rPr>
          <w:sz w:val="20"/>
          <w:szCs w:val="20"/>
          <w:color w:val="auto"/>
        </w:rPr>
      </w:pPr>
    </w:p>
    <w:p>
      <w:pPr>
        <w:ind w:left="400" w:right="819" w:firstLine="360"/>
        <w:spacing w:after="0" w:line="266" w:lineRule="auto"/>
        <w:rPr>
          <w:sz w:val="20"/>
          <w:szCs w:val="20"/>
          <w:color w:val="auto"/>
        </w:rPr>
      </w:pPr>
      <w:r>
        <w:rPr>
          <w:rFonts w:ascii="Times New Roman" w:cs="Times New Roman" w:eastAsia="Times New Roman" w:hAnsi="Times New Roman"/>
          <w:sz w:val="18"/>
          <w:szCs w:val="18"/>
          <w:color w:val="231F20"/>
        </w:rPr>
        <w:t>In connection with proposals 7 through 9, we set forth the biographical information for the nominees to our Board of Directors. For biographical information for the other directors see the section titled “</w:t>
      </w:r>
      <w:r>
        <w:rPr>
          <w:rFonts w:ascii="Times New Roman" w:cs="Times New Roman" w:eastAsia="Times New Roman" w:hAnsi="Times New Roman"/>
          <w:sz w:val="18"/>
          <w:szCs w:val="18"/>
          <w:i w:val="1"/>
          <w:iCs w:val="1"/>
          <w:color w:val="231F20"/>
        </w:rPr>
        <w:t>Board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Directors and Corporate Governance</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231F2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PROPOSAL 7 — RE-ELECTION OF DR. DEEPIKA PAKIANATHAN TO THE BOARD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OF DIRECTORS</w:t>
      </w:r>
    </w:p>
    <w:p>
      <w:pPr>
        <w:spacing w:after="0" w:line="261" w:lineRule="exact"/>
        <w:rPr>
          <w:sz w:val="20"/>
          <w:szCs w:val="20"/>
          <w:color w:val="auto"/>
        </w:rPr>
      </w:pPr>
    </w:p>
    <w:p>
      <w:pPr>
        <w:ind w:left="400" w:right="479" w:firstLine="363"/>
        <w:spacing w:after="0" w:line="262" w:lineRule="auto"/>
        <w:rPr>
          <w:sz w:val="20"/>
          <w:szCs w:val="20"/>
          <w:color w:val="auto"/>
        </w:rPr>
      </w:pPr>
      <w:r>
        <w:rPr>
          <w:rFonts w:ascii="Times New Roman" w:cs="Times New Roman" w:eastAsia="Times New Roman" w:hAnsi="Times New Roman"/>
          <w:sz w:val="18"/>
          <w:szCs w:val="18"/>
          <w:color w:val="231F20"/>
        </w:rPr>
        <w:t>Dr. Deepika Pakianathan is currently a member of our Board of Directors and has been nominated for re-election as a director. If elected, she will hold office from the date of her election until the third annual general meeting following this annual general meeting of shareholders upon which she must retire by rotation and offer herself for re-election, or until her earlier death, resignation or removal. Dr. Deepika Pakianathan has agreed to serve if elected, and we have no reason to believe that she will be unable to serve.</w:t>
      </w:r>
    </w:p>
    <w:p>
      <w:pPr>
        <w:spacing w:after="0" w:line="234" w:lineRule="exact"/>
        <w:rPr>
          <w:sz w:val="20"/>
          <w:szCs w:val="20"/>
          <w:color w:val="auto"/>
        </w:rPr>
      </w:pPr>
    </w:p>
    <w:p>
      <w:pPr>
        <w:ind w:left="400" w:right="479" w:firstLine="720"/>
        <w:spacing w:after="0" w:line="270" w:lineRule="auto"/>
        <w:rPr>
          <w:sz w:val="20"/>
          <w:szCs w:val="20"/>
          <w:color w:val="auto"/>
        </w:rPr>
      </w:pPr>
      <w:r>
        <w:rPr>
          <w:rFonts w:ascii="Times New Roman" w:cs="Times New Roman" w:eastAsia="Times New Roman" w:hAnsi="Times New Roman"/>
          <w:sz w:val="17"/>
          <w:szCs w:val="17"/>
          <w:color w:val="231F20"/>
        </w:rPr>
        <w:t>Dr. Pakianathan has served on our Board of Directors since April 2019 following completion of the merger of the Company with OncoMed Pharmaceuticals, Inc. (the “Merger”) and served as a director of OncoMed since December 2008 until the closing of the Merger. Since 2001, Dr. Pakianathan has been a Managing Member at Delphi Ventures, a venture capital firm focused on biotechnology and medical device investments. Dr. Pakianathan is also the Chief Executive Officer of a privately held start-up biotechnology company operating in stealth mode. Dr. Pakianathan serves on the boards of directors of Karyopharm Therapeutics, Inc. and Theravance Biopharma, Inc., and previously served on the boards of directors of Calithera Biosciences, Foresite Development Corp II, Alder Biopharmaceuticals, Inc., Foresite Development Corp I. and Relypsa, Inc. Dr. Pakianathan received a B.Sc. from the University of Bombay, India, a M.Sc. from The Cancer Research Institute at the University of Bombay, India, and an M.S. and Ph.D. from Wake Forest University.</w:t>
      </w:r>
    </w:p>
    <w:p>
      <w:pPr>
        <w:spacing w:after="0" w:line="231" w:lineRule="exact"/>
        <w:rPr>
          <w:sz w:val="20"/>
          <w:szCs w:val="20"/>
          <w:color w:val="auto"/>
        </w:rPr>
      </w:pPr>
    </w:p>
    <w:p>
      <w:pPr>
        <w:ind w:left="400" w:right="939" w:firstLine="360"/>
        <w:spacing w:after="0" w:line="266" w:lineRule="auto"/>
        <w:rPr>
          <w:sz w:val="20"/>
          <w:szCs w:val="20"/>
          <w:color w:val="auto"/>
        </w:rPr>
      </w:pPr>
      <w:r>
        <w:rPr>
          <w:rFonts w:ascii="Times New Roman" w:cs="Times New Roman" w:eastAsia="Times New Roman" w:hAnsi="Times New Roman"/>
          <w:sz w:val="18"/>
          <w:szCs w:val="18"/>
          <w:color w:val="231F20"/>
        </w:rPr>
        <w:t>Based on her extensive experience as a senior executive and board member in the pharmaceutical and healthcare sectors, the Nomination and Corporate Governance Committee concluded that Dr. Deepika Pakianathan is qualified to serve on our Board of Directors.</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RECOMMENDS A VOTE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FOR THE RE-ELECTION OF DR. DEEPIKA PAKIANATHAN TO THE BOARD OF DIRECTORS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PROPOSAL 8 — RE-ELECTION OF DR. PIERRE JACQUET TO THE BOARD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DIRECTORS</w:t>
      </w:r>
    </w:p>
    <w:p>
      <w:pPr>
        <w:spacing w:after="0" w:line="274" w:lineRule="exact"/>
        <w:rPr>
          <w:sz w:val="20"/>
          <w:szCs w:val="20"/>
          <w:color w:val="auto"/>
        </w:rPr>
      </w:pPr>
    </w:p>
    <w:p>
      <w:pPr>
        <w:ind w:left="400" w:right="439" w:firstLine="360"/>
        <w:spacing w:after="0" w:line="258" w:lineRule="auto"/>
        <w:rPr>
          <w:sz w:val="20"/>
          <w:szCs w:val="20"/>
          <w:color w:val="auto"/>
        </w:rPr>
      </w:pPr>
      <w:r>
        <w:rPr>
          <w:rFonts w:ascii="Times New Roman" w:cs="Times New Roman" w:eastAsia="Times New Roman" w:hAnsi="Times New Roman"/>
          <w:sz w:val="18"/>
          <w:szCs w:val="18"/>
          <w:color w:val="231F20"/>
        </w:rPr>
        <w:t>Dr. Pierre Jacquet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Dr. Jacquet has agreed to serve if elected, and we have no reason to believe that he will be unable to serve.</w:t>
      </w:r>
    </w:p>
    <w:p>
      <w:pPr>
        <w:spacing w:after="0" w:line="183" w:lineRule="exact"/>
        <w:rPr>
          <w:sz w:val="20"/>
          <w:szCs w:val="20"/>
          <w:color w:val="auto"/>
        </w:rPr>
      </w:pPr>
    </w:p>
    <w:p>
      <w:pPr>
        <w:ind w:left="400" w:right="479" w:firstLine="360"/>
        <w:spacing w:after="0" w:line="269" w:lineRule="auto"/>
        <w:rPr>
          <w:sz w:val="20"/>
          <w:szCs w:val="20"/>
          <w:color w:val="auto"/>
        </w:rPr>
      </w:pPr>
      <w:r>
        <w:rPr>
          <w:rFonts w:ascii="Times New Roman" w:cs="Times New Roman" w:eastAsia="Times New Roman" w:hAnsi="Times New Roman"/>
          <w:sz w:val="17"/>
          <w:szCs w:val="17"/>
          <w:color w:val="231F20"/>
        </w:rPr>
        <w:t>Dr. Jacquet has served on our Board of Directors since September 2021. Dr. Jacquet is currently Managing Director and Vice Chairman of L.E.K. 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Liege, Belgium and served as a Fellow at the Washington Cancer Institute, where he authored over 40 publications and presentations. In addition to serving on Mereo’s Board of Directors, Dr. Jacquet is a Director of Neurvati Neurosciences, on the Advisory Board of Life Science Cares, and previously served as a Director of Exact Sciences Corporation and Osprey Pharmaceuticals. He earned a Master of Business Administration from the Darden Graduate School at the University of Virginia, graduated Magna Cum Laude in Medicine from the University of Liege in Belgium and was awarded a Summa Cum Laude Doctor of Philosophy in biomedical sciences from the University of Liege in Belgium.</w:t>
      </w:r>
    </w:p>
    <w:p>
      <w:pPr>
        <w:spacing w:after="0" w:line="236" w:lineRule="exact"/>
        <w:rPr>
          <w:sz w:val="20"/>
          <w:szCs w:val="20"/>
          <w:color w:val="auto"/>
        </w:rPr>
      </w:pPr>
    </w:p>
    <w:p>
      <w:pPr>
        <w:ind w:left="400" w:right="479" w:firstLine="360"/>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pharmaceutical and healthcare sectors, the Nomination and Corporate Governance Committee concluded that Dr. Jacquet is qualified to serve on our Board of Directors.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DR. PIERRE JACQUET TO THE BOARD OF DIRECTORS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PROPOSAL 9 — RE-ELECTION OF MICHAEL WYZGA TO THE BOARD OF DIRECTORS</w:t>
      </w:r>
    </w:p>
    <w:p>
      <w:pPr>
        <w:spacing w:after="0" w:line="297" w:lineRule="exact"/>
        <w:rPr>
          <w:sz w:val="20"/>
          <w:szCs w:val="20"/>
          <w:color w:val="auto"/>
        </w:rPr>
      </w:pPr>
    </w:p>
    <w:p>
      <w:pPr>
        <w:ind w:left="400" w:right="559" w:firstLine="558"/>
        <w:spacing w:after="0" w:line="258" w:lineRule="auto"/>
        <w:rPr>
          <w:sz w:val="20"/>
          <w:szCs w:val="20"/>
          <w:color w:val="auto"/>
        </w:rPr>
      </w:pPr>
      <w:r>
        <w:rPr>
          <w:rFonts w:ascii="Times New Roman" w:cs="Times New Roman" w:eastAsia="Times New Roman" w:hAnsi="Times New Roman"/>
          <w:sz w:val="18"/>
          <w:szCs w:val="18"/>
          <w:color w:val="231F20"/>
        </w:rPr>
        <w:t>Michael Wyzga is currently a member of our Board of Directors and has been nominated for re-election as a director. If elected, he will hold office from the date of his election until the third annual general meeting following this annual general meeting of shareholders upon which he must retire by rotation and offer himself for re-election, or until his earlier death, resignation or removal. Michael Wyzga has agreed to serve if elected, and we have no reason to believe that he will be unable to serve.</w:t>
      </w:r>
    </w:p>
    <w:p>
      <w:pPr>
        <w:spacing w:after="0" w:line="210" w:lineRule="exact"/>
        <w:rPr>
          <w:sz w:val="20"/>
          <w:szCs w:val="20"/>
          <w:color w:val="auto"/>
        </w:rPr>
      </w:pPr>
    </w:p>
    <w:p>
      <w:pPr>
        <w:ind w:left="400" w:right="519" w:firstLine="557"/>
        <w:spacing w:after="0" w:line="252" w:lineRule="auto"/>
        <w:rPr>
          <w:sz w:val="20"/>
          <w:szCs w:val="20"/>
          <w:color w:val="auto"/>
        </w:rPr>
      </w:pPr>
      <w:r>
        <w:rPr>
          <w:rFonts w:ascii="Times New Roman" w:cs="Times New Roman" w:eastAsia="Times New Roman" w:hAnsi="Times New Roman"/>
          <w:sz w:val="18"/>
          <w:szCs w:val="18"/>
          <w:color w:val="231F20"/>
        </w:rPr>
        <w:t>Mr. Wyzga has served on our Board of Directors since April 2019 following completion of the Merger and had served as a director of OncoMed since October 2013 until the closing of the Merger. On May 14, 2020, we entered into the Consulting and Interim Chief Financial Officer Agreement with MSW Consulting Inc. and Michael Wyzga by which Mr. Wyzga served as Interim Chief Financial Officer from August 1, 2020 to January 4, 2021.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was previously a member of the boards of directors of Adagio Therapeutics Corporation and LogicBio. He is currently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w:t>
      </w:r>
    </w:p>
    <w:p>
      <w:pPr>
        <w:spacing w:after="0" w:line="251" w:lineRule="exact"/>
        <w:rPr>
          <w:sz w:val="20"/>
          <w:szCs w:val="20"/>
          <w:color w:val="auto"/>
        </w:rPr>
      </w:pPr>
    </w:p>
    <w:p>
      <w:pPr>
        <w:ind w:left="400" w:right="599" w:firstLine="720"/>
        <w:spacing w:after="0" w:line="266" w:lineRule="auto"/>
        <w:rPr>
          <w:sz w:val="20"/>
          <w:szCs w:val="20"/>
          <w:color w:val="auto"/>
        </w:rPr>
      </w:pPr>
      <w:r>
        <w:rPr>
          <w:rFonts w:ascii="Times New Roman" w:cs="Times New Roman" w:eastAsia="Times New Roman" w:hAnsi="Times New Roman"/>
          <w:sz w:val="18"/>
          <w:szCs w:val="18"/>
          <w:color w:val="231F20"/>
        </w:rPr>
        <w:t>Based on his extensive experience as a senior executive and board member in the pharmaceutical and healthcare sectors, the Nomination and Corporate Governance Committee concluded that Michael Wyzga is qualified to serve on our Board of Directors.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THE BOARD OF DIRECTORS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231F20"/>
        </w:rPr>
        <w:t>FOR THE RE-ELECTION OF MICHAEL WYZGA TO THE BOARD OF DIRECTORS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9" w:name="page30"/>
    <w:bookmarkEnd w:id="29"/>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BOARD OF DIRECTORS AND CORPORATE GOVERNANCE</w:t>
      </w:r>
    </w:p>
    <w:p>
      <w:pPr>
        <w:spacing w:after="0" w:line="2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231F20"/>
        </w:rPr>
        <w:t>Below is a list of our directors and their positions and ages as of the date of this proxy statement.</w:t>
      </w:r>
    </w:p>
    <w:p>
      <w:pPr>
        <w:spacing w:after="0" w:line="219"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Denise Scots-Knight</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 Wyzga</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70</w:t>
            </w:r>
          </w:p>
        </w:tc>
        <w:tc>
          <w:tcPr>
            <w:tcW w:w="16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and Director</w:t>
            </w: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Jeremy Bender</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Anders Ekblom</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70</w:t>
            </w:r>
          </w:p>
        </w:tc>
        <w:tc>
          <w:tcPr>
            <w:tcW w:w="16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Pierre Jacquet</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Annalisa Jenkins</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Deepika R. Pakianathan</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60</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Justin Roberts</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42</w:t>
            </w:r>
          </w:p>
        </w:tc>
        <w:tc>
          <w:tcPr>
            <w:tcW w:w="16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Daniel Shames</w:t>
            </w:r>
          </w:p>
        </w:tc>
        <w:tc>
          <w:tcPr>
            <w:tcW w:w="112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79</w:t>
            </w:r>
          </w:p>
        </w:tc>
        <w:tc>
          <w:tcPr>
            <w:tcW w:w="160" w:type="dxa"/>
            <w:vAlign w:val="bottom"/>
            <w:shd w:val="clear" w:color="auto" w:fill="CFF0FC"/>
          </w:tcPr>
          <w:p>
            <w:pPr>
              <w:spacing w:after="0"/>
              <w:rPr>
                <w:sz w:val="18"/>
                <w:szCs w:val="18"/>
                <w:color w:val="auto"/>
              </w:rPr>
            </w:pPr>
          </w:p>
        </w:tc>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Yoskowitz</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0"/>
                <w:szCs w:val="20"/>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47" w:lineRule="exact"/>
        <w:rPr>
          <w:sz w:val="20"/>
          <w:szCs w:val="20"/>
          <w:color w:val="auto"/>
        </w:rPr>
      </w:pPr>
    </w:p>
    <w:p>
      <w:pPr>
        <w:ind w:left="280" w:right="559" w:firstLine="648"/>
        <w:spacing w:after="0" w:line="258" w:lineRule="auto"/>
        <w:rPr>
          <w:sz w:val="20"/>
          <w:szCs w:val="20"/>
          <w:color w:val="auto"/>
        </w:rPr>
      </w:pPr>
      <w:r>
        <w:rPr>
          <w:rFonts w:ascii="Times New Roman" w:cs="Times New Roman" w:eastAsia="Times New Roman" w:hAnsi="Times New Roman"/>
          <w:sz w:val="18"/>
          <w:szCs w:val="18"/>
          <w:color w:val="231F20"/>
        </w:rPr>
        <w:t>During the year ended December 31, 2024, there were five meetings of our Board, six meetings of our Audit and Risk Committee, five meetings of our Remuneration Committee and no meetings of either our Nomination and Corporate Governance Committee or our Research and Development Committee. All of our then Directors attended a minimum of 75% of the aggregate of the meetings of the Board and meetings of the committees of which he or she was a member during 2024.</w:t>
      </w:r>
    </w:p>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Director Nominees</w:t>
      </w:r>
    </w:p>
    <w:p>
      <w:pPr>
        <w:spacing w:after="0" w:line="148" w:lineRule="exact"/>
        <w:rPr>
          <w:sz w:val="20"/>
          <w:szCs w:val="20"/>
          <w:color w:val="auto"/>
        </w:rPr>
      </w:pPr>
    </w:p>
    <w:p>
      <w:pPr>
        <w:ind w:left="400" w:right="519" w:firstLine="518"/>
        <w:spacing w:after="0" w:line="261" w:lineRule="auto"/>
        <w:rPr>
          <w:sz w:val="20"/>
          <w:szCs w:val="20"/>
          <w:color w:val="auto"/>
        </w:rPr>
      </w:pPr>
      <w:r>
        <w:rPr>
          <w:rFonts w:ascii="Times New Roman" w:cs="Times New Roman" w:eastAsia="Times New Roman" w:hAnsi="Times New Roman"/>
          <w:sz w:val="18"/>
          <w:szCs w:val="18"/>
          <w:color w:val="231F20"/>
        </w:rPr>
        <w:t xml:space="preserve">The biographical information for Dr. </w:t>
      </w:r>
      <w:r>
        <w:rPr>
          <w:rFonts w:ascii="Times New Roman" w:cs="Times New Roman" w:eastAsia="Times New Roman" w:hAnsi="Times New Roman"/>
          <w:sz w:val="18"/>
          <w:szCs w:val="18"/>
          <w:color w:val="000000"/>
        </w:rPr>
        <w:t>Deepika Pakianathan</w:t>
      </w:r>
      <w:r>
        <w:rPr>
          <w:rFonts w:ascii="Times New Roman" w:cs="Times New Roman" w:eastAsia="Times New Roman" w:hAnsi="Times New Roman"/>
          <w:sz w:val="18"/>
          <w:szCs w:val="18"/>
          <w:color w:val="231F20"/>
        </w:rPr>
        <w:t xml:space="preserve">, Dr. </w:t>
      </w:r>
      <w:r>
        <w:rPr>
          <w:rFonts w:ascii="Times New Roman" w:cs="Times New Roman" w:eastAsia="Times New Roman" w:hAnsi="Times New Roman"/>
          <w:sz w:val="18"/>
          <w:szCs w:val="18"/>
          <w:color w:val="000000"/>
        </w:rPr>
        <w:t>Pierre Jacquet</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Michael Wyzga</w:t>
      </w:r>
      <w:r>
        <w:rPr>
          <w:rFonts w:ascii="Times New Roman" w:cs="Times New Roman" w:eastAsia="Times New Roman" w:hAnsi="Times New Roman"/>
          <w:sz w:val="18"/>
          <w:szCs w:val="18"/>
          <w:color w:val="231F20"/>
        </w:rPr>
        <w:t>, the nominees to our Board, is provided in “</w:t>
      </w:r>
      <w:r>
        <w:rPr>
          <w:rFonts w:ascii="Times New Roman" w:cs="Times New Roman" w:eastAsia="Times New Roman" w:hAnsi="Times New Roman"/>
          <w:sz w:val="18"/>
          <w:szCs w:val="18"/>
          <w:i w:val="1"/>
          <w:iCs w:val="1"/>
          <w:color w:val="231F20"/>
        </w:rPr>
        <w:t>Proposal 7 — Re-election of Dr. Deepika Pakianathan to the Board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Directors</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i w:val="1"/>
          <w:iCs w:val="1"/>
          <w:color w:val="231F20"/>
        </w:rPr>
        <w:t xml:space="preserve">Proposal 8 — Re-election of Dr. </w:t>
      </w:r>
      <w:r>
        <w:rPr>
          <w:rFonts w:ascii="Times New Roman" w:cs="Times New Roman" w:eastAsia="Times New Roman" w:hAnsi="Times New Roman"/>
          <w:sz w:val="18"/>
          <w:szCs w:val="18"/>
          <w:i w:val="1"/>
          <w:iCs w:val="1"/>
          <w:color w:val="000000"/>
        </w:rPr>
        <w:t>Pierre Jacquet</w:t>
      </w:r>
      <w:r>
        <w:rPr>
          <w:rFonts w:ascii="Times New Roman" w:cs="Times New Roman" w:eastAsia="Times New Roman" w:hAnsi="Times New Roman"/>
          <w:sz w:val="18"/>
          <w:szCs w:val="18"/>
          <w:i w:val="1"/>
          <w:iCs w:val="1"/>
          <w:color w:val="231F20"/>
        </w:rPr>
        <w:t xml:space="preserve"> to the Board of Directors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Proposal 9 — Re-election of Michael Wyzga to the Board of Directors.</w:t>
      </w:r>
      <w:r>
        <w:rPr>
          <w:rFonts w:ascii="Times New Roman" w:cs="Times New Roman" w:eastAsia="Times New Roman" w:hAnsi="Times New Roman"/>
          <w:sz w:val="18"/>
          <w:szCs w:val="18"/>
          <w:color w:val="231F20"/>
        </w:rPr>
        <w:t>”</w:t>
      </w:r>
    </w:p>
    <w:p>
      <w:pPr>
        <w:spacing w:after="0" w:line="3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Continuing Directors</w:t>
      </w:r>
    </w:p>
    <w:p>
      <w:pPr>
        <w:spacing w:after="0" w:line="148" w:lineRule="exact"/>
        <w:rPr>
          <w:sz w:val="20"/>
          <w:szCs w:val="20"/>
          <w:color w:val="auto"/>
        </w:rPr>
      </w:pPr>
    </w:p>
    <w:p>
      <w:pPr>
        <w:ind w:left="360" w:right="859" w:firstLine="557"/>
        <w:spacing w:after="0" w:line="282" w:lineRule="auto"/>
        <w:rPr>
          <w:sz w:val="20"/>
          <w:szCs w:val="20"/>
          <w:color w:val="auto"/>
        </w:rPr>
      </w:pPr>
      <w:r>
        <w:rPr>
          <w:rFonts w:ascii="Times New Roman" w:cs="Times New Roman" w:eastAsia="Times New Roman" w:hAnsi="Times New Roman"/>
          <w:sz w:val="18"/>
          <w:szCs w:val="18"/>
          <w:color w:val="231F20"/>
        </w:rPr>
        <w:t>Biographical information for those directors who are not standing for re-election at this Meeting and who will remain seated following the Meeting follows below.</w:t>
      </w:r>
    </w:p>
    <w:p>
      <w:pPr>
        <w:spacing w:after="0" w:line="212" w:lineRule="exact"/>
        <w:rPr>
          <w:sz w:val="20"/>
          <w:szCs w:val="20"/>
          <w:color w:val="auto"/>
        </w:rPr>
      </w:pPr>
    </w:p>
    <w:p>
      <w:pPr>
        <w:ind w:left="280" w:right="41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Dr. Denise Scots-Knight. </w:t>
      </w:r>
      <w:r>
        <w:rPr>
          <w:rFonts w:ascii="Times New Roman" w:cs="Times New Roman" w:eastAsia="Times New Roman" w:hAnsi="Times New Roman"/>
          <w:sz w:val="18"/>
          <w:szCs w:val="18"/>
          <w:color w:val="2B333D"/>
        </w:rPr>
        <w:t>Dr. Scots-Knight has served as our Chief Executive Officer since July 2015 and</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as a member of our Board of Directors since our formation. From 2010 until joining us, Dr. Scots-Knight was the Managing Partner of Phase4 Partners Ltd. (“Phase4”), a global life science venture capital firm. Dr. Scots-Knight is currently a board member of Elanco Animal Health Incorporated (NYSE: ELAN). Dr. Scots-Knight previously served as a member of the board of directors of Idenix Pharmaceuticals (acquired by Merck), Albireo (acquired by Ipsen) and OncoMed and was an observer on the board of Proteolix (acquired by Onyx Pharma). Dr. Scots-Knight holds a B.Sc. (Hons.) and a Ph.D. from Birmingham University and was a Fulbright scholar at the University of Berkeley California.</w:t>
      </w:r>
    </w:p>
    <w:p>
      <w:pPr>
        <w:spacing w:after="0" w:line="185" w:lineRule="exact"/>
        <w:rPr>
          <w:sz w:val="20"/>
          <w:szCs w:val="20"/>
          <w:color w:val="auto"/>
        </w:rPr>
      </w:pPr>
    </w:p>
    <w:p>
      <w:pPr>
        <w:ind w:left="280" w:right="3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Dr. Jeremy Bender. </w:t>
      </w:r>
      <w:r>
        <w:rPr>
          <w:rFonts w:ascii="Times New Roman" w:cs="Times New Roman" w:eastAsia="Times New Roman" w:hAnsi="Times New Roman"/>
          <w:sz w:val="18"/>
          <w:szCs w:val="18"/>
          <w:color w:val="2B333D"/>
        </w:rPr>
        <w:t>Dr. Bender has served on our Board of Directors since October 2020. Dr. Bender is</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Chief Executive Officer and President of DayOne Biopharmaceuticals, Inc. (NASDAQ: DAWN). Dr. Bender also serves on the board of directors of Fusion Pharmaceuticals, Inc. Previously he served as Vice President of Corporate Development at Gilead Sciences, Inc., where he was responsible for development and negotiation of partnerships, alliances, joint ventures, equity investments, licensing agreements and M&amp;A transactions. Dr. Bender joined Gilead from Tizona Therapeutics, Inc., where he was Chief Operating Officer. Prior to Tizona, he was Chief Business Officer of Sutro Biopharma, Inc. Dr. Bender received his undergraduate degree in Biological Sciences from Stanford University and his Ph.D. in Microbiology &amp; Immunology from the University of Colorado. He also holds an M.B.A. from the MIT Sloan School of Management.</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0" w:name="page31"/>
    <w:bookmarkEnd w:id="30"/>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right="31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2B333D"/>
        </w:rPr>
        <w:t>Dr. Anders Ekblom</w:t>
      </w:r>
      <w:r>
        <w:rPr>
          <w:rFonts w:ascii="Times New Roman" w:cs="Times New Roman" w:eastAsia="Times New Roman" w:hAnsi="Times New Roman"/>
          <w:sz w:val="18"/>
          <w:szCs w:val="18"/>
          <w:color w:val="2B333D"/>
        </w:rPr>
        <w:t>. Dr. Ekblom has served on our Board of Directors since July 2015. Dr. Ekblom has</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held a number of executive positions at AstraZeneca, including Executive Vice President Global Drug Development, Executive Vice President Global Medicines Development, Global Head Clinical Development and Chief Executive Officer of AstraZeneca AB Sweden. He currently serves as Chairman of the Board of Alligator Bioscience AB, Atrogi AB, Elypta AB and Xspray Pharma AB, and on the boards of directors of AnaMar AB, Flerie AB and Synerkine Pharma Bv. Dr. Ekblom is a board-certified medical doctor and an Associate Professor at the Karolinska Institutet. Dr. Ekblom holds a M.D., Ph.D. and a D.D.S. from Karolinska Institutet.</w:t>
      </w:r>
    </w:p>
    <w:p>
      <w:pPr>
        <w:spacing w:after="0" w:line="183" w:lineRule="exact"/>
        <w:rPr>
          <w:sz w:val="20"/>
          <w:szCs w:val="20"/>
          <w:color w:val="auto"/>
        </w:rPr>
      </w:pPr>
    </w:p>
    <w:p>
      <w:pPr>
        <w:ind w:left="360" w:right="619" w:firstLine="557"/>
        <w:spacing w:after="0" w:line="271"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Dr. Annalisa Jenkins. </w:t>
      </w:r>
      <w:r>
        <w:rPr>
          <w:rFonts w:ascii="Times New Roman" w:cs="Times New Roman" w:eastAsia="Times New Roman" w:hAnsi="Times New Roman"/>
          <w:sz w:val="17"/>
          <w:szCs w:val="17"/>
          <w:color w:val="231F20"/>
        </w:rPr>
        <w:t>Dr. Jenkins has served on our Board of Directors since November 2022. Dr.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Jenkins served as president and CEO of Dimension Therapeutics, a leading NASDAQ listed gene therapy company that was acquired by Ultragenyx in November 2017. Prior leadership roles have included the head of global research and development at Merck Serono and SVP, Global Development at Bristol Myers-Squibb. Dr. Jenkins is a board member of Compass Pathways plc, Affimed GmbH and Skye Bioscience, Inc., as well as serving on the board, as a trustee or advisor to a number of public and private health and life science companies globally. She is also a board member of Genomics England and a trustee of The Kings Fund and The British Heart Foundation. Dr. Jenkins graduated with a degree in medicine from St. Bartholomew’s Hospital in the University of London and served as a Surgeon Lieutenant Commander in the British Royal Navy.</w:t>
      </w:r>
    </w:p>
    <w:p>
      <w:pPr>
        <w:spacing w:after="0" w:line="24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i w:val="1"/>
          <w:iCs w:val="1"/>
          <w:color w:val="231F20"/>
        </w:rPr>
        <w:t xml:space="preserve">Justin Roberts. </w:t>
      </w:r>
      <w:r>
        <w:rPr>
          <w:rFonts w:ascii="Times New Roman" w:cs="Times New Roman" w:eastAsia="Times New Roman" w:hAnsi="Times New Roman"/>
          <w:sz w:val="18"/>
          <w:szCs w:val="18"/>
          <w:color w:val="231F20"/>
        </w:rPr>
        <w:t>Justin Roberts has served on our Board of Directors since November 2022.</w:t>
      </w:r>
    </w:p>
    <w:p>
      <w:pPr>
        <w:spacing w:after="0" w:line="31" w:lineRule="exact"/>
        <w:rPr>
          <w:sz w:val="20"/>
          <w:szCs w:val="20"/>
          <w:color w:val="auto"/>
        </w:rPr>
      </w:pPr>
    </w:p>
    <w:p>
      <w:pPr>
        <w:ind w:left="360" w:right="459"/>
        <w:spacing w:after="0" w:line="253" w:lineRule="auto"/>
        <w:rPr>
          <w:sz w:val="20"/>
          <w:szCs w:val="20"/>
          <w:color w:val="auto"/>
        </w:rPr>
      </w:pPr>
      <w:r>
        <w:rPr>
          <w:rFonts w:ascii="Times New Roman" w:cs="Times New Roman" w:eastAsia="Times New Roman" w:hAnsi="Times New Roman"/>
          <w:sz w:val="18"/>
          <w:szCs w:val="18"/>
          <w:color w:val="231F20"/>
        </w:rPr>
        <w:t>Mr. Roberts is a Partner at Rubric Capital Management LP, a role he has held since the formation of the company in 2016. Before Rubric he spent seven years at Point72 Asset Management. Mr. Roberts currently serves on the board of directors of TherapeuticsMD, Inc. and has also held roles at ZS Associates, Moore Capital Management, and began his career at Lehman Brothers as an investment banker in their M&amp;A practice. Mr. Roberts graduated with honors from Johns Hopkins University.</w:t>
      </w:r>
    </w:p>
    <w:p>
      <w:pPr>
        <w:spacing w:after="0" w:line="183" w:lineRule="exact"/>
        <w:rPr>
          <w:sz w:val="20"/>
          <w:szCs w:val="20"/>
          <w:color w:val="auto"/>
        </w:rPr>
      </w:pPr>
    </w:p>
    <w:p>
      <w:pPr>
        <w:ind w:left="360" w:right="319" w:firstLine="557"/>
        <w:spacing w:after="0" w:line="254" w:lineRule="auto"/>
        <w:rPr>
          <w:sz w:val="20"/>
          <w:szCs w:val="20"/>
          <w:color w:val="auto"/>
        </w:rPr>
      </w:pPr>
      <w:r>
        <w:rPr>
          <w:rFonts w:ascii="Times New Roman" w:cs="Times New Roman" w:eastAsia="Times New Roman" w:hAnsi="Times New Roman"/>
          <w:sz w:val="18"/>
          <w:szCs w:val="18"/>
          <w:b w:val="1"/>
          <w:bCs w:val="1"/>
          <w:i w:val="1"/>
          <w:iCs w:val="1"/>
          <w:color w:val="231F20"/>
        </w:rPr>
        <w:t>Dr. Daniel Shames</w:t>
      </w:r>
      <w:r>
        <w:rPr>
          <w:rFonts w:ascii="Times New Roman" w:cs="Times New Roman" w:eastAsia="Times New Roman" w:hAnsi="Times New Roman"/>
          <w:sz w:val="18"/>
          <w:szCs w:val="18"/>
          <w:color w:val="231F20"/>
        </w:rPr>
        <w:t>. Dr. Shames has served on our Board of Directors since November 2022. Dr. Shames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has served as President of Daniel A. Shames Consulting, providing regulatory services to over 100 biotechnology and 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U.S. Army Medical Corps. Dr. Shames received his undergraduate degree from Brandeis University, his MD from Georgetown University School of Medicine, and did his urology residency at the University of Pennsylvania.</w:t>
      </w:r>
    </w:p>
    <w:p>
      <w:pPr>
        <w:spacing w:after="0" w:line="253" w:lineRule="exact"/>
        <w:rPr>
          <w:sz w:val="20"/>
          <w:szCs w:val="20"/>
          <w:color w:val="auto"/>
        </w:rPr>
      </w:pPr>
    </w:p>
    <w:p>
      <w:pPr>
        <w:ind w:left="360" w:right="41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2B333D"/>
        </w:rPr>
        <w:t xml:space="preserve">Marc Yoskowitz. </w:t>
      </w:r>
      <w:r>
        <w:rPr>
          <w:rFonts w:ascii="Times New Roman" w:cs="Times New Roman" w:eastAsia="Times New Roman" w:hAnsi="Times New Roman"/>
          <w:sz w:val="18"/>
          <w:szCs w:val="18"/>
          <w:color w:val="2B333D"/>
        </w:rPr>
        <w:t>Mr. Yoskowitz has served on our Board of Directors since November 2022. Mr.</w:t>
      </w:r>
      <w:r>
        <w:rPr>
          <w:rFonts w:ascii="Times New Roman" w:cs="Times New Roman" w:eastAsia="Times New Roman" w:hAnsi="Times New Roman"/>
          <w:sz w:val="18"/>
          <w:szCs w:val="18"/>
          <w:b w:val="1"/>
          <w:bCs w:val="1"/>
          <w:i w:val="1"/>
          <w:iCs w:val="1"/>
          <w:color w:val="2B333D"/>
        </w:rPr>
        <w:t xml:space="preserve"> </w:t>
      </w:r>
      <w:r>
        <w:rPr>
          <w:rFonts w:ascii="Times New Roman" w:cs="Times New Roman" w:eastAsia="Times New Roman" w:hAnsi="Times New Roman"/>
          <w:sz w:val="18"/>
          <w:szCs w:val="18"/>
          <w:color w:val="2B333D"/>
        </w:rPr>
        <w:t>Yoskowitz is Chief Executive Officer of Evozyne, Inc. and a Non-Executive Director of Endo, Inc. Previously he served as EVP and Chief Strategy Officer, Life Sciences at Tempus, Inc. Prior to Tempus, Mr. Yoskowitz was Chief Business Officer, Pfizer Essential Health, leading a range of corporate initiatives within the Pfizer portfolio. Prior to Pfizer, he served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1" w:name="page32"/>
    <w:bookmarkEnd w:id="31"/>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Structure of the Mereo Board</w:t>
      </w:r>
    </w:p>
    <w:p>
      <w:pPr>
        <w:spacing w:after="0" w:line="148" w:lineRule="exact"/>
        <w:rPr>
          <w:sz w:val="20"/>
          <w:szCs w:val="20"/>
          <w:color w:val="auto"/>
        </w:rPr>
      </w:pPr>
    </w:p>
    <w:p>
      <w:pPr>
        <w:ind w:left="360" w:right="379" w:firstLine="720"/>
        <w:spacing w:after="0" w:line="254" w:lineRule="auto"/>
        <w:rPr>
          <w:sz w:val="20"/>
          <w:szCs w:val="20"/>
          <w:color w:val="auto"/>
        </w:rPr>
      </w:pPr>
      <w:r>
        <w:rPr>
          <w:rFonts w:ascii="Times New Roman" w:cs="Times New Roman" w:eastAsia="Times New Roman" w:hAnsi="Times New Roman"/>
          <w:sz w:val="18"/>
          <w:szCs w:val="18"/>
          <w:color w:val="231F20"/>
        </w:rPr>
        <w:t>The leadership structure of our Board of Directors separates the positions of Chief Executive Officer and Chairman of the Board in order to ensure independent leadership of the Board. Our Board believes that this separation is appropriate for the Company at this time because it allows for a division of responsibilities, with our CEO focused on leading the Company while the Chairman can focus on leading the Board in its fundamental role of providing advice to and independent oversight of management. Specifically, the Chair presides over meetings of the Board, facilitates communications between management and the Board and assists with other corporate governance matters. We believe that having a non-executive Chair can enhance the effectiveness of the Board as a whole.</w:t>
      </w:r>
    </w:p>
    <w:p>
      <w:pPr>
        <w:spacing w:after="0" w:line="3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Composition of the Mereo Board</w:t>
      </w:r>
    </w:p>
    <w:p>
      <w:pPr>
        <w:spacing w:after="0" w:line="148" w:lineRule="exact"/>
        <w:rPr>
          <w:sz w:val="20"/>
          <w:szCs w:val="20"/>
          <w:color w:val="auto"/>
        </w:rPr>
      </w:pPr>
    </w:p>
    <w:p>
      <w:pPr>
        <w:ind w:left="360" w:right="579" w:firstLine="720"/>
        <w:spacing w:after="0" w:line="253" w:lineRule="auto"/>
        <w:rPr>
          <w:sz w:val="20"/>
          <w:szCs w:val="20"/>
          <w:color w:val="auto"/>
        </w:rPr>
      </w:pPr>
      <w:r>
        <w:rPr>
          <w:rFonts w:ascii="Times New Roman" w:cs="Times New Roman" w:eastAsia="Times New Roman" w:hAnsi="Times New Roman"/>
          <w:sz w:val="18"/>
          <w:szCs w:val="18"/>
          <w:color w:val="231F20"/>
        </w:rPr>
        <w:t>Our Board currently consists of ten members. We are required to have a board that is composed of a majority of independent directors, as defined under the Nasdaq Stock Market rules. In making the determination of whether a member of the board is independent, our Board considers, among other things, the information provided by the directors with regards to each director’s business and personal activities and any relationships they have with the Company or management, including with respect to their ownership of the Company’s ordinary shares. On the basis of such review and its understanding of such relationships and transactions, our Board affirmatively determined that Michael Wyzga, Jeremy Bender, Anders Ekblom, Pierre Jacquet, Annalisa Jenkins, Deepika Pakianathan, Justin Roberts, Daniel Shames and Marc Yoskowitz are “independent directors” as defined under the applicable rules and regulations of the SEC and the listing requirements and rules of the Nasdaq Stock Market, representing nine of our ten directors. Dr. Denise Scots-Knight is not an independent director due to her employment as Chief Executive Officer of the Company.</w:t>
      </w:r>
    </w:p>
    <w:p>
      <w:pPr>
        <w:spacing w:after="0" w:line="3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Board Oversight of Risk Management</w:t>
      </w:r>
    </w:p>
    <w:p>
      <w:pPr>
        <w:spacing w:after="0" w:line="13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231F20"/>
        </w:rPr>
        <w:t>Our management is primarily responsible for assessing and managing risk, while our Board</w:t>
      </w:r>
    </w:p>
    <w:p>
      <w:pPr>
        <w:spacing w:after="0" w:line="27" w:lineRule="exact"/>
        <w:rPr>
          <w:sz w:val="20"/>
          <w:szCs w:val="20"/>
          <w:color w:val="auto"/>
        </w:rPr>
      </w:pPr>
    </w:p>
    <w:p>
      <w:pPr>
        <w:ind w:left="360" w:right="539"/>
        <w:spacing w:after="0" w:line="276" w:lineRule="auto"/>
        <w:rPr>
          <w:sz w:val="20"/>
          <w:szCs w:val="20"/>
          <w:color w:val="auto"/>
        </w:rPr>
      </w:pPr>
      <w:r>
        <w:rPr>
          <w:rFonts w:ascii="Times New Roman" w:cs="Times New Roman" w:eastAsia="Times New Roman" w:hAnsi="Times New Roman"/>
          <w:sz w:val="18"/>
          <w:szCs w:val="18"/>
          <w:color w:val="231F20"/>
        </w:rPr>
        <w:t>of Directors is responsible for overseeing management’s execution of its responsibilities. Our Board of Directors is supported by its committees in fulfillment of this responsibility.</w:t>
      </w:r>
    </w:p>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Board Committees</w:t>
      </w:r>
    </w:p>
    <w:p>
      <w:pPr>
        <w:spacing w:after="0" w:line="148" w:lineRule="exact"/>
        <w:rPr>
          <w:sz w:val="20"/>
          <w:szCs w:val="20"/>
          <w:color w:val="auto"/>
        </w:rPr>
      </w:pPr>
    </w:p>
    <w:p>
      <w:pPr>
        <w:ind w:left="360" w:right="819" w:firstLine="720"/>
        <w:spacing w:after="0" w:line="266" w:lineRule="auto"/>
        <w:rPr>
          <w:sz w:val="20"/>
          <w:szCs w:val="20"/>
          <w:color w:val="auto"/>
        </w:rPr>
      </w:pPr>
      <w:r>
        <w:rPr>
          <w:rFonts w:ascii="Times New Roman" w:cs="Times New Roman" w:eastAsia="Times New Roman" w:hAnsi="Times New Roman"/>
          <w:sz w:val="18"/>
          <w:szCs w:val="18"/>
          <w:color w:val="231F20"/>
        </w:rPr>
        <w:t>The Mereo Board has four standing committees: the Audit and Risk Committee, the Remuneration Committee, the Nomination and Corporate Governance Committee, and the Research and Development Committee.</w:t>
      </w:r>
    </w:p>
    <w:p>
      <w:pPr>
        <w:spacing w:after="0" w:line="3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Audit and Risk Committee</w:t>
      </w:r>
    </w:p>
    <w:p>
      <w:pPr>
        <w:spacing w:after="0" w:line="1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Audit and Risk Committee which consists of Deepika Pakianathan, Annalisa Jenkins, Michael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Wyzga and Jeremy Bender, assists the board in overseeing our accounting and financial reporting processes and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the audits of our financial statements. Dr. Pakianathan serves as Chair of the committee. The Audit and Risk</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Committee consists exclusively of members of our Board who are financially literate, and Dr. Pakianathan is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considered an “audit committee financial expert” as defined by applicable SEC rules and has the requisite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financial sophistication as defined under the applicable Nasdaq rules and regulations. Our Board has determined</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that all of the members of the Audit and Risk Committee satisfy the “independence” requirements set forth in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Rule 10A-3 under the Exchange Act. The Audit and Risk Committee is governed by a charter that complies with</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Nasdaq rules, which is available on our website, at: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https://www.mereobiopharma.com/investors/corporategovernance/.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2" w:name="page33"/>
    <w:bookmarkEnd w:id="32"/>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Audit and Risk Committee’s responsibilities include:</w:t>
      </w:r>
    </w:p>
    <w:p>
      <w:pPr>
        <w:spacing w:after="0" w:line="252" w:lineRule="exact"/>
        <w:rPr>
          <w:sz w:val="20"/>
          <w:szCs w:val="20"/>
          <w:color w:val="auto"/>
        </w:rPr>
      </w:pPr>
    </w:p>
    <w:p>
      <w:pPr>
        <w:ind w:left="1160" w:hanging="441"/>
        <w:spacing w:after="0"/>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recommending the appointment of the independent auditor to the general meeting of shareholders;</w:t>
      </w:r>
    </w:p>
    <w:p>
      <w:pPr>
        <w:spacing w:after="0" w:line="252" w:lineRule="exact"/>
        <w:rPr>
          <w:rFonts w:ascii="Times New Roman" w:cs="Times New Roman" w:eastAsia="Times New Roman" w:hAnsi="Times New Roman"/>
          <w:sz w:val="18"/>
          <w:szCs w:val="18"/>
          <w:color w:val="231F20"/>
        </w:rPr>
      </w:pPr>
    </w:p>
    <w:p>
      <w:pPr>
        <w:ind w:left="1160" w:right="399" w:hanging="441"/>
        <w:spacing w:after="0" w:line="282" w:lineRule="auto"/>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appointment, compensation, retention and oversight of any accounting firm engaged for the purpose of preparing or issuing an audit report or performing other audit services;</w:t>
      </w:r>
    </w:p>
    <w:p>
      <w:pPr>
        <w:spacing w:after="0" w:line="188" w:lineRule="exact"/>
        <w:rPr>
          <w:rFonts w:ascii="Times New Roman" w:cs="Times New Roman" w:eastAsia="Times New Roman" w:hAnsi="Times New Roman"/>
          <w:sz w:val="18"/>
          <w:szCs w:val="18"/>
          <w:color w:val="231F20"/>
        </w:rPr>
      </w:pPr>
    </w:p>
    <w:p>
      <w:pPr>
        <w:ind w:left="1160" w:right="799" w:hanging="441"/>
        <w:spacing w:after="0" w:line="282" w:lineRule="auto"/>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pre-approving the audit services and non-audit services to be provided by our independent auditor before the auditor is engaged to render such services;</w:t>
      </w:r>
    </w:p>
    <w:p>
      <w:pPr>
        <w:spacing w:after="0" w:line="188" w:lineRule="exact"/>
        <w:rPr>
          <w:rFonts w:ascii="Times New Roman" w:cs="Times New Roman" w:eastAsia="Times New Roman" w:hAnsi="Times New Roman"/>
          <w:sz w:val="18"/>
          <w:szCs w:val="18"/>
          <w:color w:val="231F20"/>
        </w:rPr>
      </w:pPr>
    </w:p>
    <w:p>
      <w:pPr>
        <w:ind w:left="1160" w:right="519" w:hanging="441"/>
        <w:spacing w:after="0" w:line="282" w:lineRule="auto"/>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the independent auditor’s qualifications, performance and independence, and presenting its conclusions to the full board on at least an annual basis;</w:t>
      </w:r>
    </w:p>
    <w:p>
      <w:pPr>
        <w:spacing w:after="0" w:line="188" w:lineRule="exact"/>
        <w:rPr>
          <w:rFonts w:ascii="Times New Roman" w:cs="Times New Roman" w:eastAsia="Times New Roman" w:hAnsi="Times New Roman"/>
          <w:sz w:val="18"/>
          <w:szCs w:val="18"/>
          <w:color w:val="231F20"/>
        </w:rPr>
      </w:pPr>
    </w:p>
    <w:p>
      <w:pPr>
        <w:ind w:left="1160" w:right="939" w:hanging="441"/>
        <w:spacing w:after="0" w:line="282" w:lineRule="auto"/>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discussing with the executive officers, the board, and the independent auditor our financial statements and our financial reporting process;</w:t>
      </w:r>
    </w:p>
    <w:p>
      <w:pPr>
        <w:spacing w:after="0" w:line="188" w:lineRule="exact"/>
        <w:rPr>
          <w:rFonts w:ascii="Times New Roman" w:cs="Times New Roman" w:eastAsia="Times New Roman" w:hAnsi="Times New Roman"/>
          <w:sz w:val="18"/>
          <w:szCs w:val="18"/>
          <w:color w:val="231F20"/>
        </w:rPr>
      </w:pPr>
    </w:p>
    <w:p>
      <w:pPr>
        <w:ind w:left="1160" w:right="879" w:hanging="441"/>
        <w:spacing w:after="0" w:line="282" w:lineRule="auto"/>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or ratifying any related person transaction (as defined in our related person transaction policy) in accordance with our related person transaction policy;</w:t>
      </w:r>
    </w:p>
    <w:p>
      <w:pPr>
        <w:spacing w:after="0" w:line="188" w:lineRule="exact"/>
        <w:rPr>
          <w:rFonts w:ascii="Times New Roman" w:cs="Times New Roman" w:eastAsia="Times New Roman" w:hAnsi="Times New Roman"/>
          <w:sz w:val="18"/>
          <w:szCs w:val="18"/>
          <w:color w:val="231F20"/>
        </w:rPr>
      </w:pPr>
    </w:p>
    <w:p>
      <w:pPr>
        <w:ind w:left="1160" w:right="439" w:hanging="441"/>
        <w:spacing w:after="0" w:line="282" w:lineRule="auto"/>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procedures for the confidential anonymous submission of concerns regarding questionable accounting, internal controls or auditing matters; and</w:t>
      </w:r>
    </w:p>
    <w:p>
      <w:pPr>
        <w:spacing w:after="0" w:line="188"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monitoring the Company’s key risks, including financial and cybersecurity risks.</w:t>
      </w:r>
    </w:p>
    <w:p>
      <w:pPr>
        <w:spacing w:after="0" w:line="293" w:lineRule="exact"/>
        <w:rPr>
          <w:sz w:val="20"/>
          <w:szCs w:val="20"/>
          <w:color w:val="auto"/>
        </w:rPr>
      </w:pPr>
    </w:p>
    <w:p>
      <w:pPr>
        <w:ind w:left="360" w:right="799" w:firstLine="720"/>
        <w:spacing w:after="0" w:line="261" w:lineRule="auto"/>
        <w:rPr>
          <w:sz w:val="20"/>
          <w:szCs w:val="20"/>
          <w:color w:val="auto"/>
        </w:rPr>
      </w:pPr>
      <w:r>
        <w:rPr>
          <w:rFonts w:ascii="Times New Roman" w:cs="Times New Roman" w:eastAsia="Times New Roman" w:hAnsi="Times New Roman"/>
          <w:sz w:val="18"/>
          <w:szCs w:val="18"/>
          <w:color w:val="231F20"/>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3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Remuneration Committee</w:t>
      </w:r>
    </w:p>
    <w:p>
      <w:pPr>
        <w:spacing w:after="0" w:line="162" w:lineRule="exact"/>
        <w:rPr>
          <w:sz w:val="20"/>
          <w:szCs w:val="20"/>
          <w:color w:val="auto"/>
        </w:rPr>
      </w:pPr>
    </w:p>
    <w:p>
      <w:pPr>
        <w:ind w:left="360" w:right="459" w:firstLine="720"/>
        <w:spacing w:after="0" w:line="255" w:lineRule="auto"/>
        <w:rPr>
          <w:sz w:val="20"/>
          <w:szCs w:val="20"/>
          <w:color w:val="auto"/>
        </w:rPr>
      </w:pPr>
      <w:r>
        <w:rPr>
          <w:rFonts w:ascii="Times New Roman" w:cs="Times New Roman" w:eastAsia="Times New Roman" w:hAnsi="Times New Roman"/>
          <w:sz w:val="18"/>
          <w:szCs w:val="18"/>
          <w:color w:val="231F20"/>
        </w:rPr>
        <w:t>The Remuneration Committee which consists of Deepika Pakianathan, Justin Roberts and Anders Ekblom, assists the board in determining senior management compensation. Dr. Ekblom serves as Chairman of the committee. Under Nasdaq rules, there are heightened independence standards for members of the Remuneration Committee, including a prohibition against the receipt of any compensation from us other than standard board member fees. Our Board has determined that Dr. Pakianathan, Mr. Roberts and Dr. Ekblom meet this heightened standard. The Remuneration Committee is governed by a charter that complies with Nasdaq rules, which is available on our website, at: https://www.mereobiopharma.com/investors/corporategovernance.</w:t>
      </w:r>
    </w:p>
    <w:p>
      <w:pPr>
        <w:spacing w:after="0" w:line="25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Remuneration Committee’s responsibilities include:</w:t>
      </w:r>
    </w:p>
    <w:p>
      <w:pPr>
        <w:spacing w:after="0" w:line="252" w:lineRule="exact"/>
        <w:rPr>
          <w:sz w:val="20"/>
          <w:szCs w:val="20"/>
          <w:color w:val="auto"/>
        </w:rPr>
      </w:pPr>
    </w:p>
    <w:p>
      <w:pPr>
        <w:ind w:left="1160" w:right="439" w:hanging="441"/>
        <w:spacing w:after="0" w:line="266" w:lineRule="auto"/>
        <w:tabs>
          <w:tab w:leader="none" w:pos="11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determining and agreeing with the Mereo Board the framework or broad policy for the remuneration of the company’s chair, non-executive directors, CEO, any other executive directors, the company secretary and other members of senior management;</w:t>
      </w:r>
    </w:p>
    <w:p>
      <w:pPr>
        <w:spacing w:after="0" w:line="6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ongoing appropriateness and relevance of the remuneration policy;</w:t>
      </w:r>
    </w:p>
    <w:p>
      <w:pPr>
        <w:spacing w:after="0" w:line="117" w:lineRule="exact"/>
        <w:rPr>
          <w:rFonts w:ascii="Times New Roman" w:cs="Times New Roman" w:eastAsia="Times New Roman" w:hAnsi="Times New Roman"/>
          <w:sz w:val="18"/>
          <w:szCs w:val="18"/>
          <w:color w:val="231F20"/>
        </w:rPr>
      </w:pPr>
    </w:p>
    <w:p>
      <w:pPr>
        <w:ind w:left="1160" w:right="559" w:hanging="441"/>
        <w:spacing w:after="0" w:line="266" w:lineRule="auto"/>
        <w:tabs>
          <w:tab w:leader="none" w:pos="11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the design of, and determining the performance measures and targets for the company, and evaluating achievements against those targets any performance related pay schemes operated by the company and approving the total annual payments made under such schemes;</w:t>
      </w:r>
    </w:p>
    <w:p>
      <w:pPr>
        <w:spacing w:after="0" w:line="6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design of all share incentive plans for approval by the Mereo Board and shareholders;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3" w:name="page34"/>
    <w:bookmarkEnd w:id="33"/>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right="339" w:hanging="441"/>
        <w:spacing w:after="0" w:line="266" w:lineRule="auto"/>
        <w:tabs>
          <w:tab w:leader="none" w:pos="11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ensuring that contractual terms on termination of employment of any member of senior management, and any payments made, are fair to the individual, and the company, that failure is not rewarded and that the duty to mitigate loss is fully recognized;</w:t>
      </w:r>
    </w:p>
    <w:p>
      <w:pPr>
        <w:spacing w:after="0" w:line="67" w:lineRule="exact"/>
        <w:rPr>
          <w:rFonts w:ascii="Times New Roman" w:cs="Times New Roman" w:eastAsia="Times New Roman" w:hAnsi="Times New Roman"/>
          <w:sz w:val="18"/>
          <w:szCs w:val="18"/>
          <w:color w:val="231F20"/>
        </w:rPr>
      </w:pPr>
    </w:p>
    <w:p>
      <w:pPr>
        <w:ind w:left="1160" w:right="899" w:hanging="441"/>
        <w:spacing w:after="0" w:line="282" w:lineRule="auto"/>
        <w:tabs>
          <w:tab w:leader="none" w:pos="11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least annually, reviewing all incentive compensation arrangements to ensure that the design or implementation of those arrangements does not encourage unnecessary risk-taking;</w:t>
      </w:r>
    </w:p>
    <w:p>
      <w:pPr>
        <w:spacing w:after="0" w:line="53"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any major changes in employee benefits structures throughout the company;</w:t>
      </w:r>
    </w:p>
    <w:p>
      <w:pPr>
        <w:spacing w:after="0" w:line="117" w:lineRule="exact"/>
        <w:rPr>
          <w:rFonts w:ascii="Times New Roman" w:cs="Times New Roman" w:eastAsia="Times New Roman" w:hAnsi="Times New Roman"/>
          <w:sz w:val="18"/>
          <w:szCs w:val="18"/>
          <w:color w:val="231F20"/>
        </w:rPr>
      </w:pPr>
    </w:p>
    <w:p>
      <w:pPr>
        <w:ind w:left="1160" w:right="439" w:hanging="441"/>
        <w:spacing w:after="0" w:line="266" w:lineRule="auto"/>
        <w:tabs>
          <w:tab w:leader="none" w:pos="11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the selection criteria, selecting, appointing and setting the terms of reference for any compensation consultants who advise the committee after taking into consideration the factors relevant to advisor independence set forth in Nasdaq Listing Rule 5605(d)(3); and</w:t>
      </w:r>
    </w:p>
    <w:p>
      <w:pPr>
        <w:spacing w:after="0" w:line="67" w:lineRule="exact"/>
        <w:rPr>
          <w:rFonts w:ascii="Times New Roman" w:cs="Times New Roman" w:eastAsia="Times New Roman" w:hAnsi="Times New Roman"/>
          <w:sz w:val="18"/>
          <w:szCs w:val="18"/>
          <w:color w:val="231F20"/>
        </w:rPr>
      </w:pPr>
    </w:p>
    <w:p>
      <w:pPr>
        <w:ind w:left="1160" w:right="919" w:hanging="441"/>
        <w:spacing w:after="0" w:line="282" w:lineRule="auto"/>
        <w:tabs>
          <w:tab w:leader="none" w:pos="1160"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administering and overseeing the company’s compliance with the compensation recovery policy required by applicable SEC and Nasdaq rules.</w:t>
      </w:r>
    </w:p>
    <w:p>
      <w:pPr>
        <w:spacing w:after="0" w:line="1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 Processes and Procedures</w:t>
      </w:r>
    </w:p>
    <w:p>
      <w:pPr>
        <w:spacing w:after="0" w:line="229" w:lineRule="exact"/>
        <w:rPr>
          <w:sz w:val="20"/>
          <w:szCs w:val="20"/>
          <w:color w:val="auto"/>
        </w:rPr>
      </w:pPr>
    </w:p>
    <w:p>
      <w:pPr>
        <w:ind w:left="360" w:right="559" w:firstLine="720"/>
        <w:spacing w:after="0" w:line="254" w:lineRule="auto"/>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Remuneration Committee is required to meet at least twice per year, with additional meetings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convened as necessary by the Committee Chair. In 2024, the Remuneration Committee met five times. The agenda for each meeting is agreed with the Chair of the Remuneration Committee, in consultation with the appropriate members of the management team, with input from the compensation consultants or other external advisors, and other members of the Committee. The Remuneration Committee meets regularly in executive sessions, and only Remuneration Committee members have the right to attend these meetings. However, other individuals, such as the CEO, other executives, and external advisors, may be invited to attend when appropriate and necessary. The CEO is excluded from participating in deliberations or voting on their own compensation, though they may be invited to attend meetings where other executive compensation matters are discussed.</w:t>
      </w:r>
    </w:p>
    <w:p>
      <w:pPr>
        <w:spacing w:after="0" w:line="188" w:lineRule="exact"/>
        <w:rPr>
          <w:sz w:val="20"/>
          <w:szCs w:val="20"/>
          <w:color w:val="auto"/>
        </w:rPr>
      </w:pPr>
    </w:p>
    <w:p>
      <w:pPr>
        <w:ind w:left="360" w:right="579" w:firstLine="720"/>
        <w:spacing w:after="0" w:line="255" w:lineRule="auto"/>
        <w:rPr>
          <w:sz w:val="20"/>
          <w:szCs w:val="20"/>
          <w:color w:val="auto"/>
        </w:rPr>
      </w:pPr>
      <w:r>
        <w:rPr>
          <w:rFonts w:ascii="Times New Roman" w:cs="Times New Roman" w:eastAsia="Times New Roman" w:hAnsi="Times New Roman"/>
          <w:sz w:val="18"/>
          <w:szCs w:val="18"/>
          <w:color w:val="auto"/>
        </w:rPr>
        <w:t>The Remuneration Committee is authorized to delegate authority to one or more subcommittees as deemed appropriate. The Committee also has the authority to retain or obtain the advice of compensation consultants, legal counsel, or other external advisors, including the selection, retention, and approval of fees and other retention terms at the Company's expense. When retaining such advisors, the Remuneration Committee considers factors affecting their independence, in line with the applicable Nasdaq rules. While the Committee must consider these factors, it is free to select or receive advice from a consultant that may not be independent. The Committee is directly responsible for overseeing the work of any consultants or advisors it engages.</w:t>
      </w:r>
    </w:p>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Nomination and Corporate Governance Committee</w:t>
      </w:r>
    </w:p>
    <w:p>
      <w:pPr>
        <w:spacing w:after="0" w:line="135" w:lineRule="exact"/>
        <w:rPr>
          <w:sz w:val="20"/>
          <w:szCs w:val="20"/>
          <w:color w:val="auto"/>
        </w:rPr>
      </w:pPr>
    </w:p>
    <w:p>
      <w:pPr>
        <w:ind w:left="360" w:right="739" w:firstLine="720"/>
        <w:spacing w:after="0" w:line="255" w:lineRule="auto"/>
        <w:rPr>
          <w:sz w:val="20"/>
          <w:szCs w:val="20"/>
          <w:color w:val="auto"/>
        </w:rPr>
      </w:pPr>
      <w:r>
        <w:rPr>
          <w:rFonts w:ascii="Times New Roman" w:cs="Times New Roman" w:eastAsia="Times New Roman" w:hAnsi="Times New Roman"/>
          <w:sz w:val="18"/>
          <w:szCs w:val="18"/>
          <w:color w:val="231F20"/>
        </w:rPr>
        <w:t>The Nomination and Corporate Governance Committee which consists of Michael Wyzga, Jeremy Bender, Pierre Jacquet, and Justin Roberts, assists our Board in identifying individuals qualified to become members of our Board and senior management consistent with criteria established by our Board and in developing our corporate governance principles. Mr. Wyzga serves as Chair of the Nomination and Corporate Governance Committee. The Nomination and Corporate Governance Committee is governed by a charter that complies with Nasdaq rules, which is available on our website, at: https://www.mereobiopharma.com/investors/corporategovernance/.</w:t>
      </w:r>
    </w:p>
    <w:p>
      <w:pPr>
        <w:spacing w:after="0" w:line="18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Nomination and Corporate Governance Committee’s responsibilities include:</w:t>
      </w:r>
    </w:p>
    <w:p>
      <w:pPr>
        <w:spacing w:after="0" w:line="333" w:lineRule="exact"/>
        <w:rPr>
          <w:sz w:val="20"/>
          <w:szCs w:val="20"/>
          <w:color w:val="auto"/>
        </w:rPr>
      </w:pPr>
    </w:p>
    <w:p>
      <w:pPr>
        <w:ind w:left="1160" w:hanging="441"/>
        <w:spacing w:after="0"/>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drawing up selection criteria and appointment procedures for board members;</w:t>
      </w:r>
    </w:p>
    <w:p>
      <w:pPr>
        <w:spacing w:after="0" w:line="117" w:lineRule="exact"/>
        <w:rPr>
          <w:rFonts w:ascii="Times New Roman" w:cs="Times New Roman" w:eastAsia="Times New Roman" w:hAnsi="Times New Roman"/>
          <w:sz w:val="18"/>
          <w:szCs w:val="18"/>
          <w:color w:val="231F20"/>
        </w:rPr>
      </w:pPr>
    </w:p>
    <w:p>
      <w:pPr>
        <w:ind w:left="1160" w:right="117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evaluating the size and composition of our Board and making a proposal for a composition profile of the board at least annually;</w:t>
      </w:r>
    </w:p>
    <w:p>
      <w:pPr>
        <w:spacing w:after="0" w:line="53" w:lineRule="exact"/>
        <w:rPr>
          <w:rFonts w:ascii="Times New Roman" w:cs="Times New Roman" w:eastAsia="Times New Roman" w:hAnsi="Times New Roman"/>
          <w:sz w:val="18"/>
          <w:szCs w:val="18"/>
          <w:color w:val="231F20"/>
        </w:rPr>
      </w:pPr>
    </w:p>
    <w:p>
      <w:pPr>
        <w:ind w:left="1160" w:right="699" w:hanging="441"/>
        <w:spacing w:after="0" w:line="282" w:lineRule="auto"/>
        <w:tabs>
          <w:tab w:leader="none" w:pos="116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the performance of Board committees and recommending changes to the composition of those committees as necessary;</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4" w:name="page35"/>
    <w:bookmarkEnd w:id="34"/>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hanging="441"/>
        <w:spacing w:after="0"/>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recommending nominees for election to our Board and its corresponding committees;</w:t>
      </w:r>
    </w:p>
    <w:p>
      <w:pPr>
        <w:spacing w:after="0" w:line="117" w:lineRule="exact"/>
        <w:rPr>
          <w:rFonts w:ascii="Times New Roman" w:cs="Times New Roman" w:eastAsia="Times New Roman" w:hAnsi="Times New Roman"/>
          <w:sz w:val="18"/>
          <w:szCs w:val="18"/>
          <w:color w:val="231F20"/>
        </w:rPr>
      </w:pPr>
    </w:p>
    <w:p>
      <w:pPr>
        <w:ind w:left="1160" w:right="439" w:hanging="441"/>
        <w:spacing w:after="0" w:line="282" w:lineRule="auto"/>
        <w:tabs>
          <w:tab w:leader="none" w:pos="116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assessing the functioning of individual members of the board and senior management and reporting the results of such assessment to the board; and</w:t>
      </w:r>
    </w:p>
    <w:p>
      <w:pPr>
        <w:spacing w:after="0" w:line="53" w:lineRule="exact"/>
        <w:rPr>
          <w:rFonts w:ascii="Times New Roman" w:cs="Times New Roman" w:eastAsia="Times New Roman" w:hAnsi="Times New Roman"/>
          <w:sz w:val="18"/>
          <w:szCs w:val="18"/>
          <w:color w:val="231F20"/>
        </w:rPr>
      </w:pPr>
    </w:p>
    <w:p>
      <w:pPr>
        <w:ind w:left="1160" w:right="579" w:hanging="441"/>
        <w:spacing w:after="0" w:line="312" w:lineRule="auto"/>
        <w:tabs>
          <w:tab w:leader="none" w:pos="1160" w:val="left"/>
        </w:tabs>
        <w:numPr>
          <w:ilvl w:val="0"/>
          <w:numId w:val="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developing and recommending to the Board rules governing the board, reviewing and reassessing the adequacy of such rules governing the board, and recommending any proposed changes to the board.</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Committee</w:t>
      </w:r>
    </w:p>
    <w:p>
      <w:pPr>
        <w:spacing w:after="0" w:line="135" w:lineRule="exact"/>
        <w:rPr>
          <w:sz w:val="20"/>
          <w:szCs w:val="20"/>
          <w:color w:val="auto"/>
        </w:rPr>
      </w:pPr>
    </w:p>
    <w:p>
      <w:pPr>
        <w:ind w:left="360" w:right="659" w:firstLine="720"/>
        <w:spacing w:after="0" w:line="258" w:lineRule="auto"/>
        <w:rPr>
          <w:sz w:val="20"/>
          <w:szCs w:val="20"/>
          <w:color w:val="auto"/>
        </w:rPr>
      </w:pPr>
      <w:r>
        <w:rPr>
          <w:rFonts w:ascii="Times New Roman" w:cs="Times New Roman" w:eastAsia="Times New Roman" w:hAnsi="Times New Roman"/>
          <w:sz w:val="18"/>
          <w:szCs w:val="18"/>
          <w:color w:val="231F20"/>
        </w:rPr>
        <w:t>The Research and Development Committee, which consists of Pierre Jacquet, Daniel Shames, Marc Yoskowitz and Anders Ekblom, assists our senior management with oversight and guidance related to strategic research and development matters and provides guidance and makes recommendations to our Board regarding strategic research and development matters. Dr. Ekblom serves as Chair of the Research and Development Committee.</w:t>
      </w:r>
    </w:p>
    <w:p>
      <w:pPr>
        <w:spacing w:after="0" w:line="19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The Research and Development Committee’s responsibilities include oversight of:</w:t>
      </w:r>
    </w:p>
    <w:p>
      <w:pPr>
        <w:spacing w:after="0" w:line="360" w:lineRule="exact"/>
        <w:rPr>
          <w:sz w:val="20"/>
          <w:szCs w:val="20"/>
          <w:color w:val="auto"/>
        </w:rPr>
      </w:pPr>
    </w:p>
    <w:p>
      <w:pPr>
        <w:ind w:left="1160" w:right="619" w:hanging="441"/>
        <w:spacing w:after="0" w:line="282" w:lineRule="auto"/>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strategic development plans for product candidates, taking into account any regulatory feedback; and</w:t>
      </w:r>
    </w:p>
    <w:p>
      <w:pPr>
        <w:spacing w:after="0" w:line="53"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acquisition of new product candidates.</w:t>
      </w:r>
    </w:p>
    <w:p>
      <w:pPr>
        <w:spacing w:after="0" w:line="239" w:lineRule="exact"/>
        <w:rPr>
          <w:sz w:val="20"/>
          <w:szCs w:val="20"/>
          <w:color w:val="auto"/>
        </w:rPr>
      </w:pPr>
    </w:p>
    <w:p>
      <w:pPr>
        <w:jc w:val="both"/>
        <w:ind w:left="360" w:right="759" w:firstLine="720"/>
        <w:spacing w:after="0" w:line="266" w:lineRule="auto"/>
        <w:rPr>
          <w:sz w:val="20"/>
          <w:szCs w:val="20"/>
          <w:color w:val="auto"/>
        </w:rPr>
      </w:pPr>
      <w:r>
        <w:rPr>
          <w:rFonts w:ascii="Times New Roman" w:cs="Times New Roman" w:eastAsia="Times New Roman" w:hAnsi="Times New Roman"/>
          <w:sz w:val="18"/>
          <w:szCs w:val="18"/>
          <w:color w:val="231F20"/>
        </w:rPr>
        <w:t>In addition, the Research and Development Committee is tasked with keeping informed of strategic issues (regulatory, competitive landscape and commercial) affecting our development programs and potential product acquisitions.</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Code of Business Conduct and Ethics</w:t>
      </w:r>
    </w:p>
    <w:p>
      <w:pPr>
        <w:spacing w:after="0" w:line="135" w:lineRule="exact"/>
        <w:rPr>
          <w:sz w:val="20"/>
          <w:szCs w:val="20"/>
          <w:color w:val="auto"/>
        </w:rPr>
      </w:pPr>
    </w:p>
    <w:p>
      <w:pPr>
        <w:ind w:left="360" w:right="379" w:firstLine="720"/>
        <w:spacing w:after="0" w:line="255" w:lineRule="auto"/>
        <w:rPr>
          <w:sz w:val="20"/>
          <w:szCs w:val="20"/>
          <w:color w:val="auto"/>
        </w:rPr>
      </w:pPr>
      <w:r>
        <w:rPr>
          <w:rFonts w:ascii="Times New Roman" w:cs="Times New Roman" w:eastAsia="Times New Roman" w:hAnsi="Times New Roman"/>
          <w:sz w:val="18"/>
          <w:szCs w:val="18"/>
          <w:color w:val="231F20"/>
        </w:rPr>
        <w:t xml:space="preserve">The Company currently maintains a Code of Business Conduct and Ethics which applies to all directors, officers, and employees. A copy of our Code of Business Conduct and Ethics can be found on our website at </w:t>
      </w:r>
      <w:r>
        <w:rPr>
          <w:rFonts w:ascii="Times New Roman" w:cs="Times New Roman" w:eastAsia="Times New Roman" w:hAnsi="Times New Roman"/>
          <w:sz w:val="18"/>
          <w:szCs w:val="18"/>
          <w:color w:val="000000"/>
        </w:rPr>
        <w:t xml:space="preserve">www.mereobiopharma.com </w:t>
      </w:r>
      <w:r>
        <w:rPr>
          <w:rFonts w:ascii="Times New Roman" w:cs="Times New Roman" w:eastAsia="Times New Roman" w:hAnsi="Times New Roman"/>
          <w:sz w:val="18"/>
          <w:szCs w:val="18"/>
          <w:color w:val="231F20"/>
        </w:rPr>
        <w:t>in the “Investors” section under “Corporate Governance.” We intend to satisfy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w:t>
      </w:r>
    </w:p>
    <w:p>
      <w:pPr>
        <w:spacing w:after="0" w:line="3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Delinquent Section 16(a) Reports</w:t>
      </w:r>
    </w:p>
    <w:p>
      <w:pPr>
        <w:spacing w:after="0" w:line="121" w:lineRule="exact"/>
        <w:rPr>
          <w:sz w:val="20"/>
          <w:szCs w:val="20"/>
          <w:color w:val="auto"/>
        </w:rPr>
      </w:pPr>
    </w:p>
    <w:p>
      <w:pPr>
        <w:ind w:left="360" w:right="959" w:firstLine="720"/>
        <w:spacing w:after="0" w:line="266" w:lineRule="auto"/>
        <w:rPr>
          <w:sz w:val="20"/>
          <w:szCs w:val="20"/>
          <w:color w:val="auto"/>
        </w:rPr>
      </w:pPr>
      <w:r>
        <w:rPr>
          <w:rFonts w:ascii="Times New Roman" w:cs="Times New Roman" w:eastAsia="Times New Roman" w:hAnsi="Times New Roman"/>
          <w:sz w:val="18"/>
          <w:szCs w:val="18"/>
          <w:color w:val="231F20"/>
        </w:rPr>
        <w:t>During the year ended December 31, 2024, based solely on a review of the reports furnished to the Company, or written representations by persons subject to Section 16(a), the Company believes that all executive officers and directors complied with Section 16(a) filing requirements applicable to us.</w:t>
      </w: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Policy Prohibiting Hedging and Pledging</w:t>
      </w:r>
    </w:p>
    <w:p>
      <w:pPr>
        <w:spacing w:after="0" w:line="121" w:lineRule="exact"/>
        <w:rPr>
          <w:sz w:val="20"/>
          <w:szCs w:val="20"/>
          <w:color w:val="auto"/>
        </w:rPr>
      </w:pPr>
    </w:p>
    <w:p>
      <w:pPr>
        <w:ind w:left="360" w:right="579" w:firstLine="360"/>
        <w:spacing w:after="0" w:line="266" w:lineRule="auto"/>
        <w:rPr>
          <w:sz w:val="20"/>
          <w:szCs w:val="20"/>
          <w:color w:val="auto"/>
        </w:rPr>
      </w:pPr>
      <w:r>
        <w:rPr>
          <w:rFonts w:ascii="Times New Roman" w:cs="Times New Roman" w:eastAsia="Times New Roman" w:hAnsi="Times New Roman"/>
          <w:sz w:val="18"/>
          <w:szCs w:val="18"/>
          <w:color w:val="231F20"/>
        </w:rPr>
        <w:t>Pursuant to our Insider Trading Policy, our officers, directors, and employees are prohibited from engaging in speculative trading, including hedging transactions or short sale transactions with respect to Company securities.</w:t>
      </w:r>
    </w:p>
    <w:p>
      <w:pPr>
        <w:spacing w:after="0" w:line="2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Clawback Policy</w:t>
      </w:r>
    </w:p>
    <w:p>
      <w:pPr>
        <w:spacing w:after="0" w:line="135" w:lineRule="exact"/>
        <w:rPr>
          <w:sz w:val="20"/>
          <w:szCs w:val="20"/>
          <w:color w:val="auto"/>
        </w:rPr>
      </w:pPr>
    </w:p>
    <w:p>
      <w:pPr>
        <w:ind w:left="360" w:right="499" w:firstLine="720"/>
        <w:spacing w:after="0" w:line="258" w:lineRule="auto"/>
        <w:rPr>
          <w:sz w:val="20"/>
          <w:szCs w:val="20"/>
          <w:color w:val="auto"/>
        </w:rPr>
      </w:pPr>
      <w:r>
        <w:rPr>
          <w:rFonts w:ascii="Times New Roman" w:cs="Times New Roman" w:eastAsia="Times New Roman" w:hAnsi="Times New Roman"/>
          <w:sz w:val="18"/>
          <w:szCs w:val="18"/>
          <w:color w:val="231F20"/>
        </w:rPr>
        <w:t>The Company has adopted a compensation recovery policy as required by Rule 10D-1 under the Securities Exchange Act of 1934, as amended, and the corresponding listing standards of the Nasdaq Stock Exchange. This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5" w:name="page36"/>
    <w:bookmarkEnd w:id="35"/>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479"/>
        <w:spacing w:after="0" w:line="282" w:lineRule="auto"/>
        <w:rPr>
          <w:sz w:val="20"/>
          <w:szCs w:val="20"/>
          <w:color w:val="auto"/>
        </w:rPr>
      </w:pPr>
      <w:r>
        <w:rPr>
          <w:rFonts w:ascii="Times New Roman" w:cs="Times New Roman" w:eastAsia="Times New Roman" w:hAnsi="Times New Roman"/>
          <w:sz w:val="18"/>
          <w:szCs w:val="18"/>
          <w:color w:val="231F20"/>
        </w:rPr>
        <w:t>is the excess of the amount of incentive-based compensation received over the amount that otherwise would have been received had it been determined based on the restated financial measure.</w:t>
      </w:r>
    </w:p>
    <w:p>
      <w:pPr>
        <w:spacing w:after="0" w:line="2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Insider Trading Policy</w:t>
      </w:r>
    </w:p>
    <w:p>
      <w:pPr>
        <w:spacing w:after="0" w:line="121" w:lineRule="exact"/>
        <w:rPr>
          <w:sz w:val="20"/>
          <w:szCs w:val="20"/>
          <w:color w:val="auto"/>
        </w:rPr>
      </w:pPr>
    </w:p>
    <w:p>
      <w:pPr>
        <w:ind w:left="360" w:right="319" w:firstLine="557"/>
        <w:spacing w:after="0" w:line="261" w:lineRule="auto"/>
        <w:rPr>
          <w:sz w:val="20"/>
          <w:szCs w:val="20"/>
          <w:color w:val="auto"/>
        </w:rPr>
      </w:pPr>
      <w:r>
        <w:rPr>
          <w:rFonts w:ascii="Times New Roman" w:cs="Times New Roman" w:eastAsia="Times New Roman" w:hAnsi="Times New Roman"/>
          <w:sz w:val="18"/>
          <w:szCs w:val="18"/>
          <w:color w:val="231F20"/>
        </w:rPr>
        <w:t>The Company has adopted an insider trading policy governing the purchase, sale, and other dispositions of our securities by our directors, officers, employees, agents, consultants and other covered persons that we believe is reasonably designed to promote compliance with insider trading laws, rules, regulations, and applicable listing standards.</w:t>
      </w: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Director Nomination Process</w:t>
      </w:r>
    </w:p>
    <w:p>
      <w:pPr>
        <w:spacing w:after="0" w:line="121" w:lineRule="exact"/>
        <w:rPr>
          <w:sz w:val="20"/>
          <w:szCs w:val="20"/>
          <w:color w:val="auto"/>
        </w:rPr>
      </w:pPr>
    </w:p>
    <w:p>
      <w:pPr>
        <w:ind w:left="360" w:right="539" w:firstLine="360"/>
        <w:spacing w:after="0" w:line="261" w:lineRule="auto"/>
        <w:rPr>
          <w:sz w:val="20"/>
          <w:szCs w:val="20"/>
          <w:color w:val="auto"/>
        </w:rPr>
      </w:pPr>
      <w:r>
        <w:rPr>
          <w:rFonts w:ascii="Times New Roman" w:cs="Times New Roman" w:eastAsia="Times New Roman" w:hAnsi="Times New Roman"/>
          <w:sz w:val="18"/>
          <w:szCs w:val="18"/>
          <w:color w:val="231F20"/>
        </w:rPr>
        <w:t>The Nomination and Corporate Governance Committee of the Board of Directors reviews possible candidates for the Board and recommends the nominees for Directors to the Board for approval. The criteria that the Nomination and Corporate Governance Committee and the Board of Directors look for in determining candidates for election to the Board, include, among others:</w:t>
      </w:r>
    </w:p>
    <w:p>
      <w:pPr>
        <w:spacing w:after="0" w:line="72" w:lineRule="exact"/>
        <w:rPr>
          <w:sz w:val="20"/>
          <w:szCs w:val="20"/>
          <w:color w:val="auto"/>
        </w:rPr>
      </w:pPr>
    </w:p>
    <w:p>
      <w:pPr>
        <w:ind w:left="1160" w:hanging="441"/>
        <w:spacing w:after="0"/>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highest personal and professional ethics, integrity and values;</w:t>
      </w:r>
    </w:p>
    <w:p>
      <w:pPr>
        <w:spacing w:after="0" w:line="11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commitment to representing the long-term interests of the Company’s shareholders;</w:t>
      </w:r>
    </w:p>
    <w:p>
      <w:pPr>
        <w:spacing w:after="0" w:line="117" w:lineRule="exact"/>
        <w:rPr>
          <w:rFonts w:ascii="Times New Roman" w:cs="Times New Roman" w:eastAsia="Times New Roman" w:hAnsi="Times New Roman"/>
          <w:sz w:val="18"/>
          <w:szCs w:val="18"/>
          <w:color w:val="231F20"/>
        </w:rPr>
      </w:pPr>
    </w:p>
    <w:p>
      <w:pPr>
        <w:ind w:left="1160" w:hanging="441"/>
        <w:spacing w:after="0"/>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independence under the standards promulgated by The Nasdaq Stock Market; and</w:t>
      </w:r>
    </w:p>
    <w:p>
      <w:pPr>
        <w:spacing w:after="0" w:line="117" w:lineRule="exact"/>
        <w:rPr>
          <w:rFonts w:ascii="Times New Roman" w:cs="Times New Roman" w:eastAsia="Times New Roman" w:hAnsi="Times New Roman"/>
          <w:sz w:val="18"/>
          <w:szCs w:val="18"/>
          <w:color w:val="231F20"/>
        </w:rPr>
      </w:pPr>
    </w:p>
    <w:p>
      <w:pPr>
        <w:ind w:left="1160" w:right="679" w:hanging="441"/>
        <w:spacing w:after="0" w:line="282" w:lineRule="auto"/>
        <w:tabs>
          <w:tab w:leader="none" w:pos="11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ability to dedicate the time and resources sufficient to ensure the diligent performance of his or her duties on our behalf, including attending all Board of Directors and applicable committee meetings.</w:t>
      </w:r>
    </w:p>
    <w:p>
      <w:pPr>
        <w:spacing w:after="0" w:line="148" w:lineRule="exact"/>
        <w:rPr>
          <w:sz w:val="20"/>
          <w:szCs w:val="20"/>
          <w:color w:val="auto"/>
        </w:rPr>
      </w:pPr>
    </w:p>
    <w:p>
      <w:pPr>
        <w:ind w:left="360" w:right="479" w:firstLine="360"/>
        <w:spacing w:after="0" w:line="254" w:lineRule="auto"/>
        <w:rPr>
          <w:sz w:val="20"/>
          <w:szCs w:val="20"/>
          <w:color w:val="auto"/>
        </w:rPr>
      </w:pPr>
      <w:r>
        <w:rPr>
          <w:rFonts w:ascii="Times New Roman" w:cs="Times New Roman" w:eastAsia="Times New Roman" w:hAnsi="Times New Roman"/>
          <w:sz w:val="18"/>
          <w:szCs w:val="18"/>
          <w:color w:val="231F20"/>
        </w:rPr>
        <w:t>It is the Nomination and Corporate Governance Committee’s policy that the composition of the Board of Directors reflect a range of talents, ages, skills, character, diversity and expertise, particularly in the areas of biotechnology and related industries, research and development and commercial leadership, accounting and finance, management, domestic and international capital markets, leadership and corporate governance sufficient to provide sound and prudent guidance with respect to the operations and interests of the Company. The independent directors of our Board of Directors believe that the current members of the Board of Directors reflect an appropriate diversity of gender, age, race, geographical background and experience. Currently, 30% of our Board of Directors self-identified as female, 40% as male and 30% did not disclose. Furthermore, 10% of our Board of Directors self-identified as Asian, 60% as White and 30% did not disclose.</w:t>
      </w:r>
    </w:p>
    <w:p>
      <w:pPr>
        <w:spacing w:after="0" w:line="2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Shareholder Recommendations and Nominees</w:t>
      </w:r>
    </w:p>
    <w:p>
      <w:pPr>
        <w:spacing w:after="0" w:line="135" w:lineRule="exact"/>
        <w:rPr>
          <w:sz w:val="20"/>
          <w:szCs w:val="20"/>
          <w:color w:val="auto"/>
        </w:rPr>
      </w:pPr>
    </w:p>
    <w:p>
      <w:pPr>
        <w:ind w:left="360" w:right="539" w:firstLine="360"/>
        <w:spacing w:after="0" w:line="253" w:lineRule="auto"/>
        <w:rPr>
          <w:sz w:val="20"/>
          <w:szCs w:val="20"/>
          <w:color w:val="auto"/>
        </w:rPr>
      </w:pPr>
      <w:r>
        <w:rPr>
          <w:rFonts w:ascii="Times New Roman" w:cs="Times New Roman" w:eastAsia="Times New Roman" w:hAnsi="Times New Roman"/>
          <w:sz w:val="18"/>
          <w:szCs w:val="18"/>
          <w:color w:val="231F20"/>
        </w:rPr>
        <w:t>Our Nomination and Corporate Governance Committee considers both recommendations and nominations for candidates to the Board from shareholders so long as such recommendations and nominations comply with our Articles of Association, Nomination and Corporate Governance Committee charter and applicable laws, including the rules and regulations of the SEC. Shareholder recommendations for director candidates must include the nominee’s name and address of record, a representation that the shareholder is a holder of the Company’s securities, as well as the nominee’s detailed biographical data and qualifications for board membership, information regarding any arrangements or understandings between the shareholder and the recommended candidate, the consent of the proposed nominee to be named in the proxy statement and serve as a director if elected and any other information regarding the nominee that is required to be included in a proxy statement.</w:t>
      </w:r>
    </w:p>
    <w:p>
      <w:pPr>
        <w:spacing w:after="0" w:line="2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Following verification of the shareholder status of the person submitting the recommendation, all properly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submitted recommendations will be promptly brought to the attention of the Nomination and Corporate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Governance Committee. Shareholders who desire to nominate persons directly for election to the Board at an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annual general meeting of shareholders must meet the deadlines and other requirements set forth under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Additional Information</w:t>
      </w:r>
      <w:r>
        <w:rPr>
          <w:rFonts w:ascii="Times New Roman" w:cs="Times New Roman" w:eastAsia="Times New Roman" w:hAnsi="Times New Roman"/>
          <w:sz w:val="18"/>
          <w:szCs w:val="18"/>
          <w:color w:val="231F20"/>
        </w:rPr>
        <w:t xml:space="preserve"> — </w:t>
      </w:r>
      <w:r>
        <w:rPr>
          <w:rFonts w:ascii="Times New Roman" w:cs="Times New Roman" w:eastAsia="Times New Roman" w:hAnsi="Times New Roman"/>
          <w:sz w:val="18"/>
          <w:szCs w:val="18"/>
          <w:i w:val="1"/>
          <w:iCs w:val="1"/>
          <w:color w:val="231F20"/>
        </w:rPr>
        <w:t>Shareholder Proposals for 2026 Annual General Meeting</w:t>
      </w:r>
      <w:r>
        <w:rPr>
          <w:rFonts w:ascii="Times New Roman" w:cs="Times New Roman" w:eastAsia="Times New Roman" w:hAnsi="Times New Roman"/>
          <w:sz w:val="18"/>
          <w:szCs w:val="18"/>
          <w:color w:val="231F20"/>
        </w:rPr>
        <w:t>”. Any vacancies on the</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Board of Directors occurring between our annual general meetings of shareholders may be filled by persons</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selected by a majority of the directors then in office, in which case any director so appointed will serve until the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6" w:name="page37"/>
    <w:bookmarkEnd w:id="36"/>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right="679"/>
        <w:spacing w:after="0" w:line="282" w:lineRule="auto"/>
        <w:rPr>
          <w:sz w:val="20"/>
          <w:szCs w:val="20"/>
          <w:color w:val="auto"/>
        </w:rPr>
      </w:pPr>
      <w:r>
        <w:rPr>
          <w:rFonts w:ascii="Times New Roman" w:cs="Times New Roman" w:eastAsia="Times New Roman" w:hAnsi="Times New Roman"/>
          <w:sz w:val="18"/>
          <w:szCs w:val="18"/>
          <w:color w:val="231F20"/>
        </w:rPr>
        <w:t>next annual general meeting of shareholders when such director will offer himself/herself for re-election, or by persons elected by an ordinary resolution of the shareholders of the Company.</w:t>
      </w:r>
    </w:p>
    <w:p>
      <w:pPr>
        <w:spacing w:after="0" w:line="200" w:lineRule="exact"/>
        <w:rPr>
          <w:sz w:val="20"/>
          <w:szCs w:val="20"/>
          <w:color w:val="auto"/>
        </w:rPr>
      </w:pP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231F20"/>
        </w:rPr>
        <w:t>You may write to the Nomination and Corporate Governance Committee at:</w:t>
      </w:r>
    </w:p>
    <w:p>
      <w:pPr>
        <w:spacing w:after="0" w:line="14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c/o Charles Sermon</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Company Secretary</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Mereo BioPharma Group plc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London, W1G 0QF</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231F20"/>
        </w:rPr>
        <w:t>United Kingdom</w:t>
      </w:r>
    </w:p>
    <w:p>
      <w:pPr>
        <w:spacing w:after="0" w:line="3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231F20"/>
        </w:rPr>
        <w:t>Shareholder Communication with the Board of Directors</w:t>
      </w:r>
    </w:p>
    <w:p>
      <w:pPr>
        <w:spacing w:after="0" w:line="148" w:lineRule="exact"/>
        <w:rPr>
          <w:sz w:val="20"/>
          <w:szCs w:val="20"/>
          <w:color w:val="auto"/>
        </w:rPr>
      </w:pPr>
    </w:p>
    <w:p>
      <w:pPr>
        <w:ind w:left="360" w:right="739" w:firstLine="720"/>
        <w:spacing w:after="0" w:line="256" w:lineRule="auto"/>
        <w:rPr>
          <w:sz w:val="20"/>
          <w:szCs w:val="20"/>
          <w:color w:val="auto"/>
        </w:rPr>
      </w:pPr>
      <w:r>
        <w:rPr>
          <w:rFonts w:ascii="Times New Roman" w:cs="Times New Roman" w:eastAsia="Times New Roman" w:hAnsi="Times New Roman"/>
          <w:sz w:val="18"/>
          <w:szCs w:val="18"/>
          <w:color w:val="231F20"/>
        </w:rPr>
        <w:t>It is the policy of our Board of Directors to allow shareholders to communicate with its members. Communications may be addressed to the entire board or to any individual director. All such communications will initially be received and processed by our Company Secretary. Spam, junk mail, advertisements and threatening, hostile, illegal and similar unsuitable communications will not be delivered to the Board. Shareholders can contact members of the Board by writing to our Company Secretary at the Company’s registered office address.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231F20"/>
        </w:rPr>
        <w:t>DIRECTORS COMPENSATION</w:t>
      </w:r>
    </w:p>
    <w:p>
      <w:pPr>
        <w:spacing w:after="0" w:line="148" w:lineRule="exact"/>
        <w:rPr>
          <w:sz w:val="20"/>
          <w:szCs w:val="20"/>
          <w:color w:val="auto"/>
        </w:rPr>
      </w:pPr>
    </w:p>
    <w:p>
      <w:pPr>
        <w:ind w:left="400" w:right="519" w:firstLine="720"/>
        <w:spacing w:after="0" w:line="254" w:lineRule="auto"/>
        <w:rPr>
          <w:sz w:val="20"/>
          <w:szCs w:val="20"/>
          <w:color w:val="auto"/>
        </w:rPr>
      </w:pPr>
      <w:r>
        <w:rPr>
          <w:rFonts w:ascii="Times New Roman" w:cs="Times New Roman" w:eastAsia="Times New Roman" w:hAnsi="Times New Roman"/>
          <w:sz w:val="18"/>
          <w:szCs w:val="18"/>
          <w:color w:val="231F20"/>
        </w:rPr>
        <w:t>The following table presents the total compensation for each person who served as a non-executive member of our Board of Directors and received compensation for such service during the fiscal year ended December 31, 2024. Other than as set forth in the table and described more fully below, we did not pay any compensation, make any equity awards or awards to, or pay any other compensation to any of the members of our board of directors in 2024. We reimburse members of our Board of Directors for reasonable travel expenses. Dr. Scots-Knight, our Chief Executive Officer, did not receive any compensation for her service as a member of our board of directors in 2024. Dr. Scots-Knight’s compensation for service as a named executive officer (“NEO”) for fiscal years 2024 and 2023 is presented in “</w:t>
      </w:r>
      <w:r>
        <w:rPr>
          <w:rFonts w:ascii="Times New Roman" w:cs="Times New Roman" w:eastAsia="Times New Roman" w:hAnsi="Times New Roman"/>
          <w:sz w:val="18"/>
          <w:szCs w:val="18"/>
          <w:i w:val="1"/>
          <w:iCs w:val="1"/>
          <w:color w:val="231F20"/>
        </w:rPr>
        <w:t>Executive Compensation—2024 Summary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Compensation Table</w:t>
      </w:r>
      <w:r>
        <w:rPr>
          <w:rFonts w:ascii="Times New Roman" w:cs="Times New Roman" w:eastAsia="Times New Roman" w:hAnsi="Times New Roman"/>
          <w:sz w:val="18"/>
          <w:szCs w:val="18"/>
          <w:color w:val="231F20"/>
        </w:rPr>
        <w:t>.”</w:t>
      </w:r>
    </w:p>
    <w:p>
      <w:pPr>
        <w:spacing w:after="0" w:line="170"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8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32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Awards </w:t>
            </w:r>
            <w:r>
              <w:rPr>
                <w:rFonts w:ascii="Times New Roman" w:cs="Times New Roman" w:eastAsia="Times New Roman" w:hAnsi="Times New Roman"/>
                <w:sz w:val="19"/>
                <w:szCs w:val="19"/>
                <w:b w:val="1"/>
                <w:bCs w:val="1"/>
                <w:color w:val="auto"/>
                <w:w w:val="95"/>
                <w:vertAlign w:val="superscript"/>
              </w:rPr>
              <w:t>(2)</w:t>
            </w:r>
          </w:p>
        </w:tc>
        <w:tc>
          <w:tcPr>
            <w:tcW w:w="16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Awards </w:t>
            </w:r>
            <w:r>
              <w:rPr>
                <w:rFonts w:ascii="Times New Roman" w:cs="Times New Roman" w:eastAsia="Times New Roman" w:hAnsi="Times New Roman"/>
                <w:sz w:val="19"/>
                <w:szCs w:val="19"/>
                <w:b w:val="1"/>
                <w:bCs w:val="1"/>
                <w:color w:val="auto"/>
                <w:w w:val="98"/>
                <w:vertAlign w:val="superscript"/>
              </w:rPr>
              <w:t>(2)</w:t>
            </w: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540" w:type="dxa"/>
            <w:vAlign w:val="bottom"/>
            <w:tcBorders>
              <w:top w:val="single" w:sz="8" w:color="auto"/>
            </w:tcBorders>
          </w:tcPr>
          <w:p>
            <w:pPr>
              <w:jc w:val="center"/>
              <w:ind w:left="264"/>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Jeremy Bender</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63,317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190,829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Anders Ekblom</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Pierre Jacquet</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Annalisa Jenkins</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185,357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Deepika R. Pakianathan</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63,857</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Justin Roberts</w:t>
            </w:r>
            <w:r>
              <w:rPr>
                <w:rFonts w:ascii="Times New Roman" w:cs="Times New Roman" w:eastAsia="Times New Roman" w:hAnsi="Times New Roman"/>
                <w:sz w:val="24"/>
                <w:szCs w:val="24"/>
                <w:color w:val="auto"/>
                <w:vertAlign w:val="superscript"/>
              </w:rPr>
              <w:t>(3)</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 Daniel Shames</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54,718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182,230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Yoskowitz</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S. Wyzga</w:t>
            </w:r>
          </w:p>
        </w:tc>
        <w:tc>
          <w:tcPr>
            <w:tcW w:w="54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119,130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127,512</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80" w:right="419" w:hanging="1"/>
        <w:spacing w:after="0" w:line="267" w:lineRule="auto"/>
        <w:tabs>
          <w:tab w:leader="none" w:pos="509"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Compensation paid to all non-executive directors in 2024 was denominated in pounds sterling. For the purposes of this table, all 2024 amounts have been converted based on the pound sterling/U.S. dollar exchange rate in effect as of December 31, 2024 (£1/$1.2546).</w:t>
      </w:r>
    </w:p>
    <w:p>
      <w:pPr>
        <w:spacing w:after="0" w:line="1" w:lineRule="exact"/>
        <w:rPr>
          <w:rFonts w:ascii="Times New Roman" w:cs="Times New Roman" w:eastAsia="Times New Roman" w:hAnsi="Times New Roman"/>
          <w:sz w:val="16"/>
          <w:szCs w:val="16"/>
          <w:color w:val="231F20"/>
        </w:rPr>
      </w:pPr>
    </w:p>
    <w:p>
      <w:pPr>
        <w:ind w:left="280" w:right="479" w:hanging="1"/>
        <w:spacing w:after="0" w:line="264" w:lineRule="auto"/>
        <w:tabs>
          <w:tab w:leader="none" w:pos="509"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reflect the grant date fair value of awards granted in 2024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15 to our financial statements for the year ended December 31, 2024. These amounts do not correspond to the actual value that may be recognized by the named executive officers upon vesting of applicable awards.</w:t>
      </w:r>
    </w:p>
    <w:p>
      <w:pPr>
        <w:ind w:left="500" w:hanging="221"/>
        <w:spacing w:after="0"/>
        <w:tabs>
          <w:tab w:leader="none" w:pos="500" w:val="left"/>
        </w:tabs>
        <w:numPr>
          <w:ilvl w:val="0"/>
          <w:numId w:val="30"/>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Mr. Roberts has waived all remuneration in respect of his appointment as a non-executive director.</w:t>
      </w:r>
    </w:p>
    <w:p>
      <w:pPr>
        <w:spacing w:after="0" w:line="3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Non-Executive Director Compensation Policy</w:t>
      </w:r>
    </w:p>
    <w:p>
      <w:pPr>
        <w:spacing w:after="0" w:line="148" w:lineRule="exact"/>
        <w:rPr>
          <w:sz w:val="20"/>
          <w:szCs w:val="20"/>
          <w:color w:val="auto"/>
        </w:rPr>
      </w:pPr>
    </w:p>
    <w:p>
      <w:pPr>
        <w:ind w:left="400" w:right="579" w:firstLine="720"/>
        <w:spacing w:after="0" w:line="254" w:lineRule="auto"/>
        <w:rPr>
          <w:sz w:val="20"/>
          <w:szCs w:val="20"/>
          <w:color w:val="auto"/>
        </w:rPr>
      </w:pPr>
      <w:r>
        <w:rPr>
          <w:rFonts w:ascii="Times New Roman" w:cs="Times New Roman" w:eastAsia="Times New Roman" w:hAnsi="Times New Roman"/>
          <w:sz w:val="18"/>
          <w:szCs w:val="18"/>
          <w:color w:val="231F20"/>
        </w:rPr>
        <w:t>Our non-executive directors are eligible to earn cash fees for service on the board of directors and for service on each committee on which the director is a member. The chairperson of each committee receives a higher fee for such service. Non-executive directors may voluntarily elect to convert their annual cash fees into deferred restricted stock units ("Deferred RSUs") over ADSs. The number of Deferred RSUs granted is determined by dividing the amount of the annual cash compensation by the average closing trading price of the Company’s ADSs over the most recent 30 trading days as of the grant date. These Deferred RSUs are delivered under the terms of the existing 2019 Non-Employee Equity Incentive Plan (the “2019 NED EIP”) and they vest in substantially equal monthly installments over the plan year. Payment of Deferred RSUs in ADSs will generally be made 180 days following separation of service.</w:t>
      </w:r>
    </w:p>
    <w:p>
      <w:pPr>
        <w:spacing w:after="0" w:line="242" w:lineRule="exact"/>
        <w:rPr>
          <w:sz w:val="20"/>
          <w:szCs w:val="20"/>
          <w:color w:val="auto"/>
        </w:rPr>
      </w:pPr>
    </w:p>
    <w:p>
      <w:pPr>
        <w:ind w:left="400" w:right="519" w:firstLine="720"/>
        <w:spacing w:after="0" w:line="258" w:lineRule="auto"/>
        <w:rPr>
          <w:sz w:val="20"/>
          <w:szCs w:val="20"/>
          <w:color w:val="auto"/>
        </w:rPr>
      </w:pPr>
      <w:r>
        <w:rPr>
          <w:rFonts w:ascii="Times New Roman" w:cs="Times New Roman" w:eastAsia="Times New Roman" w:hAnsi="Times New Roman"/>
          <w:sz w:val="18"/>
          <w:szCs w:val="18"/>
          <w:color w:val="231F20"/>
        </w:rPr>
        <w:t>In addition to annual cash fees or Deferred RSUs, as elected, equity incentive awards are granted to non-executive directors in line with the 2019 NED EIP. In February 2024, a total of 45,000 equity incentive awards in the form of market value options over ADSs, were granted to each non-executive director at an exercise price of $3.87 per ADS, with a vesting period of one year; vesting is in equal monthly installments over the one-year period following grant date. No performance conditions were attached to the awards.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499110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38" w:name="page39"/>
    <w:bookmarkEnd w:id="38"/>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679" w:firstLine="720"/>
        <w:spacing w:after="0" w:line="242" w:lineRule="auto"/>
        <w:rPr>
          <w:sz w:val="20"/>
          <w:szCs w:val="20"/>
          <w:color w:val="auto"/>
        </w:rPr>
      </w:pPr>
      <w:r>
        <w:rPr>
          <w:rFonts w:ascii="Times New Roman" w:cs="Times New Roman" w:eastAsia="Times New Roman" w:hAnsi="Times New Roman"/>
          <w:sz w:val="18"/>
          <w:szCs w:val="18"/>
          <w:color w:val="231F20"/>
        </w:rPr>
        <w:t>The fees payable to directors for service on the board of directors and for service on each committee of the board of directors on which the director is a member are as follows:</w:t>
      </w:r>
    </w:p>
    <w:tbl>
      <w:tblPr>
        <w:tblLayout w:type="fixed"/>
        <w:tblInd w:w="280" w:type="dxa"/>
        <w:tblCellMar>
          <w:top w:w="0" w:type="dxa"/>
          <w:left w:w="0" w:type="dxa"/>
          <w:bottom w:w="0" w:type="dxa"/>
          <w:right w:w="0" w:type="dxa"/>
        </w:tblCellMar>
      </w:tblPr>
      <w:tr>
        <w:trPr>
          <w:trHeight w:val="181"/>
        </w:trPr>
        <w:tc>
          <w:tcPr>
            <w:tcW w:w="4800" w:type="dxa"/>
            <w:vAlign w:val="bottom"/>
          </w:tcPr>
          <w:p>
            <w:pPr>
              <w:spacing w:after="0"/>
              <w:rPr>
                <w:sz w:val="15"/>
                <w:szCs w:val="15"/>
                <w:color w:val="auto"/>
              </w:rPr>
            </w:pPr>
          </w:p>
        </w:tc>
        <w:tc>
          <w:tcPr>
            <w:tcW w:w="1620" w:type="dxa"/>
            <w:vAlign w:val="bottom"/>
          </w:tcPr>
          <w:p>
            <w:pPr>
              <w:jc w:val="right"/>
              <w:ind w:right="15"/>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Member Annual Fee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184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Chairperson Annual Fee </w:t>
            </w:r>
            <w:r>
              <w:rPr>
                <w:rFonts w:ascii="Times New Roman" w:cs="Times New Roman" w:eastAsia="Times New Roman" w:hAnsi="Times New Roman"/>
                <w:sz w:val="19"/>
                <w:szCs w:val="19"/>
                <w:b w:val="1"/>
                <w:bCs w:val="1"/>
                <w:color w:val="auto"/>
                <w:vertAlign w:val="superscript"/>
              </w:rPr>
              <w:t>(1)</w:t>
            </w:r>
          </w:p>
        </w:tc>
      </w:tr>
      <w:tr>
        <w:trPr>
          <w:trHeight w:val="124"/>
        </w:trPr>
        <w:tc>
          <w:tcPr>
            <w:tcW w:w="4800" w:type="dxa"/>
            <w:vAlign w:val="bottom"/>
          </w:tcPr>
          <w:p>
            <w:pPr>
              <w:spacing w:after="0"/>
              <w:rPr>
                <w:sz w:val="10"/>
                <w:szCs w:val="10"/>
                <w:color w:val="auto"/>
              </w:rPr>
            </w:pPr>
          </w:p>
        </w:tc>
        <w:tc>
          <w:tcPr>
            <w:tcW w:w="1620" w:type="dxa"/>
            <w:vAlign w:val="bottom"/>
            <w:tcBorders>
              <w:top w:val="single" w:sz="8" w:color="auto"/>
            </w:tcBorders>
          </w:tcPr>
          <w:p>
            <w:pPr>
              <w:jc w:val="right"/>
              <w:ind w:right="635"/>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1760" w:type="dxa"/>
            <w:vAlign w:val="bottom"/>
            <w:tcBorders>
              <w:top w:val="single" w:sz="8" w:color="auto"/>
            </w:tcBorders>
          </w:tcPr>
          <w:p>
            <w:pPr>
              <w:jc w:val="right"/>
              <w:ind w:right="728"/>
              <w:spacing w:after="0" w:line="12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40,397</w:t>
            </w:r>
          </w:p>
        </w:tc>
        <w:tc>
          <w:tcPr>
            <w:tcW w:w="80" w:type="dxa"/>
            <w:vAlign w:val="bottom"/>
          </w:tcPr>
          <w:p>
            <w:pPr>
              <w:spacing w:after="0"/>
              <w:rPr>
                <w:sz w:val="20"/>
                <w:szCs w:val="20"/>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and Risk Committee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 Committee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11,542</w:t>
            </w:r>
          </w:p>
        </w:tc>
        <w:tc>
          <w:tcPr>
            <w:tcW w:w="80" w:type="dxa"/>
            <w:vAlign w:val="bottom"/>
          </w:tcPr>
          <w:p>
            <w:pPr>
              <w:spacing w:after="0"/>
              <w:rPr>
                <w:sz w:val="18"/>
                <w:szCs w:val="18"/>
                <w:color w:val="auto"/>
              </w:rPr>
            </w:pPr>
          </w:p>
        </w:tc>
      </w:tr>
      <w:tr>
        <w:trPr>
          <w:trHeight w:val="21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Nomination and Corporate Governance Committee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80" w:type="dxa"/>
            <w:vAlign w:val="bottom"/>
            <w:shd w:val="clear" w:color="auto" w:fill="CFF0FC"/>
          </w:tcPr>
          <w:p>
            <w:pPr>
              <w:spacing w:after="0"/>
              <w:rPr>
                <w:sz w:val="18"/>
                <w:szCs w:val="18"/>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Committee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10,036</w:t>
            </w:r>
          </w:p>
        </w:tc>
        <w:tc>
          <w:tcPr>
            <w:tcW w:w="80" w:type="dxa"/>
            <w:vAlign w:val="bottom"/>
          </w:tcPr>
          <w:p>
            <w:pPr>
              <w:spacing w:after="0"/>
              <w:rPr>
                <w:sz w:val="20"/>
                <w:szCs w:val="20"/>
                <w:color w:val="auto"/>
              </w:rPr>
            </w:pPr>
          </w:p>
        </w:tc>
      </w:tr>
    </w:tbl>
    <w:p>
      <w:pPr>
        <w:spacing w:after="0" w:line="170" w:lineRule="exact"/>
        <w:rPr>
          <w:sz w:val="20"/>
          <w:szCs w:val="20"/>
          <w:color w:val="auto"/>
        </w:rPr>
      </w:pPr>
    </w:p>
    <w:p>
      <w:pPr>
        <w:ind w:left="280" w:right="759" w:hanging="1"/>
        <w:spacing w:after="0" w:line="281" w:lineRule="auto"/>
        <w:tabs>
          <w:tab w:leader="none" w:pos="590" w:val="left"/>
        </w:tabs>
        <w:numPr>
          <w:ilvl w:val="0"/>
          <w:numId w:val="31"/>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Compensation in the form of annual cash fees or amounts to be granted in Deferred RSUs, as elected, paid to non-executive directors is denominated in pounds sterling. For the purposes of this table, all 2024 amounts have been converted based on the pound sterling/U.S. dollar exchange rate in effect as of December 31, 2024 (£1/$1.2546).</w:t>
      </w:r>
    </w:p>
    <w:p>
      <w:pPr>
        <w:spacing w:after="0" w:line="227" w:lineRule="exact"/>
        <w:rPr>
          <w:sz w:val="20"/>
          <w:szCs w:val="20"/>
          <w:color w:val="auto"/>
        </w:rPr>
      </w:pPr>
    </w:p>
    <w:p>
      <w:pPr>
        <w:ind w:left="360" w:right="939" w:firstLine="720"/>
        <w:spacing w:after="0" w:line="282" w:lineRule="auto"/>
        <w:rPr>
          <w:sz w:val="20"/>
          <w:szCs w:val="20"/>
          <w:color w:val="auto"/>
        </w:rPr>
      </w:pPr>
      <w:r>
        <w:rPr>
          <w:rFonts w:ascii="Times New Roman" w:cs="Times New Roman" w:eastAsia="Times New Roman" w:hAnsi="Times New Roman"/>
          <w:sz w:val="18"/>
          <w:szCs w:val="18"/>
          <w:color w:val="231F20"/>
        </w:rPr>
        <w:t>We also reimburse our non-executive directors for reasonable out-of-pocket expenses incurred in connection with attending our board of director and committee meetings.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231F20"/>
        </w:rPr>
        <w:t>Non-Executive Directors - Outstanding Equity Awards at 2024 Fiscal Year End Table</w:t>
      </w:r>
    </w:p>
    <w:p>
      <w:pPr>
        <w:spacing w:after="0" w:line="135" w:lineRule="exact"/>
        <w:rPr>
          <w:sz w:val="20"/>
          <w:szCs w:val="20"/>
          <w:color w:val="auto"/>
        </w:rPr>
      </w:pPr>
    </w:p>
    <w:p>
      <w:pPr>
        <w:ind w:left="420" w:right="439" w:firstLine="720"/>
        <w:spacing w:after="0" w:line="261" w:lineRule="auto"/>
        <w:rPr>
          <w:sz w:val="20"/>
          <w:szCs w:val="20"/>
          <w:color w:val="auto"/>
        </w:rPr>
      </w:pPr>
      <w:r>
        <w:rPr>
          <w:rFonts w:ascii="Times New Roman" w:cs="Times New Roman" w:eastAsia="Times New Roman" w:hAnsi="Times New Roman"/>
          <w:sz w:val="18"/>
          <w:szCs w:val="18"/>
          <w:color w:val="231F20"/>
        </w:rPr>
        <w:t>The following table presents information regarding all outstanding share awards and share options held by each of our non-executive directors as of December 31, 2024:</w:t>
      </w:r>
    </w:p>
    <w:tbl>
      <w:tblPr>
        <w:tblLayout w:type="fixed"/>
        <w:tblInd w:w="280" w:type="dxa"/>
        <w:tblCellMar>
          <w:top w:w="0" w:type="dxa"/>
          <w:left w:w="0" w:type="dxa"/>
          <w:bottom w:w="0" w:type="dxa"/>
          <w:right w:w="0" w:type="dxa"/>
        </w:tblCellMar>
      </w:tblPr>
      <w:tr>
        <w:trPr>
          <w:trHeight w:val="149"/>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3"/>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Share Awards</w:t>
            </w:r>
          </w:p>
        </w:tc>
        <w:tc>
          <w:tcPr>
            <w:tcW w:w="0" w:type="dxa"/>
            <w:vAlign w:val="bottom"/>
          </w:tcPr>
          <w:p>
            <w:pPr>
              <w:spacing w:after="0"/>
              <w:rPr>
                <w:sz w:val="1"/>
                <w:szCs w:val="1"/>
                <w:color w:val="auto"/>
              </w:rPr>
            </w:pPr>
          </w:p>
        </w:tc>
      </w:tr>
      <w:tr>
        <w:trPr>
          <w:trHeight w:val="125"/>
        </w:trPr>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3"/>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Market Value of</w:t>
            </w:r>
          </w:p>
        </w:tc>
        <w:tc>
          <w:tcPr>
            <w:tcW w:w="0" w:type="dxa"/>
            <w:vAlign w:val="bottom"/>
          </w:tcPr>
          <w:p>
            <w:pPr>
              <w:spacing w:after="0"/>
              <w:rPr>
                <w:sz w:val="1"/>
                <w:szCs w:val="1"/>
                <w:color w:val="auto"/>
              </w:rPr>
            </w:pPr>
          </w:p>
        </w:tc>
      </w:tr>
      <w:tr>
        <w:trPr>
          <w:trHeight w:val="148"/>
        </w:trPr>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Dr. 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280" w:type="dxa"/>
            <w:vAlign w:val="bottom"/>
          </w:tcPr>
          <w:p>
            <w:pPr>
              <w:spacing w:after="0"/>
              <w:rPr>
                <w:sz w:val="12"/>
                <w:szCs w:val="12"/>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80" w:type="dxa"/>
            <w:vAlign w:val="bottom"/>
          </w:tcPr>
          <w:p>
            <w:pPr>
              <w:spacing w:after="0"/>
              <w:rPr>
                <w:sz w:val="12"/>
                <w:szCs w:val="12"/>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That</w:t>
            </w:r>
          </w:p>
        </w:tc>
        <w:tc>
          <w:tcPr>
            <w:tcW w:w="24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Shares That Have</w:t>
            </w:r>
          </w:p>
        </w:tc>
        <w:tc>
          <w:tcPr>
            <w:tcW w:w="0" w:type="dxa"/>
            <w:vAlign w:val="bottom"/>
          </w:tcPr>
          <w:p>
            <w:pPr>
              <w:spacing w:after="0"/>
              <w:rPr>
                <w:sz w:val="1"/>
                <w:szCs w:val="1"/>
                <w:color w:val="auto"/>
              </w:rPr>
            </w:pPr>
          </w:p>
        </w:tc>
      </w:tr>
      <w:tr>
        <w:trPr>
          <w:trHeight w:val="148"/>
        </w:trPr>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Ph.D. 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 (#)</w:t>
            </w:r>
          </w:p>
        </w:tc>
        <w:tc>
          <w:tcPr>
            <w:tcW w:w="280" w:type="dxa"/>
            <w:vAlign w:val="bottom"/>
          </w:tcPr>
          <w:p>
            <w:pPr>
              <w:spacing w:after="0"/>
              <w:rPr>
                <w:sz w:val="12"/>
                <w:szCs w:val="12"/>
                <w:color w:val="auto"/>
              </w:rPr>
            </w:pPr>
          </w:p>
        </w:tc>
        <w:tc>
          <w:tcPr>
            <w:tcW w:w="68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80" w:type="dxa"/>
            <w:vAlign w:val="bottom"/>
          </w:tcPr>
          <w:p>
            <w:pPr>
              <w:spacing w:after="0"/>
              <w:rPr>
                <w:sz w:val="12"/>
                <w:szCs w:val="12"/>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24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165"/>
        </w:trPr>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MBBS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Price ($)</w:t>
            </w:r>
          </w:p>
        </w:tc>
        <w:tc>
          <w:tcPr>
            <w:tcW w:w="180" w:type="dxa"/>
            <w:vAlign w:val="bottom"/>
          </w:tcPr>
          <w:p>
            <w:pPr>
              <w:spacing w:after="0"/>
              <w:rPr>
                <w:sz w:val="14"/>
                <w:szCs w:val="14"/>
                <w:color w:val="auto"/>
              </w:rPr>
            </w:pP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Vested (#)</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color w:val="auto"/>
              </w:rPr>
              <w:t>Dr. Jeremy Bender</w:t>
            </w:r>
          </w:p>
        </w:tc>
        <w:tc>
          <w:tcPr>
            <w:tcW w:w="10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22,000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3.32</w:t>
            </w:r>
          </w:p>
        </w:tc>
        <w:tc>
          <w:tcPr>
            <w:tcW w:w="1000" w:type="dxa"/>
            <w:vAlign w:val="bottom"/>
            <w:gridSpan w:val="2"/>
            <w:shd w:val="clear" w:color="auto" w:fill="CFF0FC"/>
          </w:tcPr>
          <w:p>
            <w:pPr>
              <w:ind w:left="360"/>
              <w:spacing w:after="0" w:line="142" w:lineRule="exact"/>
              <w:rPr>
                <w:sz w:val="20"/>
                <w:szCs w:val="20"/>
                <w:color w:val="auto"/>
              </w:rPr>
            </w:pPr>
            <w:r>
              <w:rPr>
                <w:rFonts w:ascii="Times New Roman" w:cs="Times New Roman" w:eastAsia="Times New Roman" w:hAnsi="Times New Roman"/>
                <w:sz w:val="13"/>
                <w:szCs w:val="13"/>
                <w:color w:val="auto"/>
              </w:rPr>
              <w:t>01/19/2031</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02/01/2031</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02/01/2032</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80" w:type="dxa"/>
            <w:vAlign w:val="bottom"/>
            <w:shd w:val="clear" w:color="auto" w:fill="CFF0FC"/>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2,727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09/29/2025</w:t>
            </w:r>
          </w:p>
        </w:tc>
        <w:tc>
          <w:tcPr>
            <w:tcW w:w="10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Dr. Anders Ekblom</w:t>
            </w:r>
          </w:p>
        </w:tc>
        <w:tc>
          <w:tcPr>
            <w:tcW w:w="120" w:type="dxa"/>
            <w:vAlign w:val="bottom"/>
          </w:tcPr>
          <w:p>
            <w:pPr>
              <w:spacing w:after="0"/>
              <w:rPr>
                <w:sz w:val="11"/>
                <w:szCs w:val="11"/>
                <w:color w:val="auto"/>
              </w:rPr>
            </w:pPr>
          </w:p>
        </w:tc>
        <w:tc>
          <w:tcPr>
            <w:tcW w:w="9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43,252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05/20/2029</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07/23/2029</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02/20/2030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02/01/2031</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02/01/2032</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Dr. Pierre Jacquet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02/01/2032</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33,393</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02/01/2032</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2,593</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12/01/2032</w:t>
            </w:r>
          </w:p>
        </w:tc>
        <w:tc>
          <w:tcPr>
            <w:tcW w:w="10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Dr. Annalisa Jenkins</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05/20/2029</w:t>
            </w:r>
          </w:p>
        </w:tc>
        <w:tc>
          <w:tcPr>
            <w:tcW w:w="104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Dr. Deepika R. Pakianathan</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ind w:left="20"/>
              <w:spacing w:after="0" w:line="149" w:lineRule="exact"/>
              <w:rPr>
                <w:sz w:val="20"/>
                <w:szCs w:val="20"/>
                <w:color w:val="auto"/>
              </w:rPr>
            </w:pPr>
            <w:r>
              <w:rPr>
                <w:rFonts w:ascii="Times New Roman" w:cs="Times New Roman" w:eastAsia="Times New Roman" w:hAnsi="Times New Roman"/>
                <w:sz w:val="13"/>
                <w:szCs w:val="13"/>
                <w:color w:val="auto"/>
              </w:rPr>
              <w:t>Justin Roberts</w:t>
            </w:r>
            <w:r>
              <w:rPr>
                <w:rFonts w:ascii="Times New Roman" w:cs="Times New Roman" w:eastAsia="Times New Roman" w:hAnsi="Times New Roman"/>
                <w:sz w:val="17"/>
                <w:szCs w:val="17"/>
                <w:color w:val="auto"/>
                <w:vertAlign w:val="superscript"/>
              </w:rPr>
              <w:t>(1)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Dr. Daniel Shames</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12/01/2032</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12/01/2032</w:t>
            </w:r>
          </w:p>
        </w:tc>
        <w:tc>
          <w:tcPr>
            <w:tcW w:w="10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Marc Yoskowitz</w:t>
            </w:r>
          </w:p>
        </w:tc>
        <w:tc>
          <w:tcPr>
            <w:tcW w:w="120" w:type="dxa"/>
            <w:vAlign w:val="bottom"/>
          </w:tcPr>
          <w:p>
            <w:pPr>
              <w:spacing w:after="0"/>
              <w:rPr>
                <w:sz w:val="11"/>
                <w:szCs w:val="11"/>
                <w:color w:val="auto"/>
              </w:rPr>
            </w:pPr>
          </w:p>
        </w:tc>
        <w:tc>
          <w:tcPr>
            <w:tcW w:w="9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9,167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2,357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Michael S. Wyzga</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05/20/2029</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07/23/2029</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02/20/2030</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02/01/2031</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02/01/2032</w:t>
            </w: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02/01/2033</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37,500</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280" w:type="dxa"/>
            <w:vAlign w:val="bottom"/>
            <w:vMerge w:val="continue"/>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02/08/2034</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5,131</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-3771265</wp:posOffset>
            </wp:positionV>
            <wp:extent cx="4080510" cy="2832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080510" cy="283210"/>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-2451100</wp:posOffset>
            </wp:positionV>
            <wp:extent cx="4131945" cy="2825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31945" cy="28257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-1790700</wp:posOffset>
            </wp:positionV>
            <wp:extent cx="534924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18859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-1414145</wp:posOffset>
            </wp:positionV>
            <wp:extent cx="4200525" cy="282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00525" cy="28257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-281940</wp:posOffset>
            </wp:positionV>
            <wp:extent cx="3463290" cy="282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63290" cy="282575"/>
                    </a:xfrm>
                    <a:prstGeom prst="rect">
                      <a:avLst/>
                    </a:prstGeom>
                    <a:noFill/>
                  </pic:spPr>
                </pic:pic>
              </a:graphicData>
            </a:graphic>
          </wp:anchor>
        </w:drawing>
      </w:r>
    </w:p>
    <w:p>
      <w:pPr>
        <w:ind w:left="480" w:hanging="201"/>
        <w:spacing w:after="0"/>
        <w:tabs>
          <w:tab w:leader="none" w:pos="480" w:val="left"/>
        </w:tabs>
        <w:numPr>
          <w:ilvl w:val="0"/>
          <w:numId w:val="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Mr. Roberts has waived all remuneration in respect of his appointment as a non-executive director.</w:t>
      </w:r>
    </w:p>
    <w:p>
      <w:pPr>
        <w:spacing w:after="0" w:line="24" w:lineRule="exact"/>
        <w:rPr>
          <w:rFonts w:ascii="Times New Roman" w:cs="Times New Roman" w:eastAsia="Times New Roman" w:hAnsi="Times New Roman"/>
          <w:sz w:val="13"/>
          <w:szCs w:val="13"/>
          <w:color w:val="231F20"/>
        </w:rPr>
      </w:pPr>
    </w:p>
    <w:p>
      <w:pPr>
        <w:ind w:left="280" w:right="479" w:hanging="1"/>
        <w:spacing w:after="0" w:line="239" w:lineRule="auto"/>
        <w:tabs>
          <w:tab w:leader="none" w:pos="487" w:val="left"/>
        </w:tabs>
        <w:numPr>
          <w:ilvl w:val="0"/>
          <w:numId w:val="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These options vest in substantially equal monthly installments over a one year period from the February 8, 2024 grant date and fully vested on February 8, 2025.</w:t>
      </w:r>
    </w:p>
    <w:p>
      <w:pPr>
        <w:jc w:val="both"/>
        <w:ind w:left="280" w:right="479" w:hanging="1"/>
        <w:spacing w:after="0" w:line="247" w:lineRule="auto"/>
        <w:tabs>
          <w:tab w:leader="none" w:pos="478" w:val="left"/>
        </w:tabs>
        <w:numPr>
          <w:ilvl w:val="0"/>
          <w:numId w:val="3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Each Deferred RSU was granted to non-executive directors who elected to receive them in the form of ADSs in lieu of annual cash compensation. Deferred RSUs vest in substantially equal monthly installments over the plan year following the grant date and became fully vested in January 2025. Payment of Deferred RSUs in ADSs will generally be made 180 days following separation of service.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ind w:left="2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231F20"/>
        </w:rPr>
        <w:t>Non-Executive Director Service Contracts</w:t>
      </w:r>
    </w:p>
    <w:p>
      <w:pPr>
        <w:spacing w:after="0" w:line="148" w:lineRule="exact"/>
        <w:rPr>
          <w:sz w:val="20"/>
          <w:szCs w:val="20"/>
          <w:color w:val="auto"/>
        </w:rPr>
      </w:pPr>
    </w:p>
    <w:p>
      <w:pPr>
        <w:ind w:left="360" w:right="739" w:firstLine="720"/>
        <w:spacing w:after="0" w:line="258" w:lineRule="auto"/>
        <w:rPr>
          <w:sz w:val="20"/>
          <w:szCs w:val="20"/>
          <w:color w:val="auto"/>
        </w:rPr>
      </w:pPr>
      <w:r>
        <w:rPr>
          <w:rFonts w:ascii="Times New Roman" w:cs="Times New Roman" w:eastAsia="Times New Roman" w:hAnsi="Times New Roman"/>
          <w:sz w:val="18"/>
          <w:szCs w:val="18"/>
          <w:color w:val="231F20"/>
        </w:rPr>
        <w:t>The remuneration of the non-executive directors is determined by the Board as a whole, based on a review of current practices in other companies. Mereo has entered into service contracts with Mereo’s non-executive directors for their services, which are subject to a three-month termination period. There are no arrangements under which any non-executive director is entitled to receive compensation upon the early termination of his or her appointment.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SECURITY OWNERSHIP OF CERTAIN BENEFICIAL OWNERS AND MANAGEMENT</w:t>
      </w:r>
    </w:p>
    <w:p>
      <w:pPr>
        <w:spacing w:after="0" w:line="297" w:lineRule="exact"/>
        <w:rPr>
          <w:sz w:val="20"/>
          <w:szCs w:val="20"/>
          <w:color w:val="auto"/>
        </w:rPr>
      </w:pPr>
    </w:p>
    <w:p>
      <w:pPr>
        <w:ind w:left="400" w:right="699" w:firstLine="720"/>
        <w:spacing w:after="0" w:line="266" w:lineRule="auto"/>
        <w:rPr>
          <w:sz w:val="20"/>
          <w:szCs w:val="20"/>
          <w:color w:val="auto"/>
        </w:rPr>
      </w:pPr>
      <w:r>
        <w:rPr>
          <w:rFonts w:ascii="Times New Roman" w:cs="Times New Roman" w:eastAsia="Times New Roman" w:hAnsi="Times New Roman"/>
          <w:sz w:val="18"/>
          <w:szCs w:val="18"/>
          <w:color w:val="231F20"/>
        </w:rPr>
        <w:t>The following table sets forth information relating to the beneficial ownership of Mereo ordinary shares as of April 1, 2025 by each person known by Mereo to own beneficially 5% or more of the outstanding Mereo ordinary shares, its directors and NEOs.</w:t>
      </w:r>
    </w:p>
    <w:p>
      <w:pPr>
        <w:spacing w:after="0" w:line="230" w:lineRule="exact"/>
        <w:rPr>
          <w:sz w:val="20"/>
          <w:szCs w:val="20"/>
          <w:color w:val="auto"/>
        </w:rPr>
      </w:pPr>
    </w:p>
    <w:p>
      <w:pPr>
        <w:ind w:left="400" w:right="459" w:firstLine="720"/>
        <w:spacing w:after="0" w:line="255" w:lineRule="auto"/>
        <w:rPr>
          <w:sz w:val="20"/>
          <w:szCs w:val="20"/>
          <w:color w:val="auto"/>
        </w:rPr>
      </w:pPr>
      <w:r>
        <w:rPr>
          <w:rFonts w:ascii="Times New Roman" w:cs="Times New Roman" w:eastAsia="Times New Roman" w:hAnsi="Times New Roman"/>
          <w:sz w:val="18"/>
          <w:szCs w:val="18"/>
          <w:color w:val="231F20"/>
        </w:rPr>
        <w:t>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243" w:lineRule="exact"/>
        <w:rPr>
          <w:sz w:val="20"/>
          <w:szCs w:val="20"/>
          <w:color w:val="auto"/>
        </w:rPr>
      </w:pPr>
    </w:p>
    <w:p>
      <w:pPr>
        <w:ind w:left="400" w:right="479" w:firstLine="720"/>
        <w:spacing w:after="0" w:line="258" w:lineRule="auto"/>
        <w:rPr>
          <w:sz w:val="20"/>
          <w:szCs w:val="20"/>
          <w:color w:val="auto"/>
        </w:rPr>
      </w:pPr>
      <w:r>
        <w:rPr>
          <w:rFonts w:ascii="Times New Roman" w:cs="Times New Roman" w:eastAsia="Times New Roman" w:hAnsi="Times New Roman"/>
          <w:sz w:val="18"/>
          <w:szCs w:val="18"/>
          <w:color w:val="231F20"/>
        </w:rPr>
        <w:t>The percentage of Mereo ordinary shares beneficially owned as of April 1, 2025 is computed on the basis of 795,001,444 ordinary shares outstanding as of April 1, 2025. Mereo ordinary shares that a person has the right to acquire within 60 days of April 1, 2025 are deemed outstanding for purposes of computing the percentage ownership of the person holding such rights, but are not deemed outstanding for purposes of computing the percentage ownership of any other person.</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Ordinary</w:t>
            </w:r>
          </w:p>
        </w:tc>
        <w:tc>
          <w:tcPr>
            <w:tcW w:w="16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Ordinary</w:t>
            </w:r>
          </w:p>
        </w:tc>
      </w:tr>
      <w:tr>
        <w:trPr>
          <w:trHeight w:val="146"/>
        </w:trPr>
        <w:tc>
          <w:tcPr>
            <w:tcW w:w="498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Beneficially</w:t>
            </w:r>
          </w:p>
        </w:tc>
        <w:tc>
          <w:tcPr>
            <w:tcW w:w="16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r>
      <w:tr>
        <w:trPr>
          <w:trHeight w:val="175"/>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6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Owned </w:t>
            </w:r>
            <w:r>
              <w:rPr>
                <w:rFonts w:ascii="Times New Roman" w:cs="Times New Roman" w:eastAsia="Times New Roman" w:hAnsi="Times New Roman"/>
                <w:sz w:val="19"/>
                <w:szCs w:val="19"/>
                <w:b w:val="1"/>
                <w:bCs w:val="1"/>
                <w:color w:val="auto"/>
                <w:w w:val="98"/>
                <w:vertAlign w:val="superscript"/>
              </w:rPr>
              <w:t>(1)</w:t>
            </w:r>
          </w:p>
        </w:tc>
        <w:tc>
          <w:tcPr>
            <w:tcW w:w="1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191"/>
        </w:trPr>
        <w:tc>
          <w:tcPr>
            <w:tcW w:w="49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Entities affiliated with Rubric Capital Management LP</w:t>
            </w:r>
            <w:r>
              <w:rPr>
                <w:rFonts w:ascii="Times New Roman" w:cs="Times New Roman" w:eastAsia="Times New Roman" w:hAnsi="Times New Roman"/>
                <w:sz w:val="22"/>
                <w:szCs w:val="22"/>
                <w:color w:val="auto"/>
                <w:vertAlign w:val="superscript"/>
              </w:rPr>
              <w:t>(2)</w:t>
            </w:r>
          </w:p>
        </w:tc>
        <w:tc>
          <w:tcPr>
            <w:tcW w:w="1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108,486,735</w:t>
            </w:r>
          </w:p>
        </w:tc>
        <w:tc>
          <w:tcPr>
            <w:tcW w:w="1820" w:type="dxa"/>
            <w:vAlign w:val="bottom"/>
            <w:gridSpan w:val="2"/>
          </w:tcPr>
          <w:p>
            <w:pPr>
              <w:ind w:left="1080"/>
              <w:spacing w:after="0" w:line="191" w:lineRule="exact"/>
              <w:rPr>
                <w:sz w:val="20"/>
                <w:szCs w:val="20"/>
                <w:color w:val="auto"/>
              </w:rPr>
            </w:pPr>
            <w:r>
              <w:rPr>
                <w:rFonts w:ascii="Times New Roman" w:cs="Times New Roman" w:eastAsia="Times New Roman" w:hAnsi="Times New Roman"/>
                <w:sz w:val="18"/>
                <w:szCs w:val="18"/>
                <w:color w:val="auto"/>
              </w:rPr>
              <w:t>13.6%</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Entities affiliated with Janus Henderson Investors US LLC</w:t>
            </w:r>
            <w:r>
              <w:rPr>
                <w:rFonts w:ascii="Times New Roman" w:cs="Times New Roman" w:eastAsia="Times New Roman" w:hAnsi="Times New Roman"/>
                <w:sz w:val="24"/>
                <w:szCs w:val="24"/>
                <w:color w:val="auto"/>
                <w:vertAlign w:val="superscript"/>
              </w:rPr>
              <w:t>(3)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85,612,820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Entities affiliated with Rock Springs Capital Management LP</w:t>
            </w:r>
            <w:r>
              <w:rPr>
                <w:rFonts w:ascii="Times New Roman" w:cs="Times New Roman" w:eastAsia="Times New Roman" w:hAnsi="Times New Roman"/>
                <w:sz w:val="24"/>
                <w:szCs w:val="24"/>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47,995,850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Entities affiliated with Adage Capital Management LP</w:t>
            </w:r>
            <w:r>
              <w:rPr>
                <w:rFonts w:ascii="Times New Roman" w:cs="Times New Roman" w:eastAsia="Times New Roman" w:hAnsi="Times New Roman"/>
                <w:sz w:val="24"/>
                <w:szCs w:val="24"/>
                <w:color w:val="auto"/>
                <w:vertAlign w:val="superscript"/>
              </w:rPr>
              <w:t>(5)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43,575,065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Entities affiliated with Mangrove Partners IM, LLC</w:t>
            </w:r>
            <w:r>
              <w:rPr>
                <w:rFonts w:ascii="Times New Roman" w:cs="Times New Roman" w:eastAsia="Times New Roman" w:hAnsi="Times New Roman"/>
                <w:sz w:val="24"/>
                <w:szCs w:val="24"/>
                <w:color w:val="auto"/>
                <w:vertAlign w:val="superscript"/>
              </w:rPr>
              <w:t>(6)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43,182,425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5.4%</w:t>
            </w:r>
          </w:p>
        </w:tc>
      </w:tr>
      <w:tr>
        <w:trPr>
          <w:trHeight w:val="268"/>
        </w:trPr>
        <w:tc>
          <w:tcPr>
            <w:tcW w:w="49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Entities affiliated with Frazier Life Sciences Management L.P.</w:t>
            </w:r>
            <w:r>
              <w:rPr>
                <w:rFonts w:ascii="Times New Roman" w:cs="Times New Roman" w:eastAsia="Times New Roman" w:hAnsi="Times New Roman"/>
                <w:sz w:val="24"/>
                <w:szCs w:val="24"/>
                <w:color w:val="auto"/>
                <w:vertAlign w:val="superscript"/>
              </w:rPr>
              <w:t>(7)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40,349,315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5.1%</w:t>
            </w:r>
          </w:p>
        </w:tc>
      </w:tr>
      <w:tr>
        <w:trPr>
          <w:trHeight w:val="191"/>
        </w:trPr>
        <w:tc>
          <w:tcPr>
            <w:tcW w:w="4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Denise Scots-Knight</w:t>
            </w:r>
            <w:r>
              <w:rPr>
                <w:rFonts w:ascii="Times New Roman" w:cs="Times New Roman" w:eastAsia="Times New Roman" w:hAnsi="Times New Roman"/>
                <w:sz w:val="24"/>
                <w:szCs w:val="24"/>
                <w:color w:val="auto"/>
                <w:vertAlign w:val="superscript"/>
              </w:rPr>
              <w:t>(8)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19,293,514</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Charles Sermon</w:t>
            </w:r>
            <w:r>
              <w:rPr>
                <w:rFonts w:ascii="Times New Roman" w:cs="Times New Roman" w:eastAsia="Times New Roman" w:hAnsi="Times New Roman"/>
                <w:sz w:val="24"/>
                <w:szCs w:val="24"/>
                <w:color w:val="auto"/>
                <w:vertAlign w:val="superscript"/>
              </w:rPr>
              <w:t>(9)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8,987,804</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1.1%</w:t>
            </w:r>
          </w:p>
        </w:tc>
      </w:tr>
      <w:tr>
        <w:trPr>
          <w:trHeight w:val="268"/>
        </w:trPr>
        <w:tc>
          <w:tcPr>
            <w:tcW w:w="49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Christine Fox</w:t>
            </w:r>
            <w:r>
              <w:rPr>
                <w:rFonts w:ascii="Times New Roman" w:cs="Times New Roman" w:eastAsia="Times New Roman" w:hAnsi="Times New Roman"/>
                <w:sz w:val="24"/>
                <w:szCs w:val="24"/>
                <w:color w:val="auto"/>
                <w:vertAlign w:val="superscript"/>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3,715,170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0.5%</w:t>
            </w:r>
          </w:p>
        </w:tc>
      </w:tr>
      <w:tr>
        <w:trPr>
          <w:trHeight w:val="191"/>
        </w:trPr>
        <w:tc>
          <w:tcPr>
            <w:tcW w:w="4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Jeremy Bender</w:t>
            </w:r>
            <w:r>
              <w:rPr>
                <w:rFonts w:ascii="Times New Roman" w:cs="Times New Roman" w:eastAsia="Times New Roman" w:hAnsi="Times New Roman"/>
                <w:sz w:val="24"/>
                <w:szCs w:val="24"/>
                <w:color w:val="auto"/>
                <w:vertAlign w:val="superscript"/>
              </w:rPr>
              <w:t>(11)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1,174,000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Anders Ekblom</w:t>
            </w:r>
            <w:r>
              <w:rPr>
                <w:rFonts w:ascii="Times New Roman" w:cs="Times New Roman" w:eastAsia="Times New Roman" w:hAnsi="Times New Roman"/>
                <w:sz w:val="24"/>
                <w:szCs w:val="24"/>
                <w:color w:val="auto"/>
                <w:vertAlign w:val="superscript"/>
              </w:rPr>
              <w:t>(12)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1,517,210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Pierre Jacquet</w:t>
            </w:r>
            <w:r>
              <w:rPr>
                <w:rFonts w:ascii="Times New Roman" w:cs="Times New Roman" w:eastAsia="Times New Roman" w:hAnsi="Times New Roman"/>
                <w:sz w:val="24"/>
                <w:szCs w:val="24"/>
                <w:color w:val="auto"/>
                <w:vertAlign w:val="superscript"/>
              </w:rPr>
              <w:t>(13)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1,010,715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Annalisa Jenkins</w:t>
            </w:r>
            <w:r>
              <w:rPr>
                <w:rFonts w:ascii="Times New Roman" w:cs="Times New Roman" w:eastAsia="Times New Roman" w:hAnsi="Times New Roman"/>
                <w:sz w:val="24"/>
                <w:szCs w:val="24"/>
                <w:color w:val="auto"/>
                <w:vertAlign w:val="superscript"/>
              </w:rPr>
              <w:t>(13)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614,585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Deepika R. Pakianathan</w:t>
            </w:r>
            <w:r>
              <w:rPr>
                <w:rFonts w:ascii="Times New Roman" w:cs="Times New Roman" w:eastAsia="Times New Roman" w:hAnsi="Times New Roman"/>
                <w:sz w:val="24"/>
                <w:szCs w:val="24"/>
                <w:color w:val="auto"/>
                <w:vertAlign w:val="superscript"/>
              </w:rPr>
              <w:t>(13)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246,250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Justin Roberts</w:t>
            </w:r>
            <w:r>
              <w:rPr>
                <w:rFonts w:ascii="Times New Roman" w:cs="Times New Roman" w:eastAsia="Times New Roman" w:hAnsi="Times New Roman"/>
                <w:sz w:val="24"/>
                <w:szCs w:val="24"/>
                <w:color w:val="auto"/>
                <w:vertAlign w:val="superscript"/>
              </w:rPr>
              <w:t>(14)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0.0%</w:t>
            </w:r>
          </w:p>
        </w:tc>
      </w:tr>
      <w:tr>
        <w:trPr>
          <w:trHeight w:val="229"/>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Dr. Daniel Shames</w:t>
            </w:r>
            <w:r>
              <w:rPr>
                <w:rFonts w:ascii="Times New Roman" w:cs="Times New Roman" w:eastAsia="Times New Roman" w:hAnsi="Times New Roman"/>
                <w:sz w:val="24"/>
                <w:szCs w:val="24"/>
                <w:color w:val="auto"/>
                <w:vertAlign w:val="superscript"/>
              </w:rPr>
              <w:t>(13)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614,585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Marc Yoskowitz</w:t>
            </w:r>
            <w:r>
              <w:rPr>
                <w:rFonts w:ascii="Times New Roman" w:cs="Times New Roman" w:eastAsia="Times New Roman" w:hAnsi="Times New Roman"/>
                <w:sz w:val="24"/>
                <w:szCs w:val="24"/>
                <w:color w:val="auto"/>
                <w:vertAlign w:val="superscript"/>
              </w:rPr>
              <w:t>(13)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614,585</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0.1%</w:t>
            </w:r>
          </w:p>
        </w:tc>
      </w:tr>
      <w:tr>
        <w:trPr>
          <w:trHeight w:val="268"/>
        </w:trPr>
        <w:tc>
          <w:tcPr>
            <w:tcW w:w="498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Michael S. Wyzga</w:t>
            </w:r>
            <w:r>
              <w:rPr>
                <w:rFonts w:ascii="Times New Roman" w:cs="Times New Roman" w:eastAsia="Times New Roman" w:hAnsi="Times New Roman"/>
                <w:sz w:val="24"/>
                <w:szCs w:val="24"/>
                <w:color w:val="auto"/>
                <w:vertAlign w:val="superscript"/>
              </w:rPr>
              <w:t>(15)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1,236,500</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(14 persons)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44,099,743</w:t>
            </w:r>
          </w:p>
        </w:tc>
        <w:tc>
          <w:tcPr>
            <w:tcW w:w="1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-2909570</wp:posOffset>
            </wp:positionV>
            <wp:extent cx="534035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-2618105</wp:posOffset>
            </wp:positionV>
            <wp:extent cx="53403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-2326640</wp:posOffset>
            </wp:positionV>
            <wp:extent cx="53403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-2035175</wp:posOffset>
            </wp:positionV>
            <wp:extent cx="53403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-1743710</wp:posOffset>
            </wp:positionV>
            <wp:extent cx="53403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-1452245</wp:posOffset>
            </wp:positionV>
            <wp:extent cx="53403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-1160780</wp:posOffset>
            </wp:positionV>
            <wp:extent cx="53403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-869315</wp:posOffset>
            </wp:positionV>
            <wp:extent cx="534035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-577850</wp:posOffset>
            </wp:positionV>
            <wp:extent cx="53403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0350" cy="13716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-286385</wp:posOffset>
            </wp:positionV>
            <wp:extent cx="534035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0350" cy="137160"/>
                    </a:xfrm>
                    <a:prstGeom prst="rect">
                      <a:avLst/>
                    </a:prstGeom>
                    <a:noFill/>
                  </pic:spPr>
                </pic:pic>
              </a:graphicData>
            </a:graphic>
          </wp:anchor>
        </w:drawing>
      </w:r>
    </w:p>
    <w:p>
      <w:pPr>
        <w:spacing w:after="0" w:line="148" w:lineRule="exact"/>
        <w:rPr>
          <w:sz w:val="20"/>
          <w:szCs w:val="20"/>
          <w:color w:val="auto"/>
        </w:rPr>
      </w:pPr>
    </w:p>
    <w:p>
      <w:pPr>
        <w:ind w:left="620" w:hanging="315"/>
        <w:spacing w:after="0"/>
        <w:tabs>
          <w:tab w:leader="none" w:pos="620"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Ordinary shares figures include ordinary shares represented by ADSs.</w:t>
      </w:r>
    </w:p>
    <w:p>
      <w:pPr>
        <w:spacing w:after="0" w:line="32" w:lineRule="exact"/>
        <w:rPr>
          <w:rFonts w:ascii="Times New Roman" w:cs="Times New Roman" w:eastAsia="Times New Roman" w:hAnsi="Times New Roman"/>
          <w:sz w:val="16"/>
          <w:szCs w:val="16"/>
          <w:color w:val="231F20"/>
        </w:rPr>
      </w:pPr>
    </w:p>
    <w:p>
      <w:pPr>
        <w:jc w:val="both"/>
        <w:ind w:left="300" w:right="459" w:firstLine="5"/>
        <w:spacing w:after="0" w:line="281" w:lineRule="auto"/>
        <w:tabs>
          <w:tab w:leader="none" w:pos="620" w:val="left"/>
        </w:tabs>
        <w:numPr>
          <w:ilvl w:val="0"/>
          <w:numId w:val="3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13D/A filed by Rubric Capital Management LP with the SEC on June 17, 2024. The address of the principal business office of Rubric Capital Management LP is 155 East 44th Street, Suite 1630, New York, NY 10017.</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00" w:right="459" w:firstLine="5"/>
        <w:spacing w:after="0" w:line="267" w:lineRule="auto"/>
        <w:tabs>
          <w:tab w:leader="none" w:pos="63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Janus Henderson Group plc with the SEC on December 6, 2024. The address of the principal business office of Janus Henderson Group plc is 201 Bishopsgate EC2M 3AE, United Kingdom.</w:t>
      </w:r>
    </w:p>
    <w:p>
      <w:pPr>
        <w:spacing w:after="0" w:line="1" w:lineRule="exact"/>
        <w:rPr>
          <w:rFonts w:ascii="Times New Roman" w:cs="Times New Roman" w:eastAsia="Times New Roman" w:hAnsi="Times New Roman"/>
          <w:sz w:val="16"/>
          <w:szCs w:val="16"/>
          <w:color w:val="231F20"/>
        </w:rPr>
      </w:pPr>
    </w:p>
    <w:p>
      <w:pPr>
        <w:jc w:val="both"/>
        <w:ind w:left="300" w:right="459" w:firstLine="5"/>
        <w:spacing w:after="0" w:line="270" w:lineRule="auto"/>
        <w:tabs>
          <w:tab w:leader="none" w:pos="61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13G/A filed by Rock Springs Capital Management LP (“RCSM”) with the SEC on November 12, 2024. Shares are held directly by the Rock Springs Capital Master Fund LP (“Master Fund”) and Four Pines Master Fund LP (“Four Pines”) and indirectly held by RSCM and Rock Springs Capital LLC (“RSC”). RSCM serves as the investment manager to each of the Master Fund and Four Pines. RSC is the general partner of RSCM. The address of the principal business office of the entities affiliated with RCSM is 650 South Exeter, Suite 1070 Baltimore, MD 21202.</w:t>
      </w:r>
    </w:p>
    <w:p>
      <w:pPr>
        <w:spacing w:after="0" w:line="185" w:lineRule="exact"/>
        <w:rPr>
          <w:rFonts w:ascii="Times New Roman" w:cs="Times New Roman" w:eastAsia="Times New Roman" w:hAnsi="Times New Roman"/>
          <w:sz w:val="16"/>
          <w:szCs w:val="16"/>
          <w:color w:val="231F20"/>
        </w:rPr>
      </w:pPr>
    </w:p>
    <w:p>
      <w:pPr>
        <w:jc w:val="both"/>
        <w:ind w:left="300" w:right="459" w:firstLine="5"/>
        <w:spacing w:after="0" w:line="267" w:lineRule="auto"/>
        <w:tabs>
          <w:tab w:leader="none" w:pos="625"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Adage Capital Partners GP, L.L.C. (“ACPGP”) with the SEC on February 12, 2025. Shares are directly held by Adage Capital Partners, L.P. (“ACP”). ACPGP is general partner of ACP. Adage Capital Management, L.P. (“ACM”) is the investment manager of ACP. Robert Atchinson and Phillip Gross are managing members of Adage Capital Advisors, L.L.C., managing members of ACPGP, and managing members of Adage Capital Partners, LLC, general partner of ACM. The address of the principal business office of the entities affiliated with ACM is 200 Clarendon Street, 52nd Floor, Boston, MA 02116.</w:t>
      </w:r>
    </w:p>
    <w:p>
      <w:pPr>
        <w:jc w:val="both"/>
        <w:ind w:left="300" w:right="459" w:firstLine="5"/>
        <w:spacing w:after="0" w:line="265" w:lineRule="auto"/>
        <w:tabs>
          <w:tab w:leader="none" w:pos="615"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Mangrove Partners IM, LLC (“Mangrove Partners”) with the SEC on February 14, 2024. The ordinary shares are held by the Mangrove Partners Master Fund, Ltd., a Cayman Islands limited liability company (“Master Fund”). Beneficial ownership of the ordinary shares is claimed by (i) Mangrove Partners which serves as the investment manager of the Master Fund, and (ii) Nathaniel August who is the principal of Mangrove Partners. The address of the principal business office of the entities affiliated with Mangrove Partners is c/o Delaware Corporations LLC, 1000 N. West Street, Suite 1501, Wilmington, DE 19801.</w:t>
      </w:r>
    </w:p>
    <w:p>
      <w:pPr>
        <w:spacing w:after="0" w:line="3" w:lineRule="exact"/>
        <w:rPr>
          <w:rFonts w:ascii="Times New Roman" w:cs="Times New Roman" w:eastAsia="Times New Roman" w:hAnsi="Times New Roman"/>
          <w:sz w:val="16"/>
          <w:szCs w:val="16"/>
          <w:color w:val="231F20"/>
        </w:rPr>
      </w:pPr>
    </w:p>
    <w:p>
      <w:pPr>
        <w:jc w:val="both"/>
        <w:ind w:left="300" w:right="459" w:firstLine="5"/>
        <w:spacing w:after="0" w:line="266" w:lineRule="auto"/>
        <w:tabs>
          <w:tab w:leader="none" w:pos="63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Based solely on information contained in Schedule 13G filed by Frazier Life Sciences Management L.P. (“FLSM”) with the SEC on April 4, 2025. Consists of (i) 27,578,325 shares held directly by Frazier Life Sciences Public Fund, L.P. (“FLSP”); (ii) 7,509,280 shares held directly by Frazier Life Sciences Public Overage Fund, L.P. (“FLSPO”); (iii) 1,590,155 shares held directly by Frazier Life Sciences X, L.P. (“FLSX”); (iv) 3,671,555 shares held directly by Frazier Life Sciences XI, L.P. (“FLSXI”). FHMLSP, L.P. is the general partner of FLSP, and FHMLSP, L.L.C. is the general partner of FHMLSP, L.P. Patrick J. Heron, James N. Topper, Albert Cha, and James Brush are the members of FHMLSP, L.L.C. FHMLSP Overage, L.P. is the general partner of FLSPO, and FHMLSP Overage, L.L.C. is the general partner of FHMLSP Overage, L.P. Patrick J. Heron, James N. Topper, Albert Cha, and James Brush are the members of FHMLSP Overage, L.L.C. FHMLS X, L.P. is the general partner of FLSX, and FHMLS X, L.L.C. is the general partner of FHMLS X, L.P. Patrick J. Heron and James N. Topper are the members of FHMLS X, L.L.C. and share voting and investment power over the shares held by FLSX. FHMLS XI, L.P. is the general partner of FLSXI, and FHMLS XI, L.L.C. is the general partner of FHMLS XI, L.P. Patrick J. Heron, James N. Topper, and Daniel Estes are the members of FHMLS XI, L.L.C. The address of the principal business office of the entities affiliated with FLSM is c/o Frazier Life Sciences Management, L.P. 1001 Page Mill Rd, Building 4, Suite B Palo Alto, CA 94304.</w:t>
      </w:r>
    </w:p>
    <w:p>
      <w:pPr>
        <w:spacing w:after="0" w:line="184" w:lineRule="exact"/>
        <w:rPr>
          <w:rFonts w:ascii="Times New Roman" w:cs="Times New Roman" w:eastAsia="Times New Roman" w:hAnsi="Times New Roman"/>
          <w:sz w:val="16"/>
          <w:szCs w:val="16"/>
          <w:color w:val="231F20"/>
        </w:rPr>
      </w:pPr>
    </w:p>
    <w:p>
      <w:pPr>
        <w:ind w:left="300" w:right="359" w:firstLine="5"/>
        <w:spacing w:after="0" w:line="267" w:lineRule="auto"/>
        <w:tabs>
          <w:tab w:leader="none" w:pos="529"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808,921 ADSs beneficially owned, plus 4 ordinary shares beneficially owned, plus 3,049,781 ADSs underling share awards that are exercisable within 60 days of April 1, 2025.</w:t>
      </w:r>
    </w:p>
    <w:p>
      <w:pPr>
        <w:spacing w:after="0" w:line="1" w:lineRule="exact"/>
        <w:rPr>
          <w:rFonts w:ascii="Times New Roman" w:cs="Times New Roman" w:eastAsia="Times New Roman" w:hAnsi="Times New Roman"/>
          <w:sz w:val="16"/>
          <w:szCs w:val="16"/>
          <w:color w:val="231F20"/>
        </w:rPr>
      </w:pPr>
    </w:p>
    <w:p>
      <w:pPr>
        <w:ind w:left="300" w:right="499" w:firstLine="5"/>
        <w:spacing w:after="0" w:line="269" w:lineRule="auto"/>
        <w:tabs>
          <w:tab w:leader="none" w:pos="529"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219,061 ADSs beneficially owned, plus 4 ordinary shares beneficially owned, plus 988,639 ADSs underling share awards that are exercisable within 60 days of April 1, 2025.</w:t>
      </w:r>
    </w:p>
    <w:p>
      <w:pPr>
        <w:ind w:left="620" w:hanging="315"/>
        <w:spacing w:after="0"/>
        <w:tabs>
          <w:tab w:leader="none" w:pos="620" w:val="left"/>
        </w:tabs>
        <w:numPr>
          <w:ilvl w:val="0"/>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89,285 ADSs beneficially owned plus 653,749 ADSs underling share awards that are exercisable within 60</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April 1, 2025.</w:t>
      </w:r>
    </w:p>
    <w:p>
      <w:pPr>
        <w:spacing w:after="0" w:line="19" w:lineRule="exact"/>
        <w:rPr>
          <w:sz w:val="20"/>
          <w:szCs w:val="20"/>
          <w:color w:val="auto"/>
        </w:rPr>
      </w:pPr>
    </w:p>
    <w:p>
      <w:pPr>
        <w:ind w:left="300" w:right="359" w:firstLine="5"/>
        <w:spacing w:after="0" w:line="267" w:lineRule="auto"/>
        <w:tabs>
          <w:tab w:leader="none" w:pos="61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12,550 ADSs beneficially owned plus 222,250 ADSs underling share awards that are exercisable within 60 days of April 1, 2025.</w:t>
      </w:r>
    </w:p>
    <w:p>
      <w:pPr>
        <w:spacing w:after="0" w:line="1" w:lineRule="exact"/>
        <w:rPr>
          <w:rFonts w:ascii="Times New Roman" w:cs="Times New Roman" w:eastAsia="Times New Roman" w:hAnsi="Times New Roman"/>
          <w:sz w:val="16"/>
          <w:szCs w:val="16"/>
          <w:color w:val="231F20"/>
        </w:rPr>
      </w:pPr>
    </w:p>
    <w:p>
      <w:pPr>
        <w:ind w:left="620" w:hanging="315"/>
        <w:spacing w:after="0"/>
        <w:tabs>
          <w:tab w:leader="none" w:pos="620" w:val="left"/>
        </w:tabs>
        <w:numPr>
          <w:ilvl w:val="0"/>
          <w:numId w:val="3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37,940 ADSs beneficially owned plus 265,502 ADSs underling share awards that are exercisable within 60</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April 1, 2025.</w:t>
      </w:r>
    </w:p>
    <w:p>
      <w:pPr>
        <w:spacing w:after="0" w:line="19" w:lineRule="exact"/>
        <w:rPr>
          <w:sz w:val="20"/>
          <w:szCs w:val="20"/>
          <w:color w:val="auto"/>
        </w:rPr>
      </w:pPr>
    </w:p>
    <w:p>
      <w:pPr>
        <w:ind w:left="620" w:hanging="315"/>
        <w:spacing w:after="0"/>
        <w:tabs>
          <w:tab w:leader="none" w:pos="62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All holdings are ADSs underling share awards that are exercisable within 60 days of April 1, 2025.</w:t>
      </w:r>
    </w:p>
    <w:p>
      <w:pPr>
        <w:spacing w:after="0" w:line="18" w:lineRule="exact"/>
        <w:rPr>
          <w:rFonts w:ascii="Times New Roman" w:cs="Times New Roman" w:eastAsia="Times New Roman" w:hAnsi="Times New Roman"/>
          <w:sz w:val="16"/>
          <w:szCs w:val="16"/>
          <w:color w:val="231F20"/>
        </w:rPr>
      </w:pPr>
    </w:p>
    <w:p>
      <w:pPr>
        <w:ind w:left="620" w:hanging="315"/>
        <w:spacing w:after="0"/>
        <w:tabs>
          <w:tab w:leader="none" w:pos="62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Mr. Roberts is a partner of Rubric Capital Management LP, which has ultimate voting and investment power over the</w:t>
      </w:r>
    </w:p>
    <w:p>
      <w:pPr>
        <w:spacing w:after="0" w:line="18" w:lineRule="exact"/>
        <w:rPr>
          <w:rFonts w:ascii="Times New Roman" w:cs="Times New Roman" w:eastAsia="Times New Roman" w:hAnsi="Times New Roman"/>
          <w:sz w:val="16"/>
          <w:szCs w:val="16"/>
          <w:color w:val="231F20"/>
        </w:rPr>
      </w:pPr>
    </w:p>
    <w:p>
      <w:pPr>
        <w:ind w:left="300" w:right="479"/>
        <w:spacing w:after="0" w:line="264" w:lineRule="auto"/>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ordinary shares and ADSs held by Rubric Capital Management LP. He disclaims beneficial ownership of such shares except to the extent of any pecuniary interest therein. Mr. Roberts has waived all remuneration in respect of his appointment as a non-executive director.</w:t>
      </w:r>
    </w:p>
    <w:p>
      <w:pPr>
        <w:ind w:left="620" w:hanging="315"/>
        <w:spacing w:after="0"/>
        <w:tabs>
          <w:tab w:leader="none" w:pos="620" w:val="left"/>
        </w:tabs>
        <w:numPr>
          <w:ilvl w:val="0"/>
          <w:numId w:val="36"/>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25,050 ADSs beneficially owned plus 222,250 ADSs underling share awards that are exercisable within 60</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days of April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TRANSACTIONS WITH RELATED PERSONS</w:t>
      </w:r>
    </w:p>
    <w:p>
      <w:pPr>
        <w:spacing w:after="0" w:line="29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Certain Relationships and Related Party Transactions</w:t>
      </w: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Related Person Transactions</w:t>
      </w:r>
    </w:p>
    <w:p>
      <w:pPr>
        <w:spacing w:after="0" w:line="162" w:lineRule="exact"/>
        <w:rPr>
          <w:sz w:val="20"/>
          <w:szCs w:val="20"/>
          <w:color w:val="auto"/>
        </w:rPr>
      </w:pPr>
    </w:p>
    <w:p>
      <w:pPr>
        <w:ind w:left="400" w:right="539" w:firstLine="720"/>
        <w:spacing w:after="0" w:line="255" w:lineRule="auto"/>
        <w:rPr>
          <w:sz w:val="20"/>
          <w:szCs w:val="20"/>
          <w:color w:val="auto"/>
        </w:rPr>
      </w:pPr>
      <w:r>
        <w:rPr>
          <w:rFonts w:ascii="Times New Roman" w:cs="Times New Roman" w:eastAsia="Times New Roman" w:hAnsi="Times New Roman"/>
          <w:sz w:val="18"/>
          <w:szCs w:val="18"/>
          <w:color w:val="231F20"/>
        </w:rPr>
        <w:t>The following sets forth all transactions since January 1, 2023 to which the Company has been or is a participant, including currently proposed transactions, in which the amount involved exceeds the lesser of: (1) $120,000 or (2) 1% of the average of the Company’s total assets at year-end for the last two completed fiscal years, and in which any of our directors, executive officers or beneficial holders of more than 5% of any class of our capital stock, or any immediate family member of, or person sharing the household with any of these individuals, had or has a direct or indirect material interest, other than the compensation arrangements described below under the sections “</w:t>
      </w:r>
      <w:r>
        <w:rPr>
          <w:rFonts w:ascii="Times New Roman" w:cs="Times New Roman" w:eastAsia="Times New Roman" w:hAnsi="Times New Roman"/>
          <w:sz w:val="18"/>
          <w:szCs w:val="18"/>
          <w:i w:val="1"/>
          <w:iCs w:val="1"/>
          <w:color w:val="231F20"/>
        </w:rPr>
        <w:t>Executive Compensation</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Directors Compensation</w:t>
      </w:r>
      <w:r>
        <w:rPr>
          <w:rFonts w:ascii="Times New Roman" w:cs="Times New Roman" w:eastAsia="Times New Roman" w:hAnsi="Times New Roman"/>
          <w:sz w:val="18"/>
          <w:szCs w:val="18"/>
          <w:color w:val="231F20"/>
        </w:rPr>
        <w:t>.”</w:t>
      </w: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Cooperation Agreement with Rubric Capital Management LP</w:t>
      </w:r>
    </w:p>
    <w:p>
      <w:pPr>
        <w:spacing w:after="0" w:line="158" w:lineRule="exact"/>
        <w:rPr>
          <w:sz w:val="20"/>
          <w:szCs w:val="20"/>
          <w:color w:val="auto"/>
        </w:rPr>
      </w:pPr>
    </w:p>
    <w:p>
      <w:pPr>
        <w:ind w:left="400" w:right="439" w:firstLine="720"/>
        <w:spacing w:after="0" w:line="254" w:lineRule="auto"/>
        <w:rPr>
          <w:sz w:val="20"/>
          <w:szCs w:val="20"/>
          <w:color w:val="auto"/>
        </w:rPr>
      </w:pPr>
      <w:r>
        <w:rPr>
          <w:rFonts w:ascii="Times New Roman" w:cs="Times New Roman" w:eastAsia="Times New Roman" w:hAnsi="Times New Roman"/>
          <w:sz w:val="18"/>
          <w:szCs w:val="18"/>
          <w:color w:val="231F20"/>
        </w:rPr>
        <w:t>On October 28, 2022, we entered into a cooperation agreement (the “</w:t>
      </w:r>
      <w:r>
        <w:rPr>
          <w:rFonts w:ascii="Times New Roman" w:cs="Times New Roman" w:eastAsia="Times New Roman" w:hAnsi="Times New Roman"/>
          <w:sz w:val="18"/>
          <w:szCs w:val="18"/>
          <w:b w:val="1"/>
          <w:bCs w:val="1"/>
          <w:color w:val="231F20"/>
        </w:rPr>
        <w:t>Cooperation Agreement</w:t>
      </w:r>
      <w:r>
        <w:rPr>
          <w:rFonts w:ascii="Times New Roman" w:cs="Times New Roman" w:eastAsia="Times New Roman" w:hAnsi="Times New Roman"/>
          <w:sz w:val="18"/>
          <w:szCs w:val="18"/>
          <w:color w:val="231F20"/>
        </w:rPr>
        <w:t>”) with Rubric Capital Management LP (“</w:t>
      </w:r>
      <w:r>
        <w:rPr>
          <w:rFonts w:ascii="Times New Roman" w:cs="Times New Roman" w:eastAsia="Times New Roman" w:hAnsi="Times New Roman"/>
          <w:sz w:val="18"/>
          <w:szCs w:val="18"/>
          <w:b w:val="1"/>
          <w:bCs w:val="1"/>
          <w:color w:val="231F20"/>
        </w:rPr>
        <w:t>Rubric</w:t>
      </w:r>
      <w:r>
        <w:rPr>
          <w:rFonts w:ascii="Times New Roman" w:cs="Times New Roman" w:eastAsia="Times New Roman" w:hAnsi="Times New Roman"/>
          <w:sz w:val="18"/>
          <w:szCs w:val="18"/>
          <w:color w:val="231F20"/>
        </w:rPr>
        <w:t>”), our largest shareholder. Pursuant to the Cooperation Agreement, four new directors, Dr. Annalisa Jenkins, Dr. Daniel Shames, Mr. Marc Yoskowitz and Mr. Justin Roberts, were subsequently appointed to our Board on November 10, 2022. Concurrent with these appointments taking effect, directors Dr. Peter Fellner, Dr. Brian Schwartz, Dr. Abdul Mullick and Ms. Anne Hyland resigned from our Board. The Cooperation Agreement also provides that at least one Rubric nominee shall be appointed to each Committee of our Board and that all shares beneficially owned, directly or indirectly by Rubric or its affiliates for which Rubric exercises voting authority, will be voted in favor of all nominees for director nominated by the Board at certain meetings described in the Cooperation Agreement.</w:t>
      </w:r>
    </w:p>
    <w:p>
      <w:pPr>
        <w:spacing w:after="0" w:line="192" w:lineRule="exact"/>
        <w:rPr>
          <w:sz w:val="20"/>
          <w:szCs w:val="20"/>
          <w:color w:val="auto"/>
        </w:rPr>
      </w:pPr>
    </w:p>
    <w:p>
      <w:pPr>
        <w:ind w:left="400" w:right="499" w:firstLine="720"/>
        <w:spacing w:after="0" w:line="261" w:lineRule="auto"/>
        <w:rPr>
          <w:sz w:val="20"/>
          <w:szCs w:val="20"/>
          <w:color w:val="auto"/>
        </w:rPr>
      </w:pPr>
      <w:r>
        <w:rPr>
          <w:rFonts w:ascii="Times New Roman" w:cs="Times New Roman" w:eastAsia="Times New Roman" w:hAnsi="Times New Roman"/>
          <w:sz w:val="18"/>
          <w:szCs w:val="18"/>
          <w:color w:val="231F20"/>
        </w:rPr>
        <w:t>The Cooperation Agreement also provides for certain “standstill” provisions that restrict Rubric and its affiliates from, among other things, acquiring any securities of the Company that would result in Rubric and its affiliates having beneficial ownership of more than 20% of our voting securities. The standstill provisions expire on the Termination Date (as defined below).</w:t>
      </w:r>
    </w:p>
    <w:p>
      <w:pPr>
        <w:spacing w:after="0" w:line="176" w:lineRule="exact"/>
        <w:rPr>
          <w:sz w:val="20"/>
          <w:szCs w:val="20"/>
          <w:color w:val="auto"/>
        </w:rPr>
      </w:pPr>
    </w:p>
    <w:p>
      <w:pPr>
        <w:jc w:val="both"/>
        <w:ind w:left="400" w:right="479" w:firstLine="720"/>
        <w:spacing w:after="0" w:line="257" w:lineRule="auto"/>
        <w:rPr>
          <w:sz w:val="20"/>
          <w:szCs w:val="20"/>
          <w:color w:val="auto"/>
        </w:rPr>
      </w:pPr>
      <w:r>
        <w:rPr>
          <w:rFonts w:ascii="Times New Roman" w:cs="Times New Roman" w:eastAsia="Times New Roman" w:hAnsi="Times New Roman"/>
          <w:sz w:val="18"/>
          <w:szCs w:val="18"/>
          <w:color w:val="231F20"/>
        </w:rPr>
        <w:t>On April 15, 2024, we entered into an extension letter, effective as of April 15, 2024 (the “</w:t>
      </w:r>
      <w:r>
        <w:rPr>
          <w:rFonts w:ascii="Times New Roman" w:cs="Times New Roman" w:eastAsia="Times New Roman" w:hAnsi="Times New Roman"/>
          <w:sz w:val="18"/>
          <w:szCs w:val="18"/>
          <w:b w:val="1"/>
          <w:bCs w:val="1"/>
          <w:color w:val="231F20"/>
        </w:rPr>
        <w:t>Extension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Letter</w:t>
      </w:r>
      <w:r>
        <w:rPr>
          <w:rFonts w:ascii="Times New Roman" w:cs="Times New Roman" w:eastAsia="Times New Roman" w:hAnsi="Times New Roman"/>
          <w:sz w:val="18"/>
          <w:szCs w:val="18"/>
          <w:color w:val="231F20"/>
        </w:rPr>
        <w:t>”) to the Cooperation Agreement. The Extension Letter waived the requirement under Section 1(f) of the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Cooperation Agreement for Mr. Justin Roberts to offer to resign from the Company’s Board of Directors and all applicable committees thereof upon the termination date of the Cooperation Agreement which was immediately following the conclusion of our 2024 AGM (the “</w:t>
      </w:r>
      <w:r>
        <w:rPr>
          <w:rFonts w:ascii="Times New Roman" w:cs="Times New Roman" w:eastAsia="Times New Roman" w:hAnsi="Times New Roman"/>
          <w:sz w:val="18"/>
          <w:szCs w:val="18"/>
          <w:b w:val="1"/>
          <w:bCs w:val="1"/>
          <w:color w:val="231F20"/>
        </w:rPr>
        <w:t>Termination Date</w:t>
      </w:r>
      <w:r>
        <w:rPr>
          <w:rFonts w:ascii="Times New Roman" w:cs="Times New Roman" w:eastAsia="Times New Roman" w:hAnsi="Times New Roman"/>
          <w:sz w:val="18"/>
          <w:szCs w:val="18"/>
          <w:color w:val="231F20"/>
        </w:rPr>
        <w:t>”) and extended the Termination Date of the Cooperation Agreement until immediately following the conclusion of our 2025 AGM.</w:t>
      </w:r>
    </w:p>
    <w:p>
      <w:pPr>
        <w:spacing w:after="0" w:line="3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Insurance and Indemnification</w:t>
      </w:r>
    </w:p>
    <w:p>
      <w:pPr>
        <w:spacing w:after="0" w:line="148" w:lineRule="exact"/>
        <w:rPr>
          <w:sz w:val="20"/>
          <w:szCs w:val="20"/>
          <w:color w:val="auto"/>
        </w:rPr>
      </w:pPr>
    </w:p>
    <w:p>
      <w:pPr>
        <w:ind w:left="400" w:right="519" w:firstLine="720"/>
        <w:spacing w:after="0" w:line="261" w:lineRule="auto"/>
        <w:rPr>
          <w:sz w:val="20"/>
          <w:szCs w:val="20"/>
          <w:color w:val="auto"/>
        </w:rPr>
      </w:pPr>
      <w:r>
        <w:rPr>
          <w:rFonts w:ascii="Times New Roman" w:cs="Times New Roman" w:eastAsia="Times New Roman" w:hAnsi="Times New Roman"/>
          <w:sz w:val="18"/>
          <w:szCs w:val="18"/>
          <w:color w:val="231F20"/>
        </w:rPr>
        <w:t>To the extent permitted by the U.K. Companies Act 2006,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w:t>
      </w:r>
    </w:p>
    <w:p>
      <w:pPr>
        <w:spacing w:after="0" w:line="180" w:lineRule="exact"/>
        <w:rPr>
          <w:sz w:val="20"/>
          <w:szCs w:val="20"/>
          <w:color w:val="auto"/>
        </w:rPr>
      </w:pPr>
    </w:p>
    <w:p>
      <w:pPr>
        <w:ind w:left="400" w:right="519" w:firstLine="720"/>
        <w:spacing w:after="0" w:line="261" w:lineRule="auto"/>
        <w:rPr>
          <w:sz w:val="20"/>
          <w:szCs w:val="20"/>
          <w:color w:val="auto"/>
        </w:rPr>
      </w:pPr>
      <w:r>
        <w:rPr>
          <w:rFonts w:ascii="Times New Roman" w:cs="Times New Roman" w:eastAsia="Times New Roman" w:hAnsi="Times New Roman"/>
          <w:sz w:val="18"/>
          <w:szCs w:val="18"/>
          <w:color w:val="231F20"/>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4" w:name="page45"/>
    <w:bookmarkEnd w:id="44"/>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Related Person Transactions Policy</w:t>
      </w:r>
    </w:p>
    <w:p>
      <w:pPr>
        <w:spacing w:after="0" w:line="148" w:lineRule="exact"/>
        <w:rPr>
          <w:sz w:val="20"/>
          <w:szCs w:val="20"/>
          <w:color w:val="auto"/>
        </w:rPr>
      </w:pPr>
    </w:p>
    <w:p>
      <w:pPr>
        <w:ind w:left="400" w:right="439" w:firstLine="720"/>
        <w:spacing w:after="0" w:line="254" w:lineRule="auto"/>
        <w:rPr>
          <w:sz w:val="20"/>
          <w:szCs w:val="20"/>
          <w:color w:val="auto"/>
        </w:rPr>
      </w:pPr>
      <w:r>
        <w:rPr>
          <w:rFonts w:ascii="Times New Roman" w:cs="Times New Roman" w:eastAsia="Times New Roman" w:hAnsi="Times New Roman"/>
          <w:sz w:val="18"/>
          <w:szCs w:val="18"/>
          <w:color w:val="231F20"/>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EXECUTIVE OFFICERS OF THE COMPANY</w:t>
      </w:r>
    </w:p>
    <w:p>
      <w:pPr>
        <w:spacing w:after="0" w:line="297" w:lineRule="exact"/>
        <w:rPr>
          <w:sz w:val="20"/>
          <w:szCs w:val="20"/>
          <w:color w:val="auto"/>
        </w:rPr>
      </w:pPr>
    </w:p>
    <w:p>
      <w:pPr>
        <w:jc w:val="both"/>
        <w:ind w:left="400" w:right="999" w:firstLine="720"/>
        <w:spacing w:after="0" w:line="266" w:lineRule="auto"/>
        <w:rPr>
          <w:sz w:val="20"/>
          <w:szCs w:val="20"/>
          <w:color w:val="auto"/>
        </w:rPr>
      </w:pPr>
      <w:r>
        <w:rPr>
          <w:rFonts w:ascii="Times New Roman" w:cs="Times New Roman" w:eastAsia="Times New Roman" w:hAnsi="Times New Roman"/>
          <w:sz w:val="18"/>
          <w:szCs w:val="18"/>
          <w:color w:val="231F20"/>
        </w:rPr>
        <w:t>Below is a list of our executive officers and their positions and ages as of the date of this proxy statement. There is no arrangement or understanding between any executive officer and any other person pursuant to which the executive officer was selected.</w:t>
      </w:r>
    </w:p>
    <w:p>
      <w:pPr>
        <w:spacing w:after="0" w:line="309" w:lineRule="exact"/>
        <w:rPr>
          <w:sz w:val="20"/>
          <w:szCs w:val="20"/>
          <w:color w:val="auto"/>
        </w:rPr>
      </w:pPr>
    </w:p>
    <w:p>
      <w:pPr>
        <w:ind w:left="400" w:right="439" w:firstLine="720"/>
        <w:spacing w:after="0" w:line="284" w:lineRule="auto"/>
        <w:rPr>
          <w:sz w:val="20"/>
          <w:szCs w:val="20"/>
          <w:color w:val="auto"/>
        </w:rPr>
      </w:pPr>
      <w:r>
        <w:rPr>
          <w:rFonts w:ascii="Times New Roman" w:cs="Times New Roman" w:eastAsia="Times New Roman" w:hAnsi="Times New Roman"/>
          <w:sz w:val="18"/>
          <w:szCs w:val="18"/>
          <w:color w:val="231F20"/>
        </w:rPr>
        <w:t>For biographical information regarding Dr. Scots-Knight, see the section titled “</w:t>
      </w:r>
      <w:r>
        <w:rPr>
          <w:rFonts w:ascii="Times New Roman" w:cs="Times New Roman" w:eastAsia="Times New Roman" w:hAnsi="Times New Roman"/>
          <w:sz w:val="18"/>
          <w:szCs w:val="18"/>
          <w:i w:val="1"/>
          <w:iCs w:val="1"/>
          <w:color w:val="231F20"/>
        </w:rPr>
        <w:t>Board of Directors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Corporate Governance</w:t>
      </w:r>
      <w:r>
        <w:rPr>
          <w:rFonts w:ascii="Times New Roman" w:cs="Times New Roman" w:eastAsia="Times New Roman" w:hAnsi="Times New Roman"/>
          <w:sz w:val="18"/>
          <w:szCs w:val="18"/>
          <w:color w:val="231F20"/>
        </w:rPr>
        <w:t>.”</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Denise Scots-Knight</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Christine Fox</w:t>
            </w:r>
          </w:p>
        </w:tc>
        <w:tc>
          <w:tcPr>
            <w:tcW w:w="1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44</w:t>
            </w:r>
          </w:p>
        </w:tc>
        <w:tc>
          <w:tcPr>
            <w:tcW w:w="16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Sermon</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Business Development</w:t>
            </w:r>
          </w:p>
        </w:tc>
      </w:tr>
      <w:tr>
        <w:trPr>
          <w:trHeight w:val="21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Alexandra (Wills) Hughes-Wilson</w:t>
            </w:r>
          </w:p>
        </w:tc>
        <w:tc>
          <w:tcPr>
            <w:tcW w:w="1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53</w:t>
            </w:r>
          </w:p>
        </w:tc>
        <w:tc>
          <w:tcPr>
            <w:tcW w:w="16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Patient Access and Commercial Planning</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John Lewicki</w:t>
            </w:r>
          </w:p>
        </w:tc>
        <w:tc>
          <w:tcPr>
            <w:tcW w:w="1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73</w:t>
            </w:r>
          </w:p>
        </w:tc>
        <w:tc>
          <w:tcPr>
            <w:tcW w:w="1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bl>
    <w:p>
      <w:pPr>
        <w:spacing w:after="0" w:line="175" w:lineRule="exact"/>
        <w:rPr>
          <w:sz w:val="20"/>
          <w:szCs w:val="20"/>
          <w:color w:val="auto"/>
        </w:rPr>
      </w:pPr>
    </w:p>
    <w:p>
      <w:pPr>
        <w:ind w:left="400" w:right="499" w:firstLine="7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Christine Fox. </w:t>
      </w:r>
      <w:r>
        <w:rPr>
          <w:rFonts w:ascii="Times New Roman" w:cs="Times New Roman" w:eastAsia="Times New Roman" w:hAnsi="Times New Roman"/>
          <w:sz w:val="18"/>
          <w:szCs w:val="18"/>
          <w:color w:val="231F20"/>
        </w:rPr>
        <w:t>Ms. Fox has served as our Chief Financial Officer since January 2021. From 2015 until</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joining us, Ms. Fox was the Vice President Finance, External Reporting and most recently Group Financial Controller and Treasurer of Travelport, and prior to that served more than 10 years at KPMG in the U.S. and Switzerland. Ms. Fox is a Certified Public Accountant (CPA) and holds a B.S. in Accounting from Butler University.</w:t>
      </w:r>
    </w:p>
    <w:p>
      <w:pPr>
        <w:spacing w:after="0" w:line="233" w:lineRule="exact"/>
        <w:rPr>
          <w:sz w:val="20"/>
          <w:szCs w:val="20"/>
          <w:color w:val="auto"/>
        </w:rPr>
      </w:pPr>
    </w:p>
    <w:p>
      <w:pPr>
        <w:ind w:left="400" w:right="479" w:firstLine="720"/>
        <w:spacing w:after="0" w:line="263"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Charles Sermon. </w:t>
      </w:r>
      <w:r>
        <w:rPr>
          <w:rFonts w:ascii="Times New Roman" w:cs="Times New Roman" w:eastAsia="Times New Roman" w:hAnsi="Times New Roman"/>
          <w:sz w:val="18"/>
          <w:szCs w:val="18"/>
          <w:color w:val="231F20"/>
        </w:rPr>
        <w:t>Mr. Sermon serves as our General Counsel and Business Development and has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served as our General Counsel since July 2015. From 2010 until joining us, Mr. Sermon was a Partner of Phase4. Mr. Sermon serves as a Director on the Board of Trustees of Rainbow Trust Children’s Charity. Mr. Sermon trained and qualified as a lawyer with Freshfields in London after completing the Law Society’s Final Examination. Mr. Sermon holds an LL.B. (Hons.) from Hull University.</w:t>
      </w:r>
    </w:p>
    <w:p>
      <w:pPr>
        <w:spacing w:after="0" w:line="229" w:lineRule="exact"/>
        <w:rPr>
          <w:sz w:val="20"/>
          <w:szCs w:val="20"/>
          <w:color w:val="auto"/>
        </w:rPr>
      </w:pPr>
    </w:p>
    <w:p>
      <w:pPr>
        <w:ind w:left="400" w:right="479" w:firstLine="720"/>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Alexandra (Wills) Hughes-Wilson. </w:t>
      </w:r>
      <w:r>
        <w:rPr>
          <w:rFonts w:ascii="Times New Roman" w:cs="Times New Roman" w:eastAsia="Times New Roman" w:hAnsi="Times New Roman"/>
          <w:sz w:val="18"/>
          <w:szCs w:val="18"/>
          <w:color w:val="231F20"/>
        </w:rPr>
        <w:t>Ms. Hughes-Wilson has served as our Chief of Patient Access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Commercial Planning, since 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Since 2024, Ms. Hughes-Wilson has served as a non-executive director on the board of Vasodynamics, a U.K. based privately held company. Ms. Hughes-Wilson holds a bachelor’s degree in Law and Politics (Hons.) from the University of Durham, U.K.</w:t>
      </w:r>
    </w:p>
    <w:p>
      <w:pPr>
        <w:spacing w:after="0" w:line="183" w:lineRule="exact"/>
        <w:rPr>
          <w:sz w:val="20"/>
          <w:szCs w:val="20"/>
          <w:color w:val="auto"/>
        </w:rPr>
      </w:pPr>
    </w:p>
    <w:p>
      <w:pPr>
        <w:ind w:left="400" w:right="399" w:firstLine="557"/>
        <w:spacing w:after="0" w:line="25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Dr. John Lewicki. </w:t>
      </w:r>
      <w:r>
        <w:rPr>
          <w:rFonts w:ascii="Times New Roman" w:cs="Times New Roman" w:eastAsia="Times New Roman" w:hAnsi="Times New Roman"/>
          <w:sz w:val="18"/>
          <w:szCs w:val="18"/>
          <w:color w:val="231F20"/>
        </w:rPr>
        <w:t>Dr. Lewicki has served as our Chief Scientific Officer since July 2020. He has over 35</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years of experience in the biotechnology industry. Dr. Lewicki was President, CEO and a board member of OncoMed from March 2018 to April 2019. Previously, Dr. Lewicki served as Vice President of Research, at Scios Inc. where he co-discovered human B-type natriuretic peptide (BNP). Dr. Lewicki contributed to development of BNP into an FDA-approved treatment (Natrecor) for acute congestive heart failure. Dr. Lewicki received his PhD from the University of California, San Diego. He has co-authored over 80 papers and is co-inventor on over 30 issued U.S. patents.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231F20"/>
        </w:rPr>
        <w:t>EXECUTIVE</w:t>
      </w:r>
    </w:p>
    <w:p>
      <w:pPr>
        <w:spacing w:after="0" w:line="3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231F20"/>
        </w:rPr>
        <w:t>COMPENSATION</w:t>
      </w:r>
    </w:p>
    <w:p>
      <w:pPr>
        <w:spacing w:after="0" w:line="2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231F20"/>
        </w:rPr>
        <w:t>Our named executive officers for the year ended December 31, 2024 are:</w:t>
      </w:r>
    </w:p>
    <w:p>
      <w:pPr>
        <w:spacing w:after="0" w:line="252" w:lineRule="exact"/>
        <w:rPr>
          <w:sz w:val="20"/>
          <w:szCs w:val="20"/>
          <w:color w:val="auto"/>
        </w:rPr>
      </w:pPr>
    </w:p>
    <w:p>
      <w:pPr>
        <w:ind w:left="1180" w:hanging="435"/>
        <w:spacing w:after="0"/>
        <w:tabs>
          <w:tab w:leader="none" w:pos="11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Dr. Denise Scots-Knight, our Chief Executive Officer;</w:t>
      </w:r>
    </w:p>
    <w:p>
      <w:pPr>
        <w:spacing w:after="0" w:line="11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Charles Sermon, our General Counsel; and</w:t>
      </w:r>
    </w:p>
    <w:p>
      <w:pPr>
        <w:spacing w:after="0" w:line="11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Christine Fox, our Chief Financial Officer.</w:t>
      </w: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231F20"/>
        </w:rPr>
        <w:t>2024 Summary Compensation Table</w:t>
      </w:r>
    </w:p>
    <w:p>
      <w:pPr>
        <w:spacing w:after="0" w:line="148" w:lineRule="exact"/>
        <w:rPr>
          <w:sz w:val="20"/>
          <w:szCs w:val="20"/>
          <w:color w:val="auto"/>
        </w:rPr>
      </w:pPr>
    </w:p>
    <w:p>
      <w:pPr>
        <w:ind w:left="440" w:right="739" w:firstLine="720"/>
        <w:spacing w:after="0" w:line="266" w:lineRule="auto"/>
        <w:rPr>
          <w:sz w:val="20"/>
          <w:szCs w:val="20"/>
          <w:color w:val="auto"/>
        </w:rPr>
      </w:pPr>
      <w:r>
        <w:rPr>
          <w:rFonts w:ascii="Times New Roman" w:cs="Times New Roman" w:eastAsia="Times New Roman" w:hAnsi="Times New Roman"/>
          <w:sz w:val="18"/>
          <w:szCs w:val="18"/>
          <w:color w:val="231F20"/>
        </w:rPr>
        <w:t>The following table, as well as the accompanying footnotes and narrative that follow the table, sets forth the compensation awarded to, earned by or paid to each of our named executive officers for the years indicated.</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80" w:type="dxa"/>
            <w:vAlign w:val="bottom"/>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Name and Principal</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3"/>
                <w:szCs w:val="13"/>
                <w:color w:val="auto"/>
              </w:rPr>
            </w:pPr>
          </w:p>
        </w:tc>
        <w:tc>
          <w:tcPr>
            <w:tcW w:w="740" w:type="dxa"/>
            <w:vAlign w:val="bottom"/>
          </w:tcPr>
          <w:p>
            <w:pPr>
              <w:jc w:val="right"/>
              <w:ind w:right="289"/>
              <w:spacing w:after="0" w:line="160" w:lineRule="exact"/>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3"/>
                <w:szCs w:val="13"/>
                <w:color w:val="auto"/>
              </w:rPr>
            </w:pP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7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(3)</w:t>
            </w:r>
          </w:p>
        </w:tc>
        <w:tc>
          <w:tcPr>
            <w:tcW w:w="80" w:type="dxa"/>
            <w:vAlign w:val="bottom"/>
          </w:tcPr>
          <w:p>
            <w:pPr>
              <w:spacing w:after="0"/>
              <w:rPr>
                <w:sz w:val="14"/>
                <w:szCs w:val="14"/>
                <w:color w:val="auto"/>
              </w:rPr>
            </w:pPr>
          </w:p>
        </w:tc>
        <w:tc>
          <w:tcPr>
            <w:tcW w:w="740" w:type="dxa"/>
            <w:vAlign w:val="bottom"/>
          </w:tcPr>
          <w:p>
            <w:pPr>
              <w:jc w:val="right"/>
              <w:ind w:right="9"/>
              <w:spacing w:after="0" w:line="162"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8"/>
                <w:szCs w:val="18"/>
                <w:b w:val="1"/>
                <w:bCs w:val="1"/>
                <w:color w:val="auto"/>
                <w:vertAlign w:val="superscript"/>
              </w:rPr>
              <w:t>(4)</w:t>
            </w:r>
          </w:p>
        </w:tc>
        <w:tc>
          <w:tcPr>
            <w:tcW w:w="8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8"/>
              </w:rPr>
              <w:t>Awards</w:t>
            </w:r>
            <w:r>
              <w:rPr>
                <w:rFonts w:ascii="Times New Roman" w:cs="Times New Roman" w:eastAsia="Times New Roman" w:hAnsi="Times New Roman"/>
                <w:sz w:val="18"/>
                <w:szCs w:val="18"/>
                <w:b w:val="1"/>
                <w:bCs w:val="1"/>
                <w:color w:val="auto"/>
                <w:w w:val="98"/>
                <w:vertAlign w:val="superscript"/>
              </w:rPr>
              <w:t>(4)</w:t>
            </w:r>
          </w:p>
        </w:tc>
        <w:tc>
          <w:tcPr>
            <w:tcW w:w="80" w:type="dxa"/>
            <w:vAlign w:val="bottom"/>
          </w:tcPr>
          <w:p>
            <w:pPr>
              <w:spacing w:after="0"/>
              <w:rPr>
                <w:sz w:val="14"/>
                <w:szCs w:val="14"/>
                <w:color w:val="auto"/>
              </w:rPr>
            </w:pPr>
          </w:p>
        </w:tc>
        <w:tc>
          <w:tcPr>
            <w:tcW w:w="112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7"/>
              </w:rPr>
              <w:t>Compensation</w:t>
            </w:r>
            <w:r>
              <w:rPr>
                <w:rFonts w:ascii="Times New Roman" w:cs="Times New Roman" w:eastAsia="Times New Roman" w:hAnsi="Times New Roman"/>
                <w:sz w:val="18"/>
                <w:szCs w:val="18"/>
                <w:b w:val="1"/>
                <w:bCs w:val="1"/>
                <w:color w:val="auto"/>
                <w:w w:val="97"/>
                <w:vertAlign w:val="superscript"/>
              </w:rPr>
              <w:t>(5)</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 xml:space="preserve">Dr. Denise Scots-Knight </w:t>
            </w:r>
            <w:r>
              <w:rPr>
                <w:rFonts w:ascii="Times New Roman" w:cs="Times New Roman" w:eastAsia="Times New Roman" w:hAnsi="Times New Roman"/>
                <w:sz w:val="19"/>
                <w:szCs w:val="19"/>
                <w:color w:val="auto"/>
                <w:w w:val="99"/>
                <w:vertAlign w:val="superscript"/>
              </w:rPr>
              <w:t>(1) (2)</w:t>
            </w:r>
          </w:p>
        </w:tc>
        <w:tc>
          <w:tcPr>
            <w:tcW w:w="6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89"/>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ind w:right="209"/>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0"/>
                <w:szCs w:val="10"/>
                <w:color w:val="auto"/>
              </w:rPr>
            </w:pPr>
          </w:p>
        </w:tc>
        <w:tc>
          <w:tcPr>
            <w:tcW w:w="840" w:type="dxa"/>
            <w:vAlign w:val="bottom"/>
            <w:tcBorders>
              <w:top w:val="single" w:sz="8" w:color="auto"/>
            </w:tcBorders>
          </w:tcPr>
          <w:p>
            <w:pPr>
              <w:jc w:val="right"/>
              <w:ind w:right="271"/>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80" w:type="dxa"/>
            <w:vAlign w:val="bottom"/>
            <w:vMerge w:val="continue"/>
          </w:tcPr>
          <w:p>
            <w:pPr>
              <w:spacing w:after="0"/>
              <w:rPr>
                <w:sz w:val="12"/>
                <w:szCs w:val="12"/>
                <w:color w:val="auto"/>
              </w:rPr>
            </w:pPr>
          </w:p>
        </w:tc>
        <w:tc>
          <w:tcPr>
            <w:tcW w:w="6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581,865</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290,205</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2,212,164</w:t>
            </w:r>
          </w:p>
        </w:tc>
        <w:tc>
          <w:tcPr>
            <w:tcW w:w="1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78,877</w:t>
            </w:r>
          </w:p>
        </w:tc>
        <w:tc>
          <w:tcPr>
            <w:tcW w:w="9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w w:val="99"/>
              </w:rPr>
              <w:t>3,163,111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780" w:type="dxa"/>
            <w:vAlign w:val="bottom"/>
            <w:vMerge w:val="restart"/>
          </w:tcPr>
          <w:p>
            <w:pPr>
              <w:ind w:left="20"/>
              <w:spacing w:after="0" w:line="145" w:lineRule="exact"/>
              <w:rPr>
                <w:sz w:val="20"/>
                <w:szCs w:val="20"/>
                <w:color w:val="auto"/>
              </w:rPr>
            </w:pPr>
            <w:r>
              <w:rPr>
                <w:rFonts w:ascii="Times New Roman" w:cs="Times New Roman" w:eastAsia="Times New Roman" w:hAnsi="Times New Roman"/>
                <w:sz w:val="14"/>
                <w:szCs w:val="14"/>
                <w:color w:val="auto"/>
              </w:rPr>
              <w:t>Chief Executive Officer</w:t>
            </w: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80" w:type="dxa"/>
            <w:vAlign w:val="bottom"/>
            <w:vMerge w:val="continue"/>
          </w:tcPr>
          <w:p>
            <w:pPr>
              <w:spacing w:after="0"/>
              <w:rPr>
                <w:sz w:val="11"/>
                <w:szCs w:val="11"/>
                <w:color w:val="auto"/>
              </w:rPr>
            </w:pPr>
          </w:p>
        </w:tc>
        <w:tc>
          <w:tcPr>
            <w:tcW w:w="640" w:type="dxa"/>
            <w:vAlign w:val="bottom"/>
            <w:tcBorders>
              <w:bottom w:val="single" w:sz="8" w:color="CFF0FC"/>
            </w:tcBorders>
            <w:shd w:val="clear" w:color="auto" w:fill="CFF0FC"/>
          </w:tcPr>
          <w:p>
            <w:pPr>
              <w:ind w:left="180"/>
              <w:spacing w:after="0" w:line="122" w:lineRule="exact"/>
              <w:rPr>
                <w:sz w:val="20"/>
                <w:szCs w:val="20"/>
                <w:color w:val="auto"/>
              </w:rPr>
            </w:pPr>
            <w:r>
              <w:rPr>
                <w:rFonts w:ascii="Times New Roman" w:cs="Times New Roman" w:eastAsia="Times New Roman" w:hAnsi="Times New Roman"/>
                <w:sz w:val="14"/>
                <w:szCs w:val="14"/>
                <w:color w:val="auto"/>
              </w:rPr>
              <w:t>2023</w:t>
            </w:r>
          </w:p>
        </w:tc>
        <w:tc>
          <w:tcPr>
            <w:tcW w:w="720" w:type="dxa"/>
            <w:vAlign w:val="bottom"/>
            <w:tcBorders>
              <w:bottom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565,107</w:t>
            </w:r>
          </w:p>
        </w:tc>
        <w:tc>
          <w:tcPr>
            <w:tcW w:w="12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254,298</w:t>
            </w:r>
          </w:p>
        </w:tc>
        <w:tc>
          <w:tcPr>
            <w:tcW w:w="8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285,358</w:t>
            </w:r>
          </w:p>
        </w:tc>
        <w:tc>
          <w:tcPr>
            <w:tcW w:w="102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1,043,403</w:t>
            </w:r>
          </w:p>
        </w:tc>
        <w:tc>
          <w:tcPr>
            <w:tcW w:w="1200" w:type="dxa"/>
            <w:vAlign w:val="bottom"/>
            <w:tcBorders>
              <w:bottom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71,157</w:t>
            </w:r>
          </w:p>
        </w:tc>
        <w:tc>
          <w:tcPr>
            <w:tcW w:w="940" w:type="dxa"/>
            <w:vAlign w:val="bottom"/>
            <w:tcBorders>
              <w:bottom w:val="single" w:sz="8" w:color="CFF0FC"/>
            </w:tcBorders>
            <w:gridSpan w:val="2"/>
            <w:shd w:val="clear" w:color="auto" w:fill="CFF0FC"/>
          </w:tcPr>
          <w:p>
            <w:pPr>
              <w:ind w:left="360"/>
              <w:spacing w:after="0" w:line="122" w:lineRule="exact"/>
              <w:rPr>
                <w:sz w:val="20"/>
                <w:szCs w:val="20"/>
                <w:color w:val="auto"/>
              </w:rPr>
            </w:pPr>
            <w:r>
              <w:rPr>
                <w:rFonts w:ascii="Times New Roman" w:cs="Times New Roman" w:eastAsia="Times New Roman" w:hAnsi="Times New Roman"/>
                <w:sz w:val="14"/>
                <w:szCs w:val="14"/>
                <w:color w:val="auto"/>
                <w:w w:val="99"/>
              </w:rPr>
              <w:t>2,219,323</w:t>
            </w:r>
          </w:p>
        </w:tc>
        <w:tc>
          <w:tcPr>
            <w:tcW w:w="8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80" w:type="dxa"/>
            <w:vAlign w:val="bottom"/>
          </w:tcPr>
          <w:p>
            <w:pPr>
              <w:ind w:left="20"/>
              <w:spacing w:after="0" w:line="126" w:lineRule="exact"/>
              <w:rPr>
                <w:sz w:val="20"/>
                <w:szCs w:val="20"/>
                <w:color w:val="auto"/>
              </w:rPr>
            </w:pPr>
            <w:r>
              <w:rPr>
                <w:rFonts w:ascii="Times New Roman" w:cs="Times New Roman" w:eastAsia="Times New Roman" w:hAnsi="Times New Roman"/>
                <w:sz w:val="11"/>
                <w:szCs w:val="11"/>
                <w:color w:val="auto"/>
              </w:rPr>
              <w:t xml:space="preserve">Charles Sermon </w:t>
            </w:r>
            <w:r>
              <w:rPr>
                <w:rFonts w:ascii="Times New Roman" w:cs="Times New Roman" w:eastAsia="Times New Roman" w:hAnsi="Times New Roman"/>
                <w:sz w:val="14"/>
                <w:szCs w:val="14"/>
                <w:color w:val="auto"/>
                <w:vertAlign w:val="superscript"/>
              </w:rPr>
              <w:t>(2)</w:t>
            </w:r>
          </w:p>
        </w:tc>
        <w:tc>
          <w:tcPr>
            <w:tcW w:w="6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428,056</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182,994</w:t>
            </w:r>
          </w:p>
        </w:tc>
        <w:tc>
          <w:tcPr>
            <w:tcW w:w="80" w:type="dxa"/>
            <w:vAlign w:val="bottom"/>
          </w:tcPr>
          <w:p>
            <w:pPr>
              <w:spacing w:after="0"/>
              <w:rPr>
                <w:sz w:val="10"/>
                <w:szCs w:val="10"/>
                <w:color w:val="auto"/>
              </w:rPr>
            </w:pPr>
          </w:p>
        </w:tc>
        <w:tc>
          <w:tcPr>
            <w:tcW w:w="7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637,624</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57,819</w:t>
            </w:r>
          </w:p>
        </w:tc>
        <w:tc>
          <w:tcPr>
            <w:tcW w:w="94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w w:val="99"/>
              </w:rPr>
              <w:t>1,306,493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General Counsel</w:t>
            </w:r>
          </w:p>
        </w:tc>
        <w:tc>
          <w:tcPr>
            <w:tcW w:w="6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2023</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415,651</w:t>
            </w:r>
          </w:p>
        </w:tc>
        <w:tc>
          <w:tcPr>
            <w:tcW w:w="12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162,104</w:t>
            </w:r>
          </w:p>
        </w:tc>
        <w:tc>
          <w:tcPr>
            <w:tcW w:w="8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99,540</w:t>
            </w:r>
          </w:p>
        </w:tc>
        <w:tc>
          <w:tcPr>
            <w:tcW w:w="10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362,923</w:t>
            </w:r>
          </w:p>
        </w:tc>
        <w:tc>
          <w:tcPr>
            <w:tcW w:w="12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48,031</w:t>
            </w:r>
          </w:p>
        </w:tc>
        <w:tc>
          <w:tcPr>
            <w:tcW w:w="94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w w:val="99"/>
              </w:rPr>
              <w:t>1,088,249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80" w:type="dxa"/>
            <w:vAlign w:val="bottom"/>
          </w:tcPr>
          <w:p>
            <w:pPr>
              <w:ind w:left="20"/>
              <w:spacing w:after="0" w:line="153" w:lineRule="exact"/>
              <w:rPr>
                <w:sz w:val="20"/>
                <w:szCs w:val="20"/>
                <w:color w:val="auto"/>
              </w:rPr>
            </w:pPr>
            <w:r>
              <w:rPr>
                <w:rFonts w:ascii="Times New Roman" w:cs="Times New Roman" w:eastAsia="Times New Roman" w:hAnsi="Times New Roman"/>
                <w:sz w:val="13"/>
                <w:szCs w:val="13"/>
                <w:color w:val="auto"/>
              </w:rPr>
              <w:t xml:space="preserve">Christine Fox </w:t>
            </w:r>
            <w:r>
              <w:rPr>
                <w:rFonts w:ascii="Times New Roman" w:cs="Times New Roman" w:eastAsia="Times New Roman" w:hAnsi="Times New Roman"/>
                <w:sz w:val="17"/>
                <w:szCs w:val="17"/>
                <w:color w:val="auto"/>
                <w:vertAlign w:val="superscript"/>
              </w:rPr>
              <w:t>(2)</w:t>
            </w:r>
          </w:p>
        </w:tc>
        <w:tc>
          <w:tcPr>
            <w:tcW w:w="64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2024</w:t>
            </w:r>
          </w:p>
        </w:tc>
        <w:tc>
          <w:tcPr>
            <w:tcW w:w="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402,463</w:t>
            </w:r>
          </w:p>
        </w:tc>
        <w:tc>
          <w:tcPr>
            <w:tcW w:w="12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174,065</w:t>
            </w:r>
          </w:p>
        </w:tc>
        <w:tc>
          <w:tcPr>
            <w:tcW w:w="8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637,624</w:t>
            </w:r>
          </w:p>
        </w:tc>
        <w:tc>
          <w:tcPr>
            <w:tcW w:w="12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47,919</w:t>
            </w:r>
          </w:p>
        </w:tc>
        <w:tc>
          <w:tcPr>
            <w:tcW w:w="940" w:type="dxa"/>
            <w:vAlign w:val="bottom"/>
            <w:gridSpan w:val="2"/>
          </w:tcPr>
          <w:p>
            <w:pPr>
              <w:ind w:left="360"/>
              <w:spacing w:after="0" w:line="153" w:lineRule="exact"/>
              <w:rPr>
                <w:sz w:val="20"/>
                <w:szCs w:val="20"/>
                <w:color w:val="auto"/>
              </w:rPr>
            </w:pPr>
            <w:r>
              <w:rPr>
                <w:rFonts w:ascii="Times New Roman" w:cs="Times New Roman" w:eastAsia="Times New Roman" w:hAnsi="Times New Roman"/>
                <w:sz w:val="14"/>
                <w:szCs w:val="14"/>
                <w:color w:val="auto"/>
                <w:w w:val="99"/>
              </w:rPr>
              <w:t>1,262,071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80" w:type="dxa"/>
            <w:vAlign w:val="bottom"/>
            <w:vMerge w:val="continue"/>
          </w:tcPr>
          <w:p>
            <w:pPr>
              <w:spacing w:after="0"/>
              <w:rPr>
                <w:sz w:val="12"/>
                <w:szCs w:val="12"/>
                <w:color w:val="auto"/>
              </w:rPr>
            </w:pPr>
          </w:p>
        </w:tc>
        <w:tc>
          <w:tcPr>
            <w:tcW w:w="640" w:type="dxa"/>
            <w:vAlign w:val="bottom"/>
            <w:shd w:val="clear" w:color="auto" w:fill="CFF0FC"/>
          </w:tcPr>
          <w:p>
            <w:pPr>
              <w:ind w:left="18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378,120</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151,248</w:t>
            </w:r>
          </w:p>
        </w:tc>
        <w:tc>
          <w:tcPr>
            <w:tcW w:w="8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91,043</w:t>
            </w:r>
          </w:p>
        </w:tc>
        <w:tc>
          <w:tcPr>
            <w:tcW w:w="10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340,240</w:t>
            </w: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40,400</w:t>
            </w:r>
          </w:p>
        </w:tc>
        <w:tc>
          <w:tcPr>
            <w:tcW w:w="940" w:type="dxa"/>
            <w:vAlign w:val="bottom"/>
            <w:gridSpan w:val="2"/>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w w:val="99"/>
              </w:rPr>
              <w:t>1,001,051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-565150</wp:posOffset>
            </wp:positionV>
            <wp:extent cx="533209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32095" cy="18859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-187960</wp:posOffset>
            </wp:positionV>
            <wp:extent cx="533209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32095" cy="188595"/>
                    </a:xfrm>
                    <a:prstGeom prst="rect">
                      <a:avLst/>
                    </a:prstGeom>
                    <a:noFill/>
                  </pic:spPr>
                </pic:pic>
              </a:graphicData>
            </a:graphic>
          </wp:anchor>
        </w:drawing>
      </w:r>
    </w:p>
    <w:p>
      <w:pPr>
        <w:spacing w:after="0" w:line="128" w:lineRule="exact"/>
        <w:rPr>
          <w:sz w:val="20"/>
          <w:szCs w:val="20"/>
          <w:color w:val="auto"/>
        </w:rPr>
      </w:pPr>
    </w:p>
    <w:p>
      <w:pPr>
        <w:ind w:left="500" w:hanging="195"/>
        <w:spacing w:after="0"/>
        <w:tabs>
          <w:tab w:leader="none" w:pos="500" w:val="left"/>
        </w:tabs>
        <w:numPr>
          <w:ilvl w:val="0"/>
          <w:numId w:val="38"/>
        </w:numPr>
        <w:rPr>
          <w:rFonts w:ascii="Times New Roman" w:cs="Times New Roman" w:eastAsia="Times New Roman" w:hAnsi="Times New Roman"/>
          <w:sz w:val="14"/>
          <w:szCs w:val="14"/>
          <w:color w:val="231F20"/>
        </w:rPr>
      </w:pPr>
      <w:r>
        <w:rPr>
          <w:rFonts w:ascii="Times New Roman" w:cs="Times New Roman" w:eastAsia="Times New Roman" w:hAnsi="Times New Roman"/>
          <w:sz w:val="16"/>
          <w:szCs w:val="16"/>
          <w:color w:val="231F20"/>
        </w:rPr>
        <w:t>Dr. Denise Scots-Knight also serves as a director but receives no additional compensation for this service.</w:t>
      </w:r>
    </w:p>
    <w:p>
      <w:pPr>
        <w:spacing w:after="0" w:line="32" w:lineRule="exact"/>
        <w:rPr>
          <w:rFonts w:ascii="Times New Roman" w:cs="Times New Roman" w:eastAsia="Times New Roman" w:hAnsi="Times New Roman"/>
          <w:sz w:val="14"/>
          <w:szCs w:val="14"/>
          <w:color w:val="231F20"/>
        </w:rPr>
      </w:pPr>
    </w:p>
    <w:p>
      <w:pPr>
        <w:ind w:left="300" w:right="479" w:firstLine="5"/>
        <w:spacing w:after="0" w:line="266"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Cash compensation paid to all named executive officers is denominated in pounds sterling. For the purposes of this table, all 2024 amounts have been converted based on the pound sterling/U.S. dollar exchange rate in effect as of December 31, 2024 (£1/$1.2546) and all 2023 amounts have been converted based on the pound Sterling/U.S. dollar exchange rate in effect as of December 31, 2023 (£1/$1.2103).</w:t>
      </w:r>
    </w:p>
    <w:p>
      <w:pPr>
        <w:spacing w:after="0" w:line="2" w:lineRule="exact"/>
        <w:rPr>
          <w:rFonts w:ascii="Times New Roman" w:cs="Times New Roman" w:eastAsia="Times New Roman" w:hAnsi="Times New Roman"/>
          <w:sz w:val="16"/>
          <w:szCs w:val="16"/>
          <w:color w:val="231F20"/>
        </w:rPr>
      </w:pPr>
    </w:p>
    <w:p>
      <w:pPr>
        <w:ind w:left="540" w:hanging="235"/>
        <w:spacing w:after="0"/>
        <w:tabs>
          <w:tab w:leader="none" w:pos="540"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 shown reflects annual cash bonuses awarded for achievement of performance goals.</w:t>
      </w:r>
    </w:p>
    <w:p>
      <w:pPr>
        <w:spacing w:after="0" w:line="18" w:lineRule="exact"/>
        <w:rPr>
          <w:rFonts w:ascii="Times New Roman" w:cs="Times New Roman" w:eastAsia="Times New Roman" w:hAnsi="Times New Roman"/>
          <w:sz w:val="16"/>
          <w:szCs w:val="16"/>
          <w:color w:val="231F20"/>
        </w:rPr>
      </w:pPr>
    </w:p>
    <w:p>
      <w:pPr>
        <w:ind w:left="300" w:right="539" w:firstLine="5"/>
        <w:spacing w:after="0" w:line="264"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reflect the grant date fair value of awards granted in 2024 and 2023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15 to our financial statements for the year ended December 31, 2024. These amounts do not correspond to the actual value that may be recognized by the named executive officers upon vesting of applicable awards.</w:t>
      </w:r>
    </w:p>
    <w:p>
      <w:pPr>
        <w:ind w:left="300" w:right="399" w:firstLine="5"/>
        <w:spacing w:after="0" w:line="276" w:lineRule="auto"/>
        <w:tabs>
          <w:tab w:leader="none" w:pos="529" w:val="left"/>
        </w:tabs>
        <w:numPr>
          <w:ilvl w:val="0"/>
          <w:numId w:val="3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Amounts include health benefit and life insurance payments and pension contributions made by us. Life insurance premiums paid by us for named executive officers were: $3,787 (2023: $3,772) for Dr. Denise Scots-Knight; $2,785 (2023: $2,774) for Charles Sermon; and $2,545 (2023: $2,524) for Christine Fox.</w:t>
      </w:r>
    </w:p>
    <w:p>
      <w:pPr>
        <w:spacing w:after="0" w:line="2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Narrative Disclosure to the Summary Compensation Table</w:t>
      </w: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Overview</w:t>
      </w:r>
    </w:p>
    <w:p>
      <w:pPr>
        <w:spacing w:after="0" w:line="229" w:lineRule="exact"/>
        <w:rPr>
          <w:sz w:val="20"/>
          <w:szCs w:val="20"/>
          <w:color w:val="auto"/>
        </w:rPr>
      </w:pPr>
    </w:p>
    <w:p>
      <w:pPr>
        <w:ind w:left="400" w:right="559" w:firstLine="720"/>
        <w:spacing w:after="0" w:line="258" w:lineRule="auto"/>
        <w:rPr>
          <w:sz w:val="20"/>
          <w:szCs w:val="20"/>
          <w:color w:val="auto"/>
        </w:rPr>
      </w:pPr>
      <w:r>
        <w:rPr>
          <w:rFonts w:ascii="Times New Roman" w:cs="Times New Roman" w:eastAsia="Times New Roman" w:hAnsi="Times New Roman"/>
          <w:sz w:val="18"/>
          <w:szCs w:val="18"/>
          <w:color w:val="231F20"/>
        </w:rPr>
        <w:t>Our executive compensation program is designed to attract, retain and reward key employees and to align their interests with the interests of our stockholders. Our Chief Executive Officer makes recommendations to the Remuneration Committee about the compensation of her direct reports (except with respect to her own compensation), and our Remuneration Committee is responsible for determining the compensation of our executive officers.</w:t>
      </w:r>
    </w:p>
    <w:p>
      <w:pPr>
        <w:spacing w:after="0" w:line="183" w:lineRule="exact"/>
        <w:rPr>
          <w:sz w:val="20"/>
          <w:szCs w:val="20"/>
          <w:color w:val="auto"/>
        </w:rPr>
      </w:pPr>
    </w:p>
    <w:p>
      <w:pPr>
        <w:ind w:left="400" w:right="739" w:firstLine="720"/>
        <w:spacing w:after="0" w:line="281" w:lineRule="auto"/>
        <w:rPr>
          <w:sz w:val="20"/>
          <w:szCs w:val="20"/>
          <w:color w:val="auto"/>
        </w:rPr>
      </w:pPr>
      <w:r>
        <w:rPr>
          <w:rFonts w:ascii="Times New Roman" w:cs="Times New Roman" w:eastAsia="Times New Roman" w:hAnsi="Times New Roman"/>
          <w:sz w:val="17"/>
          <w:szCs w:val="17"/>
          <w:color w:val="231F20"/>
        </w:rPr>
        <w:t>Our compensation committee has engaged Compensia as its independent compensation consultant since May 2021. Compensia assists the Remuneration Committee in evaluating the Company’s executive and director compensation practices, including program design, identification of an appropriate peer group for compensation comparison purposes and providing competitive market pay data. We align our incentive plans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7" w:name="page48"/>
    <w:bookmarkEnd w:id="47"/>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right="1019"/>
        <w:spacing w:after="0" w:line="282" w:lineRule="auto"/>
        <w:rPr>
          <w:sz w:val="20"/>
          <w:szCs w:val="20"/>
          <w:color w:val="auto"/>
        </w:rPr>
      </w:pPr>
      <w:r>
        <w:rPr>
          <w:rFonts w:ascii="Times New Roman" w:cs="Times New Roman" w:eastAsia="Times New Roman" w:hAnsi="Times New Roman"/>
          <w:sz w:val="18"/>
          <w:szCs w:val="18"/>
          <w:color w:val="231F20"/>
        </w:rPr>
        <w:t>with US peer group practices, despite our U.K. domicile, to maintain competitive compensation, ensuring relevance and attractiveness for our talent.</w:t>
      </w:r>
    </w:p>
    <w:p>
      <w:pPr>
        <w:spacing w:after="0" w:line="162" w:lineRule="exact"/>
        <w:rPr>
          <w:sz w:val="20"/>
          <w:szCs w:val="20"/>
          <w:color w:val="auto"/>
        </w:rPr>
      </w:pPr>
    </w:p>
    <w:p>
      <w:pPr>
        <w:ind w:left="400" w:right="579" w:firstLine="720"/>
        <w:spacing w:after="0" w:line="261" w:lineRule="auto"/>
        <w:rPr>
          <w:sz w:val="20"/>
          <w:szCs w:val="20"/>
          <w:color w:val="auto"/>
        </w:rPr>
      </w:pPr>
      <w:r>
        <w:rPr>
          <w:rFonts w:ascii="Times New Roman" w:cs="Times New Roman" w:eastAsia="Times New Roman" w:hAnsi="Times New Roman"/>
          <w:sz w:val="18"/>
          <w:szCs w:val="18"/>
          <w:color w:val="auto"/>
        </w:rPr>
        <w:t>Consistent with SEC rules, the Company assessed whether the work of Compensia raised any conflict of interest and determined that the retention of Compensia to advise the Remuneration Committee concerning executive and director compensation matters did not create a conflict of interest. Neither the Remuneration Committee nor the Company has any other professional relationship with Compensia.</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Annual Base Salary</w:t>
      </w:r>
    </w:p>
    <w:p>
      <w:pPr>
        <w:spacing w:after="0" w:line="121" w:lineRule="exact"/>
        <w:rPr>
          <w:sz w:val="20"/>
          <w:szCs w:val="20"/>
          <w:color w:val="auto"/>
        </w:rPr>
      </w:pPr>
    </w:p>
    <w:p>
      <w:pPr>
        <w:ind w:left="400" w:right="519" w:firstLine="720"/>
        <w:spacing w:after="0" w:line="254" w:lineRule="auto"/>
        <w:rPr>
          <w:sz w:val="20"/>
          <w:szCs w:val="20"/>
          <w:color w:val="auto"/>
        </w:rPr>
      </w:pPr>
      <w:r>
        <w:rPr>
          <w:rFonts w:ascii="Times New Roman" w:cs="Times New Roman" w:eastAsia="Times New Roman" w:hAnsi="Times New Roman"/>
          <w:sz w:val="18"/>
          <w:szCs w:val="18"/>
          <w:color w:val="231F20"/>
        </w:rPr>
        <w:t>Each named executive officer’s base salary is a fixed component of annual compensation for performing specific duties and functions related to their role and has been established by our board of directors taking into account each individual’s responsibilities, skills, and experience. Base salaries are typically reviewed annually, with any increases normally taking effect from the first day of January. When awarding salary increases, the Remuneration Committee will consider the level of increase proposed for the wider workforce, as well as employee pay conditions more broadly in comparison to our peer group companies and inflation. During 2024, after taking these factors into consideration, the Remuneration Committee determined to increase incrementally annual base salaries for all named executive officers. The base salary of each named executive officer is noted below:</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Annual</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 Annual</w:t>
            </w:r>
          </w:p>
        </w:tc>
        <w:tc>
          <w:tcPr>
            <w:tcW w:w="16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 in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85"/>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40" w:type="dxa"/>
            <w:vAlign w:val="bottom"/>
            <w:vMerge w:val="restart"/>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60" w:type="dxa"/>
            <w:vAlign w:val="bottom"/>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4840" w:type="dxa"/>
            <w:vAlign w:val="bottom"/>
            <w:vMerge w:val="continue"/>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1000" w:type="dxa"/>
            <w:vAlign w:val="bottom"/>
          </w:tcPr>
          <w:p>
            <w:pPr>
              <w:ind w:left="42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1"/>
                <w:szCs w:val="11"/>
                <w:color w:val="auto"/>
              </w:rPr>
            </w:pPr>
          </w:p>
        </w:tc>
        <w:tc>
          <w:tcPr>
            <w:tcW w:w="780" w:type="dxa"/>
            <w:vAlign w:val="bottom"/>
          </w:tcPr>
          <w:p>
            <w:pPr>
              <w:jc w:val="center"/>
              <w:ind w:left="6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20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Dr. Denise Scots-Knight</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581,865</w:t>
            </w:r>
          </w:p>
        </w:tc>
        <w:tc>
          <w:tcPr>
            <w:tcW w:w="11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565,107</w:t>
            </w:r>
          </w:p>
        </w:tc>
        <w:tc>
          <w:tcPr>
            <w:tcW w:w="94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Charles Sermon</w:t>
            </w:r>
            <w:r>
              <w:rPr>
                <w:rFonts w:ascii="Times New Roman" w:cs="Times New Roman" w:eastAsia="Times New Roman" w:hAnsi="Times New Roman"/>
                <w:sz w:val="24"/>
                <w:szCs w:val="24"/>
                <w:color w:val="auto"/>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428,056</w:t>
            </w: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9"/>
              </w:rPr>
              <w:t>415,651</w:t>
            </w:r>
          </w:p>
        </w:tc>
        <w:tc>
          <w:tcPr>
            <w:tcW w:w="9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20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Christine Fox</w:t>
            </w:r>
            <w:r>
              <w:rPr>
                <w:rFonts w:ascii="Times New Roman" w:cs="Times New Roman" w:eastAsia="Times New Roman" w:hAnsi="Times New Roman"/>
                <w:sz w:val="24"/>
                <w:szCs w:val="24"/>
                <w:color w:val="auto"/>
                <w:vertAlign w:val="superscript"/>
              </w:rPr>
              <w:t>(1)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402,463</w:t>
            </w:r>
          </w:p>
        </w:tc>
        <w:tc>
          <w:tcPr>
            <w:tcW w:w="11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378,120</w:t>
            </w:r>
          </w:p>
        </w:tc>
        <w:tc>
          <w:tcPr>
            <w:tcW w:w="94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300" w:right="639" w:firstLine="5"/>
        <w:spacing w:after="0" w:line="266" w:lineRule="auto"/>
        <w:tabs>
          <w:tab w:leader="none" w:pos="61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Compensation paid to all named executive officers is denominated in pounds sterling. For the purposes of this table, all 2024 amounts have been converted based on the pound sterling/U.S. dollar exchange rate in effect as of December 31, 2024 (£1/$1.2546) and all 2023 amounts have been converted based on the pound sterling/U.S. dollar exchange rate in effect as of December 31, 2023 (£1/$1.273).</w:t>
      </w:r>
    </w:p>
    <w:p>
      <w:pPr>
        <w:spacing w:after="0" w:line="2" w:lineRule="exact"/>
        <w:rPr>
          <w:rFonts w:ascii="Times New Roman" w:cs="Times New Roman" w:eastAsia="Times New Roman" w:hAnsi="Times New Roman"/>
          <w:sz w:val="16"/>
          <w:szCs w:val="16"/>
          <w:color w:val="231F20"/>
        </w:rPr>
      </w:pPr>
    </w:p>
    <w:p>
      <w:pPr>
        <w:ind w:left="580" w:hanging="275"/>
        <w:spacing w:after="0"/>
        <w:tabs>
          <w:tab w:leader="none" w:pos="580" w:val="left"/>
        </w:tabs>
        <w:numPr>
          <w:ilvl w:val="0"/>
          <w:numId w:val="3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Percentage increases in base salary reflect the underlying change in the compensation denominated in pounds sterling.</w:t>
      </w:r>
    </w:p>
    <w:p>
      <w:pPr>
        <w:spacing w:after="0" w:line="3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Annual Cash Bonuses</w:t>
      </w:r>
    </w:p>
    <w:p>
      <w:pPr>
        <w:spacing w:after="0" w:line="121" w:lineRule="exact"/>
        <w:rPr>
          <w:sz w:val="20"/>
          <w:szCs w:val="20"/>
          <w:color w:val="auto"/>
        </w:rPr>
      </w:pPr>
    </w:p>
    <w:p>
      <w:pPr>
        <w:ind w:left="400" w:right="499" w:firstLine="720"/>
        <w:spacing w:after="0" w:line="254" w:lineRule="auto"/>
        <w:rPr>
          <w:sz w:val="20"/>
          <w:szCs w:val="20"/>
          <w:color w:val="auto"/>
        </w:rPr>
      </w:pPr>
      <w:r>
        <w:rPr>
          <w:rFonts w:ascii="Times New Roman" w:cs="Times New Roman" w:eastAsia="Times New Roman" w:hAnsi="Times New Roman"/>
          <w:sz w:val="18"/>
          <w:szCs w:val="18"/>
          <w:color w:val="231F20"/>
        </w:rPr>
        <w:t>We have a discretionary bonus scheme for all employees, including the named executive officers. Bonus payments for employees, including the named executive officers, are a percentage of base salary based on performance-based measures against both Company-wide target and personal objectives which can also be increased with stretch performance. Bonus payments for the Chief Executive Officer are a percentage of base salary, based only on performance-based measures against Company-wide target objectives. The target bonus rate, performance targets and weightings and achievements are determined annually by the Remuneration Committee. The annual bonus is payable in cash after the award has been approved by the Remuneration Committee, usually in January of the following year.</w:t>
      </w:r>
    </w:p>
    <w:p>
      <w:pPr>
        <w:spacing w:after="0" w:line="192" w:lineRule="exact"/>
        <w:rPr>
          <w:sz w:val="20"/>
          <w:szCs w:val="20"/>
          <w:color w:val="auto"/>
        </w:rPr>
      </w:pPr>
    </w:p>
    <w:p>
      <w:pPr>
        <w:ind w:left="400" w:right="499" w:firstLine="720"/>
        <w:spacing w:after="0" w:line="255" w:lineRule="auto"/>
        <w:rPr>
          <w:sz w:val="20"/>
          <w:szCs w:val="20"/>
          <w:color w:val="auto"/>
        </w:rPr>
      </w:pPr>
      <w:r>
        <w:rPr>
          <w:rFonts w:ascii="Times New Roman" w:cs="Times New Roman" w:eastAsia="Times New Roman" w:hAnsi="Times New Roman"/>
          <w:sz w:val="18"/>
          <w:szCs w:val="18"/>
          <w:color w:val="231F20"/>
        </w:rPr>
        <w:t xml:space="preserve">Company performance was assessed against the 2024 Company-wide target objectives, including certain pipeline and development milestones, execution of manufacturing, clinical and compliance processes and partnerships, the achievement of finance-related and business development milestones. Specific details within each of these Company-wide target objective categories are considered commercially sensitive </w:t>
      </w:r>
      <w:r>
        <w:rPr>
          <w:rFonts w:ascii="Times New Roman" w:cs="Times New Roman" w:eastAsia="Times New Roman" w:hAnsi="Times New Roman"/>
          <w:sz w:val="18"/>
          <w:szCs w:val="18"/>
          <w:color w:val="000000"/>
        </w:rPr>
        <w:t>and we believe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their disclosure would result in competitive harm to the Company, </w:t>
      </w:r>
      <w:r>
        <w:rPr>
          <w:rFonts w:ascii="Times New Roman" w:cs="Times New Roman" w:eastAsia="Times New Roman" w:hAnsi="Times New Roman"/>
          <w:sz w:val="18"/>
          <w:szCs w:val="18"/>
          <w:color w:val="231F20"/>
        </w:rPr>
        <w:t>therefore they are not disclosed in detail.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Objectives that were used to measure the performance of the Chief Executive Officer and other named executive officers for 2024 included the following:</w:t>
      </w:r>
    </w:p>
    <w:p>
      <w:pPr>
        <w:spacing w:after="0" w:line="297" w:lineRule="exact"/>
        <w:rPr>
          <w:sz w:val="20"/>
          <w:szCs w:val="20"/>
          <w:color w:val="auto"/>
        </w:rPr>
      </w:pPr>
    </w:p>
    <w:p>
      <w:pPr>
        <w:ind w:left="1180" w:right="459" w:hanging="435"/>
        <w:spacing w:after="0" w:line="261" w:lineRule="auto"/>
        <w:tabs>
          <w:tab w:leader="none" w:pos="1225"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setrusumab, delivering the agreed key activities under Project SATURN for real world evidence, and for the ongoing activities necessary to support pricing and reimbursement by HTA authorities and payor decision-makers in Europe and the U.K.; and additional Phase 2 Orbit data at the 14 month time point that was comparable to the previous 6-month data;</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8" w:name="page49"/>
    <w:bookmarkEnd w:id="48"/>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80" w:right="339" w:hanging="435"/>
        <w:spacing w:after="0" w:line="266" w:lineRule="auto"/>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alvelestat, submission of the Phase 3 protocol to the FDA and completion of other Phase 3 readiness activities, along with receipt of orphan designation for the treatment of AATD from the European Commission;</w:t>
      </w:r>
    </w:p>
    <w:p>
      <w:pPr>
        <w:spacing w:after="0" w:line="67" w:lineRule="exact"/>
        <w:rPr>
          <w:rFonts w:ascii="Times New Roman" w:cs="Times New Roman" w:eastAsia="Times New Roman" w:hAnsi="Times New Roman"/>
          <w:sz w:val="18"/>
          <w:szCs w:val="18"/>
          <w:color w:val="231F20"/>
        </w:rPr>
      </w:pPr>
    </w:p>
    <w:p>
      <w:pPr>
        <w:ind w:left="1180" w:right="559" w:hanging="435"/>
        <w:spacing w:after="0" w:line="261" w:lineRule="auto"/>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transition to a U.S. domestic reporting regime, including required Nasdaq filings; achievement of key internal controls over financial reporting readiness activities; and successful management of cash runway, including a $50 million underwritten registered direct financing, which we believe has extended our cash runway into 2027;</w:t>
      </w:r>
    </w:p>
    <w:p>
      <w:pPr>
        <w:spacing w:after="0" w:line="71" w:lineRule="exact"/>
        <w:rPr>
          <w:rFonts w:ascii="Times New Roman" w:cs="Times New Roman" w:eastAsia="Times New Roman" w:hAnsi="Times New Roman"/>
          <w:sz w:val="18"/>
          <w:szCs w:val="18"/>
          <w:color w:val="231F20"/>
        </w:rPr>
      </w:pPr>
    </w:p>
    <w:p>
      <w:pPr>
        <w:ind w:left="1180" w:right="539" w:hanging="435"/>
        <w:spacing w:after="0" w:line="266" w:lineRule="auto"/>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manufacturing, successful delivery of a Phase 3 higher dosage tablet and drug product supply necessary for commencement of the Phase 3 study for alvelestat; and establishment of a commercial product supply chain, including a commercial manufacturing and supply agreement with Ultragenyx;</w:t>
      </w:r>
    </w:p>
    <w:p>
      <w:pPr>
        <w:spacing w:after="0" w:line="67" w:lineRule="exact"/>
        <w:rPr>
          <w:rFonts w:ascii="Times New Roman" w:cs="Times New Roman" w:eastAsia="Times New Roman" w:hAnsi="Times New Roman"/>
          <w:sz w:val="18"/>
          <w:szCs w:val="18"/>
          <w:color w:val="231F20"/>
        </w:rPr>
      </w:pPr>
    </w:p>
    <w:p>
      <w:pPr>
        <w:ind w:left="1180" w:hanging="435"/>
        <w:spacing w:after="0"/>
        <w:tabs>
          <w:tab w:leader="none" w:pos="118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 achievement of milestones on intellectual property.</w:t>
      </w:r>
    </w:p>
    <w:p>
      <w:pPr>
        <w:spacing w:after="0" w:line="2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231F20"/>
        </w:rPr>
        <w:t>As a result, the named executive officers were awarded bonuses against their target bonus rates as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231F20"/>
        </w:rPr>
        <w:t>follows.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 Target Bonus Rate</w:t>
            </w:r>
          </w:p>
        </w:tc>
        <w:tc>
          <w:tcPr>
            <w:tcW w:w="80" w:type="dxa"/>
            <w:vAlign w:val="bottom"/>
          </w:tcPr>
          <w:p>
            <w:pPr>
              <w:spacing w:after="0"/>
              <w:rPr>
                <w:sz w:val="13"/>
                <w:szCs w:val="13"/>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 Stretch Bonus Rate</w:t>
            </w:r>
          </w:p>
        </w:tc>
        <w:tc>
          <w:tcPr>
            <w:tcW w:w="80" w:type="dxa"/>
            <w:vAlign w:val="bottom"/>
          </w:tcPr>
          <w:p>
            <w:pPr>
              <w:spacing w:after="0"/>
              <w:rPr>
                <w:sz w:val="13"/>
                <w:szCs w:val="13"/>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 Bonus Achievement</w:t>
            </w:r>
          </w:p>
        </w:tc>
      </w:tr>
      <w:tr>
        <w:trPr>
          <w:trHeight w:val="173"/>
        </w:trPr>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c>
          <w:tcPr>
            <w:tcW w:w="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of base salary)</w:t>
            </w:r>
          </w:p>
        </w:tc>
      </w:tr>
      <w:tr>
        <w:trPr>
          <w:trHeight w:val="210"/>
        </w:trPr>
        <w:tc>
          <w:tcPr>
            <w:tcW w:w="2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 Denise Scots-Knight</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7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75%</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Sermon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7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8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43%</w:t>
            </w:r>
          </w:p>
        </w:tc>
      </w:tr>
      <w:tr>
        <w:trPr>
          <w:trHeight w:val="194"/>
        </w:trPr>
        <w:tc>
          <w:tcPr>
            <w:tcW w:w="3120" w:type="dxa"/>
            <w:vAlign w:val="bottom"/>
            <w:gridSpan w:val="3"/>
          </w:tcPr>
          <w:p>
            <w:pPr>
              <w:jc w:val="right"/>
              <w:ind w:right="2200"/>
              <w:spacing w:after="0" w:line="194" w:lineRule="exact"/>
              <w:rPr>
                <w:sz w:val="20"/>
                <w:szCs w:val="20"/>
                <w:color w:val="auto"/>
              </w:rPr>
            </w:pPr>
            <w:r>
              <w:rPr>
                <w:rFonts w:ascii="Times New Roman" w:cs="Times New Roman" w:eastAsia="Times New Roman" w:hAnsi="Times New Roman"/>
                <w:sz w:val="18"/>
                <w:szCs w:val="18"/>
                <w:color w:val="231F20"/>
              </w:rPr>
              <w:t>=</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231F20"/>
              </w:rPr>
              <w:t>Equity-Based Incentive Awards</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line="103" w:lineRule="exact"/>
        <w:rPr>
          <w:sz w:val="20"/>
          <w:szCs w:val="20"/>
          <w:color w:val="auto"/>
        </w:rPr>
      </w:pPr>
    </w:p>
    <w:p>
      <w:pPr>
        <w:ind w:left="400" w:right="419" w:firstLine="720"/>
        <w:spacing w:after="0" w:line="256" w:lineRule="auto"/>
        <w:rPr>
          <w:sz w:val="20"/>
          <w:szCs w:val="20"/>
          <w:color w:val="auto"/>
        </w:rPr>
      </w:pPr>
      <w:r>
        <w:rPr>
          <w:rFonts w:ascii="Times New Roman" w:cs="Times New Roman" w:eastAsia="Times New Roman" w:hAnsi="Times New Roman"/>
          <w:sz w:val="18"/>
          <w:szCs w:val="18"/>
          <w:color w:val="231F20"/>
        </w:rPr>
        <w:t>Our equity-based incentive award plan is intended to align the long term interests of our named executive officers with those of our shareholders in order to motivate them to make important contributions to our performance. As a pre-commercial biotech company, the Remuneration Committee considers that awarding options with a vesting period of four years to be the best way of achieving this objective. In 2024, we granted share options to each of our named executive officers, as reflected in the “</w:t>
      </w:r>
      <w:r>
        <w:rPr>
          <w:rFonts w:ascii="Times New Roman" w:cs="Times New Roman" w:eastAsia="Times New Roman" w:hAnsi="Times New Roman"/>
          <w:sz w:val="18"/>
          <w:szCs w:val="18"/>
          <w:i w:val="1"/>
          <w:iCs w:val="1"/>
          <w:color w:val="231F20"/>
        </w:rPr>
        <w:t>Outstanding Equity Awards at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Fiscal Year End Table</w:t>
      </w:r>
      <w:r>
        <w:rPr>
          <w:rFonts w:ascii="Times New Roman" w:cs="Times New Roman" w:eastAsia="Times New Roman" w:hAnsi="Times New Roman"/>
          <w:sz w:val="18"/>
          <w:szCs w:val="18"/>
          <w:color w:val="231F20"/>
        </w:rPr>
        <w:t>” below.</w:t>
      </w:r>
    </w:p>
    <w:p>
      <w:pPr>
        <w:spacing w:after="0" w:line="291" w:lineRule="exact"/>
        <w:rPr>
          <w:sz w:val="20"/>
          <w:szCs w:val="20"/>
          <w:color w:val="auto"/>
        </w:rPr>
      </w:pPr>
    </w:p>
    <w:p>
      <w:pPr>
        <w:ind w:left="4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ind w:left="400" w:right="379" w:firstLine="720"/>
        <w:spacing w:after="0" w:line="261" w:lineRule="auto"/>
        <w:rPr>
          <w:sz w:val="20"/>
          <w:szCs w:val="20"/>
          <w:color w:val="auto"/>
        </w:rPr>
      </w:pPr>
      <w:r>
        <w:rPr>
          <w:rFonts w:ascii="Times New Roman" w:cs="Times New Roman" w:eastAsia="Times New Roman" w:hAnsi="Times New Roman"/>
          <w:sz w:val="18"/>
          <w:szCs w:val="18"/>
          <w:color w:val="auto"/>
        </w:rPr>
        <w:t>While we do not have a formal policy with respect to the timing of awards of share options, share appreciation rights, or similar option-like instruments to our NEOs, the Remuneration Committee approves the grant of equity compensation awards at approximately the same time every year. We have not timed the disclosure of material non-public information for the purpose of affecting the value of executive compensation.</w:t>
      </w:r>
    </w:p>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Executive Officer Employment Agreements</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Dr. Denise Scots-Knight</w:t>
      </w:r>
    </w:p>
    <w:p>
      <w:pPr>
        <w:spacing w:after="0" w:line="135" w:lineRule="exact"/>
        <w:rPr>
          <w:sz w:val="20"/>
          <w:szCs w:val="20"/>
          <w:color w:val="auto"/>
        </w:rPr>
      </w:pPr>
    </w:p>
    <w:p>
      <w:pPr>
        <w:ind w:left="400" w:right="319" w:firstLine="720"/>
        <w:spacing w:after="0" w:line="254" w:lineRule="auto"/>
        <w:rPr>
          <w:sz w:val="20"/>
          <w:szCs w:val="20"/>
          <w:color w:val="auto"/>
        </w:rPr>
      </w:pPr>
      <w:r>
        <w:rPr>
          <w:rFonts w:ascii="Times New Roman" w:cs="Times New Roman" w:eastAsia="Times New Roman" w:hAnsi="Times New Roman"/>
          <w:sz w:val="18"/>
          <w:szCs w:val="18"/>
          <w:color w:val="231F20"/>
        </w:rPr>
        <w:t>We entered into an employment agreement with Dr. Scots-Knight on July 29, 2015, as amended on September 3, 2021. This agreement entitles Dr. Scots-Knight to receive an annual base salary and an opportunity to earn an annual discretionary performance-based bonus, subject to the achievement of performance goals determined in accordance with our annual bonus plan. We currently contribute to Dr. Scots-Knight’s Self-Invested Personal Pension Scheme an amount equal to 10%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49" w:name="page50"/>
    <w:bookmarkEnd w:id="4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0" w:right="339"/>
        <w:spacing w:after="0" w:line="258" w:lineRule="auto"/>
        <w:rPr>
          <w:sz w:val="20"/>
          <w:szCs w:val="20"/>
          <w:color w:val="auto"/>
        </w:rPr>
      </w:pPr>
      <w:r>
        <w:rPr>
          <w:rFonts w:ascii="Times New Roman" w:cs="Times New Roman" w:eastAsia="Times New Roman" w:hAnsi="Times New Roman"/>
          <w:sz w:val="18"/>
          <w:szCs w:val="18"/>
          <w:color w:val="231F20"/>
        </w:rPr>
        <w:t>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Charles Sermon</w:t>
      </w:r>
    </w:p>
    <w:p>
      <w:pPr>
        <w:spacing w:after="0" w:line="81" w:lineRule="exact"/>
        <w:rPr>
          <w:sz w:val="20"/>
          <w:szCs w:val="20"/>
          <w:color w:val="auto"/>
        </w:rPr>
      </w:pPr>
    </w:p>
    <w:p>
      <w:pPr>
        <w:ind w:left="400" w:right="399" w:firstLine="720"/>
        <w:spacing w:after="0" w:line="252" w:lineRule="auto"/>
        <w:rPr>
          <w:sz w:val="20"/>
          <w:szCs w:val="20"/>
          <w:color w:val="auto"/>
        </w:rPr>
      </w:pPr>
      <w:r>
        <w:rPr>
          <w:rFonts w:ascii="Times New Roman" w:cs="Times New Roman" w:eastAsia="Times New Roman" w:hAnsi="Times New Roman"/>
          <w:sz w:val="18"/>
          <w:szCs w:val="18"/>
          <w:color w:val="231F20"/>
        </w:rPr>
        <w:t>We entered into an employment agreement with Mr. Sermon on July 29, 2015, as amended on September 3, 2021. This agreement entitles Mr. Sermon to an annual base salary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w:t>
      </w:r>
    </w:p>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231F20"/>
        </w:rPr>
        <w:t>Christine Fox</w:t>
      </w:r>
    </w:p>
    <w:p>
      <w:pPr>
        <w:spacing w:after="0" w:line="81" w:lineRule="exact"/>
        <w:rPr>
          <w:sz w:val="20"/>
          <w:szCs w:val="20"/>
          <w:color w:val="auto"/>
        </w:rPr>
      </w:pPr>
    </w:p>
    <w:p>
      <w:pPr>
        <w:ind w:left="400" w:right="419" w:firstLine="720"/>
        <w:spacing w:after="0" w:line="252" w:lineRule="auto"/>
        <w:rPr>
          <w:sz w:val="20"/>
          <w:szCs w:val="20"/>
          <w:color w:val="auto"/>
        </w:rPr>
      </w:pPr>
      <w:r>
        <w:rPr>
          <w:rFonts w:ascii="Times New Roman" w:cs="Times New Roman" w:eastAsia="Times New Roman" w:hAnsi="Times New Roman"/>
          <w:sz w:val="18"/>
          <w:szCs w:val="18"/>
          <w:color w:val="231F20"/>
        </w:rPr>
        <w:t>We entered into an employment agreement with Ms. Fox on October 20, 2020, as amended on September 3, 2021. The employment agreement entitles Ms. Fox to receive an annual base salary and an opportunity to earn an annual discretionary performance-based bonus, subject to the achievement of performance goals determined in accordance with our annual bonus plan. Ms. Fox is also eligible to participate in Mereo’s group personal pension scheme and we have agreed to contribute to the pension scheme an amount equal to 10% of Ms. Fox’s annual salary provided that she contributes 4% or more of her annual salary to that scheme. In lieu of a pension contribution, we may, at Ms. Fox’s request, pay a pro-rata amount equal to 10% of her base salary as additional compensation. Either party may terminate the employment agreement by giving the other party not less than six months’ written notice, provided that Mereo may terminate Ms. Fox at any time with immediate effect for cause or by giving written notice to Ms. Fox that we will instead pay her basic salary for any remaining notice period. Ms. Fox’s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231F20"/>
        </w:rPr>
        <w:t>Pension, Retirement or Similar Benefits</w:t>
      </w:r>
    </w:p>
    <w:p>
      <w:pPr>
        <w:spacing w:after="0" w:line="148" w:lineRule="exact"/>
        <w:rPr>
          <w:sz w:val="20"/>
          <w:szCs w:val="20"/>
          <w:color w:val="auto"/>
        </w:rPr>
      </w:pPr>
    </w:p>
    <w:p>
      <w:pPr>
        <w:ind w:left="440" w:right="499" w:firstLine="720"/>
        <w:spacing w:after="0" w:line="256" w:lineRule="auto"/>
        <w:rPr>
          <w:sz w:val="20"/>
          <w:szCs w:val="20"/>
          <w:color w:val="auto"/>
        </w:rPr>
      </w:pPr>
      <w:r>
        <w:rPr>
          <w:rFonts w:ascii="Times New Roman" w:cs="Times New Roman" w:eastAsia="Times New Roman" w:hAnsi="Times New Roman"/>
          <w:sz w:val="18"/>
          <w:szCs w:val="18"/>
          <w:color w:val="231F20"/>
        </w:rPr>
        <w:t>Mereo operates a defined contribution pension scheme which is available to all employees. Mereo makes payments of up to 10% of base salary for executives, including Mereo’s Chief Executive Officer, into any pension scheme or similar arrangement as the participating executive may reasonably request (or a payment in lieu thereof). Such payments are not counted for the purposes of determining bonuses or awards under the LTIP. We do not sponsor any qualified or non-qualified defined benefit plans for any of our employees or executives.</w:t>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50" w:name="page51"/>
    <w:bookmarkEnd w:id="5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231F20"/>
        </w:rPr>
        <w:t>Health and Welfare Benefits</w:t>
      </w:r>
    </w:p>
    <w:p>
      <w:pPr>
        <w:spacing w:after="0" w:line="148" w:lineRule="exact"/>
        <w:rPr>
          <w:sz w:val="20"/>
          <w:szCs w:val="20"/>
          <w:color w:val="auto"/>
        </w:rPr>
      </w:pPr>
    </w:p>
    <w:p>
      <w:pPr>
        <w:ind w:left="440" w:right="659" w:firstLine="720"/>
        <w:spacing w:after="0" w:line="258" w:lineRule="auto"/>
        <w:rPr>
          <w:sz w:val="20"/>
          <w:szCs w:val="20"/>
          <w:color w:val="auto"/>
        </w:rPr>
      </w:pPr>
      <w:r>
        <w:rPr>
          <w:rFonts w:ascii="Times New Roman" w:cs="Times New Roman" w:eastAsia="Times New Roman" w:hAnsi="Times New Roman"/>
          <w:sz w:val="18"/>
          <w:szCs w:val="18"/>
          <w:color w:val="231F20"/>
        </w:rPr>
        <w:t>All of our full-time employees, including our executive officers, are eligible to participate in certain medical, disability and life insurance benefit programs offered by us. We pay the premiums for term life insurance and long-term disability for all of our employees, including our executive officers. We also provide all employees, including executive officers, with paid time off benefits including, vacation, sick time and holidays.</w:t>
      </w:r>
    </w:p>
    <w:p>
      <w:pPr>
        <w:spacing w:after="0" w:line="3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231F20"/>
        </w:rPr>
        <w:t>Outstanding Equity Awards at 2024 Fiscal Year End Table</w:t>
      </w:r>
    </w:p>
    <w:p>
      <w:pPr>
        <w:spacing w:after="0" w:line="148" w:lineRule="exact"/>
        <w:rPr>
          <w:sz w:val="20"/>
          <w:szCs w:val="20"/>
          <w:color w:val="auto"/>
        </w:rPr>
      </w:pPr>
    </w:p>
    <w:p>
      <w:pPr>
        <w:ind w:left="440" w:right="559" w:firstLine="720"/>
        <w:spacing w:after="0" w:line="261" w:lineRule="auto"/>
        <w:rPr>
          <w:sz w:val="20"/>
          <w:szCs w:val="20"/>
          <w:color w:val="auto"/>
        </w:rPr>
      </w:pPr>
      <w:r>
        <w:rPr>
          <w:rFonts w:ascii="Times New Roman" w:cs="Times New Roman" w:eastAsia="Times New Roman" w:hAnsi="Times New Roman"/>
          <w:sz w:val="18"/>
          <w:szCs w:val="18"/>
          <w:color w:val="231F20"/>
        </w:rPr>
        <w:t>The following table presents information regarding all outstanding share options and share awards held by each of our named executive officers as of December 31, 2024. All “Securities” within this table are expressed in ADSs, including awards over ordinary shares. Each ADS of the Company represents five ordinary shares. There were no outstanding unvested Share Awards as of December 31, 2024.</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Dr.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12"/>
                <w:szCs w:val="12"/>
                <w:color w:val="auto"/>
              </w:rPr>
            </w:pPr>
          </w:p>
        </w:tc>
        <w:tc>
          <w:tcPr>
            <w:tcW w:w="1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40" w:type="dxa"/>
            <w:vAlign w:val="bottom"/>
          </w:tcPr>
          <w:p>
            <w:pPr>
              <w:spacing w:after="0"/>
              <w:rPr>
                <w:sz w:val="12"/>
                <w:szCs w:val="12"/>
                <w:color w:val="auto"/>
              </w:rPr>
            </w:pPr>
          </w:p>
        </w:tc>
        <w:tc>
          <w:tcPr>
            <w:tcW w:w="13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0" w:type="dxa"/>
            <w:vAlign w:val="bottom"/>
          </w:tcPr>
          <w:p>
            <w:pPr>
              <w:spacing w:after="0"/>
              <w:rPr>
                <w:sz w:val="1"/>
                <w:szCs w:val="1"/>
                <w:color w:val="auto"/>
              </w:rPr>
            </w:pPr>
          </w:p>
        </w:tc>
      </w:tr>
      <w:tr>
        <w:trPr>
          <w:trHeight w:val="148"/>
        </w:trPr>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Ph.D.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MBBS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19"/>
        </w:trPr>
        <w:tc>
          <w:tcPr>
            <w:tcW w:w="246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Dr. Denise Scots-Knight</w:t>
            </w:r>
          </w:p>
        </w:tc>
        <w:tc>
          <w:tcPr>
            <w:tcW w:w="1400" w:type="dxa"/>
            <w:vAlign w:val="bottom"/>
            <w:gridSpan w:val="3"/>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308,949</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8.63</w:t>
            </w:r>
          </w:p>
        </w:tc>
        <w:tc>
          <w:tcPr>
            <w:tcW w:w="15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09/25/2025</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05/20/2029</w:t>
            </w:r>
          </w:p>
        </w:tc>
        <w:tc>
          <w:tcPr>
            <w:tcW w:w="0" w:type="dxa"/>
            <w:vAlign w:val="bottom"/>
          </w:tcPr>
          <w:p>
            <w:pPr>
              <w:spacing w:after="0"/>
              <w:rPr>
                <w:sz w:val="1"/>
                <w:szCs w:val="1"/>
                <w:color w:val="auto"/>
              </w:rPr>
            </w:pPr>
          </w:p>
        </w:tc>
      </w:tr>
      <w:tr>
        <w:trPr>
          <w:trHeight w:val="151"/>
        </w:trPr>
        <w:tc>
          <w:tcPr>
            <w:tcW w:w="24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18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60" w:type="dxa"/>
            <w:vAlign w:val="bottom"/>
            <w:tcBorders>
              <w:bottom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4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07/23/2029</w:t>
            </w:r>
          </w:p>
        </w:tc>
        <w:tc>
          <w:tcPr>
            <w:tcW w:w="0" w:type="dxa"/>
            <w:vAlign w:val="bottom"/>
          </w:tcPr>
          <w:p>
            <w:pPr>
              <w:spacing w:after="0"/>
              <w:rPr>
                <w:sz w:val="1"/>
                <w:szCs w:val="1"/>
                <w:color w:val="auto"/>
              </w:rPr>
            </w:pPr>
          </w:p>
        </w:tc>
      </w:tr>
      <w:tr>
        <w:trPr>
          <w:trHeight w:val="126"/>
        </w:trPr>
        <w:tc>
          <w:tcPr>
            <w:tcW w:w="24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8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175,000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75"/>
                <w:vertAlign w:val="subscript"/>
              </w:rPr>
              <w:t>(2)</w:t>
            </w:r>
            <w:r>
              <w:rPr>
                <w:rFonts w:ascii="Times New Roman" w:cs="Times New Roman" w:eastAsia="Times New Roman" w:hAnsi="Times New Roman"/>
                <w:sz w:val="10"/>
                <w:szCs w:val="10"/>
                <w:color w:val="auto"/>
                <w:w w:val="75"/>
              </w:rPr>
              <w:t>(1)</w:t>
            </w: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1.84</w:t>
            </w:r>
          </w:p>
        </w:tc>
        <w:tc>
          <w:tcPr>
            <w:tcW w:w="15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02/20/2030</w:t>
            </w:r>
          </w:p>
        </w:tc>
        <w:tc>
          <w:tcPr>
            <w:tcW w:w="0" w:type="dxa"/>
            <w:vAlign w:val="bottom"/>
          </w:tcPr>
          <w:p>
            <w:pPr>
              <w:spacing w:after="0"/>
              <w:rPr>
                <w:sz w:val="1"/>
                <w:szCs w:val="1"/>
                <w:color w:val="auto"/>
              </w:rPr>
            </w:pPr>
          </w:p>
        </w:tc>
      </w:tr>
      <w:tr>
        <w:trPr>
          <w:trHeight w:val="23"/>
        </w:trPr>
        <w:tc>
          <w:tcPr>
            <w:tcW w:w="24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498,333</w:t>
            </w:r>
          </w:p>
        </w:tc>
        <w:tc>
          <w:tcPr>
            <w:tcW w:w="100" w:type="dxa"/>
            <w:vAlign w:val="bottom"/>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21,667</w:t>
            </w:r>
          </w:p>
        </w:tc>
        <w:tc>
          <w:tcPr>
            <w:tcW w:w="240" w:type="dxa"/>
            <w:vAlign w:val="bottom"/>
            <w:vMerge w:val="continue"/>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02/01/2031</w:t>
            </w:r>
          </w:p>
        </w:tc>
        <w:tc>
          <w:tcPr>
            <w:tcW w:w="0" w:type="dxa"/>
            <w:vAlign w:val="bottom"/>
          </w:tcPr>
          <w:p>
            <w:pPr>
              <w:spacing w:after="0" w:line="20" w:lineRule="exact"/>
              <w:rPr>
                <w:sz w:val="1"/>
                <w:szCs w:val="1"/>
                <w:color w:val="auto"/>
              </w:rPr>
            </w:pPr>
          </w:p>
        </w:tc>
      </w:tr>
      <w:tr>
        <w:trPr>
          <w:trHeight w:val="142"/>
        </w:trPr>
        <w:tc>
          <w:tcPr>
            <w:tcW w:w="246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118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802,083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297,917</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551,041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598,959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850,000</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26"/>
        </w:trPr>
        <w:tc>
          <w:tcPr>
            <w:tcW w:w="24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Charles Sermon</w:t>
            </w:r>
          </w:p>
        </w:tc>
        <w:tc>
          <w:tcPr>
            <w:tcW w:w="120" w:type="dxa"/>
            <w:vAlign w:val="bottom"/>
          </w:tcPr>
          <w:p>
            <w:pPr>
              <w:spacing w:after="0"/>
              <w:rPr>
                <w:sz w:val="10"/>
                <w:szCs w:val="10"/>
                <w:color w:val="auto"/>
              </w:rPr>
            </w:pPr>
          </w:p>
        </w:tc>
        <w:tc>
          <w:tcPr>
            <w:tcW w:w="12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154,474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8.63</w:t>
            </w:r>
          </w:p>
        </w:tc>
        <w:tc>
          <w:tcPr>
            <w:tcW w:w="15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09/25/2025</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05/20/2029</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07/23/2029</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75"/>
                <w:vertAlign w:val="subscript"/>
              </w:rPr>
              <w:t>(2)</w:t>
            </w:r>
            <w:r>
              <w:rPr>
                <w:rFonts w:ascii="Times New Roman" w:cs="Times New Roman" w:eastAsia="Times New Roman" w:hAnsi="Times New Roman"/>
                <w:sz w:val="10"/>
                <w:szCs w:val="10"/>
                <w:color w:val="auto"/>
                <w:w w:val="75"/>
              </w:rPr>
              <w:t>(1)</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02/20/2030</w:t>
            </w:r>
          </w:p>
        </w:tc>
        <w:tc>
          <w:tcPr>
            <w:tcW w:w="0" w:type="dxa"/>
            <w:vAlign w:val="bottom"/>
          </w:tcPr>
          <w:p>
            <w:pPr>
              <w:spacing w:after="0"/>
              <w:rPr>
                <w:sz w:val="1"/>
                <w:szCs w:val="1"/>
                <w:color w:val="auto"/>
              </w:rPr>
            </w:pPr>
          </w:p>
        </w:tc>
      </w:tr>
      <w:tr>
        <w:trPr>
          <w:trHeight w:val="164"/>
        </w:trPr>
        <w:tc>
          <w:tcPr>
            <w:tcW w:w="24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143,750</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6,250</w:t>
            </w:r>
          </w:p>
        </w:tc>
        <w:tc>
          <w:tcPr>
            <w:tcW w:w="24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02/01/2031</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200,520</w:t>
            </w:r>
          </w:p>
        </w:tc>
        <w:tc>
          <w:tcPr>
            <w:tcW w:w="15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74,480</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4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191,666</w:t>
            </w:r>
          </w:p>
        </w:tc>
        <w:tc>
          <w:tcPr>
            <w:tcW w:w="15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208,334</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245,000</w:t>
            </w:r>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2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r>
        <w:trPr>
          <w:trHeight w:val="142"/>
        </w:trPr>
        <w:tc>
          <w:tcPr>
            <w:tcW w:w="24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Christine Fox</w:t>
            </w:r>
          </w:p>
        </w:tc>
        <w:tc>
          <w:tcPr>
            <w:tcW w:w="14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166,458</w:t>
            </w:r>
          </w:p>
        </w:tc>
        <w:tc>
          <w:tcPr>
            <w:tcW w:w="15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3,542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2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3.32</w:t>
            </w:r>
          </w:p>
        </w:tc>
        <w:tc>
          <w:tcPr>
            <w:tcW w:w="15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01/19/2031</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160,416</w:t>
            </w:r>
          </w:p>
        </w:tc>
        <w:tc>
          <w:tcPr>
            <w:tcW w:w="15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59,584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01/14/2032</w:t>
            </w:r>
          </w:p>
        </w:tc>
        <w:tc>
          <w:tcPr>
            <w:tcW w:w="0" w:type="dxa"/>
            <w:vAlign w:val="bottom"/>
          </w:tcPr>
          <w:p>
            <w:pPr>
              <w:spacing w:after="0"/>
              <w:rPr>
                <w:sz w:val="1"/>
                <w:szCs w:val="1"/>
                <w:color w:val="auto"/>
              </w:rPr>
            </w:pPr>
          </w:p>
        </w:tc>
      </w:tr>
      <w:tr>
        <w:trPr>
          <w:trHeight w:val="149"/>
        </w:trPr>
        <w:tc>
          <w:tcPr>
            <w:tcW w:w="2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179,687</w:t>
            </w:r>
          </w:p>
        </w:tc>
        <w:tc>
          <w:tcPr>
            <w:tcW w:w="15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195,313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5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01/25/2033</w:t>
            </w:r>
          </w:p>
        </w:tc>
        <w:tc>
          <w:tcPr>
            <w:tcW w:w="0" w:type="dxa"/>
            <w:vAlign w:val="bottom"/>
          </w:tcPr>
          <w:p>
            <w:pPr>
              <w:spacing w:after="0"/>
              <w:rPr>
                <w:sz w:val="1"/>
                <w:szCs w:val="1"/>
                <w:color w:val="auto"/>
              </w:rPr>
            </w:pPr>
          </w:p>
        </w:tc>
      </w:tr>
      <w:tr>
        <w:trPr>
          <w:trHeight w:val="155"/>
        </w:trPr>
        <w:tc>
          <w:tcPr>
            <w:tcW w:w="2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500" w:type="dxa"/>
            <w:vAlign w:val="bottom"/>
            <w:gridSpan w:val="3"/>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245,000</w:t>
            </w:r>
          </w:p>
        </w:tc>
        <w:tc>
          <w:tcPr>
            <w:tcW w:w="24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3.36</w:t>
            </w:r>
          </w:p>
        </w:tc>
        <w:tc>
          <w:tcPr>
            <w:tcW w:w="15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01/25/2034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-1602105</wp:posOffset>
            </wp:positionV>
            <wp:extent cx="363474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34740" cy="188595"/>
                    </a:xfrm>
                    <a:prstGeom prst="rect">
                      <a:avLst/>
                    </a:prstGeom>
                    <a:noFill/>
                  </pic:spPr>
                </pic:pic>
              </a:graphicData>
            </a:graphic>
          </wp:anchor>
        </w:drawing>
      </w:r>
    </w:p>
    <w:p>
      <w:pPr>
        <w:spacing w:after="0" w:line="142" w:lineRule="exact"/>
        <w:rPr>
          <w:sz w:val="20"/>
          <w:szCs w:val="20"/>
          <w:color w:val="auto"/>
        </w:rPr>
      </w:pPr>
    </w:p>
    <w:p>
      <w:pPr>
        <w:ind w:left="440" w:right="1259" w:firstLine="7"/>
        <w:spacing w:after="0" w:line="269"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February 1, 2022, with the remainder vesting in equal monthly installments for the three years thereafter.</w:t>
      </w:r>
    </w:p>
    <w:p>
      <w:pPr>
        <w:ind w:left="440" w:right="559" w:firstLine="7"/>
        <w:spacing w:after="0" w:line="264"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14, 2023, with the remainder vesting in equal monthly installments for the three years thereafter.</w:t>
      </w:r>
    </w:p>
    <w:p>
      <w:pPr>
        <w:ind w:left="440" w:right="559" w:firstLine="7"/>
        <w:spacing w:after="0" w:line="264"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25, 2024, with the remainder vesting in equal monthly installments for the three years thereafter.</w:t>
      </w:r>
    </w:p>
    <w:p>
      <w:pPr>
        <w:ind w:left="440" w:right="559" w:firstLine="7"/>
        <w:spacing w:after="0" w:line="288" w:lineRule="auto"/>
        <w:tabs>
          <w:tab w:leader="none" w:pos="750" w:val="left"/>
        </w:tabs>
        <w:numPr>
          <w:ilvl w:val="0"/>
          <w:numId w:val="42"/>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25% of the shares underlying this share option vested and became exercisable on January 25, 2025, with the remainder vesting in equal monthly installments for the three years thereafter.</w:t>
      </w:r>
    </w:p>
    <w:p>
      <w:pPr>
        <w:spacing w:after="0" w:line="208" w:lineRule="exact"/>
        <w:rPr>
          <w:sz w:val="20"/>
          <w:szCs w:val="20"/>
          <w:color w:val="auto"/>
        </w:rPr>
      </w:pPr>
    </w:p>
    <w:p>
      <w:pPr>
        <w:ind w:left="420" w:right="379" w:firstLine="720"/>
        <w:spacing w:after="0" w:line="281" w:lineRule="auto"/>
        <w:rPr>
          <w:sz w:val="20"/>
          <w:szCs w:val="20"/>
          <w:color w:val="auto"/>
        </w:rPr>
      </w:pPr>
      <w:r>
        <w:rPr>
          <w:rFonts w:ascii="Times New Roman" w:cs="Times New Roman" w:eastAsia="Times New Roman" w:hAnsi="Times New Roman"/>
          <w:sz w:val="17"/>
          <w:szCs w:val="17"/>
          <w:color w:val="231F20"/>
        </w:rPr>
        <w:t>Mereo currently grants equity awards under the Mereo 2019 Equity Incentive Plan and the 2019 NED EIP. There are also still outstanding awards under two previous plans, the 2015 Plan and the Mereo Share Option Plan, however no awards have been granted under these plans since 2016 and no further grants are envisaged. The key terms of the plans are disclosed in note 15 to our financial statements for the year ended December 31, 2024.</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231F20"/>
        </w:rPr>
        <w:t>PAY VERSUS PERFORMANCE</w:t>
      </w:r>
    </w:p>
    <w:p>
      <w:pPr>
        <w:spacing w:after="0" w:line="229" w:lineRule="exact"/>
        <w:rPr>
          <w:sz w:val="20"/>
          <w:szCs w:val="20"/>
          <w:color w:val="auto"/>
        </w:rPr>
      </w:pPr>
    </w:p>
    <w:p>
      <w:pPr>
        <w:ind w:left="140" w:right="519" w:firstLine="360"/>
        <w:spacing w:after="0" w:line="254" w:lineRule="auto"/>
        <w:rPr>
          <w:sz w:val="20"/>
          <w:szCs w:val="20"/>
          <w:color w:val="auto"/>
        </w:rPr>
      </w:pPr>
      <w:r>
        <w:rPr>
          <w:rFonts w:ascii="Times New Roman" w:cs="Times New Roman" w:eastAsia="Times New Roman" w:hAnsi="Times New Roman"/>
          <w:sz w:val="18"/>
          <w:szCs w:val="18"/>
          <w:color w:val="231F20"/>
        </w:rPr>
        <w:t>As required by Item 402(v) of Regulation S-K, we are providing the following disclosure regarding compensation actually paid (“CAP”) as defined by the SEC to our executive officers and the performance of the Company. The table below presents information for each of the last two fiscal years regarding (i) the total compensation, as reported in the summary compensation table, for our principal executive officer serving in that capacity during the applicable fiscal year (the “PEO”) and the average total compensation of our other named executive officers, excluding the PEO, who were serving in that capacity during the applicable fiscal year as disclosed in the summary compensation table (“NEOs”), (ii) total compensation actually paid to the PEO and the total compensation actually paid to the other NEOs on average, (iii) total shareholder return for the Company, and (iv) the Company’s net income (loss).</w:t>
      </w:r>
    </w:p>
    <w:p>
      <w:pPr>
        <w:spacing w:after="0" w:line="192" w:lineRule="exact"/>
        <w:rPr>
          <w:sz w:val="20"/>
          <w:szCs w:val="20"/>
          <w:color w:val="auto"/>
        </w:rPr>
      </w:pPr>
    </w:p>
    <w:p>
      <w:pPr>
        <w:ind w:left="140" w:right="599" w:firstLine="360"/>
        <w:spacing w:after="0" w:line="266" w:lineRule="auto"/>
        <w:rPr>
          <w:sz w:val="20"/>
          <w:szCs w:val="20"/>
          <w:color w:val="auto"/>
        </w:rPr>
      </w:pPr>
      <w:r>
        <w:rPr>
          <w:rFonts w:ascii="Times New Roman" w:cs="Times New Roman" w:eastAsia="Times New Roman" w:hAnsi="Times New Roman"/>
          <w:sz w:val="18"/>
          <w:szCs w:val="18"/>
          <w:color w:val="231F20"/>
        </w:rPr>
        <w:t xml:space="preserve">The amounts set forth below under the headings “Compensation Actually Paid to PEO” for our PEO and “Average Compensation Actually Paid to Non-PEO NEOs” have been calculated in a manner consistent with Item 402(v) of Regulation </w:t>
      </w:r>
      <w:r>
        <w:rPr>
          <w:rFonts w:ascii="Times New Roman" w:cs="Times New Roman" w:eastAsia="Times New Roman" w:hAnsi="Times New Roman"/>
          <w:sz w:val="18"/>
          <w:szCs w:val="18"/>
          <w:color w:val="000000"/>
        </w:rPr>
        <w:t>S-K.</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16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6"/>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r>
              <w:rPr>
                <w:rFonts w:ascii="Times New Roman" w:cs="Times New Roman" w:eastAsia="Times New Roman" w:hAnsi="Times New Roman"/>
                <w:sz w:val="19"/>
                <w:szCs w:val="19"/>
                <w:b w:val="1"/>
                <w:bCs w:val="1"/>
                <w:color w:val="auto"/>
                <w:w w:val="94"/>
                <w:vertAlign w:val="superscript"/>
              </w:rPr>
              <w:t>(1)</w:t>
            </w:r>
          </w:p>
        </w:tc>
        <w:tc>
          <w:tcPr>
            <w:tcW w:w="10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8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80" w:type="dxa"/>
            <w:vAlign w:val="bottom"/>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6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6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1"/>
              </w:rPr>
              <w:t>PEO</w:t>
            </w:r>
            <w:r>
              <w:rPr>
                <w:rFonts w:ascii="Times New Roman" w:cs="Times New Roman" w:eastAsia="Times New Roman" w:hAnsi="Times New Roman"/>
                <w:sz w:val="19"/>
                <w:szCs w:val="19"/>
                <w:b w:val="1"/>
                <w:bCs w:val="1"/>
                <w:color w:val="auto"/>
                <w:w w:val="91"/>
                <w:vertAlign w:val="superscript"/>
              </w:rPr>
              <w:t>(2)</w:t>
            </w:r>
          </w:p>
        </w:tc>
        <w:tc>
          <w:tcPr>
            <w:tcW w:w="1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to PEO</w:t>
            </w:r>
            <w:r>
              <w:rPr>
                <w:rFonts w:ascii="Times New Roman" w:cs="Times New Roman" w:eastAsia="Times New Roman" w:hAnsi="Times New Roman"/>
                <w:sz w:val="8"/>
                <w:szCs w:val="8"/>
                <w:b w:val="1"/>
                <w:bCs w:val="1"/>
                <w:color w:val="auto"/>
              </w:rPr>
              <w:t>(2,3,4)</w:t>
            </w:r>
          </w:p>
        </w:tc>
        <w:tc>
          <w:tcPr>
            <w:tcW w:w="18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9"/>
                <w:szCs w:val="19"/>
                <w:b w:val="1"/>
                <w:bCs w:val="1"/>
                <w:color w:val="auto"/>
                <w:w w:val="94"/>
                <w:vertAlign w:val="superscript"/>
              </w:rPr>
              <w:t>(2)</w:t>
            </w:r>
          </w:p>
        </w:tc>
        <w:tc>
          <w:tcPr>
            <w:tcW w:w="160" w:type="dxa"/>
            <w:vAlign w:val="bottom"/>
          </w:tcPr>
          <w:p>
            <w:pPr>
              <w:spacing w:after="0"/>
              <w:rPr>
                <w:sz w:val="15"/>
                <w:szCs w:val="15"/>
                <w:color w:val="auto"/>
              </w:rPr>
            </w:pPr>
          </w:p>
        </w:tc>
        <w:tc>
          <w:tcPr>
            <w:tcW w:w="136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Non-PEO NEOs</w:t>
            </w:r>
            <w:r>
              <w:rPr>
                <w:rFonts w:ascii="Times New Roman" w:cs="Times New Roman" w:eastAsia="Times New Roman" w:hAnsi="Times New Roman"/>
                <w:sz w:val="19"/>
                <w:szCs w:val="19"/>
                <w:b w:val="1"/>
                <w:bCs w:val="1"/>
                <w:color w:val="auto"/>
                <w:w w:val="95"/>
                <w:vertAlign w:val="superscript"/>
              </w:rPr>
              <w:t>(2,3,4)</w:t>
            </w:r>
          </w:p>
        </w:tc>
        <w:tc>
          <w:tcPr>
            <w:tcW w:w="160" w:type="dxa"/>
            <w:vAlign w:val="bottom"/>
          </w:tcPr>
          <w:p>
            <w:pPr>
              <w:spacing w:after="0"/>
              <w:rPr>
                <w:sz w:val="15"/>
                <w:szCs w:val="15"/>
                <w:color w:val="auto"/>
              </w:rPr>
            </w:pP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3"/>
              </w:rPr>
              <w:t>Return</w:t>
            </w:r>
            <w:r>
              <w:rPr>
                <w:rFonts w:ascii="Times New Roman" w:cs="Times New Roman" w:eastAsia="Times New Roman" w:hAnsi="Times New Roman"/>
                <w:sz w:val="19"/>
                <w:szCs w:val="19"/>
                <w:b w:val="1"/>
                <w:bCs w:val="1"/>
                <w:color w:val="auto"/>
                <w:w w:val="93"/>
                <w:vertAlign w:val="superscript"/>
              </w:rPr>
              <w:t>(5)</w:t>
            </w:r>
          </w:p>
        </w:tc>
        <w:tc>
          <w:tcPr>
            <w:tcW w:w="160" w:type="dxa"/>
            <w:vAlign w:val="bottom"/>
          </w:tcPr>
          <w:p>
            <w:pPr>
              <w:spacing w:after="0"/>
              <w:rPr>
                <w:sz w:val="15"/>
                <w:szCs w:val="15"/>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2"/>
        </w:trPr>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3,163,111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6,176,259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1,284,282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2,231,881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466.67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43,253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2,219,323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5,447,682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1,044,650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2,003,803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308.00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29,466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0" w:right="499" w:hanging="7"/>
        <w:spacing w:after="0" w:line="267" w:lineRule="auto"/>
        <w:tabs>
          <w:tab w:leader="none" w:pos="629"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We are a smaller reporting company, with a December 31 fiscal year end, and as of December 31, 2024 we ceased to qualify as an “emerging growth company” and, as a result, this is the first proxy statement filed by the Company in which we have included pay versus performance disclosure.</w:t>
      </w:r>
    </w:p>
    <w:p>
      <w:pPr>
        <w:spacing w:after="0" w:line="1" w:lineRule="exact"/>
        <w:rPr>
          <w:rFonts w:ascii="Times New Roman" w:cs="Times New Roman" w:eastAsia="Times New Roman" w:hAnsi="Times New Roman"/>
          <w:sz w:val="16"/>
          <w:szCs w:val="16"/>
          <w:color w:val="231F20"/>
        </w:rPr>
      </w:pPr>
    </w:p>
    <w:p>
      <w:pPr>
        <w:ind w:left="400" w:right="699" w:hanging="7"/>
        <w:spacing w:after="0" w:line="264" w:lineRule="auto"/>
        <w:tabs>
          <w:tab w:leader="none" w:pos="629"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Our PEO for each of fiscal years 2024 and 2023 was Dr. Denise Scots-Knight. The amounts reported are from the Summary Compensation Table (“SCT”) above.</w:t>
      </w:r>
    </w:p>
    <w:p>
      <w:pPr>
        <w:ind w:left="400" w:right="599" w:hanging="7"/>
        <w:spacing w:after="0" w:line="264" w:lineRule="auto"/>
        <w:tabs>
          <w:tab w:leader="none" w:pos="629"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Pursuant to the SEC rules, the Total Shareholder Return (“TSR”) reflected in this column assumes $100 was invested on December 31, 2022 in our ADSs. Historic ADS price performance is not necessarily indicative of future ADS price performance.</w:t>
      </w:r>
    </w:p>
    <w:p>
      <w:pPr>
        <w:jc w:val="both"/>
        <w:ind w:left="400" w:right="539" w:hanging="7"/>
        <w:spacing w:after="0" w:line="276" w:lineRule="auto"/>
        <w:tabs>
          <w:tab w:leader="none" w:pos="629" w:val="left"/>
        </w:tabs>
        <w:numPr>
          <w:ilvl w:val="0"/>
          <w:numId w:val="4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CAP reflects the exclusions and inclusions of certain amounts for the PEO and the Non-PEO NEOs as set forth below. Equity values are calculated in accordance with FASB ASC Topic 718. Amounts in the </w:t>
      </w:r>
      <w:r>
        <w:rPr>
          <w:rFonts w:ascii="Times New Roman" w:cs="Times New Roman" w:eastAsia="Times New Roman" w:hAnsi="Times New Roman"/>
          <w:sz w:val="16"/>
          <w:szCs w:val="16"/>
          <w:i w:val="1"/>
          <w:iCs w:val="1"/>
          <w:color w:val="231F20"/>
        </w:rPr>
        <w:t>"Exclusion of Share Awards and Option Awards"</w:t>
      </w:r>
      <w:r>
        <w:rPr>
          <w:rFonts w:ascii="Times New Roman" w:cs="Times New Roman" w:eastAsia="Times New Roman" w:hAnsi="Times New Roman"/>
          <w:sz w:val="16"/>
          <w:szCs w:val="16"/>
          <w:color w:val="231F20"/>
        </w:rPr>
        <w:t xml:space="preserve"> column are the totals from the Share Awards and Option Awards columns set forth in the Summary Compensation Table.</w:t>
      </w:r>
    </w:p>
    <w:p>
      <w:pPr>
        <w:spacing w:after="0" w:line="14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 Compensation</w:t>
            </w:r>
          </w:p>
        </w:tc>
        <w:tc>
          <w:tcPr>
            <w:tcW w:w="180" w:type="dxa"/>
            <w:vAlign w:val="bottom"/>
          </w:tcPr>
          <w:p>
            <w:pPr>
              <w:spacing w:after="0"/>
              <w:rPr>
                <w:sz w:val="13"/>
                <w:szCs w:val="13"/>
                <w:color w:val="auto"/>
              </w:rPr>
            </w:pPr>
          </w:p>
        </w:tc>
        <w:tc>
          <w:tcPr>
            <w:tcW w:w="18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Exclusion of Share</w:t>
            </w:r>
          </w:p>
        </w:tc>
        <w:tc>
          <w:tcPr>
            <w:tcW w:w="168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Inclusion of Equity</w:t>
            </w:r>
          </w:p>
        </w:tc>
        <w:tc>
          <w:tcPr>
            <w:tcW w:w="18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 Actually</w:t>
            </w:r>
          </w:p>
        </w:tc>
        <w:tc>
          <w:tcPr>
            <w:tcW w:w="0" w:type="dxa"/>
            <w:vAlign w:val="bottom"/>
          </w:tcPr>
          <w:p>
            <w:pPr>
              <w:spacing w:after="0"/>
              <w:rPr>
                <w:sz w:val="1"/>
                <w:szCs w:val="1"/>
                <w:color w:val="auto"/>
              </w:rPr>
            </w:pPr>
          </w:p>
        </w:tc>
      </w:tr>
      <w:tr>
        <w:trPr>
          <w:trHeight w:val="148"/>
        </w:trPr>
        <w:tc>
          <w:tcPr>
            <w:tcW w:w="11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w:t>
            </w:r>
          </w:p>
        </w:tc>
        <w:tc>
          <w:tcPr>
            <w:tcW w:w="1680" w:type="dxa"/>
            <w:vAlign w:val="bottom"/>
            <w:gridSpan w:val="3"/>
            <w:vMerge w:val="continue"/>
          </w:tcPr>
          <w:p>
            <w:pPr>
              <w:spacing w:after="0"/>
              <w:rPr>
                <w:sz w:val="12"/>
                <w:szCs w:val="12"/>
                <w:color w:val="auto"/>
              </w:rPr>
            </w:pPr>
          </w:p>
        </w:tc>
        <w:tc>
          <w:tcPr>
            <w:tcW w:w="1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Table Total for PEO</w:t>
            </w:r>
          </w:p>
        </w:tc>
        <w:tc>
          <w:tcPr>
            <w:tcW w:w="180" w:type="dxa"/>
            <w:vAlign w:val="bottom"/>
          </w:tcPr>
          <w:p>
            <w:pPr>
              <w:spacing w:after="0"/>
              <w:rPr>
                <w:sz w:val="15"/>
                <w:szCs w:val="15"/>
                <w:color w:val="auto"/>
              </w:rPr>
            </w:pPr>
          </w:p>
        </w:tc>
        <w:tc>
          <w:tcPr>
            <w:tcW w:w="186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Awards for PEO</w:t>
            </w:r>
          </w:p>
        </w:tc>
        <w:tc>
          <w:tcPr>
            <w:tcW w:w="16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Values for PEO</w:t>
            </w:r>
          </w:p>
        </w:tc>
        <w:tc>
          <w:tcPr>
            <w:tcW w:w="140" w:type="dxa"/>
            <w:vAlign w:val="bottom"/>
          </w:tcPr>
          <w:p>
            <w:pPr>
              <w:spacing w:after="0"/>
              <w:rPr>
                <w:sz w:val="15"/>
                <w:szCs w:val="15"/>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 to PEO</w:t>
            </w: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center"/>
              <w:ind w:right="103"/>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2024</w:t>
            </w:r>
          </w:p>
        </w:tc>
        <w:tc>
          <w:tcPr>
            <w:tcW w:w="17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3,163,111</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8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(2,212,164 )</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5,225,312</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6,176,259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2023</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2,219,323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(1,328,761 )</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4,557,120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5,447,682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80" w:type="dxa"/>
            <w:vAlign w:val="bottom"/>
          </w:tcPr>
          <w:p>
            <w:pPr>
              <w:spacing w:after="0"/>
              <w:rPr>
                <w:sz w:val="24"/>
                <w:szCs w:val="24"/>
                <w:color w:val="auto"/>
              </w:rPr>
            </w:pPr>
          </w:p>
        </w:tc>
        <w:tc>
          <w:tcPr>
            <w:tcW w:w="18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Exclusion of</w:t>
            </w:r>
          </w:p>
        </w:tc>
        <w:tc>
          <w:tcPr>
            <w:tcW w:w="1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Inclusion of</w:t>
            </w:r>
          </w:p>
        </w:tc>
        <w:tc>
          <w:tcPr>
            <w:tcW w:w="140" w:type="dxa"/>
            <w:vAlign w:val="bottom"/>
          </w:tcPr>
          <w:p>
            <w:pPr>
              <w:spacing w:after="0"/>
              <w:rPr>
                <w:sz w:val="24"/>
                <w:szCs w:val="24"/>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 Awards and</w:t>
            </w:r>
          </w:p>
        </w:tc>
        <w:tc>
          <w:tcPr>
            <w:tcW w:w="1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80" w:type="dxa"/>
            <w:vAlign w:val="bottom"/>
          </w:tcPr>
          <w:p>
            <w:pPr>
              <w:spacing w:after="0"/>
              <w:rPr>
                <w:sz w:val="12"/>
                <w:szCs w:val="12"/>
                <w:color w:val="auto"/>
              </w:rPr>
            </w:pPr>
          </w:p>
        </w:tc>
        <w:tc>
          <w:tcPr>
            <w:tcW w:w="18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 Non-</w:t>
            </w:r>
          </w:p>
        </w:tc>
        <w:tc>
          <w:tcPr>
            <w:tcW w:w="16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 Non-</w:t>
            </w:r>
          </w:p>
        </w:tc>
        <w:tc>
          <w:tcPr>
            <w:tcW w:w="14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for Non-PEO NEOs</w:t>
            </w:r>
          </w:p>
        </w:tc>
        <w:tc>
          <w:tcPr>
            <w:tcW w:w="180" w:type="dxa"/>
            <w:vAlign w:val="bottom"/>
          </w:tcPr>
          <w:p>
            <w:pPr>
              <w:spacing w:after="0"/>
              <w:rPr>
                <w:sz w:val="15"/>
                <w:szCs w:val="15"/>
                <w:color w:val="auto"/>
              </w:rPr>
            </w:pPr>
          </w:p>
        </w:tc>
        <w:tc>
          <w:tcPr>
            <w:tcW w:w="18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6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0" w:type="dxa"/>
            <w:vAlign w:val="bottom"/>
          </w:tcPr>
          <w:p>
            <w:pPr>
              <w:spacing w:after="0"/>
              <w:rPr>
                <w:sz w:val="15"/>
                <w:szCs w:val="15"/>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42"/>
        </w:trPr>
        <w:tc>
          <w:tcPr>
            <w:tcW w:w="1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Borders>
              <w:top w:val="single" w:sz="8" w:color="auto"/>
            </w:tcBorders>
          </w:tcPr>
          <w:p>
            <w:pPr>
              <w:jc w:val="center"/>
              <w:ind w:lef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Borders>
              <w:top w:val="single" w:sz="8" w:color="auto"/>
            </w:tcBorders>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Borders>
              <w:top w:val="single" w:sz="8" w:color="auto"/>
            </w:tcBorders>
          </w:tcPr>
          <w:p>
            <w:pPr>
              <w:jc w:val="center"/>
              <w:ind w:left="12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7"/>
                <w:szCs w:val="17"/>
                <w:color w:val="auto"/>
              </w:rPr>
              <w:t>2024</w:t>
            </w:r>
          </w:p>
        </w:tc>
        <w:tc>
          <w:tcPr>
            <w:tcW w:w="19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1,284,282</w:t>
            </w:r>
          </w:p>
        </w:tc>
        <w:tc>
          <w:tcPr>
            <w:tcW w:w="40" w:type="dxa"/>
            <w:vAlign w:val="bottom"/>
            <w:shd w:val="clear" w:color="auto" w:fill="CFF0FC"/>
          </w:tcPr>
          <w:p>
            <w:pPr>
              <w:spacing w:after="0"/>
              <w:rPr>
                <w:sz w:val="17"/>
                <w:szCs w:val="17"/>
                <w:color w:val="auto"/>
              </w:rPr>
            </w:pPr>
          </w:p>
        </w:tc>
        <w:tc>
          <w:tcPr>
            <w:tcW w:w="2040" w:type="dxa"/>
            <w:vAlign w:val="bottom"/>
            <w:gridSpan w:val="5"/>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(637,624 )</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1,585,223</w:t>
            </w:r>
          </w:p>
        </w:tc>
        <w:tc>
          <w:tcPr>
            <w:tcW w:w="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2,231,881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2023</w:t>
            </w: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1,044,650</w:t>
            </w:r>
          </w:p>
        </w:tc>
        <w:tc>
          <w:tcPr>
            <w:tcW w:w="40" w:type="dxa"/>
            <w:vAlign w:val="bottom"/>
          </w:tcPr>
          <w:p>
            <w:pPr>
              <w:spacing w:after="0"/>
              <w:rPr>
                <w:sz w:val="19"/>
                <w:szCs w:val="19"/>
                <w:color w:val="auto"/>
              </w:rPr>
            </w:pPr>
          </w:p>
        </w:tc>
        <w:tc>
          <w:tcPr>
            <w:tcW w:w="2040" w:type="dxa"/>
            <w:vAlign w:val="bottom"/>
            <w:gridSpan w:val="5"/>
          </w:tcPr>
          <w:p>
            <w:pPr>
              <w:jc w:val="right"/>
              <w:ind w:right="160"/>
              <w:spacing w:after="0"/>
              <w:rPr>
                <w:sz w:val="20"/>
                <w:szCs w:val="20"/>
                <w:color w:val="auto"/>
              </w:rPr>
            </w:pPr>
            <w:r>
              <w:rPr>
                <w:rFonts w:ascii="Times New Roman" w:cs="Times New Roman" w:eastAsia="Times New Roman" w:hAnsi="Times New Roman"/>
                <w:sz w:val="17"/>
                <w:szCs w:val="17"/>
                <w:color w:val="auto"/>
              </w:rPr>
              <w:t>(446,873 )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1,406,026</w:t>
            </w:r>
          </w:p>
        </w:tc>
        <w:tc>
          <w:tcPr>
            <w:tcW w:w="2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2,003,803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00" w:right="1039" w:firstLine="389"/>
        <w:spacing w:after="0" w:line="301" w:lineRule="auto"/>
        <w:rPr>
          <w:sz w:val="20"/>
          <w:szCs w:val="20"/>
          <w:color w:val="auto"/>
        </w:rPr>
      </w:pPr>
      <w:r>
        <w:rPr>
          <w:rFonts w:ascii="Times New Roman" w:cs="Times New Roman" w:eastAsia="Times New Roman" w:hAnsi="Times New Roman"/>
          <w:sz w:val="16"/>
          <w:szCs w:val="16"/>
          <w:color w:val="231F20"/>
        </w:rPr>
        <w:t xml:space="preserve">The amounts in the </w:t>
      </w:r>
      <w:r>
        <w:rPr>
          <w:rFonts w:ascii="Times New Roman" w:cs="Times New Roman" w:eastAsia="Times New Roman" w:hAnsi="Times New Roman"/>
          <w:sz w:val="16"/>
          <w:szCs w:val="16"/>
          <w:i w:val="1"/>
          <w:iCs w:val="1"/>
          <w:color w:val="231F20"/>
        </w:rPr>
        <w:t>"Inclusion of Equity Values"</w:t>
      </w:r>
      <w:r>
        <w:rPr>
          <w:rFonts w:ascii="Times New Roman" w:cs="Times New Roman" w:eastAsia="Times New Roman" w:hAnsi="Times New Roman"/>
          <w:sz w:val="16"/>
          <w:szCs w:val="16"/>
          <w:color w:val="231F20"/>
        </w:rPr>
        <w:t xml:space="preserve"> column in the tables above are derived from the amounts set forth in the following tables: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Year-End Fair Value of Equity</w:t>
            </w:r>
          </w:p>
        </w:tc>
        <w:tc>
          <w:tcPr>
            <w:tcW w:w="80" w:type="dxa"/>
            <w:vAlign w:val="bottom"/>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8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8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During Year</w:t>
            </w:r>
          </w:p>
        </w:tc>
        <w:tc>
          <w:tcPr>
            <w:tcW w:w="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 Last</w:t>
            </w:r>
          </w:p>
        </w:tc>
        <w:tc>
          <w:tcPr>
            <w:tcW w:w="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 Unvested</w:t>
            </w: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Remained Unvested as of</w:t>
            </w:r>
          </w:p>
        </w:tc>
        <w:tc>
          <w:tcPr>
            <w:tcW w:w="80" w:type="dxa"/>
            <w:vAlign w:val="bottom"/>
          </w:tcPr>
          <w:p>
            <w:pPr>
              <w:spacing w:after="0"/>
              <w:rPr>
                <w:sz w:val="12"/>
                <w:szCs w:val="12"/>
                <w:color w:val="auto"/>
              </w:rPr>
            </w:pPr>
          </w:p>
        </w:tc>
        <w:tc>
          <w:tcPr>
            <w:tcW w:w="20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Day of Year of Unvested Equity</w:t>
            </w:r>
          </w:p>
        </w:tc>
        <w:tc>
          <w:tcPr>
            <w:tcW w:w="80" w:type="dxa"/>
            <w:vAlign w:val="bottom"/>
          </w:tcPr>
          <w:p>
            <w:pPr>
              <w:spacing w:after="0"/>
              <w:rPr>
                <w:sz w:val="12"/>
                <w:szCs w:val="12"/>
                <w:color w:val="auto"/>
              </w:rPr>
            </w:pPr>
          </w:p>
        </w:tc>
        <w:tc>
          <w:tcPr>
            <w:tcW w:w="2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 Vested</w:t>
            </w: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Day of Year for PEO</w:t>
            </w:r>
          </w:p>
        </w:tc>
        <w:tc>
          <w:tcPr>
            <w:tcW w:w="80" w:type="dxa"/>
            <w:vAlign w:val="bottom"/>
          </w:tcPr>
          <w:p>
            <w:pPr>
              <w:spacing w:after="0"/>
              <w:rPr>
                <w:sz w:val="15"/>
                <w:szCs w:val="15"/>
                <w:color w:val="auto"/>
              </w:rPr>
            </w:pPr>
          </w:p>
        </w:tc>
        <w:tc>
          <w:tcPr>
            <w:tcW w:w="20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Awards for PEO</w:t>
            </w:r>
          </w:p>
        </w:tc>
        <w:tc>
          <w:tcPr>
            <w:tcW w:w="80" w:type="dxa"/>
            <w:vAlign w:val="bottom"/>
          </w:tcPr>
          <w:p>
            <w:pPr>
              <w:spacing w:after="0"/>
              <w:rPr>
                <w:sz w:val="15"/>
                <w:szCs w:val="15"/>
                <w:color w:val="auto"/>
              </w:rPr>
            </w:pPr>
          </w:p>
        </w:tc>
        <w:tc>
          <w:tcPr>
            <w:tcW w:w="20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During Year for PEO</w:t>
            </w:r>
          </w:p>
        </w:tc>
        <w:tc>
          <w:tcPr>
            <w:tcW w:w="80" w:type="dxa"/>
            <w:vAlign w:val="bottom"/>
          </w:tcPr>
          <w:p>
            <w:pPr>
              <w:spacing w:after="0"/>
              <w:rPr>
                <w:sz w:val="15"/>
                <w:szCs w:val="15"/>
                <w:color w:val="auto"/>
              </w:rPr>
            </w:pPr>
          </w:p>
        </w:tc>
        <w:tc>
          <w:tcPr>
            <w:tcW w:w="136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PEO</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208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1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4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33"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rPr>
              <w:t>2024</w:t>
            </w:r>
          </w:p>
        </w:tc>
        <w:tc>
          <w:tcPr>
            <w:tcW w:w="21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7"/>
                <w:szCs w:val="17"/>
                <w:color w:val="auto"/>
              </w:rPr>
              <w:t>2,357,458</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703,167</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2,164,687</w:t>
            </w:r>
          </w:p>
        </w:tc>
        <w:tc>
          <w:tcPr>
            <w:tcW w:w="150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7"/>
                <w:szCs w:val="17"/>
                <w:color w:val="auto"/>
              </w:rPr>
              <w:t>5,225,312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2023</w:t>
            </w:r>
          </w:p>
        </w:tc>
        <w:tc>
          <w:tcPr>
            <w:tcW w:w="21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3,233,071</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1,051,618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272,431</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4,557,120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Year-End Fair Value</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 Fair Value</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Change in Fair Value</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 Year to</w:t>
            </w:r>
          </w:p>
        </w:tc>
        <w:tc>
          <w:tcPr>
            <w:tcW w:w="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Total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 Granted</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 Prior Year to</w:t>
            </w: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 Unvested</w:t>
            </w:r>
          </w:p>
        </w:tc>
        <w:tc>
          <w:tcPr>
            <w:tcW w:w="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 Remained</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 Unvested</w:t>
            </w: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 Vested</w:t>
            </w:r>
          </w:p>
        </w:tc>
        <w:tc>
          <w:tcPr>
            <w:tcW w:w="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 Day of Year</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for Non-PEO</w:t>
            </w: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Non-PEO</w:t>
            </w:r>
          </w:p>
        </w:tc>
        <w:tc>
          <w:tcPr>
            <w:tcW w:w="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Values for Non-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 NEOs</w:t>
            </w:r>
          </w:p>
        </w:tc>
        <w:tc>
          <w:tcPr>
            <w:tcW w:w="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5"/>
                <w:szCs w:val="15"/>
                <w:color w:val="auto"/>
              </w:rPr>
            </w:pPr>
          </w:p>
        </w:tc>
        <w:tc>
          <w:tcPr>
            <w:tcW w:w="20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NEOs</w:t>
            </w:r>
          </w:p>
        </w:tc>
        <w:tc>
          <w:tcPr>
            <w:tcW w:w="8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160" w:type="dxa"/>
            <w:vAlign w:val="bottom"/>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0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FF0FC"/>
          </w:tcPr>
          <w:p>
            <w:pPr>
              <w:spacing w:after="0"/>
              <w:rPr>
                <w:sz w:val="17"/>
                <w:szCs w:val="17"/>
                <w:color w:val="auto"/>
              </w:rPr>
            </w:pPr>
          </w:p>
        </w:tc>
        <w:tc>
          <w:tcPr>
            <w:tcW w:w="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679,503</w:t>
            </w:r>
          </w:p>
        </w:tc>
        <w:tc>
          <w:tcPr>
            <w:tcW w:w="80" w:type="dxa"/>
            <w:vAlign w:val="bottom"/>
            <w:shd w:val="clear" w:color="auto" w:fill="CFF0FC"/>
          </w:tcPr>
          <w:p>
            <w:pPr>
              <w:spacing w:after="0"/>
              <w:rPr>
                <w:sz w:val="17"/>
                <w:szCs w:val="17"/>
                <w:color w:val="auto"/>
              </w:rPr>
            </w:pP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213,389</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692,331</w:t>
            </w:r>
          </w:p>
        </w:tc>
        <w:tc>
          <w:tcPr>
            <w:tcW w:w="15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1,585,223</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2023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1,087,147</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251,018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67,861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1,406,026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00" w:right="879" w:firstLine="7"/>
        <w:spacing w:after="0" w:line="298" w:lineRule="auto"/>
        <w:tabs>
          <w:tab w:leader="none" w:pos="329"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Assumes $100 was invested in the Company for the period starting December 31, 2022, through the end of the specified year. Historical share performance is not necessarily indicative of future share performance.</w:t>
      </w:r>
    </w:p>
    <w:p>
      <w:pPr>
        <w:spacing w:after="0" w:line="160" w:lineRule="exact"/>
        <w:rPr>
          <w:sz w:val="20"/>
          <w:szCs w:val="20"/>
          <w:color w:val="auto"/>
        </w:rPr>
      </w:pPr>
    </w:p>
    <w:p>
      <w:pPr>
        <w:jc w:val="both"/>
        <w:ind w:left="120" w:right="459" w:firstLine="720"/>
        <w:spacing w:after="0" w:line="266" w:lineRule="auto"/>
        <w:rPr>
          <w:sz w:val="20"/>
          <w:szCs w:val="20"/>
          <w:color w:val="auto"/>
        </w:rPr>
      </w:pPr>
      <w:r>
        <w:rPr>
          <w:rFonts w:ascii="Times New Roman" w:cs="Times New Roman" w:eastAsia="Times New Roman" w:hAnsi="Times New Roman"/>
          <w:sz w:val="18"/>
          <w:szCs w:val="18"/>
          <w:color w:val="231F20"/>
        </w:rPr>
        <w:t>The following graphs set forth the relationships between compensation actually paid to the PEO and the average compensation actually paid to our non-PEO NEOs as compared to the performance metrics of total shareholder return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123190</wp:posOffset>
            </wp:positionV>
            <wp:extent cx="5057775" cy="3094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577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756920</wp:posOffset>
            </wp:positionV>
            <wp:extent cx="5057775" cy="3094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577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231F20"/>
        </w:rPr>
        <w:t>AUDIT AND RISK COMMITTEE REPORT</w:t>
      </w:r>
    </w:p>
    <w:p>
      <w:pPr>
        <w:spacing w:after="0" w:line="297" w:lineRule="exact"/>
        <w:rPr>
          <w:sz w:val="20"/>
          <w:szCs w:val="20"/>
          <w:color w:val="auto"/>
        </w:rPr>
      </w:pPr>
    </w:p>
    <w:p>
      <w:pPr>
        <w:ind w:left="100" w:right="539" w:firstLine="360"/>
        <w:spacing w:after="0" w:line="254" w:lineRule="auto"/>
        <w:rPr>
          <w:sz w:val="20"/>
          <w:szCs w:val="20"/>
          <w:color w:val="auto"/>
        </w:rPr>
      </w:pPr>
      <w:r>
        <w:rPr>
          <w:rFonts w:ascii="Times New Roman" w:cs="Times New Roman" w:eastAsia="Times New Roman" w:hAnsi="Times New Roman"/>
          <w:sz w:val="18"/>
          <w:szCs w:val="18"/>
          <w:color w:val="231F20"/>
        </w:rPr>
        <w:t>The Audit and Risk Committee oversees the accounting and financial reporting processes of the Company and the audits of the Company’s financial statements, evaluates auditor performance, manages relations with the Company’s independent registered public accounting firm and evaluates policies and procedures relating to internal control systems. The Audit and Risk Committee operates under a written Audit and Risk Committee charter that has been adopted by the Board. All members of the Audit and Risk Committee currently meet the independence and qualification standards for Audit and Risk Committee membership set forth in the listing standards provided by Nasdaq and the SEC, and the Board has determined that Dr. Pakianathan is an “Audit and Risk Committee financial expert,” as the SEC has defined that term in Item 407 of Regulation S-K.</w:t>
      </w:r>
    </w:p>
    <w:p>
      <w:pPr>
        <w:spacing w:after="0" w:line="246" w:lineRule="exact"/>
        <w:rPr>
          <w:sz w:val="20"/>
          <w:szCs w:val="20"/>
          <w:color w:val="auto"/>
        </w:rPr>
      </w:pPr>
    </w:p>
    <w:p>
      <w:pPr>
        <w:ind w:left="100" w:right="519" w:firstLine="360"/>
        <w:spacing w:after="0" w:line="277" w:lineRule="auto"/>
        <w:rPr>
          <w:sz w:val="20"/>
          <w:szCs w:val="20"/>
          <w:color w:val="auto"/>
        </w:rPr>
      </w:pPr>
      <w:r>
        <w:rPr>
          <w:rFonts w:ascii="Times New Roman" w:cs="Times New Roman" w:eastAsia="Times New Roman" w:hAnsi="Times New Roman"/>
          <w:sz w:val="17"/>
          <w:szCs w:val="17"/>
          <w:color w:val="231F20"/>
        </w:rPr>
        <w:t>The Audit and Risk Committee members are not professional accountants or auditors. The members’ functions are not intended to duplicate or to certify the activities of management and the independent registered public accounting firm. The Audit and Risk Committee serves a board-level oversight role in which it provides advice, counsel and direction to management and the auditors on the basis of the information it receives, discussions with management and the auditors, and the experience of the Audit and Risk Committee’s members in business, financial and accounting matters.</w:t>
      </w:r>
    </w:p>
    <w:p>
      <w:pPr>
        <w:spacing w:after="0" w:line="222" w:lineRule="exact"/>
        <w:rPr>
          <w:sz w:val="20"/>
          <w:szCs w:val="20"/>
          <w:color w:val="auto"/>
        </w:rPr>
      </w:pPr>
    </w:p>
    <w:p>
      <w:pPr>
        <w:ind w:left="100" w:right="519" w:firstLine="360"/>
        <w:spacing w:after="0" w:line="254" w:lineRule="auto"/>
        <w:rPr>
          <w:sz w:val="20"/>
          <w:szCs w:val="20"/>
          <w:color w:val="auto"/>
        </w:rPr>
      </w:pPr>
      <w:r>
        <w:rPr>
          <w:rFonts w:ascii="Times New Roman" w:cs="Times New Roman" w:eastAsia="Times New Roman" w:hAnsi="Times New Roman"/>
          <w:sz w:val="18"/>
          <w:szCs w:val="18"/>
          <w:color w:val="231F20"/>
        </w:rPr>
        <w:t>The Audit and Risk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and Risk Committee reviewed with management the audited financial statements included in the Annual Report on Form 10-K. This review included a discussion of the quality and the acceptability of the Company’s financial reporting, including the nature and extent of disclosures in the financial statements and the accompanying notes. The Audit and Risk Committee also reviewed the progress and results of the testing of the design and effectiveness of its internal controls over financial reporting pursuant to Section 404 of the Sarbanes-Oxley Act of 2002.</w:t>
      </w:r>
    </w:p>
    <w:p>
      <w:pPr>
        <w:spacing w:after="0" w:line="246" w:lineRule="exact"/>
        <w:rPr>
          <w:sz w:val="20"/>
          <w:szCs w:val="20"/>
          <w:color w:val="auto"/>
        </w:rPr>
      </w:pPr>
    </w:p>
    <w:p>
      <w:pPr>
        <w:ind w:left="100" w:right="479" w:firstLine="360"/>
        <w:spacing w:after="0" w:line="256" w:lineRule="auto"/>
        <w:rPr>
          <w:sz w:val="20"/>
          <w:szCs w:val="20"/>
          <w:color w:val="auto"/>
        </w:rPr>
      </w:pPr>
      <w:r>
        <w:rPr>
          <w:rFonts w:ascii="Times New Roman" w:cs="Times New Roman" w:eastAsia="Times New Roman" w:hAnsi="Times New Roman"/>
          <w:sz w:val="18"/>
          <w:szCs w:val="18"/>
          <w:color w:val="231F20"/>
        </w:rPr>
        <w:t>The Audit and Risk Committee also reviewed with PwC, our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w:t>
      </w:r>
      <w:r>
        <w:rPr>
          <w:rFonts w:ascii="Times New Roman" w:cs="Times New Roman" w:eastAsia="Times New Roman" w:hAnsi="Times New Roman"/>
          <w:sz w:val="18"/>
          <w:szCs w:val="18"/>
          <w:b w:val="1"/>
          <w:bCs w:val="1"/>
          <w:color w:val="231F20"/>
        </w:rPr>
        <w:t>PCAOB</w:t>
      </w:r>
      <w:r>
        <w:rPr>
          <w:rFonts w:ascii="Times New Roman" w:cs="Times New Roman" w:eastAsia="Times New Roman" w:hAnsi="Times New Roman"/>
          <w:sz w:val="18"/>
          <w:szCs w:val="18"/>
          <w:color w:val="231F20"/>
        </w:rPr>
        <w:t xml:space="preserve">”) AU380, </w:t>
      </w:r>
      <w:r>
        <w:rPr>
          <w:rFonts w:ascii="Times New Roman" w:cs="Times New Roman" w:eastAsia="Times New Roman" w:hAnsi="Times New Roman"/>
          <w:sz w:val="18"/>
          <w:szCs w:val="18"/>
          <w:i w:val="1"/>
          <w:iCs w:val="1"/>
          <w:color w:val="231F20"/>
        </w:rPr>
        <w:t>Communications with Audit and Risk Committees</w:t>
      </w:r>
      <w:r>
        <w:rPr>
          <w:rFonts w:ascii="Times New Roman" w:cs="Times New Roman" w:eastAsia="Times New Roman" w:hAnsi="Times New Roman"/>
          <w:sz w:val="18"/>
          <w:szCs w:val="18"/>
          <w:color w:val="231F20"/>
        </w:rPr>
        <w:t xml:space="preserve">, and SEC Regulation S-X Rule 207, </w:t>
      </w:r>
      <w:r>
        <w:rPr>
          <w:rFonts w:ascii="Times New Roman" w:cs="Times New Roman" w:eastAsia="Times New Roman" w:hAnsi="Times New Roman"/>
          <w:sz w:val="18"/>
          <w:szCs w:val="18"/>
          <w:i w:val="1"/>
          <w:iCs w:val="1"/>
          <w:color w:val="231F20"/>
        </w:rPr>
        <w:t>Communication with Audit and Risk Committees</w:t>
      </w:r>
      <w:r>
        <w:rPr>
          <w:rFonts w:ascii="Times New Roman" w:cs="Times New Roman" w:eastAsia="Times New Roman" w:hAnsi="Times New Roman"/>
          <w:sz w:val="18"/>
          <w:szCs w:val="18"/>
          <w:color w:val="231F20"/>
        </w:rPr>
        <w:t>.</w:t>
      </w:r>
    </w:p>
    <w:p>
      <w:pPr>
        <w:spacing w:after="0" w:line="241" w:lineRule="exact"/>
        <w:rPr>
          <w:sz w:val="20"/>
          <w:szCs w:val="20"/>
          <w:color w:val="auto"/>
        </w:rPr>
      </w:pPr>
    </w:p>
    <w:p>
      <w:pPr>
        <w:ind w:left="100" w:right="999" w:firstLine="360"/>
        <w:spacing w:after="0" w:line="261" w:lineRule="auto"/>
        <w:rPr>
          <w:sz w:val="20"/>
          <w:szCs w:val="20"/>
          <w:color w:val="auto"/>
        </w:rPr>
      </w:pPr>
      <w:r>
        <w:rPr>
          <w:rFonts w:ascii="Times New Roman" w:cs="Times New Roman" w:eastAsia="Times New Roman" w:hAnsi="Times New Roman"/>
          <w:sz w:val="18"/>
          <w:szCs w:val="18"/>
          <w:color w:val="231F20"/>
        </w:rPr>
        <w:t>The Audit and Risk Committee has received the written disclosures and the letter from PwC required by the applicable requirements of the PCAOB regarding communications with the Audit and Risk Committee concerning independence. The Audit and Risk Committee has discussed with PwC its independence from management and the Company.</w:t>
      </w:r>
    </w:p>
    <w:p>
      <w:pPr>
        <w:spacing w:after="0" w:line="234" w:lineRule="exact"/>
        <w:rPr>
          <w:sz w:val="20"/>
          <w:szCs w:val="20"/>
          <w:color w:val="auto"/>
        </w:rPr>
      </w:pPr>
    </w:p>
    <w:p>
      <w:pPr>
        <w:ind w:left="100" w:right="859" w:firstLine="360"/>
        <w:spacing w:after="0" w:line="289" w:lineRule="auto"/>
        <w:rPr>
          <w:sz w:val="20"/>
          <w:szCs w:val="20"/>
          <w:color w:val="auto"/>
        </w:rPr>
      </w:pPr>
      <w:r>
        <w:rPr>
          <w:rFonts w:ascii="Times New Roman" w:cs="Times New Roman" w:eastAsia="Times New Roman" w:hAnsi="Times New Roman"/>
          <w:sz w:val="17"/>
          <w:szCs w:val="17"/>
          <w:color w:val="231F20"/>
        </w:rPr>
        <w:t>In addition to the matters specified above, the Audit and Risk Committee discussed with PwC the overall scope, plans and estimated costs of their audit. The Committee met with PwC periodically, with and without management present, to discuss the results of PwC’s examinations and the overall quality of the Company’s financial reporting.</w:t>
      </w:r>
    </w:p>
    <w:p>
      <w:pPr>
        <w:sectPr>
          <w:pgSz w:w="11900" w:h="16838" w:orient="portrait"/>
          <w:cols w:equalWidth="0" w:num="1">
            <w:col w:w="9379"/>
          </w:cols>
          <w:pgMar w:left="108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 w:right="859" w:firstLine="360"/>
        <w:spacing w:after="0" w:line="261" w:lineRule="auto"/>
        <w:rPr>
          <w:sz w:val="20"/>
          <w:szCs w:val="20"/>
          <w:color w:val="auto"/>
        </w:rPr>
      </w:pPr>
      <w:r>
        <w:rPr>
          <w:rFonts w:ascii="Times New Roman" w:cs="Times New Roman" w:eastAsia="Times New Roman" w:hAnsi="Times New Roman"/>
          <w:sz w:val="18"/>
          <w:szCs w:val="18"/>
          <w:color w:val="231F20"/>
        </w:rPr>
        <w:t>In reliance on the reviews and discussions referred to above, and subject to the limitations of the Audit and Risk Committee’s role and responsibilities referred to above and in the Audit and Risk Committee charter, the Audit and Risk Committee recommended to the Board of Directors that the Company’s audited financial statements should be included in the Company’s Annual Report on Form 10-K.</w:t>
      </w:r>
    </w:p>
    <w:p>
      <w:pPr>
        <w:spacing w:after="0" w:line="2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i w:val="1"/>
          <w:iCs w:val="1"/>
          <w:color w:val="231F20"/>
        </w:rPr>
        <w:t>The Audit and Risk Committee of the Board of</w:t>
      </w:r>
    </w:p>
    <w:p>
      <w:pPr>
        <w:spacing w:after="0" w:line="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231F20"/>
        </w:rPr>
        <w:t>Directors</w:t>
      </w:r>
    </w:p>
    <w:p>
      <w:pPr>
        <w:spacing w:after="0" w:line="2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Deepika Pakianathan, Chair</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Jeremy Bender</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Dr. Annalisa Jenkins</w:t>
      </w:r>
    </w:p>
    <w:p>
      <w:pPr>
        <w:spacing w:after="0" w:line="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231F20"/>
        </w:rPr>
        <w:t>Michael Wyzga</w:t>
      </w:r>
    </w:p>
    <w:p>
      <w:pPr>
        <w:spacing w:after="0" w:line="394" w:lineRule="exact"/>
        <w:rPr>
          <w:sz w:val="20"/>
          <w:szCs w:val="20"/>
          <w:color w:val="auto"/>
        </w:rPr>
      </w:pPr>
    </w:p>
    <w:p>
      <w:pPr>
        <w:ind w:left="10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231F20"/>
        </w:rPr>
        <w:t>The foregoing report of the Audit and Risk Committee shall not be deemed incorporated by reference by any general statement incorporating by reference this proxy statement into any filing under the Securities Act of 1933, as amended, or under the Securities Exchange Act of 1934, as amended, except to the extent that the Company specifically incorporates this information by reference, and shall not otherwise be deemed filed under such acts.</w:t>
      </w:r>
    </w:p>
    <w:p>
      <w:pPr>
        <w:spacing w:after="0" w:line="200" w:lineRule="exact"/>
        <w:rPr>
          <w:sz w:val="20"/>
          <w:szCs w:val="20"/>
          <w:color w:val="auto"/>
        </w:rPr>
      </w:pP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231F2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231F20"/>
        </w:rPr>
        <w:t>DELIVERY OF PROXY MATERIALS</w:t>
      </w:r>
    </w:p>
    <w:p>
      <w:pPr>
        <w:spacing w:after="0" w:line="297" w:lineRule="exact"/>
        <w:rPr>
          <w:sz w:val="20"/>
          <w:szCs w:val="20"/>
          <w:color w:val="auto"/>
        </w:rPr>
      </w:pPr>
    </w:p>
    <w:p>
      <w:pPr>
        <w:ind w:left="120" w:right="759" w:firstLine="360"/>
        <w:spacing w:after="0" w:line="268" w:lineRule="auto"/>
        <w:rPr>
          <w:sz w:val="20"/>
          <w:szCs w:val="20"/>
          <w:color w:val="auto"/>
        </w:rPr>
      </w:pPr>
      <w:r>
        <w:rPr>
          <w:rFonts w:ascii="Times New Roman" w:cs="Times New Roman" w:eastAsia="Times New Roman" w:hAnsi="Times New Roman"/>
          <w:sz w:val="17"/>
          <w:szCs w:val="17"/>
          <w:color w:val="231F20"/>
        </w:rPr>
        <w:t xml:space="preserve">Our Annual Report on Form 10-K, including audited financial statements, accompanies this proxy statement. Copies of our Annual Report on Form 10-K are available from the Company without charge upon written request of a shareholder. Copies of these materials are also available online through the SEC at </w:t>
      </w:r>
      <w:r>
        <w:rPr>
          <w:rFonts w:ascii="Times New Roman" w:cs="Times New Roman" w:eastAsia="Times New Roman" w:hAnsi="Times New Roman"/>
          <w:sz w:val="17"/>
          <w:szCs w:val="17"/>
          <w:i w:val="1"/>
          <w:iCs w:val="1"/>
          <w:color w:val="231F20"/>
        </w:rPr>
        <w:t>www.sec.gov</w:t>
      </w:r>
      <w:r>
        <w:rPr>
          <w:rFonts w:ascii="Times New Roman" w:cs="Times New Roman" w:eastAsia="Times New Roman" w:hAnsi="Times New Roman"/>
          <w:sz w:val="17"/>
          <w:szCs w:val="17"/>
          <w:color w:val="231F20"/>
        </w:rPr>
        <w:t>. The Company may satisfy SEC rules regarding delivery of proxy materials, including this Proxy Statement and the Annual Report on Form 10-K, by delivering a single set of proxy materials to an address shared by two or more Company shareholders or ADS holders.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Charles Sermon, Company Secretary, Mereo BioPharma Group plc, 4</w:t>
      </w:r>
      <w:r>
        <w:rPr>
          <w:rFonts w:ascii="Times New Roman" w:cs="Times New Roman" w:eastAsia="Times New Roman" w:hAnsi="Times New Roman"/>
          <w:sz w:val="10"/>
          <w:szCs w:val="10"/>
          <w:color w:val="231F20"/>
        </w:rPr>
        <w:t>th</w:t>
      </w:r>
      <w:r>
        <w:rPr>
          <w:rFonts w:ascii="Times New Roman" w:cs="Times New Roman" w:eastAsia="Times New Roman" w:hAnsi="Times New Roman"/>
          <w:sz w:val="17"/>
          <w:szCs w:val="17"/>
          <w:color w:val="231F20"/>
        </w:rPr>
        <w:t xml:space="preserve"> Floor, One Cavendish Place, London, W1G 0QF, United Kingdom, or by email: legal@mereobiopharma.com, or telephone: +44 (0) 333 023 7300. If you hold ADSs and you prefer to receive separate copies of proxy materials either now or in the future, please contact the Depositary, your brokerage firm or bank, as applicable.</w:t>
      </w:r>
    </w:p>
    <w:p>
      <w:pPr>
        <w:spacing w:after="0" w:line="227" w:lineRule="exact"/>
        <w:rPr>
          <w:sz w:val="20"/>
          <w:szCs w:val="20"/>
          <w:color w:val="auto"/>
        </w:rPr>
      </w:pPr>
    </w:p>
    <w:p>
      <w:pPr>
        <w:jc w:val="center"/>
        <w:ind w:left="1540" w:right="660"/>
        <w:spacing w:after="0" w:line="268" w:lineRule="auto"/>
        <w:rPr>
          <w:sz w:val="20"/>
          <w:szCs w:val="20"/>
          <w:color w:val="auto"/>
        </w:rPr>
      </w:pPr>
      <w:r>
        <w:rPr>
          <w:rFonts w:ascii="Times New Roman" w:cs="Times New Roman" w:eastAsia="Times New Roman" w:hAnsi="Times New Roman"/>
          <w:sz w:val="18"/>
          <w:szCs w:val="18"/>
          <w:b w:val="1"/>
          <w:bCs w:val="1"/>
          <w:color w:val="231F20"/>
        </w:rPr>
        <w:t>EACH ORDINARY SHAREHOLDER IS URGED TO COMPLETE, DATE, SIGN AND PROMPTLY RETURN THE ENCLOSED FORM OF PROXY OR TO SUBMIT YOUR PROXY ONLINE.</w:t>
      </w:r>
    </w:p>
    <w:p>
      <w:pPr>
        <w:spacing w:after="0" w:line="225" w:lineRule="exact"/>
        <w:rPr>
          <w:sz w:val="20"/>
          <w:szCs w:val="20"/>
          <w:color w:val="auto"/>
        </w:rPr>
      </w:pPr>
    </w:p>
    <w:p>
      <w:pPr>
        <w:jc w:val="center"/>
        <w:ind w:left="1540" w:right="140"/>
        <w:spacing w:after="0" w:line="286" w:lineRule="auto"/>
        <w:rPr>
          <w:sz w:val="20"/>
          <w:szCs w:val="20"/>
          <w:color w:val="auto"/>
        </w:rPr>
      </w:pPr>
      <w:r>
        <w:rPr>
          <w:rFonts w:ascii="Times New Roman" w:cs="Times New Roman" w:eastAsia="Times New Roman" w:hAnsi="Times New Roman"/>
          <w:sz w:val="18"/>
          <w:szCs w:val="18"/>
          <w:b w:val="1"/>
          <w:bCs w:val="1"/>
          <w:color w:val="231F20"/>
        </w:rPr>
        <w:t>EACH ADS HOLDER IS URGED TO COMPLETE, DATE, SIGN AND PROMPTLY RETURN THE ADS PROXY CARD TO CITIBANK, N.A., THE DEPOSITARY FOR THE ADSs.</w:t>
      </w:r>
    </w:p>
    <w:p>
      <w:pPr>
        <w:spacing w:after="0" w:line="200" w:lineRule="exact"/>
        <w:rPr>
          <w:sz w:val="20"/>
          <w:szCs w:val="20"/>
          <w:color w:val="auto"/>
        </w:rPr>
      </w:pPr>
    </w:p>
    <w:p>
      <w:pPr>
        <w:spacing w:after="0" w:line="3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231F2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231F20"/>
        </w:rPr>
        <w:t>ADDITIONAL INFORMATION</w:t>
      </w:r>
    </w:p>
    <w:p>
      <w:pPr>
        <w:spacing w:after="0" w:line="266" w:lineRule="exact"/>
        <w:rPr>
          <w:sz w:val="20"/>
          <w:szCs w:val="20"/>
          <w:color w:val="auto"/>
        </w:rPr>
      </w:pPr>
    </w:p>
    <w:p>
      <w:pPr>
        <w:ind w:left="120" w:right="1159"/>
        <w:spacing w:after="0" w:line="302" w:lineRule="auto"/>
        <w:rPr>
          <w:sz w:val="20"/>
          <w:szCs w:val="20"/>
          <w:color w:val="auto"/>
        </w:rPr>
      </w:pPr>
      <w:r>
        <w:rPr>
          <w:rFonts w:ascii="Times New Roman" w:cs="Times New Roman" w:eastAsia="Times New Roman" w:hAnsi="Times New Roman"/>
          <w:sz w:val="18"/>
          <w:szCs w:val="18"/>
          <w:b w:val="1"/>
          <w:bCs w:val="1"/>
          <w:color w:val="231F20"/>
        </w:rPr>
        <w:t>U.K. Statutory Annual Report and Accounts of the Board of Directors and Auditors of Mereo BioPharma Group plc for the year ended December 31, 2024</w:t>
      </w:r>
    </w:p>
    <w:p>
      <w:pPr>
        <w:spacing w:after="0" w:line="64" w:lineRule="exact"/>
        <w:rPr>
          <w:sz w:val="20"/>
          <w:szCs w:val="20"/>
          <w:color w:val="auto"/>
        </w:rPr>
      </w:pPr>
    </w:p>
    <w:p>
      <w:pPr>
        <w:ind w:left="120" w:right="519" w:firstLine="360"/>
        <w:spacing w:after="0" w:line="253" w:lineRule="auto"/>
        <w:rPr>
          <w:sz w:val="20"/>
          <w:szCs w:val="20"/>
          <w:color w:val="auto"/>
        </w:rPr>
      </w:pPr>
      <w:r>
        <w:rPr>
          <w:rFonts w:ascii="Times New Roman" w:cs="Times New Roman" w:eastAsia="Times New Roman" w:hAnsi="Times New Roman"/>
          <w:sz w:val="18"/>
          <w:szCs w:val="18"/>
          <w:color w:val="231F20"/>
        </w:rPr>
        <w:t xml:space="preserve">Consistent with its obligations under the U.K. Companies Act 2006, our Board of Directors will present at the Meeting our U.K. statutory annual report and accounts for the year ended December 31, 2024. Accordingly, our Board of Directors will lay before the Company at the Meeting the Company’s U.K. statutory annual report and accounts for the year ended December 31, 2024, which have been approved by and, where appropriate, signed on behalf of our Board of Directors and will be delivered to the Registrar of Companies in the United Kingdom following the Meeting. A copy of our U.K. statutory directors’ remuneration report, including the annual report on remuneration will be made available no less than 21 days prior to the Meeting, on our website at </w:t>
      </w:r>
      <w:r>
        <w:rPr>
          <w:rFonts w:ascii="Times New Roman" w:cs="Times New Roman" w:eastAsia="Times New Roman" w:hAnsi="Times New Roman"/>
          <w:sz w:val="18"/>
          <w:szCs w:val="18"/>
          <w:color w:val="000000"/>
        </w:rPr>
        <w:t>www.mereobiopharma.com</w:t>
      </w:r>
      <w:r>
        <w:rPr>
          <w:rFonts w:ascii="Times New Roman" w:cs="Times New Roman" w:eastAsia="Times New Roman" w:hAnsi="Times New Roman"/>
          <w:sz w:val="18"/>
          <w:szCs w:val="18"/>
          <w:color w:val="231F20"/>
        </w:rPr>
        <w:t xml:space="preserve">. A complete copy of our U.K. statutory annual report and accounts, including the statutory Board of Directors report, strategic report, and auditor’s report on our U.K. accounts will be made available no less than 21 days prior to the Meeting, on our website </w:t>
      </w:r>
      <w:r>
        <w:rPr>
          <w:rFonts w:ascii="Times New Roman" w:cs="Times New Roman" w:eastAsia="Times New Roman" w:hAnsi="Times New Roman"/>
          <w:sz w:val="18"/>
          <w:szCs w:val="18"/>
          <w:color w:val="000000"/>
        </w:rPr>
        <w:t>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www.mereobiopharma.com.</w:t>
      </w: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Shareholders’ Rights to Call a General Meeting</w:t>
      </w:r>
    </w:p>
    <w:p>
      <w:pPr>
        <w:spacing w:after="0" w:line="148" w:lineRule="exact"/>
        <w:rPr>
          <w:sz w:val="20"/>
          <w:szCs w:val="20"/>
          <w:color w:val="auto"/>
        </w:rPr>
      </w:pPr>
    </w:p>
    <w:p>
      <w:pPr>
        <w:ind w:left="120" w:right="539" w:firstLine="360"/>
        <w:spacing w:after="0" w:line="256" w:lineRule="auto"/>
        <w:rPr>
          <w:sz w:val="20"/>
          <w:szCs w:val="20"/>
          <w:color w:val="auto"/>
        </w:rPr>
      </w:pPr>
      <w:r>
        <w:rPr>
          <w:rFonts w:ascii="Times New Roman" w:cs="Times New Roman" w:eastAsia="Times New Roman" w:hAnsi="Times New Roman"/>
          <w:sz w:val="18"/>
          <w:szCs w:val="18"/>
          <w:color w:val="231F20"/>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3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231F20"/>
        </w:rPr>
        <w:t>Shareholder Proposals for 2026 Annual General Meeting</w:t>
      </w:r>
    </w:p>
    <w:p>
      <w:pPr>
        <w:spacing w:after="0" w:line="148" w:lineRule="exact"/>
        <w:rPr>
          <w:sz w:val="20"/>
          <w:szCs w:val="20"/>
          <w:color w:val="auto"/>
        </w:rPr>
      </w:pPr>
    </w:p>
    <w:p>
      <w:pPr>
        <w:ind w:left="120" w:right="619" w:firstLine="360"/>
        <w:spacing w:after="0" w:line="256" w:lineRule="auto"/>
        <w:rPr>
          <w:sz w:val="20"/>
          <w:szCs w:val="20"/>
          <w:color w:val="auto"/>
        </w:rPr>
      </w:pPr>
      <w:r>
        <w:rPr>
          <w:rFonts w:ascii="Times New Roman" w:cs="Times New Roman" w:eastAsia="Times New Roman" w:hAnsi="Times New Roman"/>
          <w:sz w:val="18"/>
          <w:szCs w:val="18"/>
          <w:color w:val="231F20"/>
        </w:rPr>
        <w:t>In order to be considered for inclusion in our proxy statement for our 2026 annual general meeting of shareholders, shareholder proposals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no later than 120 days before the anniversary of the date on which we sent our proxy materials for the Meeting, or December 12, 2025. However, if the date of such annual general meeting is more than 30 calendar days from the date of the anniversary of the Meeting, then the notice must be received by our Company Secretary a reasonable time before we begin to print and send our proxy materials.</w:t>
      </w:r>
    </w:p>
    <w:p>
      <w:pPr>
        <w:spacing w:after="0" w:line="214" w:lineRule="exact"/>
        <w:rPr>
          <w:sz w:val="20"/>
          <w:szCs w:val="20"/>
          <w:color w:val="auto"/>
        </w:rPr>
      </w:pPr>
    </w:p>
    <w:p>
      <w:pPr>
        <w:jc w:val="both"/>
        <w:ind w:left="120" w:right="419" w:firstLine="360"/>
        <w:spacing w:after="0" w:line="254" w:lineRule="auto"/>
        <w:rPr>
          <w:sz w:val="20"/>
          <w:szCs w:val="20"/>
          <w:color w:val="auto"/>
        </w:rPr>
      </w:pPr>
      <w:r>
        <w:rPr>
          <w:rFonts w:ascii="Times New Roman" w:cs="Times New Roman" w:eastAsia="Times New Roman" w:hAnsi="Times New Roman"/>
          <w:sz w:val="18"/>
          <w:szCs w:val="18"/>
          <w:color w:val="231F20"/>
        </w:rPr>
        <w:t>Shareholder proposals submitted for consideration at our 2026 annual general meeting of shareholders, but not submitted for inclusion in our proxy statement for our 2026 annual general meeting of shareholders,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no later than 45 days before the anniversary of the date of the Meeting, or March 29, 2026. However, if the date of the 2026 annual general meeting is changed by more than 30 calendar days from the date of the anniversary of the Meeting, the notice must be received by our Company Secretary at least 45 days prior to the date we intend to distribute our proxy materials with respect to the 2026 annual general meeting. If a shareholder does not timely provide notice as described above, proxies solicited on behalf of our management for the 2026 annual general meeting will confer discretionary authority to vote with respect to any such matter, as permitted by the proxy rules of the SEC.</w:t>
      </w:r>
    </w:p>
    <w:p>
      <w:pPr>
        <w:spacing w:after="0" w:line="215" w:lineRule="exact"/>
        <w:rPr>
          <w:sz w:val="20"/>
          <w:szCs w:val="20"/>
          <w:color w:val="auto"/>
        </w:rPr>
      </w:pPr>
    </w:p>
    <w:p>
      <w:pPr>
        <w:ind w:left="120" w:right="439" w:firstLine="360"/>
        <w:spacing w:after="0" w:line="256" w:lineRule="auto"/>
        <w:rPr>
          <w:sz w:val="20"/>
          <w:szCs w:val="20"/>
          <w:color w:val="auto"/>
        </w:rPr>
      </w:pPr>
      <w:r>
        <w:rPr>
          <w:rFonts w:ascii="Times New Roman" w:cs="Times New Roman" w:eastAsia="Times New Roman" w:hAnsi="Times New Roman"/>
          <w:sz w:val="18"/>
          <w:szCs w:val="18"/>
          <w:color w:val="231F20"/>
        </w:rPr>
        <w:t>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 W1G 0QF, United Kingdom at least six weeks prior to the date of the annual general meeting, or, if later, at the time notice of the annual general meeting is delivered to shareholders.</w:t>
      </w:r>
    </w:p>
    <w:p>
      <w:pPr>
        <w:sectPr>
          <w:pgSz w:w="11900" w:h="16838" w:orient="portrait"/>
          <w:cols w:equalWidth="0" w:num="1">
            <w:col w:w="9379"/>
          </w:cols>
          <w:pgMar w:left="108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231F20"/>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492125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231F20"/>
        </w:rPr>
        <w:t>Questions?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231F20"/>
        </w:rPr>
        <w:t>If you have any questions or need more information about the Meeting, please write to us at:</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Charles Sermon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Company Secretary</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Mereo BioPharma Group plc</w:t>
      </w:r>
    </w:p>
    <w:p>
      <w:pPr>
        <w:spacing w:after="0" w:line="2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4</w:t>
      </w:r>
      <w:r>
        <w:rPr>
          <w:rFonts w:ascii="Times New Roman" w:cs="Times New Roman" w:eastAsia="Times New Roman" w:hAnsi="Times New Roman"/>
          <w:sz w:val="11"/>
          <w:szCs w:val="11"/>
          <w:color w:val="231F20"/>
        </w:rPr>
        <w:t>th</w:t>
      </w:r>
      <w:r>
        <w:rPr>
          <w:rFonts w:ascii="Times New Roman" w:cs="Times New Roman" w:eastAsia="Times New Roman" w:hAnsi="Times New Roman"/>
          <w:sz w:val="18"/>
          <w:szCs w:val="18"/>
          <w:color w:val="231F20"/>
        </w:rPr>
        <w:t xml:space="preserve"> Floor, One Cavendish Place, London,</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W1G 0QF</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United Kingdom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231F2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117"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876935</wp:posOffset>
            </wp:positionV>
            <wp:extent cx="5332095" cy="7534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32095" cy="753491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60" w:name="page61"/>
    <w:bookmarkEnd w:id="60"/>
    <w:p>
      <w:pPr>
        <w:ind w:left="3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876935</wp:posOffset>
            </wp:positionV>
            <wp:extent cx="5332095" cy="7534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32095" cy="753491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492125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decimal"/>
      <w:start w:val="7"/>
    </w:lvl>
  </w:abstractNum>
  <w:abstractNum w:abstractNumId="10">
    <w:nsid w:val="71F32454"/>
    <w:multiLevelType w:val="hybridMultilevel"/>
    <w:lvl w:ilvl="0">
      <w:lvlJc w:val="left"/>
      <w:lvlText w:val="%1."/>
      <w:numFmt w:val="decimal"/>
      <w:start w:val="8"/>
    </w:lvl>
  </w:abstractNum>
  <w:abstractNum w:abstractNumId="11">
    <w:nsid w:val="2CA88611"/>
    <w:multiLevelType w:val="hybridMultilevel"/>
    <w:lvl w:ilvl="0">
      <w:lvlJc w:val="left"/>
      <w:lvlText w:val="%1."/>
      <w:numFmt w:val="decimal"/>
      <w:start w:val="11"/>
    </w:lvl>
  </w:abstractNum>
  <w:abstractNum w:abstractNumId="12">
    <w:nsid w:val="836C40E"/>
    <w:multiLevelType w:val="hybridMultilevel"/>
    <w:lvl w:ilvl="0">
      <w:lvlJc w:val="left"/>
      <w:lvlText w:val="%1."/>
      <w:numFmt w:val="decimal"/>
      <w:start w:val="12"/>
    </w:lvl>
  </w:abstractNum>
  <w:abstractNum w:abstractNumId="13">
    <w:nsid w:val="2901D82"/>
    <w:multiLevelType w:val="hybridMultilevel"/>
    <w:lvl w:ilvl="0">
      <w:lvlJc w:val="left"/>
      <w:lvlText w:val="%1."/>
      <w:numFmt w:val="decimal"/>
      <w:start w:val="13"/>
    </w:lvl>
  </w:abstractNum>
  <w:abstractNum w:abstractNumId="14">
    <w:nsid w:val="3A95F874"/>
    <w:multiLevelType w:val="hybridMultilevel"/>
    <w:lvl w:ilvl="0">
      <w:lvlJc w:val="left"/>
      <w:lvlText w:val="%1."/>
      <w:numFmt w:val="decimal"/>
      <w:start w:val="14"/>
    </w:lvl>
  </w:abstractNum>
  <w:abstractNum w:abstractNumId="15">
    <w:nsid w:val="8138641"/>
    <w:multiLevelType w:val="hybridMultilevel"/>
    <w:lvl w:ilvl="0">
      <w:lvlJc w:val="left"/>
      <w:lvlText w:val="%1."/>
      <w:numFmt w:val="decimal"/>
      <w:start w:val="15"/>
    </w:lvl>
  </w:abstractNum>
  <w:abstractNum w:abstractNumId="16">
    <w:nsid w:val="1E7FF521"/>
    <w:multiLevelType w:val="hybridMultilevel"/>
    <w:lvl w:ilvl="0">
      <w:lvlJc w:val="left"/>
      <w:lvlText w:val="%1."/>
      <w:numFmt w:val="decimal"/>
      <w:start w:val="16"/>
    </w:lvl>
  </w:abstractNum>
  <w:abstractNum w:abstractNumId="17">
    <w:nsid w:val="7C3DBD3D"/>
    <w:multiLevelType w:val="hybridMultilevel"/>
    <w:lvl w:ilvl="0">
      <w:lvlJc w:val="left"/>
      <w:lvlText w:val="%1."/>
      <w:numFmt w:val="decimal"/>
      <w:start w:val="17"/>
    </w:lvl>
  </w:abstractNum>
  <w:abstractNum w:abstractNumId="18">
    <w:nsid w:val="737B8DDC"/>
    <w:multiLevelType w:val="hybridMultilevel"/>
    <w:lvl w:ilvl="0">
      <w:lvlJc w:val="left"/>
      <w:lvlText w:val="%1."/>
      <w:numFmt w:val="decimal"/>
      <w:start w:val="18"/>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11"/>
    </w:lvl>
  </w:abstractNum>
  <w:abstractNum w:abstractNumId="35">
    <w:nsid w:val="2D517796"/>
    <w:multiLevelType w:val="hybridMultilevel"/>
    <w:lvl w:ilvl="0">
      <w:lvlJc w:val="left"/>
      <w:lvlText w:val="(%1)"/>
      <w:numFmt w:val="decimal"/>
      <w:start w:val="13"/>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2025-04-08T05:46:46Z</dcterms:created>
  <dcterms:modified xsi:type="dcterms:W3CDTF">2025-04-08T05:46:46Z</dcterms:modified>
</cp:coreProperties>
</file>