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7)*</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16510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155 East 44th St, Suite 1630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Attention: Brian Kleinhaus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212-418-1888</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-130175</wp:posOffset>
            </wp:positionV>
            <wp:extent cx="6214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right="40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of the Issuer, which are quoted on the Nasdaq Global Market under the symbol "MREO." Each ADR represents 5 Ordinary Shares.</w:t>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4"/>
          <w:szCs w:val="24"/>
          <w:color w:val="auto"/>
        </w:rPr>
      </w:pPr>
    </w:p>
    <w:p>
      <w:pPr>
        <w:ind w:right="40" w:firstLine="8"/>
        <w:spacing w:after="0" w:line="260"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4"/>
        </w:trPr>
        <w:tc>
          <w:tcPr>
            <w:tcW w:w="38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Page 2 of 6 Pages</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right"/>
        <w:ind w:left="1960" w:right="6980" w:hanging="1234"/>
        <w:spacing w:after="0" w:line="194" w:lineRule="auto"/>
        <w:tabs>
          <w:tab w:leader="none" w:pos="1636" w:val="left"/>
        </w:tabs>
        <w:numPr>
          <w:ilvl w:val="0"/>
          <w:numId w:val="2"/>
        </w:numPr>
        <w:rPr>
          <w:rFonts w:ascii="Arial" w:cs="Arial" w:eastAsia="Arial" w:hAnsi="Arial"/>
          <w:sz w:val="32"/>
          <w:szCs w:val="32"/>
          <w:b w:val="1"/>
          <w:bCs w:val="1"/>
          <w:color w:val="auto"/>
          <w:vertAlign w:val="subscript"/>
        </w:rPr>
      </w:pPr>
      <w:r>
        <w:rPr>
          <w:rFonts w:ascii="Arial" w:cs="Arial" w:eastAsia="Arial" w:hAnsi="Arial"/>
          <w:sz w:val="16"/>
          <w:szCs w:val="16"/>
          <w:color w:val="auto"/>
        </w:rPr>
        <w:t>NAME OF REPORTING PERSON 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526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5"/>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State of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92,199,075 Ordinary Shares (including 60,249,075 Ordinary Shares represented by 12,049,815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92,199,075 Ordinary Shares (including 60,249,075 Ordinary Shares represented by 12,049,815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92,199,075 Ordinary Shares (including 60,249,075 Ordinary Shares represented by 12,049,815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13.15%</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PN, IA</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4"/>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8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Page 3 of 6 Pages</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960" w:right="7020" w:hanging="1234"/>
        <w:spacing w:after="0" w:line="182" w:lineRule="auto"/>
        <w:tabs>
          <w:tab w:leader="none" w:pos="1636" w:val="left"/>
        </w:tabs>
        <w:numPr>
          <w:ilvl w:val="0"/>
          <w:numId w:val="6"/>
        </w:numPr>
        <w:rPr>
          <w:rFonts w:ascii="Arial" w:cs="Arial" w:eastAsia="Arial" w:hAnsi="Arial"/>
          <w:sz w:val="34"/>
          <w:szCs w:val="34"/>
          <w:b w:val="1"/>
          <w:bCs w:val="1"/>
          <w:color w:val="auto"/>
          <w:vertAlign w:val="subscript"/>
        </w:rPr>
      </w:pPr>
      <w:r>
        <w:rPr>
          <w:rFonts w:ascii="Arial" w:cs="Arial" w:eastAsia="Arial" w:hAnsi="Arial"/>
          <w:sz w:val="17"/>
          <w:szCs w:val="17"/>
          <w:color w:val="auto"/>
        </w:rPr>
        <w:t>NAME OF REPORTING PERSON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526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8"/>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9"/>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United States of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92,199,075 Ordinary Shares (including 60,249,075 Ordinary Shares represented by 12,049,815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92,199,075 Ordinary Shares (including 60,249,075 Ordinary Shares represented by 12,049,815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92,199,075 Ordinary Shares (including 60,249,075 Ordinary Shares represented by 12,049,815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13.15%</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IN</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4"/>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8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Page 4 of 6 Pages</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Schedule 13D amends the Schedule 13D initially filed by the Reporting Persons with the Securities and Exchange Commission on May 26, 2022 with respect to the ordinary shares of stock, par value , £0.003 par value per share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of Mereo BioPharma Group plc, a public limited company under the laws of England and Wales (the “</w:t>
      </w:r>
      <w:r>
        <w:rPr>
          <w:rFonts w:ascii="Arial" w:cs="Arial" w:eastAsia="Arial" w:hAnsi="Arial"/>
          <w:sz w:val="17"/>
          <w:szCs w:val="17"/>
          <w:u w:val="single" w:color="auto"/>
          <w:color w:val="auto"/>
        </w:rPr>
        <w:t>Issuer</w:t>
      </w:r>
      <w:r>
        <w:rPr>
          <w:rFonts w:ascii="Arial" w:cs="Arial" w:eastAsia="Arial" w:hAnsi="Arial"/>
          <w:sz w:val="17"/>
          <w:szCs w:val="17"/>
          <w:color w:val="auto"/>
        </w:rPr>
        <w:t>”), which was subsequently amended on June 9, 2022, June 14, 2022, August 24, 2022, September 23, 2022, October 28, 2022 and June 14, 2023 (collectively, including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IN SECURITIES OF THE ISSUER</w:t>
      </w:r>
    </w:p>
    <w:p>
      <w:pPr>
        <w:spacing w:after="0" w:line="229" w:lineRule="exact"/>
        <w:rPr>
          <w:sz w:val="20"/>
          <w:szCs w:val="20"/>
          <w:color w:val="auto"/>
        </w:rPr>
      </w:pPr>
    </w:p>
    <w:p>
      <w:pPr>
        <w:ind w:left="660" w:right="18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rows (11) and (13) of the cover pages to this Schedule 13D for the aggregate number of Ordinary Shares and percentages of the Ordinary Shares beneficially owned by each of the Reporting Persons. The percentages used in this Schedule 13D are calculated based upon 701,217,089 Ordinary Shares reported to be outstanding as of July 2023 in Exhibit 99.1 and 99.2 attached to the Issuer’s filing on Form 6-K filed with the Securities and Exchange Commission on September 7, 2023.</w:t>
      </w:r>
    </w:p>
    <w:p>
      <w:pPr>
        <w:spacing w:after="0" w:line="187" w:lineRule="exact"/>
        <w:rPr>
          <w:sz w:val="20"/>
          <w:szCs w:val="20"/>
          <w:color w:val="auto"/>
        </w:rPr>
      </w:pPr>
    </w:p>
    <w:p>
      <w:pPr>
        <w:ind w:left="660" w:right="7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Schedule A annexed hereto lists all transactions in the securities of the Issuer by the Reporting Persons during the past 60 days. All such transactions were effected in the open market unless otherwise noted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4"/>
        </w:trPr>
        <w:tc>
          <w:tcPr>
            <w:tcW w:w="38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Page 5 of 6 Pages</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4"/>
        </w:trPr>
        <w:tc>
          <w:tcPr>
            <w:tcW w:w="38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Page 6 of 6 Pages</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in the Securities of the Issuer During the Past 60 Days</w:t>
      </w:r>
    </w:p>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Nature of</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8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Price per Security</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 of</w:t>
            </w:r>
          </w:p>
        </w:tc>
      </w:tr>
      <w:tr>
        <w:trPr>
          <w:trHeight w:val="23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Purchased/(Sold)</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Purchase/Sale</w:t>
            </w: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290,061</w:t>
            </w:r>
          </w:p>
        </w:tc>
        <w:tc>
          <w:tcPr>
            <w:tcW w:w="28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color w:val="auto"/>
                <w:w w:val="89"/>
              </w:rPr>
              <w:t>1.7762</w:t>
            </w:r>
            <w:r>
              <w:rPr>
                <w:rFonts w:ascii="Arial" w:cs="Arial" w:eastAsia="Arial" w:hAnsi="Arial"/>
                <w:sz w:val="28"/>
                <w:szCs w:val="28"/>
                <w:color w:val="auto"/>
                <w:w w:val="89"/>
                <w:vertAlign w:val="superscript"/>
              </w:rPr>
              <w:t>1</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10/27/2023</w:t>
            </w: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143,634</w:t>
            </w:r>
          </w:p>
        </w:tc>
        <w:tc>
          <w:tcPr>
            <w:tcW w:w="28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color w:val="auto"/>
                <w:w w:val="89"/>
              </w:rPr>
              <w:t>1.8142</w:t>
            </w:r>
            <w:r>
              <w:rPr>
                <w:rFonts w:ascii="Arial" w:cs="Arial" w:eastAsia="Arial" w:hAnsi="Arial"/>
                <w:sz w:val="28"/>
                <w:szCs w:val="28"/>
                <w:color w:val="auto"/>
                <w:w w:val="89"/>
                <w:vertAlign w:val="superscript"/>
              </w:rPr>
              <w:t>2</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10/30/2023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right="740" w:firstLine="8"/>
        <w:spacing w:after="0" w:line="234" w:lineRule="auto"/>
        <w:tabs>
          <w:tab w:leader="none" w:pos="120" w:val="left"/>
        </w:tabs>
        <w:numPr>
          <w:ilvl w:val="0"/>
          <w:numId w:val="12"/>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$1.67 to $1.84,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43" w:lineRule="exact"/>
        <w:rPr>
          <w:sz w:val="20"/>
          <w:szCs w:val="20"/>
          <w:color w:val="auto"/>
        </w:rPr>
      </w:pPr>
    </w:p>
    <w:p>
      <w:pPr>
        <w:jc w:val="both"/>
        <w:ind w:right="740" w:firstLine="8"/>
        <w:spacing w:after="0" w:line="234" w:lineRule="auto"/>
        <w:tabs>
          <w:tab w:leader="none" w:pos="120" w:val="left"/>
        </w:tabs>
        <w:numPr>
          <w:ilvl w:val="0"/>
          <w:numId w:val="13"/>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$1.79 to $1.82,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6"/>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6"/>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bullet"/>
      <w:start w:val="1"/>
    </w:lvl>
  </w:abstractNum>
  <w:abstractNum w:abstractNumId="12">
    <w:nsid w:val="335225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2023-10-31T05:17:25Z</dcterms:created>
  <dcterms:modified xsi:type="dcterms:W3CDTF">2023-10-31T05:17:25Z</dcterms:modified>
</cp:coreProperties>
</file>