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Mereo Biopharma Group plc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589492107 (American Depositary Shares, each representing five Ordinary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3,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20" w:hanging="201"/>
        <w:spacing w:after="0"/>
        <w:tabs>
          <w:tab w:leader="none" w:pos="12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ind w:left="10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7"/>
              </w:rPr>
              <w:t>Boxer Capital, LLC</w:t>
            </w: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6"/>
          </w:tcPr>
          <w:p>
            <w:pPr>
              <w:ind w:left="22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40" w:type="dxa"/>
            <w:vAlign w:val="bottom"/>
            <w:gridSpan w:val="2"/>
          </w:tcPr>
          <w:p>
            <w:pPr>
              <w:jc w:val="right"/>
              <w:ind w:right="130"/>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Delaware</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91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2"/>
                <w:szCs w:val="12"/>
                <w:color w:val="auto"/>
              </w:rPr>
            </w:pPr>
          </w:p>
        </w:tc>
        <w:tc>
          <w:tcPr>
            <w:tcW w:w="9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color w:val="auto"/>
                <w:w w:val="91"/>
              </w:rPr>
              <w:t>Aggregate amount</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20,361,875*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4,072,375 American Depositary Shares), when such American Depositary Shares are registered on a registration statement declared effective by the SEC, which</w:t>
      </w:r>
    </w:p>
    <w:p>
      <w:pPr>
        <w:ind w:left="460" w:right="220"/>
        <w:spacing w:after="0" w:line="250" w:lineRule="auto"/>
        <w:rPr>
          <w:sz w:val="20"/>
          <w:szCs w:val="20"/>
          <w:color w:val="auto"/>
        </w:rPr>
      </w:pPr>
      <w:r>
        <w:rPr>
          <w:rFonts w:ascii="Arial" w:cs="Arial" w:eastAsia="Arial" w:hAnsi="Arial"/>
          <w:sz w:val="18"/>
          <w:szCs w:val="18"/>
          <w:color w:val="auto"/>
        </w:rPr>
        <w:t>may be within sixty days from the closing of the private placement set forth in the Issuer’s press release on June 4, 2020 (the “Private Placement”). This number includes 213,629 Ordinary Shares that Boxer Capital has the right to acquire pursuant to a warrant to purchase Ordinary Shares (the “Boxer Warrant”) issued in connection with the Private Placement.</w:t>
      </w:r>
    </w:p>
    <w:p>
      <w:pPr>
        <w:spacing w:after="0" w:line="1" w:lineRule="exact"/>
        <w:rPr>
          <w:sz w:val="20"/>
          <w:szCs w:val="20"/>
          <w:color w:val="auto"/>
        </w:rPr>
      </w:pPr>
    </w:p>
    <w:p>
      <w:pPr>
        <w:ind w:left="460" w:right="12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213,866,109 Ordinary Shares outstanding, which is the sum of (i) 112,255,142 Ordinary Shares as set forth in the registration statement on Form F-1 filed with the SEC on February 18, 2020 (the “Registration Statement”), (ii) 12,252,715 Ordinary Shares issued in a private placement of Ordinary Shares as set forth in Current Report on Form 6-K filed with the SEC on February 19, 2020 (the “February Placement”), (iii) 89,144,623 Ordinary Shares issued in the Private Placement and (iv) 213,629 Ordinary Shares that Boxer Capital has the right to acquire pursuant to the Boxer Warrant.</w:t>
      </w:r>
    </w:p>
    <w:p>
      <w:pPr>
        <w:sectPr>
          <w:pgSz w:w="11900" w:h="16838" w:orient="portrait"/>
          <w:cols w:equalWidth="0" w:num="1">
            <w:col w:w="11260"/>
          </w:cols>
          <w:pgMar w:left="320" w:top="274" w:right="319" w:bottom="1440" w:gutter="0" w:footer="0" w:header="0"/>
        </w:sectPr>
      </w:pPr>
    </w:p>
    <w:bookmarkStart w:id="2" w:name="page3"/>
    <w:bookmarkEnd w:id="2"/>
    <w:p>
      <w:pPr>
        <w:ind w:left="10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 of 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Asset Management Inc.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22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20" w:type="dxa"/>
            <w:vAlign w:val="bottom"/>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320" w:type="dxa"/>
            <w:vAlign w:val="bottom"/>
          </w:tcPr>
          <w:p>
            <w:pPr>
              <w:spacing w:after="0"/>
              <w:rPr>
                <w:sz w:val="19"/>
                <w:szCs w:val="19"/>
                <w:color w:val="auto"/>
              </w:rPr>
            </w:pP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Bahamas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color w:val="auto"/>
                <w:w w:val="91"/>
              </w:rPr>
              <w:t>Aggregate amount</w:t>
            </w:r>
          </w:p>
        </w:tc>
        <w:tc>
          <w:tcPr>
            <w:tcW w:w="9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20,361,875*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4,072,375 American Depositary Shares), when such American Depositary Shares are registered on a registration statement declared effective by the SEC, which</w:t>
      </w:r>
    </w:p>
    <w:p>
      <w:pPr>
        <w:ind w:left="460" w:right="180"/>
        <w:spacing w:after="0" w:line="250" w:lineRule="auto"/>
        <w:rPr>
          <w:sz w:val="20"/>
          <w:szCs w:val="20"/>
          <w:color w:val="auto"/>
        </w:rPr>
      </w:pPr>
      <w:r>
        <w:rPr>
          <w:rFonts w:ascii="Arial" w:cs="Arial" w:eastAsia="Arial" w:hAnsi="Arial"/>
          <w:sz w:val="18"/>
          <w:szCs w:val="18"/>
          <w:color w:val="auto"/>
        </w:rPr>
        <w:t>may be within sixty days from the closing of the Private Placement. This number includes 213,629 Ordinary Shares that Boxer Capital has the right to acquire pursuant to the Boxer Warrant.</w:t>
      </w:r>
    </w:p>
    <w:p>
      <w:pPr>
        <w:spacing w:after="0" w:line="1" w:lineRule="exact"/>
        <w:rPr>
          <w:sz w:val="20"/>
          <w:szCs w:val="20"/>
          <w:color w:val="auto"/>
        </w:rPr>
      </w:pPr>
    </w:p>
    <w:p>
      <w:pPr>
        <w:ind w:left="460" w:right="1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213,866,109 Ordinary Shares outstanding, which is the sum of (i) 112,255,142 Ordinary Shares as set forth in the Registration Statement, (ii) 12,252,715 Ordinary Shares issued in the February Placement, (iii) 89,144,623 Ordinary Shares issued in the Private Placement and (iv) 213,629 Ordinary Shares that Boxer Capital has the right to acquire pursuant to the Boxer Warrant.</w:t>
      </w:r>
    </w:p>
    <w:p>
      <w:pPr>
        <w:sectPr>
          <w:pgSz w:w="11900" w:h="16838" w:orient="portrait"/>
          <w:cols w:equalWidth="0" w:num="1">
            <w:col w:w="11260"/>
          </w:cols>
          <w:pgMar w:left="320" w:top="274" w:right="319" w:bottom="1440" w:gutter="0" w:footer="0" w:header="0"/>
        </w:sectPr>
      </w:pPr>
    </w:p>
    <w:bookmarkStart w:id="3" w:name="page4"/>
    <w:bookmarkEnd w:id="3"/>
    <w:p>
      <w:pPr>
        <w:ind w:left="10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 of 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4"/>
              </w:rPr>
              <w:t>MVA Investors, LLC</w:t>
            </w: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6"/>
          </w:tcPr>
          <w:p>
            <w:pPr>
              <w:ind w:left="22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480" w:type="dxa"/>
            <w:vAlign w:val="bottom"/>
            <w:gridSpan w:val="2"/>
          </w:tcPr>
          <w:p>
            <w:pPr>
              <w:jc w:val="right"/>
              <w:ind w:right="170"/>
              <w:spacing w:after="0" w:line="181" w:lineRule="exact"/>
              <w:rPr>
                <w:sz w:val="20"/>
                <w:szCs w:val="20"/>
                <w:color w:val="auto"/>
              </w:rPr>
            </w:pPr>
            <w:r>
              <w:rPr>
                <w:rFonts w:ascii="MS PGothic" w:cs="MS PGothic" w:eastAsia="MS PGothic" w:hAnsi="MS PGothic"/>
                <w:sz w:val="18"/>
                <w:szCs w:val="18"/>
                <w:color w:val="auto"/>
              </w:rPr>
              <w:t>☒</w:t>
            </w:r>
          </w:p>
        </w:tc>
        <w:tc>
          <w:tcPr>
            <w:tcW w:w="9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9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5"/>
                <w:szCs w:val="15"/>
                <w:color w:val="auto"/>
              </w:rPr>
            </w:pPr>
          </w:p>
        </w:tc>
        <w:tc>
          <w:tcPr>
            <w:tcW w:w="90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2"/>
                <w:szCs w:val="12"/>
                <w:color w:val="auto"/>
              </w:rPr>
            </w:pPr>
          </w:p>
        </w:tc>
        <w:tc>
          <w:tcPr>
            <w:tcW w:w="9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color w:val="auto"/>
                <w:w w:val="91"/>
              </w:rPr>
              <w:t>Aggregate amount</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1,003,349*</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200,669 American Depositary Shares), when such American Depositary Shares are registered on a registration statement declared effective by the SEC, which</w:t>
      </w:r>
    </w:p>
    <w:p>
      <w:pPr>
        <w:ind w:left="460"/>
        <w:spacing w:after="0"/>
        <w:rPr>
          <w:sz w:val="20"/>
          <w:szCs w:val="20"/>
          <w:color w:val="auto"/>
        </w:rPr>
      </w:pPr>
      <w:r>
        <w:rPr>
          <w:rFonts w:ascii="Arial" w:cs="Arial" w:eastAsia="Arial" w:hAnsi="Arial"/>
          <w:sz w:val="18"/>
          <w:szCs w:val="18"/>
          <w:color w:val="auto"/>
        </w:rPr>
        <w:t>may be within sixty days from the closing of the Private Placement.</w:t>
      </w:r>
    </w:p>
    <w:p>
      <w:pPr>
        <w:spacing w:after="0" w:line="9" w:lineRule="exact"/>
        <w:rPr>
          <w:sz w:val="20"/>
          <w:szCs w:val="20"/>
          <w:color w:val="auto"/>
        </w:rPr>
      </w:pPr>
    </w:p>
    <w:p>
      <w:pPr>
        <w:ind w:left="460" w:right="1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213,866,109 Ordinary Shares outstanding, which is the sum of (i) 112,255,142 Ordinary Shares as set forth in the Registration Statement, (ii) 12,252,715 Ordinary Shares issued in the February Placement, (iii) 89,144,623 Ordinary Shares issued in the Private Placement and (iv) 213,629 Ordinary Shares that Boxer Capital has the right to acquire pursuant to the Boxer Warrant.</w:t>
      </w:r>
    </w:p>
    <w:p>
      <w:pPr>
        <w:sectPr>
          <w:pgSz w:w="11900" w:h="16838" w:orient="portrait"/>
          <w:cols w:equalWidth="0" w:num="1">
            <w:col w:w="11260"/>
          </w:cols>
          <w:pgMar w:left="320" w:top="274" w:right="319" w:bottom="1440" w:gutter="0" w:footer="0" w:header="0"/>
        </w:sectPr>
      </w:pPr>
    </w:p>
    <w:bookmarkStart w:id="4" w:name="page5"/>
    <w:bookmarkEnd w:id="4"/>
    <w:p>
      <w:pPr>
        <w:ind w:left="10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5"/>
              </w:rPr>
              <w:t>Aaron I. Davis</w:t>
            </w: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22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ind w:right="10"/>
              <w:spacing w:after="0" w:line="181" w:lineRule="exact"/>
              <w:rPr>
                <w:sz w:val="20"/>
                <w:szCs w:val="20"/>
                <w:color w:val="auto"/>
              </w:rPr>
            </w:pPr>
            <w:r>
              <w:rPr>
                <w:rFonts w:ascii="MS PGothic" w:cs="MS PGothic" w:eastAsia="MS PGothic" w:hAnsi="MS PGothic"/>
                <w:sz w:val="18"/>
                <w:szCs w:val="18"/>
                <w:color w:val="auto"/>
                <w:w w:val="99"/>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2"/>
              </w:rPr>
              <w:t>SEC use only.</w:t>
            </w:r>
          </w:p>
        </w:tc>
        <w:tc>
          <w:tcPr>
            <w:tcW w:w="300" w:type="dxa"/>
            <w:vAlign w:val="bottom"/>
          </w:tcPr>
          <w:p>
            <w:pPr>
              <w:spacing w:after="0"/>
              <w:rPr>
                <w:sz w:val="19"/>
                <w:szCs w:val="19"/>
                <w:color w:val="auto"/>
              </w:rPr>
            </w:pP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8"/>
              </w:rPr>
              <w:t>United States</w:t>
            </w: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color w:val="auto"/>
                <w:w w:val="91"/>
              </w:rPr>
              <w:t>Aggregate amount</w:t>
            </w:r>
          </w:p>
        </w:tc>
        <w:tc>
          <w:tcPr>
            <w:tcW w:w="9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9"/>
              </w:rPr>
              <w:t>1,003,349*</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Comprised of Ordinary Shares that will be held through American Depositary Shares, each of which represents five Ordinary Shares (or 200,669 American Depositary Shares), when such American Depositary Shares are registered on a registration statement declared effective by the SEC, which may be within sixty days from the closing of the Private Placement.</w:t>
      </w:r>
    </w:p>
    <w:p>
      <w:pPr>
        <w:spacing w:after="0" w:line="89" w:lineRule="exact"/>
        <w:rPr>
          <w:sz w:val="20"/>
          <w:szCs w:val="20"/>
          <w:color w:val="auto"/>
        </w:rPr>
      </w:pPr>
    </w:p>
    <w:p>
      <w:pPr>
        <w:ind w:left="460" w:right="12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213,866,109 Ordinary Shares outstanding, which is the sum of (i) 112,255,142 Ordinary Shares as set forth in the Registration Statement, (ii) 12,252,715 Ordinary Shares issued in the February Placement, (iii) 89,144,623 Ordinary Shares issued in the Private Placement and (iv) 213,629 Ordinary Shares that Boxer Capital has the right to acquire pursuant to the Boxer Warrant.</w:t>
      </w:r>
    </w:p>
    <w:p>
      <w:pPr>
        <w:sectPr>
          <w:pgSz w:w="11900" w:h="16838" w:orient="portrait"/>
          <w:cols w:equalWidth="0" w:num="1">
            <w:col w:w="11260"/>
          </w:cols>
          <w:pgMar w:left="320" w:top="274" w:right="319" w:bottom="1440" w:gutter="0" w:footer="0" w:header="0"/>
        </w:sectPr>
      </w:pPr>
    </w:p>
    <w:bookmarkStart w:id="5" w:name="page6"/>
    <w:bookmarkEnd w:id="5"/>
    <w:p>
      <w:pPr>
        <w:ind w:left="10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6 of 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Joe Lewis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22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20" w:type="dxa"/>
            <w:vAlign w:val="bottom"/>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91"/>
              </w:rPr>
              <w:t>SEC use only.</w:t>
            </w:r>
          </w:p>
        </w:tc>
        <w:tc>
          <w:tcPr>
            <w:tcW w:w="320" w:type="dxa"/>
            <w:vAlign w:val="bottom"/>
          </w:tcPr>
          <w:p>
            <w:pPr>
              <w:spacing w:after="0"/>
              <w:rPr>
                <w:sz w:val="19"/>
                <w:szCs w:val="19"/>
                <w:color w:val="auto"/>
              </w:rPr>
            </w:pP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United Kingdom</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20,361,875*</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color w:val="auto"/>
                <w:w w:val="91"/>
              </w:rPr>
              <w:t>Aggregate amount</w:t>
            </w:r>
          </w:p>
        </w:tc>
        <w:tc>
          <w:tcPr>
            <w:tcW w:w="9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20,361,875*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22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Comprised of Ordinary Shares that will be held through American Depositary Shares, each of which represents five Ordinary Shares (or 4,072,375 American Depositary Shares), when such American Depositary Shares are registered on a registration statement declared effective by the SEC, which</w:t>
      </w:r>
    </w:p>
    <w:p>
      <w:pPr>
        <w:ind w:left="460" w:right="180"/>
        <w:spacing w:after="0" w:line="250" w:lineRule="auto"/>
        <w:rPr>
          <w:sz w:val="20"/>
          <w:szCs w:val="20"/>
          <w:color w:val="auto"/>
        </w:rPr>
      </w:pPr>
      <w:r>
        <w:rPr>
          <w:rFonts w:ascii="Arial" w:cs="Arial" w:eastAsia="Arial" w:hAnsi="Arial"/>
          <w:sz w:val="18"/>
          <w:szCs w:val="18"/>
          <w:color w:val="auto"/>
        </w:rPr>
        <w:t>may be within sixty days from the closing of the Private Placement. This number includes 213,629 Ordinary Shares that Boxer Capital has the right to acquire pursuant to the Boxer Warrant.</w:t>
      </w:r>
    </w:p>
    <w:p>
      <w:pPr>
        <w:spacing w:after="0" w:line="1" w:lineRule="exact"/>
        <w:rPr>
          <w:sz w:val="20"/>
          <w:szCs w:val="20"/>
          <w:color w:val="auto"/>
        </w:rPr>
      </w:pPr>
    </w:p>
    <w:p>
      <w:pPr>
        <w:ind w:left="460" w:right="1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213,866,109 Ordinary Shares outstanding, which is the sum of (i) 112,255,142 Ordinary Shares as set forth in the Registration Statement, (ii) 12,252,715 Ordinary Shares issued in the February Placement, (iii) 89,144,623 Ordinary Shares issued in the Private Placement and (iv) 213,629 Ordinary Shares that Boxer Capital has the right to acquire pursuant to the Boxer Warrant.</w:t>
      </w:r>
    </w:p>
    <w:p>
      <w:pPr>
        <w:sectPr>
          <w:pgSz w:w="11900" w:h="16838" w:orient="portrait"/>
          <w:cols w:equalWidth="0" w:num="1">
            <w:col w:w="11260"/>
          </w:cols>
          <w:pgMar w:left="320" w:top="274" w:right="319" w:bottom="1440" w:gutter="0" w:footer="0" w:header="0"/>
        </w:sectPr>
      </w:pPr>
    </w:p>
    <w:bookmarkStart w:id="6" w:name="page7"/>
    <w:bookmarkEnd w:id="6"/>
    <w:p>
      <w:pPr>
        <w:ind w:left="10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7 of 10</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Amendment No. 1 (“Amendment No. 1”) amends and supplements the statement on Schedule 13G initially filed on March 2, 2020 (the “Original Filing”) by Boxer Capital, LLC (“Boxer Capital”), Boxer Asset Management Inc. (“Boxer Management”) and Joe Lewis. This Amendment No. 1 is an original filing for MVA Investors, LLC (“MVA Investors”) and Aaron I. Davis (“Aaron Davis” and, together with Boxer Capital, Boxer Management, Joe Lewis and MVA Investors, the “Reporting Persons”). The Original Filing remains in effect except to the extent that it is amended, restated or superseded by information contained in this Amendment No. 1. Capitalized terms used and not defined in this Amendment No. 1 have the meanings set forth in the Original Filing, as amended.</w:t>
      </w:r>
    </w:p>
    <w:p>
      <w:pPr>
        <w:spacing w:after="0" w:line="3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This Schedule 13G is jointly filed by the Reporting Persons. Boxer Management is the managing member and majority owner of Boxer Capital. Joe Lewis is the sole indirect beneficial owner of and controls Boxer Management. MVA Investors is the independent, personal investment vehicle of certain employees of Boxer Capital. Aaron Davis is a member of and has voting and dispositive power over securities held by MVA Investors.</w:t>
      </w:r>
    </w:p>
    <w:p>
      <w:pPr>
        <w:spacing w:after="0" w:line="2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business address of Boxer Capital, MVA Investors and Aaron Davis is: 11682 El Camino Real, Suite 320, San Diego, CA 92130.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principal business address of Boxer Management and Joe Lewis is: Cay House, EP Taylor Drive N7776, Lyford Cay, New Providence, Bahamas.</w:t>
      </w:r>
    </w:p>
    <w:p>
      <w:pPr>
        <w:spacing w:after="0" w:line="3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Boxer Capital is a limited liability company organized under the laws of Delaware. Boxer Management is a corporation organized under the laws of the Bahamas. MVA Investors is a limited liability company organized under the laws of Delaware. Aaron Davis is a citizen of the United States. Joe Lewis is a citizen of the United Kingdom.</w:t>
      </w:r>
    </w:p>
    <w:p>
      <w:pPr>
        <w:spacing w:after="0" w:line="3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Ordinary shares, nominal value £0.003 per share (the “Ordinary Shares”). The Ordinary Shares are represented by American Depositary Shares, each American Depositary Share representing five Ordinary Shares (“ADSs”).</w:t>
      </w:r>
    </w:p>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589492107</w:t>
      </w:r>
    </w:p>
    <w:p>
      <w:pPr>
        <w:spacing w:after="0" w:line="1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jc w:val="both"/>
        <w:ind w:right="220" w:firstLine="1011"/>
        <w:spacing w:after="0" w:line="311" w:lineRule="auto"/>
        <w:rPr>
          <w:sz w:val="20"/>
          <w:szCs w:val="20"/>
          <w:color w:val="auto"/>
        </w:rPr>
      </w:pPr>
      <w:r>
        <w:rPr>
          <w:rFonts w:ascii="Arial" w:cs="Arial" w:eastAsia="Arial" w:hAnsi="Arial"/>
          <w:sz w:val="16"/>
          <w:szCs w:val="16"/>
          <w:color w:val="auto"/>
        </w:rPr>
        <w:t>Boxer Capital, Boxer Management and Joe Lewis beneficially own 20,361,875 Ordinary Shares, which includes 213,629 Ordinary Shares that Boxer Capital has the right to acquire pursuant to a warrant to purchase Ordinary Shares (the “Boxer Warrant”) issued in connection with the private placement set forth in the Issuer’s press release on June 4, 2020 (the “Private Placement”). MVA Investors and Aaron Davis beneficially own</w:t>
      </w:r>
    </w:p>
    <w:p>
      <w:pPr>
        <w:sectPr>
          <w:pgSz w:w="11900" w:h="16838" w:orient="portrait"/>
          <w:cols w:equalWidth="0" w:num="1">
            <w:col w:w="11240"/>
          </w:cols>
          <w:pgMar w:left="320" w:top="274" w:right="339" w:bottom="1440" w:gutter="0" w:footer="0" w:header="0"/>
        </w:sectPr>
      </w:pPr>
    </w:p>
    <w:bookmarkStart w:id="7" w:name="page8"/>
    <w:bookmarkEnd w:id="7"/>
    <w:p>
      <w:pPr>
        <w:ind w:left="10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8 of 10</w:t>
      </w:r>
    </w:p>
    <w:p>
      <w:pPr>
        <w:spacing w:after="0" w:line="19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1,003,349 Ordinary Shares. The Reporting Persons may be deemed to beneficially own in the aggregate 21,365,224 Ordinary Shares, which will be held through ADSs, each of which represents five Ordinary Shares (or 4,273,044 ADSs), which will be issued to the Reporting Persons when a registration statement registering such ADSs is declared effective by the SEC, which may be within sixty days from the closing of the Private Placement.</w:t>
      </w:r>
    </w:p>
    <w:p>
      <w:pPr>
        <w:spacing w:after="0" w:line="176"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right="220" w:firstLine="1011"/>
        <w:spacing w:after="0" w:line="269" w:lineRule="auto"/>
        <w:rPr>
          <w:sz w:val="20"/>
          <w:szCs w:val="20"/>
          <w:color w:val="auto"/>
        </w:rPr>
      </w:pPr>
      <w:r>
        <w:rPr>
          <w:rFonts w:ascii="Arial" w:cs="Arial" w:eastAsia="Arial" w:hAnsi="Arial"/>
          <w:sz w:val="17"/>
          <w:szCs w:val="17"/>
          <w:color w:val="auto"/>
        </w:rPr>
        <w:t>The Ordinary Shares beneficially owned by Boxer Capital, Boxer Management and Joe Lewis represent 9.5%* of the Issuer’s outstanding Ordinary Shares. The Ordinary Shares beneficially owned by MVA Investors and Aaron Davis represent 0.5%* of the Issuer’s outstanding Ordinary Shares. The number of Ordinary Shares beneficially owned by the Reporting Persons represent 9.99% of the Issuer’s outstanding Ordinary Shares. In the Private Placement, Boxer Capital purchased a total of (a) 7,895,531 Ordinary Shares, (b) 20,412,883 Ordinary Shares underlying a warrant (the “Boxer Warrant”) and (c) 32,930,235 Ordinary Shares underlying convertible notes (the “Boxer Notes”). In the Private Placement, MVA Investors purchased a total of (a) 1,003,349 Ordinary Shares, (b) 2,594,027 Ordinary Shares underlying a warrant (the “MVA Warrant”) and (c) 4,184,706 Ordinary Shares underlying convertible notes (the “MVA Notes”). The conversions of the Boxer Notes and the MVA Notes, as well as the exercises of the Boxer Warrant and the MVA Warrant, are each subject to a beneficial ownership limitation such that no conversion or exercise may occur if it would result in beneficial ownership in excess of 9.99% with respect to the holder and its affiliates. Additionally, the Boxer Notes and the MVA Notes will not be convertible into Ordinary Shares until the passage of certain related shareholder resolutions at the Issuer’s annual general meeting of shareholders, to be held on June 29, 2020.</w:t>
      </w:r>
    </w:p>
    <w:p>
      <w:pPr>
        <w:spacing w:after="0" w:line="209"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vote or to direct the vote of any Ordinary Shares.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right="140" w:firstLine="1460"/>
        <w:spacing w:after="0" w:line="263" w:lineRule="auto"/>
        <w:rPr>
          <w:sz w:val="20"/>
          <w:szCs w:val="20"/>
          <w:color w:val="auto"/>
        </w:rPr>
      </w:pPr>
      <w:r>
        <w:rPr>
          <w:rFonts w:ascii="Arial" w:cs="Arial" w:eastAsia="Arial" w:hAnsi="Arial"/>
          <w:sz w:val="18"/>
          <w:szCs w:val="18"/>
          <w:color w:val="auto"/>
        </w:rPr>
        <w:t>Boxer Capital, Boxer Management and Joe Lewis have shared power to vote or to direct the vote of the 20,361,875 Ordinary Shares they beneficially own. MVA Investors and Aaron Davis have shared power to vote or to direct the vote of the 1,003,349 Ordinary Shares they beneficially own.</w:t>
      </w:r>
    </w:p>
    <w:p>
      <w:pPr>
        <w:spacing w:after="0" w:line="89" w:lineRule="exact"/>
        <w:rPr>
          <w:sz w:val="20"/>
          <w:szCs w:val="20"/>
          <w:color w:val="auto"/>
        </w:rPr>
      </w:pPr>
    </w:p>
    <w:p>
      <w:pPr>
        <w:ind w:left="1460" w:hanging="453"/>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dispose or to direct the disposition of any Ordinary Shares.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jc w:val="both"/>
        <w:ind w:right="80" w:firstLine="1460"/>
        <w:spacing w:after="0" w:line="263" w:lineRule="auto"/>
        <w:rPr>
          <w:sz w:val="20"/>
          <w:szCs w:val="20"/>
          <w:color w:val="auto"/>
        </w:rPr>
      </w:pPr>
      <w:r>
        <w:rPr>
          <w:rFonts w:ascii="Arial" w:cs="Arial" w:eastAsia="Arial" w:hAnsi="Arial"/>
          <w:sz w:val="18"/>
          <w:szCs w:val="18"/>
          <w:color w:val="auto"/>
        </w:rPr>
        <w:t>Boxer Capital, Boxer Management and Joe Lewis have shared power to dispose or to direct the disposition of the 20,361,875 Ordinary Shares they beneficially own. MVA Investors and Aaron Davis have shared power to dispose or to direct the disposition of the 1,003,349 Ordinary Shares they beneficially own.</w:t>
      </w:r>
    </w:p>
    <w:p>
      <w:pPr>
        <w:spacing w:after="0" w:line="211" w:lineRule="exact"/>
        <w:rPr>
          <w:sz w:val="20"/>
          <w:szCs w:val="20"/>
          <w:color w:val="auto"/>
        </w:rPr>
      </w:pPr>
    </w:p>
    <w:p>
      <w:pPr>
        <w:ind w:left="460" w:right="120" w:hanging="452"/>
        <w:spacing w:after="0" w:line="30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percentages are based on 213,866,109 Ordinary Shares outstanding, which is the sum of (i) 112,255,142 Ordinary Shares as set forth in the registration statement on Form F-1 filed with the SEC on February 18, 2020, (ii) 12,252,715 Ordinary Shares issued in a private placement of Ordinary Shares as set forth in Current Report on Form 6-K filed with the SEC on February 19, 2020, (iii) 89,144,623 Ordinary Shares issued in the Private Placement and (iv) 213,629 Ordinary Shares that Boxer Capital has the right to acquire pursuant to the Boxer Warrant.</w:t>
      </w:r>
    </w:p>
    <w:p>
      <w:pPr>
        <w:sectPr>
          <w:pgSz w:w="11900" w:h="16838" w:orient="portrait"/>
          <w:cols w:equalWidth="0" w:num="1">
            <w:col w:w="11240"/>
          </w:cols>
          <w:pgMar w:left="320" w:top="27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9 of 10</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380" w:firstLine="1011"/>
        <w:spacing w:after="0" w:line="308" w:lineRule="auto"/>
        <w:rPr>
          <w:sz w:val="20"/>
          <w:szCs w:val="20"/>
          <w:color w:val="auto"/>
        </w:rPr>
      </w:pPr>
      <w:r>
        <w:rPr>
          <w:rFonts w:ascii="Arial" w:cs="Arial" w:eastAsia="Arial" w:hAnsi="Arial"/>
          <w:sz w:val="17"/>
          <w:szCs w:val="17"/>
          <w:color w:val="auto"/>
        </w:rPr>
        <w:t>Only Boxer Capital has the right to receive dividends and the proceeds from the sale of the Ordinary Shares held by Boxer Capital. Only MVA Investors has the right to receive dividends and the proceeds from the sale of the Ordinary Shares held by MVA Investors.</w:t>
      </w:r>
    </w:p>
    <w:p>
      <w:pPr>
        <w:spacing w:after="0" w:line="291" w:lineRule="exact"/>
        <w:rPr>
          <w:sz w:val="20"/>
          <w:szCs w:val="20"/>
          <w:color w:val="auto"/>
        </w:rPr>
      </w:pPr>
    </w:p>
    <w:p>
      <w:pPr>
        <w:ind w:left="1000" w:right="10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jc w:val="both"/>
        <w:ind w:right="80" w:firstLine="457"/>
        <w:spacing w:after="0" w:line="311" w:lineRule="auto"/>
        <w:tabs>
          <w:tab w:leader="none" w:pos="6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Joint Filing Agreement, dated June 5, 2020, among the Reporting Persons.</w:t>
      </w:r>
    </w:p>
    <w:p>
      <w:pPr>
        <w:sectPr>
          <w:pgSz w:w="11900" w:h="16838" w:orient="portrait"/>
          <w:cols w:equalWidth="0" w:num="1">
            <w:col w:w="11240"/>
          </w:cols>
          <w:pgMar w:left="320" w:top="27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10 of 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 Individually</w:t>
      </w:r>
    </w:p>
    <w:p>
      <w:pPr>
        <w:sectPr>
          <w:pgSz w:w="11900" w:h="16838" w:orient="portrait"/>
          <w:cols w:equalWidth="0" w:num="1">
            <w:col w:w="11240"/>
          </w:cols>
          <w:pgMar w:left="320" w:top="2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undersigned hereby agree that the Statement on Schedule 13G with respect to the ordinary shares of Mereo BioPharma Group plc, nominal value £0.003 per share, is, and any amendments thereto executed by each of us shall be, filed on behalf of each of us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June 5,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Jason Callender</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1)"/>
      <w:numFmt w:val="lowerRoman"/>
      <w:start w:val="3"/>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2020-06-05T15:33:33Z</dcterms:created>
  <dcterms:modified xsi:type="dcterms:W3CDTF">2020-06-05T15:33:33Z</dcterms:modified>
</cp:coreProperties>
</file>