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760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76084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40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Lewicki John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620"/>
        <w:spacing w:after="0" w:line="365" w:lineRule="auto"/>
        <w:rPr>
          <w:sz w:val="20"/>
          <w:szCs w:val="20"/>
          <w:color w:val="auto"/>
        </w:rPr>
      </w:pPr>
      <w:r>
        <w:rPr>
          <w:rFonts w:ascii="Times New Roman" w:cs="Times New Roman" w:eastAsia="Times New Roman" w:hAnsi="Times New Roman"/>
          <w:sz w:val="17"/>
          <w:szCs w:val="17"/>
          <w:color w:val="0000FF"/>
        </w:rPr>
        <w:t>C/O MEREO BIOPHARMA GROUP PLC 4TH FLOOR, ONE CAVENDISH PLACE</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W1G 0QF</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Mereo BioPharma Group plc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MREO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60" w:type="dxa"/>
            <w:vAlign w:val="bottom"/>
            <w:tcBorders>
              <w:bottom w:val="single" w:sz="8" w:color="0000EE"/>
            </w:tcBorders>
          </w:tcPr>
          <w:p>
            <w:pPr>
              <w:spacing w:after="0"/>
              <w:rPr>
                <w:sz w:val="3"/>
                <w:szCs w:val="3"/>
                <w:color w:val="auto"/>
              </w:rPr>
            </w:pPr>
          </w:p>
        </w:tc>
        <w:tc>
          <w:tcPr>
            <w:tcW w:w="1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36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5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06/25/2024</w:t>
            </w: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Chief Scientific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360" w:type="dxa"/>
            <w:vAlign w:val="bottom"/>
            <w:tcBorders>
              <w:bottom w:val="single" w:sz="8" w:color="2C2C2C"/>
            </w:tcBorders>
          </w:tcPr>
          <w:p>
            <w:pPr>
              <w:spacing w:after="0"/>
              <w:rPr>
                <w:sz w:val="8"/>
                <w:szCs w:val="8"/>
                <w:color w:val="auto"/>
              </w:rPr>
            </w:pPr>
          </w:p>
        </w:tc>
        <w:tc>
          <w:tcPr>
            <w:tcW w:w="12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40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2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2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8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60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tcPr>
          <w:p>
            <w:pPr>
              <w:spacing w:after="0"/>
              <w:rPr>
                <w:sz w:val="7"/>
                <w:szCs w:val="7"/>
                <w:color w:val="auto"/>
              </w:rPr>
            </w:pPr>
          </w:p>
        </w:tc>
        <w:tc>
          <w:tcPr>
            <w:tcW w:w="8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0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p>
        </w:tc>
        <w:tc>
          <w:tcPr>
            <w:tcW w:w="1940" w:type="dxa"/>
            <w:vAlign w:val="bottom"/>
            <w:gridSpan w:val="3"/>
            <w:vMerge w:val="restart"/>
          </w:tcPr>
          <w:p>
            <w:pPr>
              <w:ind w:left="420"/>
              <w:spacing w:after="0"/>
              <w:rPr>
                <w:sz w:val="20"/>
                <w:szCs w:val="20"/>
                <w:color w:val="auto"/>
              </w:rPr>
            </w:pPr>
            <w:r>
              <w:rPr>
                <w:rFonts w:ascii="Times New Roman" w:cs="Times New Roman" w:eastAsia="Times New Roman" w:hAnsi="Times New Roman"/>
                <w:sz w:val="17"/>
                <w:szCs w:val="17"/>
                <w:color w:val="0000FF"/>
              </w:rPr>
              <w:t>06/25/2024</w:t>
            </w: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w:t>
            </w:r>
          </w:p>
        </w:tc>
        <w:tc>
          <w:tcPr>
            <w:tcW w:w="860" w:type="dxa"/>
            <w:vAlign w:val="bottom"/>
            <w:vMerge w:val="restart"/>
          </w:tcPr>
          <w:p>
            <w:pPr>
              <w:jc w:val="center"/>
              <w:ind w:right="111"/>
              <w:spacing w:after="0"/>
              <w:rPr>
                <w:sz w:val="20"/>
                <w:szCs w:val="20"/>
                <w:color w:val="auto"/>
              </w:rPr>
            </w:pPr>
            <w:r>
              <w:rPr>
                <w:rFonts w:ascii="Times New Roman" w:cs="Times New Roman" w:eastAsia="Times New Roman" w:hAnsi="Times New Roman"/>
                <w:sz w:val="17"/>
                <w:szCs w:val="17"/>
                <w:color w:val="0000FF"/>
              </w:rPr>
              <w:t>7,416</w:t>
            </w:r>
            <w:r>
              <w:rPr>
                <w:rFonts w:ascii="Times New Roman" w:cs="Times New Roman" w:eastAsia="Times New Roman" w:hAnsi="Times New Roman"/>
                <w:sz w:val="22"/>
                <w:szCs w:val="22"/>
                <w:color w:val="008000"/>
                <w:vertAlign w:val="superscript"/>
              </w:rPr>
              <w:t>(2)</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3.6939</w:t>
            </w:r>
            <w:r>
              <w:rPr>
                <w:rFonts w:ascii="Times New Roman" w:cs="Times New Roman" w:eastAsia="Times New Roman" w:hAnsi="Times New Roman"/>
                <w:sz w:val="22"/>
                <w:szCs w:val="22"/>
                <w:color w:val="008000"/>
                <w:vertAlign w:val="superscript"/>
              </w:rPr>
              <w:t>(3)</w:t>
            </w:r>
          </w:p>
        </w:tc>
        <w:tc>
          <w:tcPr>
            <w:tcW w:w="1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65,587</w:t>
            </w:r>
          </w:p>
        </w:tc>
        <w:tc>
          <w:tcPr>
            <w:tcW w:w="340" w:type="dxa"/>
            <w:vAlign w:val="bottom"/>
          </w:tcPr>
          <w:p>
            <w:pPr>
              <w:spacing w:after="0"/>
              <w:rPr>
                <w:sz w:val="21"/>
                <w:szCs w:val="21"/>
                <w:color w:val="auto"/>
              </w:rPr>
            </w:pP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representing Ordinary Shares</w:t>
            </w:r>
            <w:r>
              <w:rPr>
                <w:rFonts w:ascii="Times New Roman" w:cs="Times New Roman" w:eastAsia="Times New Roman" w:hAnsi="Times New Roman"/>
                <w:sz w:val="22"/>
                <w:szCs w:val="22"/>
                <w:color w:val="008000"/>
                <w:vertAlign w:val="superscript"/>
              </w:rPr>
              <w:t>(1)</w:t>
            </w:r>
          </w:p>
        </w:tc>
        <w:tc>
          <w:tcPr>
            <w:tcW w:w="1940" w:type="dxa"/>
            <w:vAlign w:val="bottom"/>
            <w:gridSpan w:val="3"/>
            <w:vMerge w:val="continue"/>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640" w:type="dxa"/>
            <w:vAlign w:val="bottom"/>
            <w:tcBorders>
              <w:bottom w:val="single" w:sz="8" w:color="2C2C2C"/>
            </w:tcBorders>
            <w:gridSpan w:val="3"/>
            <w:vMerge w:val="continue"/>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p>
        </w:tc>
        <w:tc>
          <w:tcPr>
            <w:tcW w:w="1940" w:type="dxa"/>
            <w:vAlign w:val="bottom"/>
            <w:gridSpan w:val="3"/>
            <w:vMerge w:val="restart"/>
          </w:tcPr>
          <w:p>
            <w:pPr>
              <w:ind w:left="420"/>
              <w:spacing w:after="0"/>
              <w:rPr>
                <w:sz w:val="20"/>
                <w:szCs w:val="20"/>
                <w:color w:val="auto"/>
              </w:rPr>
            </w:pPr>
            <w:r>
              <w:rPr>
                <w:rFonts w:ascii="Times New Roman" w:cs="Times New Roman" w:eastAsia="Times New Roman" w:hAnsi="Times New Roman"/>
                <w:sz w:val="17"/>
                <w:szCs w:val="17"/>
                <w:color w:val="0000FF"/>
              </w:rPr>
              <w:t>06/26/2024</w:t>
            </w: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w:t>
            </w:r>
          </w:p>
        </w:tc>
        <w:tc>
          <w:tcPr>
            <w:tcW w:w="860" w:type="dxa"/>
            <w:vAlign w:val="bottom"/>
            <w:vMerge w:val="restart"/>
          </w:tcPr>
          <w:p>
            <w:pPr>
              <w:jc w:val="center"/>
              <w:ind w:right="71"/>
              <w:spacing w:after="0"/>
              <w:rPr>
                <w:sz w:val="20"/>
                <w:szCs w:val="20"/>
                <w:color w:val="auto"/>
              </w:rPr>
            </w:pPr>
            <w:r>
              <w:rPr>
                <w:rFonts w:ascii="Times New Roman" w:cs="Times New Roman" w:eastAsia="Times New Roman" w:hAnsi="Times New Roman"/>
                <w:sz w:val="17"/>
                <w:szCs w:val="17"/>
                <w:color w:val="0000FF"/>
              </w:rPr>
              <w:t>16,808</w:t>
            </w:r>
            <w:r>
              <w:rPr>
                <w:rFonts w:ascii="Times New Roman" w:cs="Times New Roman" w:eastAsia="Times New Roman" w:hAnsi="Times New Roman"/>
                <w:sz w:val="22"/>
                <w:szCs w:val="22"/>
                <w:color w:val="008000"/>
                <w:vertAlign w:val="superscript"/>
              </w:rPr>
              <w:t>(2)</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3.3932</w:t>
            </w:r>
            <w:r>
              <w:rPr>
                <w:rFonts w:ascii="Times New Roman" w:cs="Times New Roman" w:eastAsia="Times New Roman" w:hAnsi="Times New Roman"/>
                <w:sz w:val="22"/>
                <w:szCs w:val="22"/>
                <w:color w:val="008000"/>
                <w:vertAlign w:val="superscript"/>
              </w:rPr>
              <w:t>(4)</w:t>
            </w:r>
          </w:p>
        </w:tc>
        <w:tc>
          <w:tcPr>
            <w:tcW w:w="1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48,779</w:t>
            </w:r>
          </w:p>
        </w:tc>
        <w:tc>
          <w:tcPr>
            <w:tcW w:w="340" w:type="dxa"/>
            <w:vAlign w:val="bottom"/>
          </w:tcPr>
          <w:p>
            <w:pPr>
              <w:spacing w:after="0"/>
              <w:rPr>
                <w:sz w:val="21"/>
                <w:szCs w:val="21"/>
                <w:color w:val="auto"/>
              </w:rPr>
            </w:pP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representing Ordinary Shares</w:t>
            </w:r>
            <w:r>
              <w:rPr>
                <w:rFonts w:ascii="Times New Roman" w:cs="Times New Roman" w:eastAsia="Times New Roman" w:hAnsi="Times New Roman"/>
                <w:sz w:val="22"/>
                <w:szCs w:val="22"/>
                <w:color w:val="008000"/>
                <w:vertAlign w:val="superscript"/>
              </w:rPr>
              <w:t>(1)</w:t>
            </w:r>
          </w:p>
        </w:tc>
        <w:tc>
          <w:tcPr>
            <w:tcW w:w="1940" w:type="dxa"/>
            <w:vAlign w:val="bottom"/>
            <w:gridSpan w:val="3"/>
            <w:vMerge w:val="continue"/>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640" w:type="dxa"/>
            <w:vAlign w:val="bottom"/>
            <w:tcBorders>
              <w:bottom w:val="single" w:sz="8" w:color="2C2C2C"/>
            </w:tcBorders>
            <w:gridSpan w:val="3"/>
            <w:vMerge w:val="continue"/>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Lewicki</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14,196</w:t>
            </w:r>
          </w:p>
        </w:tc>
        <w:tc>
          <w:tcPr>
            <w:tcW w:w="340" w:type="dxa"/>
            <w:vAlign w:val="bottom"/>
          </w:tcPr>
          <w:p>
            <w:pPr>
              <w:spacing w:after="0"/>
              <w:rPr>
                <w:sz w:val="18"/>
                <w:szCs w:val="18"/>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restart"/>
          </w:tcPr>
          <w:p>
            <w:pPr>
              <w:ind w:left="60"/>
              <w:spacing w:after="0" w:line="213" w:lineRule="exact"/>
              <w:rPr>
                <w:sz w:val="20"/>
                <w:szCs w:val="20"/>
                <w:color w:val="auto"/>
              </w:rPr>
            </w:pPr>
            <w:r>
              <w:rPr>
                <w:rFonts w:ascii="Times New Roman" w:cs="Times New Roman" w:eastAsia="Times New Roman" w:hAnsi="Times New Roman"/>
                <w:sz w:val="17"/>
                <w:szCs w:val="17"/>
                <w:color w:val="0000FF"/>
              </w:rPr>
              <w:t>representing Ordinary Shares</w:t>
            </w:r>
            <w:r>
              <w:rPr>
                <w:rFonts w:ascii="Times New Roman" w:cs="Times New Roman" w:eastAsia="Times New Roman" w:hAnsi="Times New Roman"/>
                <w:sz w:val="22"/>
                <w:szCs w:val="22"/>
                <w:color w:val="008000"/>
                <w:vertAlign w:val="superscript"/>
              </w:rPr>
              <w:t>(1)</w:t>
            </w: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640" w:type="dxa"/>
            <w:vAlign w:val="bottom"/>
            <w:gridSpan w:val="3"/>
            <w:vMerge w:val="continue"/>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dated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December</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6, 2000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American Depositary Share ("ADS") represents five ordinary shares, nominal value GBP 0.003 per ordinary share, of the Issuer.</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ADSs required to be sold by the Reporting Person to cover tax withholding obligations in connection with the vesting of Performance-based restricted stock units under the issuer's 2019 Employee Incentive Plan (the "Plan"), that vested on June 21, 2024. These sales are mandated by the Issuer's election under its Plan to require the satisfaction of a tax withholding obligation to be funded by a "sell to cover" transaction and do not represent discretionary trades by the Reporting Person.</w:t>
      </w:r>
    </w:p>
    <w:p>
      <w:pPr>
        <w:spacing w:after="0" w:line="20"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ADSs were sold in multiple transactions at prices ranging from $3.60 to $3.805, inclusive. The Reporting Person undertakes to provide to Mereo BioPharma Group plc ("Mereo"), any security holder of Mereo, or the staff of the Securities and Exchange Commission, upon request, full information regarding the number of ADSs sold at each separate price within the ranges set forth in footnotes (3) and (4)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ADSs were sold in multiple transactions at prices ranging from $3.28 to $3.51, inclusive.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Christine Fox, by power of  </w:t>
      </w:r>
      <w:r>
        <w:rPr>
          <w:rFonts w:ascii="Times New Roman" w:cs="Times New Roman" w:eastAsia="Times New Roman" w:hAnsi="Times New Roman"/>
          <w:sz w:val="34"/>
          <w:szCs w:val="34"/>
          <w:color w:val="0000FF"/>
          <w:vertAlign w:val="subscript"/>
        </w:rPr>
        <w:t>06/27/2024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20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60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40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53352" TargetMode="External"/><Relationship Id="rId13" Type="http://schemas.openxmlformats.org/officeDocument/2006/relationships/hyperlink" Target="http://www.sec.gov/cgi-bin/browse-edgar?action=getcompany&amp;CIK=00017197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2024-06-27T15:46:21Z</dcterms:created>
  <dcterms:modified xsi:type="dcterms:W3CDTF">2024-06-27T15:46:21Z</dcterms:modified>
</cp:coreProperties>
</file>