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420" w:right="9460" w:hanging="7"/>
        <w:spacing w:after="0" w:line="227" w:lineRule="exact"/>
        <w:tabs>
          <w:tab w:leader="none" w:pos="7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0" w:lineRule="exact"/>
        <w:rPr>
          <w:sz w:val="24"/>
          <w:szCs w:val="24"/>
          <w:color w:val="auto"/>
        </w:rPr>
      </w:pPr>
    </w:p>
    <w:p>
      <w:pPr>
        <w:ind w:right="740" w:firstLine="648"/>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ind w:firstLine="648"/>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24" w:lineRule="exact"/>
        <w:rPr>
          <w:sz w:val="24"/>
          <w:szCs w:val="24"/>
          <w:color w:val="auto"/>
        </w:rPr>
      </w:pPr>
    </w:p>
    <w:p>
      <w:pPr>
        <w:ind w:right="44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tcBorders>
            <w:gridSpan w:val="4"/>
          </w:tcPr>
          <w:p>
            <w:pPr>
              <w:jc w:val="right"/>
              <w:ind w:right="889"/>
              <w:spacing w:after="0"/>
              <w:rPr>
                <w:sz w:val="20"/>
                <w:szCs w:val="20"/>
                <w:color w:val="auto"/>
              </w:rPr>
            </w:pPr>
            <w:r>
              <w:rPr>
                <w:rFonts w:ascii="Arial" w:cs="Arial" w:eastAsia="Arial" w:hAnsi="Arial"/>
                <w:sz w:val="18"/>
                <w:szCs w:val="18"/>
                <w:b w:val="1"/>
                <w:bCs w:val="1"/>
                <w:color w:val="auto"/>
                <w:w w:val="98"/>
              </w:rPr>
              <w:t>CUSIP No. 589492107</w:t>
            </w:r>
          </w:p>
        </w:tc>
        <w:tc>
          <w:tcPr>
            <w:tcW w:w="1920" w:type="dxa"/>
            <w:vAlign w:val="bottom"/>
            <w:tcBorders>
              <w:top w:val="single" w:sz="8" w:color="auto"/>
              <w:right w:val="single" w:sz="8" w:color="auto"/>
            </w:tcBorders>
          </w:tcPr>
          <w:p>
            <w:pPr>
              <w:spacing w:after="0"/>
              <w:rPr>
                <w:sz w:val="24"/>
                <w:szCs w:val="24"/>
                <w:color w:val="auto"/>
              </w:rPr>
            </w:pP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1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Page 2 of 8 Pages</w:t>
            </w:r>
          </w:p>
        </w:tc>
        <w:tc>
          <w:tcPr>
            <w:tcW w:w="1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1</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4"/>
          </w:tcPr>
          <w:p>
            <w:pPr>
              <w:ind w:left="260"/>
              <w:spacing w:after="0"/>
              <w:rPr>
                <w:sz w:val="20"/>
                <w:szCs w:val="20"/>
                <w:color w:val="auto"/>
              </w:rPr>
            </w:pPr>
            <w:r>
              <w:rPr>
                <w:rFonts w:ascii="Arial" w:cs="Arial" w:eastAsia="Arial" w:hAnsi="Arial"/>
                <w:sz w:val="18"/>
                <w:szCs w:val="18"/>
                <w:color w:val="auto"/>
              </w:rPr>
              <w:t>Rubric Capital Management LP</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3"/>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tcPr>
          <w:p>
            <w:pPr>
              <w:jc w:val="center"/>
              <w:spacing w:after="0" w:line="232" w:lineRule="exact"/>
              <w:rPr>
                <w:sz w:val="20"/>
                <w:szCs w:val="20"/>
                <w:color w:val="auto"/>
              </w:rPr>
            </w:pPr>
            <w:r>
              <w:rPr>
                <w:rFonts w:ascii="Arial" w:cs="Arial" w:eastAsia="Arial" w:hAnsi="Arial"/>
                <w:sz w:val="25"/>
                <w:szCs w:val="25"/>
                <w:b w:val="1"/>
                <w:bCs w:val="1"/>
                <w:color w:val="auto"/>
              </w:rPr>
              <w:t>2</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00" w:type="dxa"/>
            <w:vAlign w:val="bottom"/>
          </w:tcPr>
          <w:p>
            <w:pPr>
              <w:spacing w:after="0"/>
              <w:rPr>
                <w:sz w:val="20"/>
                <w:szCs w:val="20"/>
                <w:color w:val="auto"/>
              </w:rPr>
            </w:pPr>
          </w:p>
        </w:tc>
        <w:tc>
          <w:tcPr>
            <w:tcW w:w="1700" w:type="dxa"/>
            <w:vAlign w:val="bottom"/>
            <w:tcBorders>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gridSpan w:val="3"/>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4</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4"/>
          </w:tcPr>
          <w:p>
            <w:pPr>
              <w:ind w:left="260"/>
              <w:spacing w:after="0"/>
              <w:rPr>
                <w:sz w:val="20"/>
                <w:szCs w:val="20"/>
                <w:color w:val="auto"/>
              </w:rPr>
            </w:pPr>
            <w:r>
              <w:rPr>
                <w:rFonts w:ascii="Arial" w:cs="Arial" w:eastAsia="Arial" w:hAnsi="Arial"/>
                <w:sz w:val="18"/>
                <w:szCs w:val="18"/>
                <w:color w:val="auto"/>
              </w:rPr>
              <w:t>State of Delaware</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3"/>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right"/>
              <w:ind w:right="489"/>
              <w:spacing w:after="0" w:line="238" w:lineRule="exact"/>
              <w:rPr>
                <w:sz w:val="20"/>
                <w:szCs w:val="20"/>
                <w:color w:val="auto"/>
              </w:rPr>
            </w:pPr>
            <w:r>
              <w:rPr>
                <w:rFonts w:ascii="Arial" w:cs="Arial" w:eastAsia="Arial" w:hAnsi="Arial"/>
                <w:sz w:val="25"/>
                <w:szCs w:val="25"/>
                <w:b w:val="1"/>
                <w:bCs w:val="1"/>
                <w:color w:val="auto"/>
              </w:rPr>
              <w:t>5</w:t>
            </w: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SOLE VOTING POWER</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jc w:val="right"/>
              <w:ind w:right="489"/>
              <w:spacing w:after="0"/>
              <w:rPr>
                <w:sz w:val="20"/>
                <w:szCs w:val="20"/>
                <w:color w:val="auto"/>
              </w:rPr>
            </w:pPr>
            <w:r>
              <w:rPr>
                <w:rFonts w:ascii="Arial" w:cs="Arial" w:eastAsia="Arial" w:hAnsi="Arial"/>
                <w:sz w:val="25"/>
                <w:szCs w:val="25"/>
                <w:b w:val="1"/>
                <w:bCs w:val="1"/>
                <w:color w:val="auto"/>
              </w:rPr>
              <w:t>6</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000" w:type="dxa"/>
            <w:vAlign w:val="bottom"/>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4700" w:type="dxa"/>
            <w:vAlign w:val="bottom"/>
            <w:gridSpan w:val="3"/>
            <w:vMerge w:val="continue"/>
          </w:tcPr>
          <w:p>
            <w:pPr>
              <w:spacing w:after="0"/>
              <w:rPr>
                <w:sz w:val="8"/>
                <w:szCs w:val="8"/>
                <w:color w:val="auto"/>
              </w:rPr>
            </w:pPr>
          </w:p>
        </w:tc>
        <w:tc>
          <w:tcPr>
            <w:tcW w:w="200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40" w:type="dxa"/>
            <w:vAlign w:val="bottom"/>
            <w:tcBorders>
              <w:left w:val="single" w:sz="8" w:color="auto"/>
            </w:tcBorders>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w w:val="89"/>
              </w:rPr>
              <w:t>56,500,000 Ordinary Shares (represented by 11,300,000 ADRs)</w:t>
            </w:r>
          </w:p>
        </w:tc>
        <w:tc>
          <w:tcPr>
            <w:tcW w:w="200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4700" w:type="dxa"/>
            <w:vAlign w:val="bottom"/>
            <w:gridSpan w:val="3"/>
            <w:vMerge w:val="continue"/>
          </w:tcPr>
          <w:p>
            <w:pPr>
              <w:spacing w:after="0"/>
              <w:rPr>
                <w:sz w:val="9"/>
                <w:szCs w:val="9"/>
                <w:color w:val="auto"/>
              </w:rPr>
            </w:pPr>
          </w:p>
        </w:tc>
        <w:tc>
          <w:tcPr>
            <w:tcW w:w="20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tcBorders>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auto"/>
            </w:tcBorders>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7</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00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auto"/>
            </w:tcBorders>
            <w:gridSpan w:val="2"/>
          </w:tcPr>
          <w:p>
            <w:pPr>
              <w:jc w:val="center"/>
              <w:spacing w:after="0" w:line="151" w:lineRule="exact"/>
              <w:rPr>
                <w:sz w:val="20"/>
                <w:szCs w:val="20"/>
                <w:color w:val="auto"/>
              </w:rPr>
            </w:pPr>
            <w:r>
              <w:rPr>
                <w:rFonts w:ascii="Arial" w:cs="Arial" w:eastAsia="Arial" w:hAnsi="Arial"/>
                <w:sz w:val="17"/>
                <w:szCs w:val="17"/>
                <w:color w:val="auto"/>
              </w:rPr>
              <w:t>EACH</w:t>
            </w:r>
          </w:p>
        </w:tc>
        <w:tc>
          <w:tcPr>
            <w:tcW w:w="1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20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vMerge w:val="restart"/>
          </w:tcPr>
          <w:p>
            <w:pPr>
              <w:jc w:val="center"/>
              <w:ind w:left="14"/>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440" w:type="dxa"/>
            <w:vAlign w:val="bottom"/>
            <w:tcBorders>
              <w:left w:val="single" w:sz="8" w:color="auto"/>
            </w:tcBorders>
            <w:gridSpan w:val="2"/>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00" w:type="dxa"/>
            <w:vAlign w:val="bottom"/>
            <w:tcBorders>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8</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0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38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w w:val="89"/>
              </w:rPr>
              <w:t>56,500,000 Ordinary Shares (represented by 11,300,000 ADRs)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6700" w:type="dxa"/>
            <w:vAlign w:val="bottom"/>
            <w:tcBorders>
              <w:bottom w:val="single" w:sz="8" w:color="auto"/>
            </w:tcBorders>
            <w:gridSpan w:val="4"/>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9</w:t>
            </w:r>
          </w:p>
        </w:tc>
        <w:tc>
          <w:tcPr>
            <w:tcW w:w="60" w:type="dxa"/>
            <w:vAlign w:val="bottom"/>
          </w:tcPr>
          <w:p>
            <w:pPr>
              <w:spacing w:after="0"/>
              <w:rPr>
                <w:sz w:val="20"/>
                <w:szCs w:val="20"/>
                <w:color w:val="auto"/>
              </w:rPr>
            </w:pPr>
          </w:p>
        </w:tc>
        <w:tc>
          <w:tcPr>
            <w:tcW w:w="8100" w:type="dxa"/>
            <w:vAlign w:val="bottom"/>
            <w:gridSpan w:val="6"/>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56,500,000 Ordinary Shares (represented by 11,300,000 ADRs)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rPr>
              <w:t>10</w:t>
            </w:r>
          </w:p>
        </w:tc>
        <w:tc>
          <w:tcPr>
            <w:tcW w:w="60" w:type="dxa"/>
            <w:vAlign w:val="bottom"/>
          </w:tcPr>
          <w:p>
            <w:pPr>
              <w:spacing w:after="0"/>
              <w:rPr>
                <w:sz w:val="15"/>
                <w:szCs w:val="15"/>
                <w:color w:val="auto"/>
              </w:rPr>
            </w:pPr>
          </w:p>
        </w:tc>
        <w:tc>
          <w:tcPr>
            <w:tcW w:w="8100" w:type="dxa"/>
            <w:vAlign w:val="bottom"/>
            <w:gridSpan w:val="6"/>
            <w:vMerge w:val="restart"/>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Borders>
              <w:right w:val="single" w:sz="8" w:color="auto"/>
            </w:tcBorders>
          </w:tcPr>
          <w:p>
            <w:pPr>
              <w:ind w:left="6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100" w:type="dxa"/>
            <w:vAlign w:val="bottom"/>
            <w:gridSpan w:val="6"/>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gridSpan w:val="5"/>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78"/>
              </w:rPr>
              <w:t>11</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10.38%</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gridSpan w:val="5"/>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93"/>
              </w:rPr>
              <w:t>12</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PN, IA</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tcBorders>
            <w:gridSpan w:val="4"/>
          </w:tcPr>
          <w:p>
            <w:pPr>
              <w:jc w:val="right"/>
              <w:ind w:right="889"/>
              <w:spacing w:after="0"/>
              <w:rPr>
                <w:sz w:val="20"/>
                <w:szCs w:val="20"/>
                <w:color w:val="auto"/>
              </w:rPr>
            </w:pPr>
            <w:r>
              <w:rPr>
                <w:rFonts w:ascii="Arial" w:cs="Arial" w:eastAsia="Arial" w:hAnsi="Arial"/>
                <w:sz w:val="18"/>
                <w:szCs w:val="18"/>
                <w:b w:val="1"/>
                <w:bCs w:val="1"/>
                <w:color w:val="auto"/>
                <w:w w:val="98"/>
              </w:rPr>
              <w:t>CUSIP No. 589492107</w:t>
            </w:r>
          </w:p>
        </w:tc>
        <w:tc>
          <w:tcPr>
            <w:tcW w:w="1920" w:type="dxa"/>
            <w:vAlign w:val="bottom"/>
            <w:tcBorders>
              <w:top w:val="single" w:sz="8" w:color="auto"/>
              <w:right w:val="single" w:sz="8" w:color="auto"/>
            </w:tcBorders>
          </w:tcPr>
          <w:p>
            <w:pPr>
              <w:spacing w:after="0"/>
              <w:rPr>
                <w:sz w:val="24"/>
                <w:szCs w:val="24"/>
                <w:color w:val="auto"/>
              </w:rPr>
            </w:pP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1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Page 3 of 8 Pages</w:t>
            </w:r>
          </w:p>
        </w:tc>
        <w:tc>
          <w:tcPr>
            <w:tcW w:w="1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1</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w w:val="97"/>
              </w:rPr>
              <w:t>David Rosen</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3"/>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tcPr>
          <w:p>
            <w:pPr>
              <w:jc w:val="center"/>
              <w:spacing w:after="0" w:line="232" w:lineRule="exact"/>
              <w:rPr>
                <w:sz w:val="20"/>
                <w:szCs w:val="20"/>
                <w:color w:val="auto"/>
              </w:rPr>
            </w:pPr>
            <w:r>
              <w:rPr>
                <w:rFonts w:ascii="Arial" w:cs="Arial" w:eastAsia="Arial" w:hAnsi="Arial"/>
                <w:sz w:val="25"/>
                <w:szCs w:val="25"/>
                <w:b w:val="1"/>
                <w:bCs w:val="1"/>
                <w:color w:val="auto"/>
              </w:rPr>
              <w:t>2</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00" w:type="dxa"/>
            <w:vAlign w:val="bottom"/>
          </w:tcPr>
          <w:p>
            <w:pPr>
              <w:spacing w:after="0"/>
              <w:rPr>
                <w:sz w:val="20"/>
                <w:szCs w:val="20"/>
                <w:color w:val="auto"/>
              </w:rPr>
            </w:pPr>
          </w:p>
        </w:tc>
        <w:tc>
          <w:tcPr>
            <w:tcW w:w="1700" w:type="dxa"/>
            <w:vAlign w:val="bottom"/>
            <w:tcBorders>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gridSpan w:val="3"/>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4</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4"/>
          </w:tcPr>
          <w:p>
            <w:pPr>
              <w:ind w:left="260"/>
              <w:spacing w:after="0"/>
              <w:rPr>
                <w:sz w:val="20"/>
                <w:szCs w:val="20"/>
                <w:color w:val="auto"/>
              </w:rPr>
            </w:pPr>
            <w:r>
              <w:rPr>
                <w:rFonts w:ascii="Arial" w:cs="Arial" w:eastAsia="Arial" w:hAnsi="Arial"/>
                <w:sz w:val="18"/>
                <w:szCs w:val="18"/>
                <w:color w:val="auto"/>
              </w:rPr>
              <w:t>United States of America</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3"/>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right"/>
              <w:ind w:right="489"/>
              <w:spacing w:after="0" w:line="238" w:lineRule="exact"/>
              <w:rPr>
                <w:sz w:val="20"/>
                <w:szCs w:val="20"/>
                <w:color w:val="auto"/>
              </w:rPr>
            </w:pPr>
            <w:r>
              <w:rPr>
                <w:rFonts w:ascii="Arial" w:cs="Arial" w:eastAsia="Arial" w:hAnsi="Arial"/>
                <w:sz w:val="25"/>
                <w:szCs w:val="25"/>
                <w:b w:val="1"/>
                <w:bCs w:val="1"/>
                <w:color w:val="auto"/>
              </w:rPr>
              <w:t>5</w:t>
            </w: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SOLE VOTING POWER</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jc w:val="right"/>
              <w:ind w:right="489"/>
              <w:spacing w:after="0"/>
              <w:rPr>
                <w:sz w:val="20"/>
                <w:szCs w:val="20"/>
                <w:color w:val="auto"/>
              </w:rPr>
            </w:pPr>
            <w:r>
              <w:rPr>
                <w:rFonts w:ascii="Arial" w:cs="Arial" w:eastAsia="Arial" w:hAnsi="Arial"/>
                <w:sz w:val="25"/>
                <w:szCs w:val="25"/>
                <w:b w:val="1"/>
                <w:bCs w:val="1"/>
                <w:color w:val="auto"/>
              </w:rPr>
              <w:t>6</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000" w:type="dxa"/>
            <w:vAlign w:val="bottom"/>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4700" w:type="dxa"/>
            <w:vAlign w:val="bottom"/>
            <w:gridSpan w:val="3"/>
            <w:vMerge w:val="continue"/>
          </w:tcPr>
          <w:p>
            <w:pPr>
              <w:spacing w:after="0"/>
              <w:rPr>
                <w:sz w:val="8"/>
                <w:szCs w:val="8"/>
                <w:color w:val="auto"/>
              </w:rPr>
            </w:pPr>
          </w:p>
        </w:tc>
        <w:tc>
          <w:tcPr>
            <w:tcW w:w="200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tcBorders>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w w:val="89"/>
              </w:rPr>
              <w:t>56,500,000 Ordinary Shares (represented by 11,300,000 ADRs)</w:t>
            </w:r>
          </w:p>
        </w:tc>
        <w:tc>
          <w:tcPr>
            <w:tcW w:w="200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4700" w:type="dxa"/>
            <w:vAlign w:val="bottom"/>
            <w:gridSpan w:val="3"/>
            <w:vMerge w:val="continue"/>
          </w:tcPr>
          <w:p>
            <w:pPr>
              <w:spacing w:after="0"/>
              <w:rPr>
                <w:sz w:val="9"/>
                <w:szCs w:val="9"/>
                <w:color w:val="auto"/>
              </w:rPr>
            </w:pPr>
          </w:p>
        </w:tc>
        <w:tc>
          <w:tcPr>
            <w:tcW w:w="20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tcBorders>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auto"/>
            </w:tcBorders>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7</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00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auto"/>
            </w:tcBorders>
            <w:gridSpan w:val="2"/>
          </w:tcPr>
          <w:p>
            <w:pPr>
              <w:jc w:val="center"/>
              <w:spacing w:after="0" w:line="151" w:lineRule="exact"/>
              <w:rPr>
                <w:sz w:val="20"/>
                <w:szCs w:val="20"/>
                <w:color w:val="auto"/>
              </w:rPr>
            </w:pPr>
            <w:r>
              <w:rPr>
                <w:rFonts w:ascii="Arial" w:cs="Arial" w:eastAsia="Arial" w:hAnsi="Arial"/>
                <w:sz w:val="17"/>
                <w:szCs w:val="17"/>
                <w:color w:val="auto"/>
              </w:rPr>
              <w:t>EACH</w:t>
            </w:r>
          </w:p>
        </w:tc>
        <w:tc>
          <w:tcPr>
            <w:tcW w:w="1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20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vMerge w:val="restart"/>
          </w:tcPr>
          <w:p>
            <w:pPr>
              <w:jc w:val="center"/>
              <w:ind w:left="14"/>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440" w:type="dxa"/>
            <w:vAlign w:val="bottom"/>
            <w:tcBorders>
              <w:left w:val="single" w:sz="8" w:color="auto"/>
            </w:tcBorders>
            <w:gridSpan w:val="2"/>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00" w:type="dxa"/>
            <w:vAlign w:val="bottom"/>
            <w:tcBorders>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8</w:t>
            </w:r>
          </w:p>
        </w:tc>
        <w:tc>
          <w:tcPr>
            <w:tcW w:w="4700" w:type="dxa"/>
            <w:vAlign w:val="bottom"/>
            <w:gridSpan w:val="3"/>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0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38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w w:val="89"/>
              </w:rPr>
              <w:t>56,500,000 Ordinary Shares (represented by 11,300,000 ADRs)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6700" w:type="dxa"/>
            <w:vAlign w:val="bottom"/>
            <w:tcBorders>
              <w:bottom w:val="single" w:sz="8" w:color="auto"/>
            </w:tcBorders>
            <w:gridSpan w:val="4"/>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9</w:t>
            </w:r>
          </w:p>
        </w:tc>
        <w:tc>
          <w:tcPr>
            <w:tcW w:w="60" w:type="dxa"/>
            <w:vAlign w:val="bottom"/>
          </w:tcPr>
          <w:p>
            <w:pPr>
              <w:spacing w:after="0"/>
              <w:rPr>
                <w:sz w:val="20"/>
                <w:szCs w:val="20"/>
                <w:color w:val="auto"/>
              </w:rPr>
            </w:pPr>
          </w:p>
        </w:tc>
        <w:tc>
          <w:tcPr>
            <w:tcW w:w="8100" w:type="dxa"/>
            <w:vAlign w:val="bottom"/>
            <w:gridSpan w:val="6"/>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56,500,000 Ordinary Shares (represented by 11,300,000 ADRs)</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rPr>
              <w:t>10</w:t>
            </w:r>
          </w:p>
        </w:tc>
        <w:tc>
          <w:tcPr>
            <w:tcW w:w="60" w:type="dxa"/>
            <w:vAlign w:val="bottom"/>
          </w:tcPr>
          <w:p>
            <w:pPr>
              <w:spacing w:after="0"/>
              <w:rPr>
                <w:sz w:val="15"/>
                <w:szCs w:val="15"/>
                <w:color w:val="auto"/>
              </w:rPr>
            </w:pPr>
          </w:p>
        </w:tc>
        <w:tc>
          <w:tcPr>
            <w:tcW w:w="8100" w:type="dxa"/>
            <w:vAlign w:val="bottom"/>
            <w:gridSpan w:val="6"/>
            <w:vMerge w:val="restart"/>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Borders>
              <w:right w:val="single" w:sz="8" w:color="auto"/>
            </w:tcBorders>
          </w:tcPr>
          <w:p>
            <w:pPr>
              <w:ind w:left="6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100" w:type="dxa"/>
            <w:vAlign w:val="bottom"/>
            <w:gridSpan w:val="6"/>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gridSpan w:val="5"/>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78"/>
              </w:rPr>
              <w:t>11</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10.38%</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gridSpan w:val="5"/>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93"/>
              </w:rPr>
              <w:t>12</w:t>
            </w:r>
          </w:p>
        </w:tc>
        <w:tc>
          <w:tcPr>
            <w:tcW w:w="60" w:type="dxa"/>
            <w:vAlign w:val="bottom"/>
          </w:tcPr>
          <w:p>
            <w:pPr>
              <w:spacing w:after="0"/>
              <w:rPr>
                <w:sz w:val="20"/>
                <w:szCs w:val="20"/>
                <w:color w:val="auto"/>
              </w:rPr>
            </w:pPr>
          </w:p>
        </w:tc>
        <w:tc>
          <w:tcPr>
            <w:tcW w:w="6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IN</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8 Pages</w:t>
            </w:r>
          </w:p>
        </w:tc>
      </w:tr>
      <w:tr>
        <w:trPr>
          <w:trHeight w:val="216"/>
        </w:trPr>
        <w:tc>
          <w:tcPr>
            <w:tcW w:w="116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r>
        <w:trPr>
          <w:trHeight w:val="426"/>
        </w:trPr>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3600" w:type="dxa"/>
            <w:vAlign w:val="bottom"/>
          </w:tcPr>
          <w:p>
            <w:pPr>
              <w:ind w:left="300"/>
              <w:spacing w:after="0"/>
              <w:rPr>
                <w:sz w:val="20"/>
                <w:szCs w:val="20"/>
                <w:color w:val="auto"/>
              </w:rPr>
            </w:pPr>
            <w:r>
              <w:rPr>
                <w:rFonts w:ascii="Arial" w:cs="Arial" w:eastAsia="Arial" w:hAnsi="Arial"/>
                <w:sz w:val="18"/>
                <w:szCs w:val="18"/>
                <w:b w:val="1"/>
                <w:bCs w:val="1"/>
                <w:color w:val="auto"/>
              </w:rPr>
              <w:t>NAME OF ISSUER:</w:t>
            </w:r>
          </w:p>
        </w:tc>
        <w:tc>
          <w:tcPr>
            <w:tcW w:w="268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name of the issuer is Mereo BioPharma Group plc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Issuer's principal executive offices are located at 4th Floor, One Cavendish Place, London, W1G 0QF, United Kingdom.</w:t>
      </w:r>
    </w:p>
    <w:p>
      <w:pPr>
        <w:spacing w:after="0" w:line="233"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2020" w:right="680" w:hanging="565"/>
        <w:spacing w:after="0" w:line="342" w:lineRule="auto"/>
        <w:tabs>
          <w:tab w:leader="none" w:pos="2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Rubric Capital Management LP ("</w:t>
      </w:r>
      <w:r>
        <w:rPr>
          <w:rFonts w:ascii="Arial" w:cs="Arial" w:eastAsia="Arial" w:hAnsi="Arial"/>
          <w:sz w:val="16"/>
          <w:szCs w:val="16"/>
          <w:u w:val="single" w:color="auto"/>
          <w:color w:val="auto"/>
        </w:rPr>
        <w:t>Rubric Capital</w:t>
      </w:r>
      <w:r>
        <w:rPr>
          <w:rFonts w:ascii="Arial" w:cs="Arial" w:eastAsia="Arial" w:hAnsi="Arial"/>
          <w:sz w:val="16"/>
          <w:szCs w:val="16"/>
          <w:color w:val="auto"/>
        </w:rPr>
        <w:t>"), the investment adviser to certain investment funds and/or accounts (collectively, the "</w:t>
      </w:r>
      <w:r>
        <w:rPr>
          <w:rFonts w:ascii="Arial" w:cs="Arial" w:eastAsia="Arial" w:hAnsi="Arial"/>
          <w:sz w:val="16"/>
          <w:szCs w:val="16"/>
          <w:u w:val="single" w:color="auto"/>
          <w:color w:val="auto"/>
        </w:rPr>
        <w:t>Rubric Funds</w:t>
      </w:r>
      <w:r>
        <w:rPr>
          <w:rFonts w:ascii="Arial" w:cs="Arial" w:eastAsia="Arial" w:hAnsi="Arial"/>
          <w:sz w:val="16"/>
          <w:szCs w:val="16"/>
          <w:color w:val="auto"/>
        </w:rPr>
        <w:t>") that hold the Ordinary Shares (as defined in Item 2(d) below) reported herein; and</w:t>
      </w:r>
    </w:p>
    <w:p>
      <w:pPr>
        <w:spacing w:after="0" w:line="123" w:lineRule="exact"/>
        <w:rPr>
          <w:rFonts w:ascii="Arial" w:cs="Arial" w:eastAsia="Arial" w:hAnsi="Arial"/>
          <w:sz w:val="16"/>
          <w:szCs w:val="16"/>
          <w:color w:val="auto"/>
        </w:rPr>
      </w:pPr>
    </w:p>
    <w:p>
      <w:pPr>
        <w:ind w:left="2020" w:right="640" w:hanging="565"/>
        <w:spacing w:after="0" w:line="277" w:lineRule="auto"/>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460" w:right="3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66"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address of the principal business office of each of the Reporting Persons is 155 East 44th St, Suite 1630, New York, NY 10017.</w:t>
      </w:r>
    </w:p>
    <w:p>
      <w:pPr>
        <w:spacing w:after="0" w:line="244"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Ordinary Shares, par value £0.003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460" w:right="180"/>
        <w:spacing w:after="0" w:line="263" w:lineRule="auto"/>
        <w:rPr>
          <w:sz w:val="20"/>
          <w:szCs w:val="20"/>
          <w:color w:val="auto"/>
        </w:rPr>
      </w:pPr>
      <w:r>
        <w:rPr>
          <w:rFonts w:ascii="Arial" w:cs="Arial" w:eastAsia="Arial" w:hAnsi="Arial"/>
          <w:sz w:val="18"/>
          <w:szCs w:val="18"/>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8 Pages</w:t>
            </w:r>
          </w:p>
        </w:tc>
      </w:tr>
      <w:tr>
        <w:trPr>
          <w:trHeight w:val="216"/>
        </w:trPr>
        <w:tc>
          <w:tcPr>
            <w:tcW w:w="47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1460" w:right="100" w:hanging="1349"/>
        <w:spacing w:after="0" w:line="282" w:lineRule="auto"/>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57"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2040" w:hanging="598"/>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   An investment adviser in accordance with Rule 13d-1(b)(1)(ii)(E);</w:t>
      </w:r>
    </w:p>
    <w:p>
      <w:pPr>
        <w:spacing w:after="0" w:line="7"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10" w:lineRule="exact"/>
        <w:rPr>
          <w:rFonts w:ascii="Arial" w:cs="Arial" w:eastAsia="Arial" w:hAnsi="Arial"/>
          <w:sz w:val="18"/>
          <w:szCs w:val="18"/>
          <w:color w:val="auto"/>
        </w:rPr>
      </w:pPr>
    </w:p>
    <w:p>
      <w:pPr>
        <w:ind w:left="2040" w:hanging="598"/>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   Parent Holding Company or control person in accordance with Rule 13d-1(b)(1)(ii)(G),</w:t>
      </w:r>
    </w:p>
    <w:p>
      <w:pPr>
        <w:spacing w:after="0" w:line="7"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10" w:lineRule="exact"/>
        <w:rPr>
          <w:rFonts w:ascii="Arial" w:cs="Arial" w:eastAsia="Arial" w:hAnsi="Arial"/>
          <w:sz w:val="18"/>
          <w:szCs w:val="18"/>
          <w:color w:val="auto"/>
        </w:rPr>
      </w:pPr>
    </w:p>
    <w:p>
      <w:pPr>
        <w:ind w:left="2360" w:right="360" w:hanging="918"/>
        <w:spacing w:after="0" w:line="215"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0"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9" w:lineRule="exact"/>
        <w:rPr>
          <w:sz w:val="20"/>
          <w:szCs w:val="20"/>
          <w:color w:val="auto"/>
        </w:rPr>
      </w:pPr>
    </w:p>
    <w:p>
      <w:pPr>
        <w:ind w:left="1460" w:right="2440"/>
        <w:spacing w:after="0" w:line="277"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-45085</wp:posOffset>
            </wp:positionV>
            <wp:extent cx="2285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line="146"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460" w:right="5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ind w:left="1460" w:right="120"/>
        <w:spacing w:after="0" w:line="263" w:lineRule="auto"/>
        <w:rPr>
          <w:sz w:val="20"/>
          <w:szCs w:val="20"/>
          <w:color w:val="auto"/>
        </w:rPr>
      </w:pPr>
      <w:r>
        <w:rPr>
          <w:rFonts w:ascii="Arial" w:cs="Arial" w:eastAsia="Arial" w:hAnsi="Arial"/>
          <w:sz w:val="18"/>
          <w:szCs w:val="18"/>
          <w:color w:val="auto"/>
        </w:rPr>
        <w:t>The percentage set forth in Row (11) of the cover page for each of the Reporting Persons is based on the 544,510,263 Ordinary Shares outstanding as of June 30, 2021, as disclosed in Amendment No. 2 to the Issuer's Registration Statement on Form F-3 filed with the Securities and Exchange Commission on September 27, 2021.</w:t>
      </w:r>
    </w:p>
    <w:p>
      <w:pPr>
        <w:spacing w:after="0" w:line="180"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460" w:right="460"/>
        <w:spacing w:after="0" w:line="277" w:lineRule="auto"/>
        <w:rPr>
          <w:sz w:val="20"/>
          <w:szCs w:val="20"/>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Ordinary Shares.</w:t>
      </w:r>
    </w:p>
    <w:p>
      <w:pPr>
        <w:spacing w:after="0" w:line="166" w:lineRule="exact"/>
        <w:rPr>
          <w:sz w:val="20"/>
          <w:szCs w:val="20"/>
          <w:color w:val="auto"/>
        </w:rPr>
      </w:pPr>
    </w:p>
    <w:p>
      <w:pPr>
        <w:ind w:left="1460" w:right="100" w:hanging="1349"/>
        <w:spacing w:after="0" w:line="282" w:lineRule="auto"/>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6 of 8 Pages</w:t>
            </w: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r>
        <w:trPr>
          <w:trHeight w:val="426"/>
        </w:trPr>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3"/>
          </w:tcPr>
          <w:p>
            <w:pPr>
              <w:ind w:left="4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460" w:right="14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7 of 8 Pages</w:t>
            </w:r>
          </w:p>
        </w:tc>
      </w:tr>
      <w:tr>
        <w:trPr>
          <w:trHeight w:val="216"/>
        </w:trPr>
        <w:tc>
          <w:tcPr>
            <w:tcW w:w="47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Operating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13G</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8 of 8 Pages</w:t>
            </w:r>
          </w:p>
        </w:tc>
      </w:tr>
      <w:tr>
        <w:trPr>
          <w:trHeight w:val="216"/>
        </w:trPr>
        <w:tc>
          <w:tcPr>
            <w:tcW w:w="47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ACQUISITION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Operating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2021-12-02T13:33:39Z</dcterms:created>
  <dcterms:modified xsi:type="dcterms:W3CDTF">2021-12-02T13:33:39Z</dcterms:modified>
</cp:coreProperties>
</file>