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24,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8" w:lineRule="exact"/>
        <w:rPr>
          <w:sz w:val="24"/>
          <w:szCs w:val="24"/>
          <w:color w:val="auto"/>
        </w:rPr>
      </w:pPr>
    </w:p>
    <w:p>
      <w:pPr>
        <w:sectPr>
          <w:pgSz w:w="11900" w:h="16838" w:orient="portrait"/>
          <w:cols w:equalWidth="0" w:num="2">
            <w:col w:w="7460" w:space="720"/>
            <w:col w:w="2840"/>
          </w:cols>
          <w:pgMar w:left="440" w:top="225" w:right="4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Cavendish Place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+44 33 3023 7300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1020"/>
          </w:cols>
          <w:pgMar w:left="440" w:top="225" w:right="439" w:bottom="1440" w:gutter="0" w:footer="0" w:header="0"/>
          <w:type w:val="continuous"/>
        </w:sectPr>
      </w:pP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2019 Equity Incentive Plan, as amended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2019 Non-Employee Equity Incentive Plan, as amended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No.: +1 302 636 5401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Copy to : David S. Bakst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REGISTRATION OF ADDITIONAL SHARES PURSUANT TO GENERAL INSTRUCTION E</w:t>
      </w:r>
    </w:p>
    <w:p>
      <w:pPr>
        <w:spacing w:after="0" w:line="22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Mereo BioPharma Group plc (the “Company”) to register 33,183,704 additional ordinary shares, nominal value £0.003 per share (the “Ordinary Shares”) under the Mereo BioPharma Group plc 2019 Equity Incentive Plan, as amended on February 13, 2020 and January 15, 2021, and the Mereo BioPharma Group plc 2019 Non-Employee Equity Incentive Plan, as amended on February 13, 2020 and January 15, 2021 (collectively, the “Plans”) which share a common Ordinary Share pool, consisting of</w:t>
      </w:r>
    </w:p>
    <w:p>
      <w:pPr>
        <w:spacing w:after="0" w:line="3" w:lineRule="exact"/>
        <w:rPr>
          <w:sz w:val="20"/>
          <w:szCs w:val="20"/>
          <w:color w:val="auto"/>
        </w:rPr>
      </w:pPr>
    </w:p>
    <w:p>
      <w:pPr>
        <w:jc w:val="both"/>
        <w:ind w:left="4" w:hanging="4"/>
        <w:spacing w:after="0" w:line="253" w:lineRule="auto"/>
        <w:tabs>
          <w:tab w:leader="none" w:pos="2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for future share grants under the Plans and (ii) Ordinary Shares reserved for issuance upon the vesting of restricted stock units and performance based stock unit awards which may be granted to employees and executives pursuant to and in accordance with the terms of the Plans in connection with their employment and positions with the Company under the Securities Act of 1933, as amended (the “Securities Act”). The number of Ordinary Shares available for issuance under the Plans is subject to increase on January 1 of each year in an amount equal to the lesser of (i) 5.31% of the Company’s issued and outstanding shares and (ii) such number of shares as determined by the plan administrator, in its discretion.</w:t>
      </w:r>
    </w:p>
    <w:p>
      <w:pPr>
        <w:spacing w:after="0" w:line="18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On May 21, 2019, the Company filed with the Securities and Exchange Commission (the “SEC”) a Registration Statement on Form S-8 (File No. 333-231636), on February 18, 2020 the Company filed a Registration Statement on Form S-8 (File No. 333-236498), on January 15, 2021 the Company filed a Registration Statement on Form S-8 (File No. 333-252147) and on January 13, 2022 the Company filed a Registration Statement on Form S-8 (File No. 333-262151) (collectively, the “Prior Registration Statements”) to register a total of 68,770,569 Ordinary Shares issuable under the plans described in those registration statements. The Company is filing this Registration Statement to register an additional 33,183,704 Ordinary Shares, which may be issued pursuant to new and previously issued awards under the Plans. Pursuant to Instruction E of Form S-8, the contents of the Prior Registration Statements are hereby incorporated by reference herein, and the information required by Part II of Form S-8 is omitted, except as supplemented by the information set forth below.</w:t>
      </w:r>
    </w:p>
    <w:p>
      <w:pPr>
        <w:sectPr>
          <w:pgSz w:w="11900" w:h="16838" w:orient="portrait"/>
          <w:cols w:equalWidth="0" w:num="1">
            <w:col w:w="11004"/>
          </w:cols>
          <w:pgMar w:left="436" w:top="27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REQUIRED IN THE SECTION 10(a) PROSPECTUS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permitted by the rules of the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INFORMATION REQUIRED IN THE REGISTRATION STATEMENT</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INCORPORATION OF DOCUMENTS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131" w:lineRule="exact"/>
        <w:rPr>
          <w:sz w:val="20"/>
          <w:szCs w:val="20"/>
          <w:color w:val="auto"/>
        </w:rPr>
      </w:pPr>
    </w:p>
    <w:p>
      <w:pPr>
        <w:ind w:left="960" w:right="20" w:hanging="532"/>
        <w:spacing w:after="0" w:line="282" w:lineRule="auto"/>
        <w:tabs>
          <w:tab w:leader="none" w:pos="960" w:val="left"/>
        </w:tabs>
        <w:numPr>
          <w:ilvl w:val="0"/>
          <w:numId w:val="2"/>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The Company’s annual report on Form 20-F for the year ended December 31, 2021 (the “2021 Form 20-F”), filed with the SEC on March</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31, 2022 (File No. 001-38452);</w:t>
        </w:r>
      </w:hyperlink>
    </w:p>
    <w:p>
      <w:pPr>
        <w:spacing w:after="0" w:line="67" w:lineRule="exact"/>
        <w:rPr>
          <w:rFonts w:ascii="Times New Roman" w:cs="Times New Roman" w:eastAsia="Times New Roman" w:hAnsi="Times New Roman"/>
          <w:sz w:val="18"/>
          <w:szCs w:val="18"/>
          <w:u w:val="single" w:color="auto"/>
          <w:color w:val="0000EE"/>
        </w:rPr>
      </w:pPr>
    </w:p>
    <w:p>
      <w:pPr>
        <w:ind w:left="960" w:hanging="532"/>
        <w:spacing w:after="0"/>
        <w:tabs>
          <w:tab w:leader="none" w:pos="960" w:val="left"/>
        </w:tabs>
        <w:numPr>
          <w:ilvl w:val="0"/>
          <w:numId w:val="2"/>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Company’s report on Form 6-K furnished to the SEC on November 2, 2022;</w:t>
        </w:r>
      </w:hyperlink>
    </w:p>
    <w:p>
      <w:pPr>
        <w:spacing w:after="0" w:line="130" w:lineRule="exact"/>
        <w:rPr>
          <w:rFonts w:ascii="Times New Roman" w:cs="Times New Roman" w:eastAsia="Times New Roman" w:hAnsi="Times New Roman"/>
          <w:sz w:val="18"/>
          <w:szCs w:val="18"/>
          <w:u w:val="single" w:color="auto"/>
          <w:color w:val="0000EE"/>
        </w:rPr>
      </w:pPr>
    </w:p>
    <w:p>
      <w:pPr>
        <w:ind w:left="960" w:right="2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filed pursuant to Section 13(a) or 15(d) of the Securities Exchange Act of 1934, as amended (the “Exchange Act”) since the end of the fiscal year covered by the Company’s Form 20-F referred to in clause (a) above; and</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58" w:lineRule="auto"/>
        <w:tabs>
          <w:tab w:leader="none" w:pos="960" w:val="left"/>
        </w:tabs>
        <w:numPr>
          <w:ilvl w:val="0"/>
          <w:numId w:val="2"/>
        </w:numPr>
        <w:rPr>
          <w:rFonts w:ascii="Times New Roman" w:cs="Times New Roman" w:eastAsia="Times New Roman" w:hAnsi="Times New Roman"/>
          <w:sz w:val="18"/>
          <w:szCs w:val="18"/>
          <w:color w:val="000000"/>
        </w:rPr>
      </w:pPr>
      <w:hyperlink r:id="rId20">
        <w:r>
          <w:rPr>
            <w:rFonts w:ascii="Times New Roman" w:cs="Times New Roman" w:eastAsia="Times New Roman" w:hAnsi="Times New Roman"/>
            <w:sz w:val="18"/>
            <w:szCs w:val="18"/>
            <w:color w:val="auto"/>
          </w:rPr>
          <w:t xml:space="preserve">The description of the Company’s Ordinary Shares and ADSs contained in the Company’s registration statement on </w:t>
        </w:r>
        <w:r>
          <w:rPr>
            <w:rFonts w:ascii="Times New Roman" w:cs="Times New Roman" w:eastAsia="Times New Roman" w:hAnsi="Times New Roman"/>
            <w:sz w:val="18"/>
            <w:szCs w:val="18"/>
            <w:u w:val="single" w:color="auto"/>
            <w:color w:val="0000EE"/>
          </w:rPr>
          <w:t>Form 8-A, filed with</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the SEC on April 9, 2018 (File No. 001-38452)</w:t>
        </w:r>
        <w:r>
          <w:rPr>
            <w:rFonts w:ascii="Times New Roman" w:cs="Times New Roman" w:eastAsia="Times New Roman" w:hAnsi="Times New Roman"/>
            <w:sz w:val="18"/>
            <w:szCs w:val="18"/>
            <w:color w:val="000000"/>
          </w:rPr>
          <w:t>, as amended on April 15, 2019 and May 17, 2022, including any amendment or report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filed for the purpose of updating such description as updated by </w:t>
      </w:r>
      <w:hyperlink r:id="rId21">
        <w:r>
          <w:rPr>
            <w:rFonts w:ascii="Times New Roman" w:cs="Times New Roman" w:eastAsia="Times New Roman" w:hAnsi="Times New Roman"/>
            <w:sz w:val="18"/>
            <w:szCs w:val="18"/>
            <w:u w:val="single" w:color="auto"/>
            <w:color w:val="0000EE"/>
          </w:rPr>
          <w:t>Exhibit 2.2 to the 2021 Form 20-F</w:t>
        </w:r>
      </w:hyperlink>
      <w:r>
        <w:rPr>
          <w:rFonts w:ascii="Times New Roman" w:cs="Times New Roman" w:eastAsia="Times New Roman" w:hAnsi="Times New Roman"/>
          <w:sz w:val="18"/>
          <w:szCs w:val="18"/>
          <w:color w:val="000000"/>
        </w:rPr>
        <w:t>, including the “Description of Ordinary Shares” and the “Description of American Depositary Shares” contained therein and any amendment or report filed for the purpose of further updating such descriptions.</w:t>
      </w:r>
    </w:p>
    <w:p>
      <w:pPr>
        <w:spacing w:after="0" w:line="183"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the Company with the SEC pursuant to Sections 13(a), 13(c), 14 and 15(d) of the Exchange Act, prior to the filing of a post-effective amendment to this Registration Statement which indicates that all securities offered have been sold or which deregisters all securities then remaining unsold, including any Report of Foreign Private Issuer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8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328"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DESCRIPTION OF SECURITIES.</w:t>
      </w:r>
    </w:p>
    <w:p>
      <w:pPr>
        <w:spacing w:after="0" w:line="11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color w:val="auto"/>
        </w:rPr>
        <w:t>INTERESTS OF NAMED EXPERTS AND COUNSEL.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Articles of Association provide that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for certain expenses, including attorneys’ fees, costs and expenses incurred by such directors with the prior written consent of the Company in any action or proceeding arising out of their service as a director of the Company, or one of its subsidiaries.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EXEMPTION FROM REGISTRATION CLAIMED.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in the “Exhibit Index” are filed as a part of, or incorporated by reference into, this Registration Statement.</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UNDERTAKINGS.</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jc w:val="both"/>
        <w:ind w:left="1960" w:hanging="533"/>
        <w:spacing w:after="0" w:line="261"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 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w:t>
      </w:r>
    </w:p>
    <w:p>
      <w:pPr>
        <w:sectPr>
          <w:pgSz w:w="11900" w:h="16838" w:orient="portrait"/>
          <w:cols w:equalWidth="0" w:num="1">
            <w:col w:w="11020"/>
          </w:cols>
          <w:pgMar w:left="440" w:top="270" w:right="439" w:bottom="1440" w:gutter="0" w:footer="0" w:header="0"/>
        </w:sectPr>
      </w:pPr>
    </w:p>
    <w:bookmarkStart w:id="4" w:name="page5"/>
    <w:bookmarkEnd w:id="4"/>
    <w:p>
      <w:pPr>
        <w:jc w:val="both"/>
        <w:ind w:left="199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5" w:lineRule="exact"/>
        <w:rPr>
          <w:sz w:val="20"/>
          <w:szCs w:val="20"/>
          <w:color w:val="auto"/>
        </w:rPr>
      </w:pPr>
    </w:p>
    <w:p>
      <w:pPr>
        <w:ind w:left="1532" w:hanging="533"/>
        <w:spacing w:after="0" w:line="282" w:lineRule="auto"/>
        <w:tabs>
          <w:tab w:leader="none" w:pos="1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4" w:lineRule="exact"/>
        <w:rPr>
          <w:sz w:val="20"/>
          <w:szCs w:val="20"/>
          <w:color w:val="auto"/>
        </w:rPr>
      </w:pPr>
    </w:p>
    <w:p>
      <w:pPr>
        <w:jc w:val="both"/>
        <w:ind w:left="992"/>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SEC by the Company pursuant to Section 13 or 15(d) of the Exchange Act that are incorporated by reference in this Registration Statement.</w:t>
      </w:r>
    </w:p>
    <w:p>
      <w:pPr>
        <w:spacing w:after="0" w:line="81" w:lineRule="exact"/>
        <w:rPr>
          <w:sz w:val="20"/>
          <w:szCs w:val="20"/>
          <w:color w:val="auto"/>
        </w:rPr>
      </w:pPr>
    </w:p>
    <w:p>
      <w:pPr>
        <w:jc w:val="both"/>
        <w:ind w:left="992" w:right="20" w:hanging="439"/>
        <w:spacing w:after="0" w:line="266"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92" w:right="20" w:hanging="439"/>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jc w:val="both"/>
        <w:ind w:left="532" w:hanging="532"/>
        <w:spacing w:after="0" w:line="258"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jc w:val="both"/>
        <w:ind w:left="532" w:hanging="532"/>
        <w:spacing w:after="0" w:line="254"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92"/>
          </w:cols>
          <w:pgMar w:left="868"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340" w:type="dxa"/>
            <w:vAlign w:val="bottom"/>
            <w:gridSpan w:val="16"/>
          </w:tcPr>
          <w:p>
            <w:pPr>
              <w:ind w:left="22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4"/>
                <w:szCs w:val="24"/>
                <w:color w:val="auto"/>
              </w:rPr>
            </w:pPr>
          </w:p>
        </w:tc>
        <w:tc>
          <w:tcPr>
            <w:tcW w:w="9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Articles of Association of the Company (incorporated herein by reference to Exhibit 3.1 to the Company’s Form 6-K, furnished to</w:t>
              </w:r>
            </w:hyperlink>
          </w:p>
        </w:tc>
        <w:tc>
          <w:tcPr>
            <w:tcW w:w="10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1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the SEC on May 17, 2022 (Film No. 22932321)).</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Mereo BioPharma Group plc 2019 Equity Incentive Plan, as amended on February 13, 2020 and January 15, 2021 (incorporated by</w:t>
              </w:r>
            </w:hyperlink>
          </w:p>
        </w:tc>
        <w:tc>
          <w:tcPr>
            <w:tcW w:w="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reference to Exhibit 99.1 to the Company’s Form S-8 filed January 15, 2021 (File No. 333-252147))</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spacing w:after="0"/>
              <w:rPr>
                <w:sz w:val="24"/>
                <w:szCs w:val="24"/>
                <w:color w:val="auto"/>
              </w:rPr>
            </w:pPr>
          </w:p>
        </w:tc>
        <w:tc>
          <w:tcPr>
            <w:tcW w:w="9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Mereo BioPharma Group plc 2019 Non-Employee Equity Incentive Plan, as amended on February 13, 2020 and January 15, 2021</w:t>
              </w:r>
            </w:hyperlink>
          </w:p>
        </w:tc>
        <w:tc>
          <w:tcPr>
            <w:tcW w:w="12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(incorporated by reference to Exhibit 99.2 to the Company’s Form S-8 filed January 15, 2021 (File No. 333-252147))</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Deferred Compensation Plan for Non-Employee Directors, dated January 31, 2022 (incorporated by reference to Exhibit 4.44 to the</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Company’s Form 20-F filed March 31, 2022 (File No. 333-28452))</w:t>
              </w:r>
            </w:hyperlink>
          </w:p>
        </w:tc>
        <w:tc>
          <w:tcPr>
            <w:tcW w:w="4680" w:type="dxa"/>
            <w:vAlign w:val="bottom"/>
            <w:gridSpan w:val="10"/>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Pr>
          <w:p>
            <w:pPr>
              <w:spacing w:after="0"/>
              <w:rPr>
                <w:sz w:val="24"/>
                <w:szCs w:val="24"/>
                <w:color w:val="auto"/>
              </w:rPr>
            </w:pPr>
          </w:p>
        </w:tc>
        <w:tc>
          <w:tcPr>
            <w:tcW w:w="6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of Performance Based Restricted Stock Unit Award Agreement under the Plans</w:t>
            </w:r>
          </w:p>
        </w:tc>
        <w:tc>
          <w:tcPr>
            <w:tcW w:w="3380" w:type="dxa"/>
            <w:vAlign w:val="bottom"/>
            <w:gridSpan w:val="7"/>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Restricted Stock Unit Award Agreement under the Plans</w:t>
            </w: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Opinion of Latham &amp; Watkins LLP, counsel of the Registrant</w:t>
            </w:r>
          </w:p>
        </w:tc>
        <w:tc>
          <w:tcPr>
            <w:tcW w:w="260" w:type="dxa"/>
            <w:vAlign w:val="bottom"/>
            <w:tcBorders>
              <w:top w:val="single" w:sz="8" w:color="0000EE"/>
            </w:tcBorders>
            <w:gridSpan w:val="2"/>
          </w:tcPr>
          <w:p>
            <w:pPr>
              <w:spacing w:after="0"/>
              <w:rPr>
                <w:sz w:val="24"/>
                <w:szCs w:val="24"/>
                <w:color w:val="auto"/>
              </w:rPr>
            </w:pPr>
          </w:p>
        </w:tc>
        <w:tc>
          <w:tcPr>
            <w:tcW w:w="4840" w:type="dxa"/>
            <w:vAlign w:val="bottom"/>
            <w:gridSpan w:val="11"/>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24"/>
                <w:szCs w:val="24"/>
                <w:color w:val="auto"/>
              </w:rPr>
            </w:pPr>
          </w:p>
        </w:tc>
        <w:tc>
          <w:tcPr>
            <w:tcW w:w="6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Latham &amp; Watkins LLP, counsel of the Registrant (included in Exhibit 5.1)</w:t>
            </w:r>
          </w:p>
        </w:tc>
        <w:tc>
          <w:tcPr>
            <w:tcW w:w="3280" w:type="dxa"/>
            <w:vAlign w:val="bottom"/>
            <w:gridSpan w:val="6"/>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BDO LLP, Independent Registered Public Accounting Firm</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4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4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Powers of Attorney (included in signature page hereto)</w:t>
            </w:r>
          </w:p>
        </w:tc>
        <w:tc>
          <w:tcPr>
            <w:tcW w:w="1860" w:type="dxa"/>
            <w:vAlign w:val="bottom"/>
            <w:tcBorders>
              <w:top w:val="single" w:sz="8" w:color="0000EE"/>
            </w:tcBorders>
            <w:gridSpan w:val="6"/>
          </w:tcPr>
          <w:p>
            <w:pPr>
              <w:spacing w:after="0"/>
              <w:rPr>
                <w:sz w:val="24"/>
                <w:szCs w:val="24"/>
                <w:color w:val="auto"/>
              </w:rPr>
            </w:pPr>
          </w:p>
        </w:tc>
        <w:tc>
          <w:tcPr>
            <w:tcW w:w="3700" w:type="dxa"/>
            <w:vAlign w:val="bottom"/>
            <w:gridSpan w:val="8"/>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24"/>
                <w:szCs w:val="24"/>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340" w:type="dxa"/>
            <w:vAlign w:val="bottom"/>
            <w:gridSpan w:val="1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44"/>
          </w:cols>
          <w:pgMar w:left="436"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January 24, 2023.</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2023 in the capacities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Signature</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Title</w:t>
            </w:r>
          </w:p>
        </w:tc>
      </w:tr>
      <w:tr>
        <w:trPr>
          <w:trHeight w:val="41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 Ph.D.</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Ph.D.</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Wyzga</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Jeremy Bender</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Anders Ekblom</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Anders Ekblom</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Pierre Jacquet</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Pierre Jacquet</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Annalisa Jenkins</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Annalisa Jenkins</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Deepa Pakianathan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Deepa Pakianathan</w:t>
            </w:r>
          </w:p>
        </w:tc>
        <w:tc>
          <w:tcPr>
            <w:tcW w:w="460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Roberts</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Justin Roberts</w:t>
            </w:r>
          </w:p>
        </w:tc>
        <w:tc>
          <w:tcPr>
            <w:tcW w:w="460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Daniel Shames</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Daniel Shames</w:t>
            </w:r>
          </w:p>
        </w:tc>
        <w:tc>
          <w:tcPr>
            <w:tcW w:w="166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Yoskowitz</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 Yoskowitz</w:t>
            </w:r>
          </w:p>
        </w:tc>
        <w:tc>
          <w:tcPr>
            <w:tcW w:w="1660" w:type="dxa"/>
            <w:vAlign w:val="bottom"/>
          </w:tcPr>
          <w:p>
            <w:pPr>
              <w:spacing w:after="0"/>
              <w:rPr>
                <w:sz w:val="19"/>
                <w:szCs w:val="19"/>
                <w:color w:val="auto"/>
              </w:rPr>
            </w:pPr>
          </w:p>
        </w:tc>
      </w:tr>
    </w:tbl>
    <w:p>
      <w:pPr>
        <w:sectPr>
          <w:pgSz w:w="11900" w:h="16838" w:orient="portrait"/>
          <w:cols w:equalWidth="0" w:num="1">
            <w:col w:w="10019"/>
          </w:cols>
          <w:pgMar w:left="440" w:top="27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U.S. REPRESENTATIVE OF REGISTRANT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America, Mereo BioPharma Group plc has signed this registration statement on January 24, 2023.</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US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1000"/>
          </w:cols>
          <w:pgMar w:left="440" w:top="270"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EMPLOYEE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BASED RESTRICTED STOCK UNIT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[_]-[_________]-202[_]</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set forth in this grant letter (the “</w:t>
      </w:r>
      <w:r>
        <w:rPr>
          <w:rFonts w:ascii="Times New Roman" w:cs="Times New Roman" w:eastAsia="Times New Roman" w:hAnsi="Times New Roman"/>
          <w:sz w:val="18"/>
          <w:szCs w:val="18"/>
          <w:b w:val="1"/>
          <w:bCs w:val="1"/>
          <w:color w:val="auto"/>
        </w:rPr>
        <w:t>Grant Letter</w:t>
      </w:r>
      <w:r>
        <w:rPr>
          <w:rFonts w:ascii="Times New Roman" w:cs="Times New Roman" w:eastAsia="Times New Roman" w:hAnsi="Times New Roman"/>
          <w:sz w:val="18"/>
          <w:szCs w:val="18"/>
          <w:color w:val="auto"/>
        </w:rPr>
        <w:t>”) and its Exhibit A below (the Grant Letter and Exhibit A constituting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Mereo BioPharma Group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(an employee of the Company) as of the Grant Date set forth below an Award of performance based Restricted Stock Units (the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whereby each PSU represents the conditional right to receive one ADS further to vesting. The PSUs are granted under and is subject to the Mereo BioPharma Group plc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Unless defined in this Agreement, capitalized terms shall have the meanings assigned to them in the Plan. The provisions of the Plan shall prevail in the event of a conflict with this Agreement and any descriptive materials provided to you.</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 TERMS</w:t>
            </w:r>
          </w:p>
        </w:tc>
        <w:tc>
          <w:tcPr>
            <w:tcW w:w="9400" w:type="dxa"/>
            <w:vAlign w:val="bottom"/>
          </w:tcPr>
          <w:p>
            <w:pPr>
              <w:spacing w:after="0"/>
              <w:rPr>
                <w:sz w:val="17"/>
                <w:szCs w:val="17"/>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34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w:t>
            </w:r>
          </w:p>
        </w:tc>
        <w:tc>
          <w:tcPr>
            <w:tcW w:w="9400" w:type="dxa"/>
            <w:vAlign w:val="bottom"/>
          </w:tcPr>
          <w:p>
            <w:pPr>
              <w:jc w:val="right"/>
              <w:ind w:right="875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[_]-[_________]-202[_]</w:t>
            </w:r>
          </w:p>
        </w:tc>
      </w:tr>
      <w:tr>
        <w:trPr>
          <w:trHeight w:val="32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w:t>
            </w:r>
          </w:p>
        </w:tc>
        <w:tc>
          <w:tcPr>
            <w:tcW w:w="9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PSUs. Each PSU represents the conditional right to receive one American Depositary Share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further to vesting in</w:t>
            </w:r>
          </w:p>
        </w:tc>
      </w:tr>
    </w:tbl>
    <w:p>
      <w:pPr>
        <w:spacing w:after="0"/>
        <w:rPr>
          <w:sz w:val="20"/>
          <w:szCs w:val="20"/>
          <w:color w:val="auto"/>
        </w:rPr>
      </w:pPr>
      <w:r>
        <w:rPr>
          <w:rFonts w:ascii="Times New Roman" w:cs="Times New Roman" w:eastAsia="Times New Roman" w:hAnsi="Times New Roman"/>
          <w:sz w:val="18"/>
          <w:szCs w:val="18"/>
          <w:color w:val="auto"/>
        </w:rPr>
        <w:t>accordance with terms of the Award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VESTING TERMS AND PERFORMANCE CONDITION: </w:t>
      </w:r>
      <w:r>
        <w:rPr>
          <w:rFonts w:ascii="Times New Roman" w:cs="Times New Roman" w:eastAsia="Times New Roman" w:hAnsi="Times New Roman"/>
          <w:sz w:val="18"/>
          <w:szCs w:val="18"/>
          <w:color w:val="auto"/>
        </w:rPr>
        <w:t>Upon the occurrence of a Determination Date (as defined below)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Date (as defined below), that total number of PSUs will vest determined based on the ADS Value (as defined below) being at least equal to the applicable Price Goal (as defined below) in accordance with the following table. For avoidance of doubt, upon the achievement of a Price Goal, any Price Goal with a lower threshold value will also then have been achieved if not previously satisfied.</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PSUs that vest</w:t>
            </w:r>
          </w:p>
        </w:tc>
        <w:tc>
          <w:tcPr>
            <w:tcW w:w="0" w:type="dxa"/>
            <w:vAlign w:val="bottom"/>
          </w:tcPr>
          <w:p>
            <w:pPr>
              <w:spacing w:after="0"/>
              <w:rPr>
                <w:sz w:val="1"/>
                <w:szCs w:val="1"/>
                <w:color w:val="auto"/>
              </w:rPr>
            </w:pPr>
          </w:p>
        </w:tc>
      </w:tr>
      <w:tr>
        <w:trPr>
          <w:trHeight w:val="14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Price Goal</w:t>
            </w:r>
          </w:p>
        </w:tc>
        <w:tc>
          <w:tcPr>
            <w:tcW w:w="5020" w:type="dxa"/>
            <w:vAlign w:val="bottom"/>
            <w:vMerge w:val="restart"/>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upon Achievement of a</w:t>
            </w:r>
          </w:p>
        </w:tc>
        <w:tc>
          <w:tcPr>
            <w:tcW w:w="0" w:type="dxa"/>
            <w:vAlign w:val="bottom"/>
          </w:tcPr>
          <w:p>
            <w:pPr>
              <w:spacing w:after="0"/>
              <w:rPr>
                <w:sz w:val="1"/>
                <w:szCs w:val="1"/>
                <w:color w:val="auto"/>
              </w:rPr>
            </w:pPr>
          </w:p>
        </w:tc>
      </w:tr>
      <w:tr>
        <w:trPr>
          <w:trHeight w:val="165"/>
        </w:trPr>
        <w:tc>
          <w:tcPr>
            <w:tcW w:w="660" w:type="dxa"/>
            <w:vAlign w:val="bottom"/>
            <w:tcBorders>
              <w:bottom w:val="single" w:sz="8" w:color="auto"/>
            </w:tcBorders>
            <w:vMerge w:val="continue"/>
          </w:tcPr>
          <w:p>
            <w:pPr>
              <w:spacing w:after="0"/>
              <w:rPr>
                <w:sz w:val="13"/>
                <w:szCs w:val="13"/>
                <w:color w:val="auto"/>
              </w:rPr>
            </w:pPr>
          </w:p>
        </w:tc>
        <w:tc>
          <w:tcPr>
            <w:tcW w:w="5020" w:type="dxa"/>
            <w:vAlign w:val="bottom"/>
            <w:vMerge w:val="continue"/>
          </w:tcPr>
          <w:p>
            <w:pPr>
              <w:spacing w:after="0"/>
              <w:rPr>
                <w:sz w:val="13"/>
                <w:szCs w:val="13"/>
                <w:color w:val="auto"/>
              </w:rPr>
            </w:pPr>
          </w:p>
        </w:tc>
        <w:tc>
          <w:tcPr>
            <w:tcW w:w="18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Price Goal</w:t>
            </w: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Goal 1</w:t>
            </w: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Goal 2</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Goal 3</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Goal 4</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t>Only if the Determination Date is as a result of a Change in Control (as defined in the Plan) and the Price Goal achieved is between the above levels as of such Change in Control, the percentage of PSUs that will vest shall be determined using linear interpolation. For the avoidance of doubt, if the Determination Date for the shares occurs as a result of a Change in Control, the Price Goals shall be deemed satisfied immediately prior to the closing of such Change in Control in which such metrics will be achieved, rather than after the closing of such transaction.</w:t>
      </w:r>
    </w:p>
    <w:p>
      <w:pPr>
        <w:spacing w:after="0" w:line="68"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color w:val="auto"/>
        </w:rPr>
        <w:t>The PSUs shall terminate upon the first to occur of the following (such date,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(i) solely in respect of PSUs for which the applicable Price Goal has not been satisfied, the date of your termination of employment, (ii) in the event none of the Price Goals have been satisfied as of the consummation of a Change in Control, the closing of such Change in Control, (iii) in the event the Price Goal has been satisfied as of the consummation of a Change in Control, the closing of such Change in Control in which the PSUs are not assumed, continued or substituted for (as determined under the Plan) or (iv) for any PSUs which have not satisfied the Price Goal, the second anniversary of the Grant Date.</w:t>
      </w:r>
    </w:p>
    <w:p>
      <w:pPr>
        <w:sectPr>
          <w:pgSz w:w="11900" w:h="16838" w:orient="portrait"/>
          <w:cols w:equalWidth="0" w:num="1">
            <w:col w:w="11020"/>
          </w:cols>
          <w:pgMar w:left="440" w:top="117" w:right="4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40" w:right="20" w:firstLine="419"/>
        <w:spacing w:after="0" w:line="278" w:lineRule="auto"/>
        <w:tabs>
          <w:tab w:leader="none" w:pos="111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Determination Date</w:t>
      </w:r>
      <w:r>
        <w:rPr>
          <w:rFonts w:ascii="Times New Roman" w:cs="Times New Roman" w:eastAsia="Times New Roman" w:hAnsi="Times New Roman"/>
          <w:sz w:val="17"/>
          <w:szCs w:val="17"/>
          <w:color w:val="auto"/>
        </w:rPr>
        <w:t>” means the occurrence of (i) any date (prior to a Change in Control) when the ADS Value first equals or exceeds a Price Goal or (i) a Change in Control. Determination Dates are eligible to occur any time following the Effective Date until the earlier to occur of</w:t>
      </w:r>
    </w:p>
    <w:p>
      <w:pPr>
        <w:spacing w:after="0" w:line="1"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100% of the PSUs have vested and (b) the Termination Date.</w:t>
      </w:r>
    </w:p>
    <w:p>
      <w:pPr>
        <w:spacing w:after="0" w:line="94"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Price Goal</w:t>
      </w:r>
      <w:r>
        <w:rPr>
          <w:rFonts w:ascii="Times New Roman" w:cs="Times New Roman" w:eastAsia="Times New Roman" w:hAnsi="Times New Roman"/>
          <w:sz w:val="18"/>
          <w:szCs w:val="18"/>
          <w:color w:val="auto"/>
        </w:rPr>
        <w:t>” means one of the below four separate ADS price threshold values:</w:t>
      </w:r>
    </w:p>
    <w:p>
      <w:pPr>
        <w:spacing w:after="0" w:line="250"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Price Goal</w:t>
            </w:r>
          </w:p>
        </w:tc>
        <w:tc>
          <w:tcPr>
            <w:tcW w:w="60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ADS Value</w:t>
            </w:r>
          </w:p>
        </w:tc>
        <w:tc>
          <w:tcPr>
            <w:tcW w:w="100" w:type="dxa"/>
            <w:vAlign w:val="bottom"/>
          </w:tcPr>
          <w:p>
            <w:pPr>
              <w:spacing w:after="0"/>
              <w:rPr>
                <w:sz w:val="16"/>
                <w:szCs w:val="16"/>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Price Goal 1</w:t>
            </w:r>
          </w:p>
        </w:tc>
        <w:tc>
          <w:tcPr>
            <w:tcW w:w="680" w:type="dxa"/>
            <w:vAlign w:val="bottom"/>
            <w:tcBorders>
              <w:top w:val="single" w:sz="8" w:color="auto"/>
            </w:tcBorders>
            <w:shd w:val="clear" w:color="auto" w:fill="CCEEFF"/>
          </w:tcPr>
          <w:p>
            <w:pPr>
              <w:jc w:val="right"/>
              <w:ind w:right="94"/>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Goal 2</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Goal 3</w:t>
            </w:r>
          </w:p>
        </w:tc>
        <w:tc>
          <w:tcPr>
            <w:tcW w:w="6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Goal 4</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67" w:lineRule="exact"/>
        <w:rPr>
          <w:sz w:val="20"/>
          <w:szCs w:val="20"/>
          <w:color w:val="auto"/>
        </w:rPr>
      </w:pPr>
    </w:p>
    <w:p>
      <w:pPr>
        <w:jc w:val="both"/>
        <w:ind w:left="440" w:firstLine="419"/>
        <w:spacing w:after="0" w:line="238"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ADS Value</w:t>
      </w:r>
      <w:r>
        <w:rPr>
          <w:rFonts w:ascii="Times New Roman" w:cs="Times New Roman" w:eastAsia="Times New Roman" w:hAnsi="Times New Roman"/>
          <w:sz w:val="18"/>
          <w:szCs w:val="18"/>
          <w:color w:val="auto"/>
        </w:rPr>
        <w:t>” means: (I) upon any date between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Grant Date and the day before a Change in Control, the closing trading price per ADS over 20 days in any immediately trailing 30 trading day period; and (II) upon the date of a Change in Control, the dollar amount of cash and the value of any securities or other property paid to the holders of ordinary shares as consideration in a Change in Control, on a per ADS basis (and in the case of a Change in Control that is an asset sale, any additional consideration paid to the Company but not to the holders of ordinary shares, on a per ADS basis, had such amounts been paid to the holders of ordinary shares), as reasonably determined in good faith by the Company (but in all cases not inconsistent with the value ascribed to such items in the Change in Control transaction documents).</w:t>
      </w:r>
    </w:p>
    <w:p>
      <w:pPr>
        <w:spacing w:after="0" w:line="96"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In the event that any dividend or other distribution (whether in the form of cash, Shares, ADSs, other securities, or other property), recapitalization, share split, reverse share split, reorganization, merger (except for a Change in Control), consolidation, split-up, spin-off, combination, reclassification, repurchase, or exchange of Shares, ADSs or other securities of the Company, or other change in the corporate structure of the Company affecting the Shares or ADS occurs (other than any ordinary dividends or other ordinary distributions), the Company, in order to prevent diminution or enlargement of the benefits or potential benefits intended to be made available under the PSUs, shall (consistent with the Plan) make appropriate proportionate and equitable adjustments to the Price Goal(s) set forth above to the extent such Price Goal(s) have not yet been achieved.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understand that the terms of this award of PSUs explicitly include the following (a “</w:t>
      </w:r>
      <w:r>
        <w:rPr>
          <w:rFonts w:ascii="Times New Roman" w:cs="Times New Roman" w:eastAsia="Times New Roman" w:hAnsi="Times New Roman"/>
          <w:sz w:val="18"/>
          <w:szCs w:val="18"/>
          <w:b w:val="1"/>
          <w:bCs w:val="1"/>
          <w:u w:val="single" w:color="auto"/>
          <w:color w:val="auto"/>
        </w:rPr>
        <w:t>Sell to Cover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Upon vesting of the PSUs and issuance of the resulting ADSs, the Company, on your behalf, will instruct the Company’s transfer agent (together with any other party the Company determines necessary to execute the Sell to Cover,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to sell that number of ADSs determined in accordance with Section 6(b)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review the above and the remainder of this Agreement and let us know if you have any questions about this Agreement, the PSUs or the Plan. You are advised to consult with your own tax advisors in respect of any tax consequences arising in connection with the PSUs.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have questions, please contact the Company’s General Counsel. If not, please provide your agreement to the terms of this Agreement via the acceptance page on the Shareworks portal.</w:t>
      </w:r>
    </w:p>
    <w:p>
      <w:pPr>
        <w:sectPr>
          <w:pgSz w:w="11900" w:h="16838" w:orient="portrait"/>
          <w:cols w:equalWidth="0" w:num="1">
            <w:col w:w="11020"/>
          </w:cols>
          <w:pgMar w:left="440" w:top="268"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MEREO BIOPHARMA GROUP PLC 2019 INCENTIVE PLAN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PERFORMANCE BASED RESTRICTED STOCK UNIT AGREEMENT</w:t>
      </w:r>
    </w:p>
    <w:p>
      <w:pPr>
        <w:spacing w:after="0" w:line="203"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THIS AGREEMENT, made and entered into on the date of the Grant Letter, by and between Mereo BioPharma Group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individual listed in the Grant Letter as the Participant. This Agreement will not bind the Company unless it is accepted by the Participant via the acceptance page on the Shareworks portal.</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Participant has been granted an Award of PSUs under the Plan, a sub-plan of the Plan;</w:t>
      </w:r>
    </w:p>
    <w:p>
      <w:pPr>
        <w:spacing w:after="0" w:line="22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contained herein, and for other good and valuable consideration, the parties hereto agree as follows.</w:t>
      </w:r>
    </w:p>
    <w:p>
      <w:pPr>
        <w:spacing w:after="0" w:line="54" w:lineRule="exact"/>
        <w:rPr>
          <w:sz w:val="20"/>
          <w:szCs w:val="20"/>
          <w:color w:val="auto"/>
        </w:rPr>
      </w:pPr>
    </w:p>
    <w:p>
      <w:pPr>
        <w:ind w:left="4" w:right="20" w:hanging="4"/>
        <w:spacing w:after="0" w:line="282"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PSUs</w:t>
      </w:r>
      <w:r>
        <w:rPr>
          <w:rFonts w:ascii="Times New Roman" w:cs="Times New Roman" w:eastAsia="Times New Roman" w:hAnsi="Times New Roman"/>
          <w:sz w:val="18"/>
          <w:szCs w:val="18"/>
          <w:color w:val="auto"/>
        </w:rPr>
        <w:t>. The Company hereby awards to the Participant that number of PSUs set forth in the Grant Letter. Each PSU represents the right to receive, upon vesting and settlement, one of ADS (“Share”), pursuant to the provisions of the Plan, the terms of which are incorporated (the “PSUs”).</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It is understood and agreed that the Award of PSUs evidenced hereby is subject to the following terms and conditions:</w:t>
      </w:r>
    </w:p>
    <w:p>
      <w:pPr>
        <w:spacing w:after="0" w:line="117" w:lineRule="exact"/>
        <w:rPr>
          <w:sz w:val="20"/>
          <w:szCs w:val="20"/>
          <w:color w:val="auto"/>
        </w:rPr>
      </w:pPr>
    </w:p>
    <w:p>
      <w:pPr>
        <w:jc w:val="both"/>
        <w:ind w:left="4" w:right="20" w:hanging="4"/>
        <w:spacing w:after="0" w:line="258" w:lineRule="auto"/>
        <w:tabs>
          <w:tab w:leader="none" w:pos="2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PSUs</w:t>
      </w:r>
      <w:r>
        <w:rPr>
          <w:rFonts w:ascii="Times New Roman" w:cs="Times New Roman" w:eastAsia="Times New Roman" w:hAnsi="Times New Roman"/>
          <w:sz w:val="18"/>
          <w:szCs w:val="18"/>
          <w:color w:val="auto"/>
        </w:rPr>
        <w:t>. Subject to the provisions of Sections 2, 3 and 8 of this Agreement and Section 11(b) of the Plan, the PSUs shall vest in accordance with the Performance Condition and vesting terms set forth in the Grant Letter. In the event of a Termination of Service of the Participant prior to the date on which the PSUs otherwise becomes vested, the unvested portion of the PSUs shall immediately be forfeited by the Participant. Where, an installment of the PSUs vest and (if applicable) the number of ADSs comprised in that installment would otherwise include a fraction of an ADS, the number of ADSs that vest on that occasion will be calculated on such basis as the Company reasonably determines.</w:t>
      </w:r>
    </w:p>
    <w:p>
      <w:pPr>
        <w:spacing w:after="0" w:line="75"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PSUs</w:t>
      </w:r>
      <w:r>
        <w:rPr>
          <w:rFonts w:ascii="Times New Roman" w:cs="Times New Roman" w:eastAsia="Times New Roman" w:hAnsi="Times New Roman"/>
          <w:sz w:val="18"/>
          <w:szCs w:val="18"/>
          <w:color w:val="auto"/>
        </w:rPr>
        <w:t>. Unless and until the PSUs have vested in the manner set forth herein, the Participant will have no right to receive Shares under any such PSUs. Prior to actual payment of any vested PSUs, such PSUs will represent an unsecured obligation of the Company, payable (if at all) only from the general assets of the Company. In consideration of the grant of the Award of PSUs pursuant hereto, the Participant agrees to render faithful and efficient services to the Company or any Subsidiary.</w:t>
      </w:r>
    </w:p>
    <w:p>
      <w:pPr>
        <w:spacing w:after="0" w:line="71" w:lineRule="exact"/>
        <w:rPr>
          <w:rFonts w:ascii="Times New Roman" w:cs="Times New Roman" w:eastAsia="Times New Roman" w:hAnsi="Times New Roman"/>
          <w:sz w:val="18"/>
          <w:szCs w:val="18"/>
          <w:color w:val="auto"/>
        </w:rPr>
      </w:pPr>
    </w:p>
    <w:p>
      <w:pPr>
        <w:ind w:left="4" w:right="20" w:hanging="4"/>
        <w:spacing w:after="0" w:line="282" w:lineRule="auto"/>
        <w:tabs>
          <w:tab w:leader="none" w:pos="2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Upon Death or Disability</w:t>
      </w:r>
      <w:r>
        <w:rPr>
          <w:rFonts w:ascii="Times New Roman" w:cs="Times New Roman" w:eastAsia="Times New Roman" w:hAnsi="Times New Roman"/>
          <w:sz w:val="18"/>
          <w:szCs w:val="18"/>
          <w:color w:val="auto"/>
        </w:rPr>
        <w:t>. Notwithstanding the foregoing, in the event of the Participant’s death or Termination of Service as a consequence of his or her Disability, the next unvested portion of the PSUs that would have vested but for such event shall fully vest on the date of such event.</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 of an Award shall not be construed as giving the Participant the right to be retained in the employ of, or to continue to provide services to, the Company or any Affiliate. The receipt of an Award is not intended to confer any rights on the receiving Participant except as set forth in the applicable award agreement.</w:t>
      </w:r>
    </w:p>
    <w:p>
      <w:pPr>
        <w:spacing w:after="0" w:line="67" w:lineRule="exact"/>
        <w:rPr>
          <w:rFonts w:ascii="Times New Roman" w:cs="Times New Roman" w:eastAsia="Times New Roman" w:hAnsi="Times New Roman"/>
          <w:sz w:val="18"/>
          <w:szCs w:val="18"/>
          <w:color w:val="auto"/>
        </w:rPr>
      </w:pPr>
    </w:p>
    <w:p>
      <w:pPr>
        <w:ind w:left="4" w:right="20" w:hanging="4"/>
        <w:spacing w:after="0" w:line="282"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Future Awards</w:t>
      </w:r>
      <w:r>
        <w:rPr>
          <w:rFonts w:ascii="Times New Roman" w:cs="Times New Roman" w:eastAsia="Times New Roman" w:hAnsi="Times New Roman"/>
          <w:sz w:val="18"/>
          <w:szCs w:val="18"/>
          <w:color w:val="auto"/>
        </w:rPr>
        <w:t>. Any Award shall be a one-time Award that does not constitute a promise of future grants. The Company, in its sole discretion, maintains the right to make available future grants under the Plan.</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Share.</w:t>
      </w:r>
      <w:r>
        <w:rPr>
          <w:rFonts w:ascii="Times New Roman" w:cs="Times New Roman" w:eastAsia="Times New Roman" w:hAnsi="Times New Roman"/>
          <w:sz w:val="18"/>
          <w:szCs w:val="18"/>
          <w:color w:val="auto"/>
        </w:rPr>
        <w:t xml:space="preserve"> The Company will not be obligated to deliver any ADSs under this Agreement or remove restrictions from Shares and/or ADSs delivered under the Plan until (i) as determined by the Company, all legal matters regarding the issuance and delivery of such ADSs have been satisfied, including any applicable securities laws and stock exchange or stock market rules and regulations, and (ii)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ADSs as to which such requisite authority has not been obtained.</w:t>
      </w:r>
    </w:p>
    <w:p>
      <w:pPr>
        <w:spacing w:after="0" w:line="81" w:lineRule="exact"/>
        <w:rPr>
          <w:sz w:val="20"/>
          <w:szCs w:val="20"/>
          <w:color w:val="auto"/>
        </w:rPr>
      </w:pPr>
    </w:p>
    <w:p>
      <w:pPr>
        <w:jc w:val="both"/>
        <w:ind w:left="4" w:right="20" w:hanging="4"/>
        <w:spacing w:after="0" w:line="256"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ADSs Upon Vesting of PSUs</w:t>
      </w:r>
      <w:r>
        <w:rPr>
          <w:rFonts w:ascii="Times New Roman" w:cs="Times New Roman" w:eastAsia="Times New Roman" w:hAnsi="Times New Roman"/>
          <w:sz w:val="18"/>
          <w:szCs w:val="18"/>
          <w:color w:val="auto"/>
        </w:rPr>
        <w:t>. As soon as administratively practicable following the vesting of any PSUs pursuant to Section 2 hereof, but in no event later than 60 days after such vesting date (for the avoidance of doubt, this deadline is intended to comply with the “short term deferral” exemption from Section 409A of the Code, to the extent applicable), the Company shall deliver to the Participant (or any transferee permitted hereunder) a number of ADSs equal to the number of PSUs subject to this Award that vest on the applicable vesting date. Notwithstanding the foregoing, in the event Shares cannot be issued pursuant to the Plan, the Shares shall be issued pursuant to the preceding sentence as soon as administratively practicable after the Committee determines that Shares can again be issued in accordance with the Plan.</w:t>
      </w:r>
    </w:p>
    <w:p>
      <w:pPr>
        <w:sectPr>
          <w:pgSz w:w="11900" w:h="16838" w:orient="portrait"/>
          <w:cols w:equalWidth="0" w:num="1">
            <w:col w:w="11024"/>
          </w:cols>
          <w:pgMar w:left="436" w:top="270" w:right="439" w:bottom="1440" w:gutter="0" w:footer="0" w:header="0"/>
        </w:sectPr>
      </w:pPr>
    </w:p>
    <w:bookmarkStart w:id="12" w:name="page13"/>
    <w:bookmarkEnd w:id="12"/>
    <w:p>
      <w:pPr>
        <w:jc w:val="both"/>
        <w:ind w:left="4" w:right="20" w:hanging="4"/>
        <w:spacing w:after="0" w:line="261" w:lineRule="auto"/>
        <w:tabs>
          <w:tab w:leader="none" w:pos="1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of PSUs</w:t>
      </w:r>
      <w:r>
        <w:rPr>
          <w:rFonts w:ascii="Times New Roman" w:cs="Times New Roman" w:eastAsia="Times New Roman" w:hAnsi="Times New Roman"/>
          <w:sz w:val="18"/>
          <w:szCs w:val="18"/>
          <w:color w:val="auto"/>
        </w:rPr>
        <w:t>. Except as may be permitted by the Committee, neither this Award nor any right under this Award shall be assignable, alienable, saleable or transferable by the Participant other than by will or the applicable law of descent and distribution or to a Beneficiary. This provision shall not apply to any portion of the PSUs that has been fully settled in Shares and shall not preclude forfeiture of any portion of this Award accordance with the terms herein.</w:t>
      </w:r>
    </w:p>
    <w:p>
      <w:pPr>
        <w:spacing w:after="0" w:line="71"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ADS Issued upon Settlement of PSUs</w:t>
      </w:r>
      <w:r>
        <w:rPr>
          <w:rFonts w:ascii="Times New Roman" w:cs="Times New Roman" w:eastAsia="Times New Roman" w:hAnsi="Times New Roman"/>
          <w:sz w:val="18"/>
          <w:szCs w:val="18"/>
          <w:color w:val="auto"/>
        </w:rPr>
        <w:t>. To the extent that ADSs (or Shares, if ever applicable) are issued to the Participant which are not registered under the Securities Act of 1933 (as amended from time to time, and the rules, regulations and guidance thereunder) or other applicable securities law regime, the stock certificates evidencing such ADSs and/or Shares may bear such restrictive legend as the Company deems to be required or advisable under applicable law.</w:t>
      </w:r>
    </w:p>
    <w:p>
      <w:pPr>
        <w:spacing w:after="0" w:line="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Withholding Requirements; Sell to Cover</w:t>
      </w:r>
    </w:p>
    <w:p>
      <w:pPr>
        <w:spacing w:after="0" w:line="117" w:lineRule="exact"/>
        <w:rPr>
          <w:sz w:val="20"/>
          <w:szCs w:val="20"/>
          <w:color w:val="auto"/>
        </w:rPr>
      </w:pPr>
    </w:p>
    <w:p>
      <w:pPr>
        <w:jc w:val="both"/>
        <w:ind w:left="4" w:right="20" w:hanging="4"/>
        <w:spacing w:after="0" w:line="266" w:lineRule="auto"/>
        <w:tabs>
          <w:tab w:leader="none" w:pos="2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be solely responsible for any applicable taxes (including, without limitation, income and excise taxes) and penalties, and any interest that accrues thereon, as well as any par value obligations, that the Participant incurs in connection with the receipt, vesting or settlement of the PSUs.</w:t>
      </w:r>
    </w:p>
    <w:p>
      <w:pPr>
        <w:spacing w:after="0" w:line="67"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withhold any tax (or other governmental obligation) that becomes due with respect to the PSUs and take such action as it deems appropriate to ensure that all applicable withholding, income or other taxes or amounts, which are the sole and absolute responsibility of the Participant but which the Company or any subsidiary is required to withhold or collect, are withheld or collected from the Participant (such tax withholdings,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”)and, unless otherwise determined by the Committee, to the extent such withholding would not result in liability classification of any portion of the Award.</w:t>
      </w:r>
    </w:p>
    <w:p>
      <w:pPr>
        <w:spacing w:after="0" w:line="183"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18"/>
          <w:szCs w:val="18"/>
          <w:color w:val="auto"/>
        </w:rPr>
        <w:t>The Tax Obligations upon vesting and/or settlement of the ADSs shall be satisfied by using a Sell to Cover pursuant to the Grant Letter. The Company shall not be obligated to deliver any ADSs to Participant or Participant’s legal representative unless and until Participant or Participant’s legal representative shall have paid or otherwise satisfied in full the amount of all Tax Obligations applicable to the taxable income of Participant resulting from the grant or vesting of the PSUs or the issuance of ADSs. By accepting this award of PSUs, Participant has agreed to a Sell to Cover to satisfy any Tax Obligations calculated at up to the maximum statutory tax rate, as determined by the Company, and Participant hereby acknowledges and agrees:</w:t>
      </w:r>
    </w:p>
    <w:p>
      <w:pPr>
        <w:spacing w:after="0" w:line="89" w:lineRule="exact"/>
        <w:rPr>
          <w:sz w:val="20"/>
          <w:szCs w:val="20"/>
          <w:color w:val="auto"/>
        </w:rPr>
      </w:pPr>
    </w:p>
    <w:p>
      <w:pPr>
        <w:jc w:val="both"/>
        <w:ind w:left="964" w:hanging="532"/>
        <w:spacing w:after="0" w:line="255"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appoints the Agent as Participant’s agent and authorizes the Agent to (1) sell on the open market at the then prevailing market price(s), on Participant’s behalf, as soon as practicable on or after the date the ADSs are issued upon vesting of the PSUs, that number (rounded up to the next whole number) of the ADSs so issued necessary to generate proceeds to cover (x) any Tax Obligations incurred with respect to such vesting or issuance based on up to the maximum statutory tax rates, as determined by the Company, and</w:t>
      </w:r>
    </w:p>
    <w:p>
      <w:pPr>
        <w:spacing w:after="0" w:line="2" w:lineRule="exact"/>
        <w:rPr>
          <w:rFonts w:ascii="Times New Roman" w:cs="Times New Roman" w:eastAsia="Times New Roman" w:hAnsi="Times New Roman"/>
          <w:sz w:val="18"/>
          <w:szCs w:val="18"/>
          <w:color w:val="auto"/>
        </w:rPr>
      </w:pPr>
    </w:p>
    <w:p>
      <w:pPr>
        <w:ind w:left="964" w:right="20" w:firstLine="8"/>
        <w:spacing w:after="0" w:line="260" w:lineRule="auto"/>
        <w:tabs>
          <w:tab w:leader="none" w:pos="12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fees and commissions due to, or required to be collected by, the Agent with respect thereto and (2) in the Company’s discretion, apply any remaining funds to Participant’s applicable tax withholding or remit such remaining funds to Participant.</w:t>
      </w:r>
    </w:p>
    <w:p>
      <w:pPr>
        <w:spacing w:after="0" w:line="86"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authorizes the Company and the Agent to cooperate and communicate with one another to determine the number of ADSs that must be sold pursuant to the first subsection above.</w:t>
      </w:r>
    </w:p>
    <w:p>
      <w:pPr>
        <w:spacing w:after="0" w:line="67" w:lineRule="exact"/>
        <w:rPr>
          <w:rFonts w:ascii="Times New Roman" w:cs="Times New Roman" w:eastAsia="Times New Roman" w:hAnsi="Times New Roman"/>
          <w:sz w:val="18"/>
          <w:szCs w:val="18"/>
          <w:color w:val="auto"/>
        </w:rPr>
      </w:pPr>
    </w:p>
    <w:p>
      <w:pPr>
        <w:jc w:val="both"/>
        <w:ind w:left="964" w:hanging="532"/>
        <w:spacing w:after="0" w:line="256"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ADSs as provided in the first subsection above due to (1) a legal or contractual restriction applicable to the Participant or the Agent, (2) a market disruption or (3) rules governing order execution priority on the national exchange where the ADSs may be traded. In the event of the Agent’s inability to sell ADSs, Participant will continue to be responsible for the timely payment to the Company and/or its affiliates of all Tax Obligations that are required by applicable laws and regulations to be withheld.</w:t>
      </w:r>
    </w:p>
    <w:p>
      <w:pPr>
        <w:spacing w:after="0" w:line="9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other term or condition of this Section 6(b), the Agent will not be liable to Participant for</w:t>
      </w:r>
    </w:p>
    <w:p>
      <w:pPr>
        <w:spacing w:after="0" w:line="27" w:lineRule="exact"/>
        <w:rPr>
          <w:rFonts w:ascii="Times New Roman" w:cs="Times New Roman" w:eastAsia="Times New Roman" w:hAnsi="Times New Roman"/>
          <w:sz w:val="18"/>
          <w:szCs w:val="18"/>
          <w:color w:val="auto"/>
        </w:rPr>
      </w:pPr>
    </w:p>
    <w:p>
      <w:pPr>
        <w:ind w:left="96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86"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agrees to execute and deliver to the Agent any other agreements or documents as the Agent reasonably deems necessary or appropriate to carry out the purposes and intent of this Section 6(b). The Agent is a third-party beneficiary of this Section 6(b).</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6(b) shall terminate not later than the date on which all tax withholding and obligations arising in connection with the vesting and issuance of the PSUs have been satisfied.</w:t>
      </w:r>
    </w:p>
    <w:p>
      <w:pPr>
        <w:sectPr>
          <w:pgSz w:w="11900" w:h="16838" w:orient="portrait"/>
          <w:cols w:equalWidth="0" w:num="1">
            <w:col w:w="11024"/>
          </w:cols>
          <w:pgMar w:left="436" w:top="270" w:right="439" w:bottom="1440" w:gutter="0" w:footer="0" w:header="0"/>
        </w:sectPr>
      </w:pPr>
    </w:p>
    <w:bookmarkStart w:id="13" w:name="page14"/>
    <w:bookmarkEnd w:id="13"/>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Salary, Pensionable Earnings or Base Pay</w:t>
      </w:r>
      <w:r>
        <w:rPr>
          <w:rFonts w:ascii="Times New Roman" w:cs="Times New Roman" w:eastAsia="Times New Roman" w:hAnsi="Times New Roman"/>
          <w:sz w:val="18"/>
          <w:szCs w:val="18"/>
          <w:color w:val="auto"/>
        </w:rPr>
        <w:t>. The Participant acknowledges that the PSUs shall not be included in or deemed to be a part of</w:t>
      </w:r>
    </w:p>
    <w:p>
      <w:pPr>
        <w:spacing w:after="0" w:line="27" w:lineRule="exact"/>
        <w:rPr>
          <w:rFonts w:ascii="Times New Roman" w:cs="Times New Roman" w:eastAsia="Times New Roman" w:hAnsi="Times New Roman"/>
          <w:sz w:val="18"/>
          <w:szCs w:val="18"/>
          <w:color w:val="auto"/>
        </w:rPr>
      </w:pPr>
    </w:p>
    <w:p>
      <w:pPr>
        <w:jc w:val="both"/>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75" w:lineRule="exact"/>
        <w:rPr>
          <w:rFonts w:ascii="Times New Roman" w:cs="Times New Roman" w:eastAsia="Times New Roman" w:hAnsi="Times New Roman"/>
          <w:sz w:val="18"/>
          <w:szCs w:val="18"/>
          <w:color w:val="auto"/>
        </w:rPr>
      </w:pPr>
    </w:p>
    <w:p>
      <w:pPr>
        <w:ind w:left="4" w:right="20" w:hanging="4"/>
        <w:spacing w:after="0" w:line="284"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Recoupment/Clawback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Award (including any amounts or benefits arising from the PSUs) shall be subject to recoupment or “clawback” as may be required by applicable law, stock exchange rules or by any applicable Company policy or arrangement the Company has in place from time to time.</w:t>
      </w:r>
    </w:p>
    <w:p>
      <w:pPr>
        <w:spacing w:after="0" w:line="52" w:lineRule="exact"/>
        <w:rPr>
          <w:rFonts w:ascii="Times New Roman" w:cs="Times New Roman" w:eastAsia="Times New Roman" w:hAnsi="Times New Roman"/>
          <w:sz w:val="18"/>
          <w:szCs w:val="18"/>
          <w:color w:val="auto"/>
        </w:rPr>
      </w:pPr>
    </w:p>
    <w:p>
      <w:pPr>
        <w:ind w:left="4" w:right="20" w:hanging="4"/>
        <w:spacing w:after="0" w:line="282" w:lineRule="auto"/>
        <w:tabs>
          <w:tab w:leader="none" w:pos="1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References herein to rights and obligations of the Participant shall apply, where appropriate, to the Participant’s legal representative or estate without regard to whether specific reference to such legal representative or estate is contained in a particular provision of this Agreement.</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hanging="4"/>
        <w:spacing w:after="0" w:line="266"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Group plc, Legal Department, legal@mereobiopharma.com.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Participant:</w:t>
      </w:r>
    </w:p>
    <w:p>
      <w:pPr>
        <w:spacing w:after="0" w:line="11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At the Participant’s most recent address shown on the signature page of the Grant Letter, or at any other address which the Participant may specify in a notice delivered to the Company in the manner set forth herein.</w:t>
      </w:r>
    </w:p>
    <w:p>
      <w:pPr>
        <w:spacing w:after="0" w:line="54" w:lineRule="exact"/>
        <w:rPr>
          <w:sz w:val="20"/>
          <w:szCs w:val="20"/>
          <w:color w:val="auto"/>
        </w:rPr>
      </w:pPr>
    </w:p>
    <w:p>
      <w:pPr>
        <w:jc w:val="both"/>
        <w:ind w:left="4" w:right="20" w:hanging="4"/>
        <w:spacing w:after="0" w:line="261" w:lineRule="auto"/>
        <w:tabs>
          <w:tab w:leader="none" w:pos="2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7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or becomes or is deemed to be invalid, illegal or 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71"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xml:space="preserve">. No amendment or modification of any provision of this Agreement that has a material adverse effect on the Participant shall be effective unless signed in writing by or on behalf of the Company and the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79" w:lineRule="exact"/>
        <w:rPr>
          <w:rFonts w:ascii="Times New Roman" w:cs="Times New Roman" w:eastAsia="Times New Roman" w:hAnsi="Times New Roman"/>
          <w:sz w:val="18"/>
          <w:szCs w:val="18"/>
          <w:color w:val="auto"/>
        </w:rPr>
      </w:pPr>
    </w:p>
    <w:p>
      <w:pPr>
        <w:ind w:left="4" w:right="20" w:hanging="4"/>
        <w:spacing w:after="0" w:line="282"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right, remedy, obligation or liability arising hereunder or by reason hereof shall be assignable by the Participant.</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2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This Agreement shall inure to the benefit of 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ectPr>
          <w:pgSz w:w="11900" w:h="16838" w:orient="portrait"/>
          <w:cols w:equalWidth="0" w:num="1">
            <w:col w:w="11024"/>
          </w:cols>
          <w:pgMar w:left="436" w:top="270" w:right="439" w:bottom="1440" w:gutter="0" w:footer="0" w:header="0"/>
        </w:sectPr>
      </w:pPr>
    </w:p>
    <w:bookmarkStart w:id="14" w:name="page15"/>
    <w:bookmarkEnd w:id="14"/>
    <w:p>
      <w:pPr>
        <w:jc w:val="both"/>
        <w:ind w:left="4" w:hanging="4"/>
        <w:spacing w:after="0" w:line="284"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shall be governed by the laws of England and Wales. The Company, its Affiliates and the Participant irrevocably submit, in respect of any suit, action or proceeding related to this Agreement, to the exclusive jurisdiction of the competent courts in England and Wales.</w:t>
      </w:r>
    </w:p>
    <w:p>
      <w:pPr>
        <w:spacing w:after="0" w:line="52"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Undertaking; Acceptance</w:t>
      </w:r>
      <w:r>
        <w:rPr>
          <w:rFonts w:ascii="Times New Roman" w:cs="Times New Roman" w:eastAsia="Times New Roman" w:hAnsi="Times New Roman"/>
          <w:sz w:val="18"/>
          <w:szCs w:val="18"/>
          <w:color w:val="auto"/>
        </w:rPr>
        <w:t>. The Participant agrees to take whatever additional action and execute whatever additional documents the Company may deem necessary or advisable to carry out or give effect to any of the obligations or restrictions imposed on either the Participant or the PSUs pursuant to this Agreement (including making tax elections such as under section 431 of the UK’s Income Tax (Earnings and Pensions) Act or equivalent elections in any other jurisiction).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79" w:lineRule="exact"/>
        <w:rPr>
          <w:rFonts w:ascii="Times New Roman" w:cs="Times New Roman" w:eastAsia="Times New Roman" w:hAnsi="Times New Roman"/>
          <w:sz w:val="18"/>
          <w:szCs w:val="18"/>
          <w:color w:val="auto"/>
        </w:rPr>
      </w:pPr>
    </w:p>
    <w:p>
      <w:pPr>
        <w:jc w:val="both"/>
        <w:ind w:left="4" w:right="20" w:hanging="4"/>
        <w:spacing w:after="0" w:line="254"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the Company and the Participant that this Agreement shall be exempt from the requirements of Section 409A of the Code to the extent applicable. However, notwithstanding any other provision of the Plan or this Agreement, if at any time the Administrator determines that this Award (or any portion thereof) may be subject to Section 409A of the Code, the Administrator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the foregoing, the Participant hereby acknowledges and agrees that the Company shall in no event have any liability to Participant or any obligation to make any payment to Participant with respect to any tax, additional tax, interest or penalty that may be imposed on Participant under Section 409A of the Code.</w:t>
      </w:r>
    </w:p>
    <w:p>
      <w:pPr>
        <w:spacing w:after="0" w:line="80"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constitute one and the same instrument.</w:t>
      </w:r>
    </w:p>
    <w:p>
      <w:pPr>
        <w:spacing w:after="0" w:line="117" w:lineRule="exact"/>
        <w:rPr>
          <w:rFonts w:ascii="Times New Roman" w:cs="Times New Roman" w:eastAsia="Times New Roman" w:hAnsi="Times New Roman"/>
          <w:sz w:val="18"/>
          <w:szCs w:val="18"/>
          <w:color w:val="auto"/>
        </w:rPr>
      </w:pPr>
    </w:p>
    <w:p>
      <w:pPr>
        <w:ind w:left="4" w:right="20" w:hanging="4"/>
        <w:spacing w:after="0" w:line="282" w:lineRule="auto"/>
        <w:tabs>
          <w:tab w:leader="none" w:pos="2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Personal data relating to the PSUs may be collected, processed and transferred for any purpose relating to the operation of the Plan in compliance with any applicable laws and any data privacy notice and/or policies of any group member in force from time to time.</w:t>
      </w:r>
    </w:p>
    <w:p>
      <w:pPr>
        <w:spacing w:after="0" w:line="53" w:lineRule="exact"/>
        <w:rPr>
          <w:rFonts w:ascii="Times New Roman" w:cs="Times New Roman" w:eastAsia="Times New Roman" w:hAnsi="Times New Roman"/>
          <w:sz w:val="18"/>
          <w:szCs w:val="18"/>
          <w:color w:val="auto"/>
        </w:rPr>
      </w:pPr>
    </w:p>
    <w:p>
      <w:pPr>
        <w:ind w:left="4" w:right="20" w:hanging="4"/>
        <w:spacing w:after="0" w:line="282"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Financial Assistance</w:t>
      </w:r>
      <w:r>
        <w:rPr>
          <w:rFonts w:ascii="Times New Roman" w:cs="Times New Roman" w:eastAsia="Times New Roman" w:hAnsi="Times New Roman"/>
          <w:sz w:val="18"/>
          <w:szCs w:val="18"/>
          <w:color w:val="auto"/>
        </w:rPr>
        <w:t>. Neither the Company nor any subsidiary shall provide any financial assistance (directly or indirectly) to any person in order for them to acquire shares in the Company for the purposes of the Plan where this would be unlawful under applicable laws.</w:t>
      </w:r>
    </w:p>
    <w:p>
      <w:pPr>
        <w:spacing w:after="0" w:line="53"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 The holder of the PSUs shall not be, nor have any of the rights or privileges of, a shareholder of the Company, including, without limitation, voting rights and rights to dividends, in respect of the PSUs and any ADSs and/or Shares underlying the PSUs and deliverable hereunder unless and until such ADSs and/or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ADSs and/or Shares are issued, except as provided in the Plan.</w:t>
      </w:r>
    </w:p>
    <w:p>
      <w:pPr>
        <w:sectPr>
          <w:pgSz w:w="11900" w:h="16838" w:orient="portrait"/>
          <w:cols w:equalWidth="0" w:num="1">
            <w:col w:w="11024"/>
          </w:cols>
          <w:pgMar w:left="436" w:top="268"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EMPLOYEE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[_]-[_________]-202[_]</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set forth in this grant letter (the “</w:t>
      </w:r>
      <w:r>
        <w:rPr>
          <w:rFonts w:ascii="Times New Roman" w:cs="Times New Roman" w:eastAsia="Times New Roman" w:hAnsi="Times New Roman"/>
          <w:sz w:val="18"/>
          <w:szCs w:val="18"/>
          <w:b w:val="1"/>
          <w:bCs w:val="1"/>
          <w:color w:val="auto"/>
        </w:rPr>
        <w:t>Grant Letter</w:t>
      </w:r>
      <w:r>
        <w:rPr>
          <w:rFonts w:ascii="Times New Roman" w:cs="Times New Roman" w:eastAsia="Times New Roman" w:hAnsi="Times New Roman"/>
          <w:sz w:val="18"/>
          <w:szCs w:val="18"/>
          <w:color w:val="auto"/>
        </w:rPr>
        <w:t>”) and its Exhibit A below (the Grant Letter and Exhibit A constituting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Mereo BioPharma Group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(an employee of the Company) as of the Grant Date set forth below an Award of Restricted Stock Units (“RSUs”), whereby each RSU represents the conditional right to receive one ADS further to vesting. The RSUs are granted under and is subject to the Mereo BioPharma Group plc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Unless defined in this Agreement, capitalized terms shall have the meanings assigned to them in the Plan. The provisions of the Plan shall prevail in the event of a conflict with this Agreement and any descriptive materials provided to you.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 TERMS</w:t>
      </w:r>
    </w:p>
    <w:p>
      <w:pPr>
        <w:sectPr>
          <w:pgSz w:w="11900" w:h="16838" w:orient="portrait"/>
          <w:cols w:equalWidth="0" w:num="1">
            <w:col w:w="11020"/>
          </w:cols>
          <w:pgMar w:left="440" w:top="117" w:right="43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PARTICIPANT: </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ectPr>
          <w:pgSz w:w="11900" w:h="16838" w:orient="portrait"/>
          <w:cols w:equalWidth="0" w:num="2">
            <w:col w:w="1400" w:space="720"/>
            <w:col w:w="89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[_]-[_________]-202[_]</w:t>
      </w:r>
    </w:p>
    <w:p>
      <w:pPr>
        <w:spacing w:after="0" w:line="11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RSUs. Each RSU represents the conditional right to receive one American Depositary Share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further to vesting in</w:t>
      </w:r>
    </w:p>
    <w:p>
      <w:pPr>
        <w:sectPr>
          <w:pgSz w:w="11900" w:h="16838" w:orient="portrait"/>
          <w:cols w:equalWidth="0" w:num="1">
            <w:col w:w="11020"/>
          </w:cols>
          <w:pgMar w:left="440" w:top="117" w:right="4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terms of the Award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VESTING TERMS: </w:t>
      </w:r>
      <w:r>
        <w:rPr>
          <w:rFonts w:ascii="Times New Roman" w:cs="Times New Roman" w:eastAsia="Times New Roman" w:hAnsi="Times New Roman"/>
          <w:sz w:val="18"/>
          <w:szCs w:val="18"/>
          <w:color w:val="auto"/>
        </w:rPr>
        <w:t>Subject to the terms and conditions of this Agreement and you continuing to hold employment through each applicable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RSUs shall vest: (a) as to one third on the first anniversary of the date of grant (the “First Vesting Date”); and (b) thereafter in four equal six monthly installments following the First Vesting Date (each date, a “Vesting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understand that the terms of this award of RSUs explicitly include the following (a “</w:t>
      </w:r>
      <w:r>
        <w:rPr>
          <w:rFonts w:ascii="Times New Roman" w:cs="Times New Roman" w:eastAsia="Times New Roman" w:hAnsi="Times New Roman"/>
          <w:sz w:val="18"/>
          <w:szCs w:val="18"/>
          <w:b w:val="1"/>
          <w:bCs w:val="1"/>
          <w:u w:val="single" w:color="auto"/>
          <w:color w:val="auto"/>
        </w:rPr>
        <w:t>Sell to Cover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vesting of the RSUs and issuance of the resulting ADSs, the Company, on your behalf, will instruct the Company’s transfer agent (together with any other party the Company determines necessary to execute the Sell to Cover,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to sell that number of ADSs determined in accordance with Section 6(b)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review the above and the remainder of this Agreement and let us know if you have any questions about this Agreement, the RSUs or the Plan. You are advised to consult with your own tax advisors in respect of any tax consequences arising in connection with the RSUs.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have questions, please contact the Company’s General Counsel. If not, please provide your agreement to the terms of this Agreement via the acceptance page on the Shareworks portal.</w:t>
      </w:r>
    </w:p>
    <w:p>
      <w:pPr>
        <w:sectPr>
          <w:pgSz w:w="11900" w:h="16838" w:orient="portrait"/>
          <w:cols w:equalWidth="0" w:num="1">
            <w:col w:w="11020"/>
          </w:cols>
          <w:pgMar w:left="440" w:top="117" w:right="439" w:bottom="1440" w:gutter="0" w:footer="0" w:header="0"/>
          <w:type w:val="continuous"/>
        </w:sectPr>
      </w:pPr>
    </w:p>
    <w:bookmarkStart w:id="16" w:name="page17"/>
    <w:bookmarkEnd w:id="16"/>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MEREO BIOPHARMA GROUP PLC 2019 INCENTIVE PLAN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RESTRICTED STOCK UNIT AWARD AGREEMENT</w:t>
      </w:r>
    </w:p>
    <w:p>
      <w:pPr>
        <w:spacing w:after="0" w:line="203"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THIS AGREEMENT, made and entered into on the date of the Grant Letter, by and between Mereo BioPharma Group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individual listed in the Grant Letter as the Participant. This Agreement will not bind the Company unless it is accepted by the Participant via the acceptance page on the Shareworks portal.</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Participant has been granted an Award of RSUs under the Plan, a sub-plan of the Plan;</w:t>
      </w:r>
    </w:p>
    <w:p>
      <w:pPr>
        <w:spacing w:after="0" w:line="22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contained herein, and for other good and valuable consideration, the parties hereto agree as follows.</w:t>
      </w:r>
    </w:p>
    <w:p>
      <w:pPr>
        <w:spacing w:after="0" w:line="54" w:lineRule="exact"/>
        <w:rPr>
          <w:sz w:val="20"/>
          <w:szCs w:val="20"/>
          <w:color w:val="auto"/>
        </w:rPr>
      </w:pPr>
    </w:p>
    <w:p>
      <w:pPr>
        <w:jc w:val="both"/>
        <w:ind w:left="4" w:hanging="4"/>
        <w:spacing w:after="0" w:line="266"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 The Company hereby awards to the Participant that number of RSUs set forth in the Grant Letter. Each RSU represents the right to receive, upon vesting and settlement, one of ADS (“Share”), pursuant to the provisions of the Plan, the terms of which are incorporated herein (including the relevant provisions of the Plan (the “RSUs”).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It is understood and agreed that the Award of RSUs evidenced hereby is subject to the following terms and conditions:</w:t>
      </w:r>
    </w:p>
    <w:p>
      <w:pPr>
        <w:spacing w:after="0" w:line="117" w:lineRule="exact"/>
        <w:rPr>
          <w:sz w:val="20"/>
          <w:szCs w:val="20"/>
          <w:color w:val="auto"/>
        </w:rPr>
      </w:pPr>
    </w:p>
    <w:p>
      <w:pPr>
        <w:jc w:val="both"/>
        <w:ind w:left="4" w:hanging="4"/>
        <w:spacing w:after="0" w:line="258"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u w:val="single" w:color="auto"/>
          <w:color w:val="auto"/>
        </w:rPr>
        <w:t>esting of RSUs</w:t>
      </w:r>
      <w:r>
        <w:rPr>
          <w:rFonts w:ascii="Times New Roman" w:cs="Times New Roman" w:eastAsia="Times New Roman" w:hAnsi="Times New Roman"/>
          <w:sz w:val="18"/>
          <w:szCs w:val="18"/>
          <w:color w:val="auto"/>
        </w:rPr>
        <w:t>. Subject to the provisions of Sections 2, 3 and 8 of this Agreement and Section 11(b) of the Plan, the RSUs shall vest in accordance with the vesting schedule set forth in the Grant Letter. In the event of a Termination of Service of the Participant prior to the date on which the RSUs otherwise becomes vested, the unvested portion of the RSUs shall immediately be forfeited by the Participant. Where, an installment of the RSUs vest and (if applicable) the number of ADSs comprised in that installment would otherwise include a fraction of an ADS, the number of ADSs that vest on that occasion will be calculated on such basis as the Company reasonably determines.</w:t>
      </w:r>
    </w:p>
    <w:p>
      <w:pPr>
        <w:spacing w:after="0" w:line="75"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RSUs</w:t>
      </w:r>
      <w:r>
        <w:rPr>
          <w:rFonts w:ascii="Times New Roman" w:cs="Times New Roman" w:eastAsia="Times New Roman" w:hAnsi="Times New Roman"/>
          <w:sz w:val="18"/>
          <w:szCs w:val="18"/>
          <w:color w:val="auto"/>
        </w:rPr>
        <w:t>. Unless and until the RSUs have vested in the manner set forth herein, the Participant will have no right to receive Shares under any such RSUs. Prior to actual payment of any vested RSUs, such RSUs will represent an unsecured obligation of the Company, payable (if at all) only from the general assets of the Company. In consideration of the grant of the Award of RSUs pursuant hereto, the Participant agrees to render faithful and efficient services to the Company or any Subsidiary.</w:t>
      </w:r>
    </w:p>
    <w:p>
      <w:pPr>
        <w:spacing w:after="0" w:line="71" w:lineRule="exact"/>
        <w:rPr>
          <w:rFonts w:ascii="Times New Roman" w:cs="Times New Roman" w:eastAsia="Times New Roman" w:hAnsi="Times New Roman"/>
          <w:sz w:val="18"/>
          <w:szCs w:val="18"/>
          <w:color w:val="auto"/>
        </w:rPr>
      </w:pPr>
    </w:p>
    <w:p>
      <w:pPr>
        <w:ind w:left="4" w:right="20" w:hanging="4"/>
        <w:spacing w:after="0" w:line="282"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Upon Death or Disability</w:t>
      </w:r>
      <w:r>
        <w:rPr>
          <w:rFonts w:ascii="Times New Roman" w:cs="Times New Roman" w:eastAsia="Times New Roman" w:hAnsi="Times New Roman"/>
          <w:sz w:val="18"/>
          <w:szCs w:val="18"/>
          <w:color w:val="auto"/>
        </w:rPr>
        <w:t>. Notwithstanding the foregoing, in the event of the Participant’s death or Termination of Service as a consequence of his or her Disability, the next unvested portion of the RSUs that would have vested but for such event shall fully vest on the date of such event.</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 of an Award shall not be construed as giving the Participant the right to be retained in the employ of, or to continue to provide services to, the Company or any Affiliate. The receipt of an Award is not intended to confer any rights on the receiving Participant except as set forth in the applicable award agreement.</w:t>
      </w:r>
    </w:p>
    <w:p>
      <w:pPr>
        <w:spacing w:after="0" w:line="67" w:lineRule="exact"/>
        <w:rPr>
          <w:rFonts w:ascii="Times New Roman" w:cs="Times New Roman" w:eastAsia="Times New Roman" w:hAnsi="Times New Roman"/>
          <w:sz w:val="18"/>
          <w:szCs w:val="18"/>
          <w:color w:val="auto"/>
        </w:rPr>
      </w:pPr>
    </w:p>
    <w:p>
      <w:pPr>
        <w:ind w:left="4" w:right="20" w:hanging="4"/>
        <w:spacing w:after="0" w:line="282"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Future Awards</w:t>
      </w:r>
      <w:r>
        <w:rPr>
          <w:rFonts w:ascii="Times New Roman" w:cs="Times New Roman" w:eastAsia="Times New Roman" w:hAnsi="Times New Roman"/>
          <w:sz w:val="18"/>
          <w:szCs w:val="18"/>
          <w:color w:val="auto"/>
        </w:rPr>
        <w:t>. Any Award shall be a one-time Award that does not constitute a promise of future grants. The Company, in its sole discretion, maintains the right to make available future grants under the Plan.</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Share.</w:t>
      </w:r>
      <w:r>
        <w:rPr>
          <w:rFonts w:ascii="Times New Roman" w:cs="Times New Roman" w:eastAsia="Times New Roman" w:hAnsi="Times New Roman"/>
          <w:sz w:val="18"/>
          <w:szCs w:val="18"/>
          <w:color w:val="auto"/>
        </w:rPr>
        <w:t xml:space="preserve"> The Company will not be obligated to deliver any ADSs under this Agreement or remove restrictions from Shares and/or ADSs delivered under the Plan until (i) as determined by the Company, all legal matters regarding the issuance and delivery of such ADSs have been satisfied, including any applicable securities laws and stock exchange or stock market rules and regulations, and (ii)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ADSs as to which such requisite authority has not been obtained.</w:t>
      </w:r>
    </w:p>
    <w:p>
      <w:pPr>
        <w:spacing w:after="0" w:line="81" w:lineRule="exact"/>
        <w:rPr>
          <w:sz w:val="20"/>
          <w:szCs w:val="20"/>
          <w:color w:val="auto"/>
        </w:rPr>
      </w:pPr>
    </w:p>
    <w:p>
      <w:pPr>
        <w:jc w:val="both"/>
        <w:ind w:left="4" w:right="20" w:hanging="4"/>
        <w:spacing w:after="0" w:line="256" w:lineRule="auto"/>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ADSs Upon Vesting of RSUs</w:t>
      </w:r>
      <w:r>
        <w:rPr>
          <w:rFonts w:ascii="Times New Roman" w:cs="Times New Roman" w:eastAsia="Times New Roman" w:hAnsi="Times New Roman"/>
          <w:sz w:val="18"/>
          <w:szCs w:val="18"/>
          <w:color w:val="auto"/>
        </w:rPr>
        <w:t>. As soon as administratively practicable following the vesting of any RSUs pursuant to Section 2 hereof, but in no event later than 60 days after such vesting date (for the avoidance of doubt, this deadline is intended to comply with the “short term deferral” exemption from Section 409A of the Code, to the extent applicable), the Company shall deliver to the Participant (or any transferee permitted hereunder) a number of ADSs equal to the number of RSUs subject to this Award that vest on the applicable vesting date. Notwithstanding the foregoing, in the event ADSs cannot be issued pursuant to the Plan, the ADSs shall be issued pursuant to the preceding sentence as soon as administratively practicable after the Committee determines that ADSs can again be issued in accordance with the Plan.</w:t>
      </w:r>
    </w:p>
    <w:p>
      <w:pPr>
        <w:sectPr>
          <w:pgSz w:w="11900" w:h="16838" w:orient="portrait"/>
          <w:cols w:equalWidth="0" w:num="1">
            <w:col w:w="11024"/>
          </w:cols>
          <w:pgMar w:left="436" w:top="270" w:right="439" w:bottom="1440" w:gutter="0" w:footer="0" w:header="0"/>
        </w:sectPr>
      </w:pPr>
    </w:p>
    <w:bookmarkStart w:id="17" w:name="page18"/>
    <w:bookmarkEnd w:id="17"/>
    <w:p>
      <w:pPr>
        <w:jc w:val="both"/>
        <w:ind w:left="4" w:right="20" w:hanging="4"/>
        <w:spacing w:after="0" w:line="26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RSUs</w:t>
      </w:r>
      <w:r>
        <w:rPr>
          <w:rFonts w:ascii="Times New Roman" w:cs="Times New Roman" w:eastAsia="Times New Roman" w:hAnsi="Times New Roman"/>
          <w:sz w:val="18"/>
          <w:szCs w:val="18"/>
          <w:color w:val="auto"/>
        </w:rPr>
        <w:t>. Except as may be permitted by the Committee, neither this Award nor any right under this Award shall be assignable, alienable, saleable or transferable by the Participant other than by will or the applicable law of descent and distribution or to a Beneficiary. This provision shall not apply to any portion of the RSUs that has been fully settled in ADSs and shall not preclude forfeiture of any portion of this Award accordance with the terms herein.</w:t>
      </w:r>
    </w:p>
    <w:p>
      <w:pPr>
        <w:spacing w:after="0" w:line="71"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1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ADSs Issued upon Settlement of RSUs</w:t>
      </w:r>
      <w:r>
        <w:rPr>
          <w:rFonts w:ascii="Times New Roman" w:cs="Times New Roman" w:eastAsia="Times New Roman" w:hAnsi="Times New Roman"/>
          <w:sz w:val="18"/>
          <w:szCs w:val="18"/>
          <w:color w:val="auto"/>
        </w:rPr>
        <w:t>. To the extent that ADSs are issued to the Participant which are not registered under the Securities Act of 1933 (as amended from time to time, and the rules, regulations and guidance thereunder) or other applicable securities law regime, the stock certificates evidencing such ADSs may bear such restrictive legend as the Company deems to be required or advisable under applicable law.</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Withholding Requirements; Sell to Cover</w:t>
      </w:r>
    </w:p>
    <w:p>
      <w:pPr>
        <w:spacing w:after="0" w:line="117" w:lineRule="exact"/>
        <w:rPr>
          <w:sz w:val="20"/>
          <w:szCs w:val="20"/>
          <w:color w:val="auto"/>
        </w:rPr>
      </w:pPr>
    </w:p>
    <w:p>
      <w:pPr>
        <w:jc w:val="both"/>
        <w:ind w:left="4" w:right="20" w:hanging="4"/>
        <w:spacing w:after="0" w:line="266"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be solely responsible for any applicable taxes (including, without limitation, income and excise taxes) and penalties, and any interest that accrues thereon, as well as any par value obligations, that the Participant incurs in connection with the receipt, vesting or settlement of the RSUs.</w:t>
      </w:r>
    </w:p>
    <w:p>
      <w:pPr>
        <w:spacing w:after="0" w:line="6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withhold any tax (or other governmental obligation) that becomes due with respect to the RSUs and take such action as it deems appropriate to ensure that all applicable withholding, income or other taxes or amounts, which are the sole and absolute responsibility of the Participant but which the Company or any subsidiary is required to withhold or collect, are withheld or collected from the Participant (such tax withholdings,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and, unless otherwise determined by the Committee, to the extent such withholding would not result in liability classification of any portion of the Award. The Tax Obligations upon vesting and/or settlement of the ADSs shall be satisfied by using a Sell to Cover pursuant to the Grant Letter. The Company shall not be obligated to deliver any ADSs to Participant or Participant’s legal representative unless and until Participant or Participant’s legal representative shall have paid or otherwise satisfied in full the amount of all Tax Obligations applicable to the taxable income of Participant resulting from the grant or vesting of the RSUs or the issuance of ADSs. By accepting this award of RSUs, Participant has agreed to a Sell to Cover to satisfy any Tax Obligations calculated at up to the maximum statutory tax rate, as determined by the Company, and Participant hereby acknowledges and agrees:</w:t>
      </w:r>
    </w:p>
    <w:p>
      <w:pPr>
        <w:spacing w:after="0" w:line="99" w:lineRule="exact"/>
        <w:rPr>
          <w:rFonts w:ascii="Times New Roman" w:cs="Times New Roman" w:eastAsia="Times New Roman" w:hAnsi="Times New Roman"/>
          <w:sz w:val="18"/>
          <w:szCs w:val="18"/>
          <w:color w:val="auto"/>
        </w:rPr>
      </w:pPr>
    </w:p>
    <w:p>
      <w:pPr>
        <w:jc w:val="both"/>
        <w:ind w:left="964" w:hanging="532"/>
        <w:spacing w:after="0" w:line="255"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appoints the Agent as Participant’s agent and authorizes the Agent to (1) sell on the open market at the then prevailing market price(s), on Participant’s behalf, as soon as practicable on or after the date the ADSs are issued upon vesting of the RSUs, that number (rounded up to the next whole number) of the ADSs so issued necessary to generate proceeds to cover (x) any Tax Obligations incurred with respect to such vesting or issuance based on up to the maximum statutory tax rates, as determined by the Company, and</w:t>
      </w:r>
    </w:p>
    <w:p>
      <w:pPr>
        <w:spacing w:after="0" w:line="2" w:lineRule="exact"/>
        <w:rPr>
          <w:rFonts w:ascii="Times New Roman" w:cs="Times New Roman" w:eastAsia="Times New Roman" w:hAnsi="Times New Roman"/>
          <w:sz w:val="18"/>
          <w:szCs w:val="18"/>
          <w:color w:val="auto"/>
        </w:rPr>
      </w:pPr>
    </w:p>
    <w:p>
      <w:pPr>
        <w:ind w:left="964" w:right="20" w:firstLine="8"/>
        <w:spacing w:after="0" w:line="260" w:lineRule="auto"/>
        <w:tabs>
          <w:tab w:leader="none" w:pos="123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fees and commissions due to, or required to be collected by, the Agent with respect thereto and (2) in the Company’s discretion, apply any remaining funds to Participant’s applicable tax withholding or remit such remaining funds to Participant.</w:t>
      </w:r>
    </w:p>
    <w:p>
      <w:pPr>
        <w:spacing w:after="0" w:line="86"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authorizes the Company and the Agent to cooperate and communicate with one another to determine the number of ADSs that must be sold pursuant to the first subsection above.</w:t>
      </w:r>
    </w:p>
    <w:p>
      <w:pPr>
        <w:spacing w:after="0" w:line="67" w:lineRule="exact"/>
        <w:rPr>
          <w:rFonts w:ascii="Times New Roman" w:cs="Times New Roman" w:eastAsia="Times New Roman" w:hAnsi="Times New Roman"/>
          <w:sz w:val="18"/>
          <w:szCs w:val="18"/>
          <w:color w:val="auto"/>
        </w:rPr>
      </w:pPr>
    </w:p>
    <w:p>
      <w:pPr>
        <w:jc w:val="both"/>
        <w:ind w:left="964" w:hanging="532"/>
        <w:spacing w:after="0" w:line="25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ADSs as provided in the first subsection above due to (1) a legal or contractual restriction applicable to the Participant or the Agent, (2) a market disruption or (3) rules governing order execution priority on the national exchange where the ADSs may be traded. In the event of the Agent’s inability to sell ADSs, Participant will continue to be responsible for the timely payment to the Company and/or its affiliates of all Tax Obligations that are required by applicable laws and regulations to be withheld.</w:t>
      </w:r>
    </w:p>
    <w:p>
      <w:pPr>
        <w:spacing w:after="0" w:line="9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other term or condition of this Section 6(b), the Agent will not be liable to Participant for</w:t>
      </w:r>
    </w:p>
    <w:p>
      <w:pPr>
        <w:spacing w:after="0" w:line="27" w:lineRule="exact"/>
        <w:rPr>
          <w:rFonts w:ascii="Times New Roman" w:cs="Times New Roman" w:eastAsia="Times New Roman" w:hAnsi="Times New Roman"/>
          <w:sz w:val="18"/>
          <w:szCs w:val="18"/>
          <w:color w:val="auto"/>
        </w:rPr>
      </w:pPr>
    </w:p>
    <w:p>
      <w:pPr>
        <w:ind w:left="96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86"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agrees to execute and deliver to the Agent any other agreements or documents as the Agent reasonably deems necessary or appropriate to carry out the purposes and intent of this Section 6(b). The Agent is a third-party beneficiary of this Section 6(b).</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6(b) shall terminate not later than the date on which all tax withholding and obligations arising in connection with the vesting and issuance of the RSUs have been satisfied.</w:t>
      </w:r>
    </w:p>
    <w:p>
      <w:pPr>
        <w:sectPr>
          <w:pgSz w:w="11900" w:h="16838" w:orient="portrait"/>
          <w:cols w:equalWidth="0" w:num="1">
            <w:col w:w="11024"/>
          </w:cols>
          <w:pgMar w:left="436" w:top="270" w:right="439" w:bottom="1440" w:gutter="0" w:footer="0" w:header="0"/>
        </w:sectPr>
      </w:pPr>
    </w:p>
    <w:bookmarkStart w:id="18" w:name="page19"/>
    <w:bookmarkEnd w:id="18"/>
    <w:p>
      <w:pPr>
        <w:ind w:left="184" w:hanging="184"/>
        <w:spacing w:after="0"/>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Salary, Pensionable Earnings or Base Pay</w:t>
      </w:r>
      <w:r>
        <w:rPr>
          <w:rFonts w:ascii="Times New Roman" w:cs="Times New Roman" w:eastAsia="Times New Roman" w:hAnsi="Times New Roman"/>
          <w:sz w:val="18"/>
          <w:szCs w:val="18"/>
          <w:color w:val="auto"/>
        </w:rPr>
        <w:t>. The Participant acknowledges that the RSUs shall not be included in or deemed to be a part of</w:t>
      </w:r>
    </w:p>
    <w:p>
      <w:pPr>
        <w:spacing w:after="0" w:line="27" w:lineRule="exact"/>
        <w:rPr>
          <w:rFonts w:ascii="Times New Roman" w:cs="Times New Roman" w:eastAsia="Times New Roman" w:hAnsi="Times New Roman"/>
          <w:sz w:val="18"/>
          <w:szCs w:val="18"/>
          <w:color w:val="auto"/>
        </w:rPr>
      </w:pPr>
    </w:p>
    <w:p>
      <w:pPr>
        <w:jc w:val="both"/>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75" w:lineRule="exact"/>
        <w:rPr>
          <w:rFonts w:ascii="Times New Roman" w:cs="Times New Roman" w:eastAsia="Times New Roman" w:hAnsi="Times New Roman"/>
          <w:sz w:val="18"/>
          <w:szCs w:val="18"/>
          <w:color w:val="auto"/>
        </w:rPr>
      </w:pPr>
    </w:p>
    <w:p>
      <w:pPr>
        <w:ind w:left="4" w:right="20" w:hanging="4"/>
        <w:spacing w:after="0" w:line="284"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Recoupment/Clawback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Award (including any amounts or benefits arising from the RSUs) shall be subject to recoupment or “clawback” as may be required by applicable law, stock exchange rules or by any applicable Company policy or arrangement the Company has in place from time to time.</w:t>
      </w:r>
    </w:p>
    <w:p>
      <w:pPr>
        <w:spacing w:after="0" w:line="52" w:lineRule="exact"/>
        <w:rPr>
          <w:rFonts w:ascii="Times New Roman" w:cs="Times New Roman" w:eastAsia="Times New Roman" w:hAnsi="Times New Roman"/>
          <w:sz w:val="18"/>
          <w:szCs w:val="18"/>
          <w:color w:val="auto"/>
        </w:rPr>
      </w:pPr>
    </w:p>
    <w:p>
      <w:pPr>
        <w:ind w:left="4" w:right="20" w:hanging="4"/>
        <w:spacing w:after="0" w:line="282" w:lineRule="auto"/>
        <w:tabs>
          <w:tab w:leader="none" w:pos="1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References herein to rights and obligations of the Participant shall apply, where appropriate, to the Participant’s legal representative or estate without regard to whether specific reference to such legal representative or estate is contained in a particular provision of this Agreement.</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hanging="4"/>
        <w:spacing w:after="0" w:line="266" w:lineRule="auto"/>
        <w:tabs>
          <w:tab w:leader="none" w:pos="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Group plc, Legal Department, legal@mereobiopharma.com.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Participant:</w:t>
      </w:r>
    </w:p>
    <w:p>
      <w:pPr>
        <w:spacing w:after="0" w:line="11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At the Participant’s most recent address shown on the signature page of the Grant Letter, or at any other address which the Participant may specify in a notice delivered to the Company in the manner set forth herein.</w:t>
      </w:r>
    </w:p>
    <w:p>
      <w:pPr>
        <w:spacing w:after="0" w:line="54" w:lineRule="exact"/>
        <w:rPr>
          <w:sz w:val="20"/>
          <w:szCs w:val="20"/>
          <w:color w:val="auto"/>
        </w:rPr>
      </w:pPr>
    </w:p>
    <w:p>
      <w:pPr>
        <w:jc w:val="both"/>
        <w:ind w:left="4" w:right="20" w:hanging="4"/>
        <w:spacing w:after="0" w:line="261" w:lineRule="auto"/>
        <w:tabs>
          <w:tab w:leader="none" w:pos="2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7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or becomes or is deemed to be invalid, illegal or 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71"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xml:space="preserve">. No amendment or modification of any provision of this Agreement that has a material adverse effect on the Participant shall be effective unless signed in writing by or on behalf of the Company and the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79" w:lineRule="exact"/>
        <w:rPr>
          <w:rFonts w:ascii="Times New Roman" w:cs="Times New Roman" w:eastAsia="Times New Roman" w:hAnsi="Times New Roman"/>
          <w:sz w:val="18"/>
          <w:szCs w:val="18"/>
          <w:color w:val="auto"/>
        </w:rPr>
      </w:pPr>
    </w:p>
    <w:p>
      <w:pPr>
        <w:ind w:left="4" w:right="20" w:hanging="4"/>
        <w:spacing w:after="0" w:line="282"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right, remedy, obligation or liability arising hereunder or by reason hereof shall be assignable by the Participant.</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2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This Agreement shall inure to the benefit of 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ectPr>
          <w:pgSz w:w="11900" w:h="16838" w:orient="portrait"/>
          <w:cols w:equalWidth="0" w:num="1">
            <w:col w:w="11024"/>
          </w:cols>
          <w:pgMar w:left="436" w:top="270" w:right="439" w:bottom="1440" w:gutter="0" w:footer="0" w:header="0"/>
        </w:sectPr>
      </w:pPr>
    </w:p>
    <w:bookmarkStart w:id="19" w:name="page20"/>
    <w:bookmarkEnd w:id="19"/>
    <w:p>
      <w:pPr>
        <w:jc w:val="both"/>
        <w:ind w:left="4" w:right="20" w:hanging="4"/>
        <w:spacing w:after="0" w:line="315" w:lineRule="auto"/>
        <w:tabs>
          <w:tab w:leader="none" w:pos="25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This Agreement shall be governed by the laws of England and Wales. The Company, its Affiliates and the Participant irrevocably submit, in respect of any suit, action or proceeding related to this Agreement, to the exclusive jurisdiction of the competent courts in England and Wales.</w:t>
      </w:r>
    </w:p>
    <w:p>
      <w:pPr>
        <w:spacing w:after="0" w:line="28" w:lineRule="exact"/>
        <w:rPr>
          <w:rFonts w:ascii="Times New Roman" w:cs="Times New Roman" w:eastAsia="Times New Roman" w:hAnsi="Times New Roman"/>
          <w:sz w:val="17"/>
          <w:szCs w:val="17"/>
          <w:color w:val="auto"/>
        </w:rPr>
      </w:pPr>
    </w:p>
    <w:p>
      <w:pPr>
        <w:jc w:val="both"/>
        <w:ind w:left="4" w:hanging="4"/>
        <w:spacing w:after="0" w:line="256" w:lineRule="auto"/>
        <w:tabs>
          <w:tab w:leader="none" w:pos="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Undertaking; Acceptance</w:t>
      </w:r>
      <w:r>
        <w:rPr>
          <w:rFonts w:ascii="Times New Roman" w:cs="Times New Roman" w:eastAsia="Times New Roman" w:hAnsi="Times New Roman"/>
          <w:sz w:val="18"/>
          <w:szCs w:val="18"/>
          <w:color w:val="auto"/>
        </w:rPr>
        <w:t>. The Participant agrees to take whatever additional action and execute whatever additional documents the Company may deem necessary or advisable to carry out or give effect to any of the obligations or restrictions imposed on either the Participant or the RSUs pursuant to this Agreement (including making tax elections such as under section 431 of the UK’s Income Tax (Earnings and Pensions) Act or equivalent elections in any other jurisdiction).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79" w:lineRule="exact"/>
        <w:rPr>
          <w:rFonts w:ascii="Times New Roman" w:cs="Times New Roman" w:eastAsia="Times New Roman" w:hAnsi="Times New Roman"/>
          <w:sz w:val="18"/>
          <w:szCs w:val="18"/>
          <w:color w:val="auto"/>
        </w:rPr>
      </w:pPr>
    </w:p>
    <w:p>
      <w:pPr>
        <w:jc w:val="both"/>
        <w:ind w:left="4" w:right="20" w:hanging="4"/>
        <w:spacing w:after="0" w:line="254"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the Company and the Participant that this Agreement shall be exempt from the requirements of Section 409A of the Code to the extent applicable. However, notwithstanding any other provision of the Plan or this Agreement, if at any time the Administrator determines that this Award (or any portion thereof) may be subject to Section 409A of the Code, the Administrator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the foregoing, the Participant hereby acknowledges and agrees that the Company shall in no event have any liability to Participant or any obligation to make any payment to Participant with respect to any tax, additional tax, interest or penalty that may be imposed on Participant under Section 409A of the Code.</w:t>
      </w:r>
    </w:p>
    <w:p>
      <w:pPr>
        <w:spacing w:after="0" w:line="80"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constitute one and the same instrument.</w:t>
      </w:r>
    </w:p>
    <w:p>
      <w:pPr>
        <w:spacing w:after="0" w:line="117" w:lineRule="exact"/>
        <w:rPr>
          <w:rFonts w:ascii="Times New Roman" w:cs="Times New Roman" w:eastAsia="Times New Roman" w:hAnsi="Times New Roman"/>
          <w:sz w:val="18"/>
          <w:szCs w:val="18"/>
          <w:color w:val="auto"/>
        </w:rPr>
      </w:pPr>
    </w:p>
    <w:p>
      <w:pPr>
        <w:ind w:left="4" w:right="20" w:hanging="4"/>
        <w:spacing w:after="0" w:line="282" w:lineRule="auto"/>
        <w:tabs>
          <w:tab w:leader="none" w:pos="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Personal data relating to the RSUs may be collected, processed and transferred for any purpose relating to the operation of the Plan in compliance with any applicable laws and any data privacy notice and/or policies of any group member in force from time to time.</w:t>
      </w:r>
    </w:p>
    <w:p>
      <w:pPr>
        <w:spacing w:after="0" w:line="53" w:lineRule="exact"/>
        <w:rPr>
          <w:rFonts w:ascii="Times New Roman" w:cs="Times New Roman" w:eastAsia="Times New Roman" w:hAnsi="Times New Roman"/>
          <w:sz w:val="18"/>
          <w:szCs w:val="18"/>
          <w:color w:val="auto"/>
        </w:rPr>
      </w:pPr>
    </w:p>
    <w:p>
      <w:pPr>
        <w:ind w:left="4" w:right="20" w:hanging="4"/>
        <w:spacing w:after="0" w:line="282"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Financial Assistance</w:t>
      </w:r>
      <w:r>
        <w:rPr>
          <w:rFonts w:ascii="Times New Roman" w:cs="Times New Roman" w:eastAsia="Times New Roman" w:hAnsi="Times New Roman"/>
          <w:sz w:val="18"/>
          <w:szCs w:val="18"/>
          <w:color w:val="auto"/>
        </w:rPr>
        <w:t>. Neither the Company nor any subsidiary shall provide any financial assistance (directly or indirectly) to any person in order for them to acquire shares in the Company for the purposes of the Plan where this would be unlawful under applicable laws.</w:t>
      </w:r>
    </w:p>
    <w:p>
      <w:pPr>
        <w:spacing w:after="0" w:line="53"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3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 The holder of the RSUs shall not be, nor have any of the rights or privileges of, a shareholder of the Company, including, without limitation, voting rights and rights to dividends, in respect of the RSUs and any ADSs and/or Shares underlying the RSUs and deliverable hereunder unless and until such ADSs and/or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ADSs and/or Shares are issued, except as provided in the Plan.</w:t>
      </w:r>
    </w:p>
    <w:p>
      <w:pPr>
        <w:sectPr>
          <w:pgSz w:w="11900" w:h="16838" w:orient="portrait"/>
          <w:cols w:equalWidth="0" w:num="1">
            <w:col w:w="11024"/>
          </w:cols>
          <w:pgMar w:left="436" w:top="268"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6844"/>
        <w:spacing w:after="0"/>
        <w:rPr>
          <w:sz w:val="20"/>
          <w:szCs w:val="20"/>
          <w:color w:val="auto"/>
        </w:rPr>
      </w:pPr>
      <w:r>
        <w:rPr>
          <w:rFonts w:ascii="Times New Roman" w:cs="Times New Roman" w:eastAsia="Times New Roman" w:hAnsi="Times New Roman"/>
          <w:sz w:val="14"/>
          <w:szCs w:val="14"/>
          <w:color w:val="auto"/>
        </w:rPr>
        <w:t>99 Bishopsgate</w:t>
      </w:r>
    </w:p>
    <w:p>
      <w:pPr>
        <w:ind w:left="6844"/>
        <w:spacing w:after="0" w:line="226" w:lineRule="auto"/>
        <w:rPr>
          <w:sz w:val="20"/>
          <w:szCs w:val="20"/>
          <w:color w:val="auto"/>
        </w:rPr>
      </w:pPr>
      <w:r>
        <w:rPr>
          <w:rFonts w:ascii="Times New Roman" w:cs="Times New Roman" w:eastAsia="Times New Roman" w:hAnsi="Times New Roman"/>
          <w:sz w:val="14"/>
          <w:szCs w:val="14"/>
          <w:color w:val="auto"/>
        </w:rPr>
        <w:t>London EC2M 3XF</w:t>
      </w:r>
    </w:p>
    <w:p>
      <w:pPr>
        <w:ind w:left="6844"/>
        <w:spacing w:after="0" w:line="222" w:lineRule="auto"/>
        <w:rPr>
          <w:sz w:val="20"/>
          <w:szCs w:val="20"/>
          <w:color w:val="auto"/>
        </w:rPr>
      </w:pPr>
      <w:r>
        <w:rPr>
          <w:rFonts w:ascii="Times New Roman" w:cs="Times New Roman" w:eastAsia="Times New Roman" w:hAnsi="Times New Roman"/>
          <w:sz w:val="14"/>
          <w:szCs w:val="14"/>
          <w:color w:val="auto"/>
        </w:rPr>
        <w:t>United Kingdom</w:t>
      </w:r>
    </w:p>
    <w:p>
      <w:pPr>
        <w:ind w:left="6844"/>
        <w:spacing w:after="0" w:line="221" w:lineRule="auto"/>
        <w:rPr>
          <w:sz w:val="20"/>
          <w:szCs w:val="20"/>
          <w:color w:val="auto"/>
        </w:rPr>
      </w:pPr>
      <w:r>
        <w:rPr>
          <w:rFonts w:ascii="Times New Roman" w:cs="Times New Roman" w:eastAsia="Times New Roman" w:hAnsi="Times New Roman"/>
          <w:sz w:val="14"/>
          <w:szCs w:val="14"/>
          <w:color w:val="auto"/>
        </w:rPr>
        <w:t>Tel: +44(0)20.7710.1000 Fax: +44(0)20.7374.4460</w:t>
      </w:r>
    </w:p>
    <w:p>
      <w:pPr>
        <w:ind w:left="6844"/>
        <w:spacing w:after="0"/>
        <w:rPr>
          <w:sz w:val="20"/>
          <w:szCs w:val="20"/>
          <w:color w:val="auto"/>
        </w:rPr>
      </w:pPr>
      <w:r>
        <w:rPr>
          <w:rFonts w:ascii="Times New Roman" w:cs="Times New Roman" w:eastAsia="Times New Roman" w:hAnsi="Times New Roman"/>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2065655"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065655" cy="197485"/>
                    </a:xfrm>
                    <a:prstGeom prst="rect">
                      <a:avLst/>
                    </a:prstGeom>
                    <a:noFill/>
                  </pic:spPr>
                </pic:pic>
              </a:graphicData>
            </a:graphic>
          </wp:anchor>
        </w:drawing>
      </w:r>
    </w:p>
    <w:p>
      <w:pPr>
        <w:spacing w:after="0" w:line="8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4400" w:type="dxa"/>
            <w:vAlign w:val="bottom"/>
            <w:gridSpan w:val="2"/>
          </w:tcPr>
          <w:p>
            <w:pPr>
              <w:ind w:left="2380"/>
              <w:spacing w:after="0"/>
              <w:rPr>
                <w:sz w:val="20"/>
                <w:szCs w:val="20"/>
                <w:color w:val="auto"/>
              </w:rPr>
            </w:pPr>
            <w:r>
              <w:rPr>
                <w:rFonts w:ascii="Times New Roman" w:cs="Times New Roman" w:eastAsia="Times New Roman" w:hAnsi="Times New Roman"/>
                <w:sz w:val="14"/>
                <w:szCs w:val="14"/>
                <w:color w:val="auto"/>
              </w:rPr>
              <w:t>FIRM / AFFILIATE OFFICES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Austin</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Milan</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Beijing</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Boston</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0" w:type="dxa"/>
            <w:vAlign w:val="bottom"/>
          </w:tcPr>
          <w:p>
            <w:pPr>
              <w:spacing w:after="0"/>
              <w:rPr>
                <w:sz w:val="1"/>
                <w:szCs w:val="1"/>
                <w:color w:val="auto"/>
              </w:rPr>
            </w:pPr>
          </w:p>
        </w:tc>
      </w:tr>
      <w:tr>
        <w:trPr>
          <w:trHeight w:val="148"/>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 January 2023</w:t>
            </w: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Brussels</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Orange County</w:t>
            </w:r>
          </w:p>
        </w:tc>
        <w:tc>
          <w:tcPr>
            <w:tcW w:w="0" w:type="dxa"/>
            <w:vAlign w:val="bottom"/>
          </w:tcPr>
          <w:p>
            <w:pPr>
              <w:spacing w:after="0"/>
              <w:rPr>
                <w:sz w:val="1"/>
                <w:szCs w:val="1"/>
                <w:color w:val="auto"/>
              </w:rPr>
            </w:pPr>
          </w:p>
        </w:tc>
      </w:tr>
      <w:tr>
        <w:trPr>
          <w:trHeight w:val="158"/>
        </w:trPr>
        <w:tc>
          <w:tcPr>
            <w:tcW w:w="4460" w:type="dxa"/>
            <w:vAlign w:val="bottom"/>
            <w:vMerge w:val="continue"/>
          </w:tcPr>
          <w:p>
            <w:pPr>
              <w:spacing w:after="0"/>
              <w:rPr>
                <w:sz w:val="13"/>
                <w:szCs w:val="13"/>
                <w:color w:val="auto"/>
              </w:rPr>
            </w:pPr>
          </w:p>
        </w:tc>
        <w:tc>
          <w:tcPr>
            <w:tcW w:w="3240" w:type="dxa"/>
            <w:vAlign w:val="bottom"/>
          </w:tcPr>
          <w:p>
            <w:pPr>
              <w:ind w:left="2380"/>
              <w:spacing w:after="0" w:line="158" w:lineRule="exact"/>
              <w:rPr>
                <w:sz w:val="20"/>
                <w:szCs w:val="20"/>
                <w:color w:val="auto"/>
              </w:rPr>
            </w:pPr>
            <w:r>
              <w:rPr>
                <w:rFonts w:ascii="Times New Roman" w:cs="Times New Roman" w:eastAsia="Times New Roman" w:hAnsi="Times New Roman"/>
                <w:sz w:val="14"/>
                <w:szCs w:val="14"/>
                <w:color w:val="auto"/>
              </w:rPr>
              <w:t>Century City</w:t>
            </w:r>
          </w:p>
        </w:tc>
        <w:tc>
          <w:tcPr>
            <w:tcW w:w="11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3240" w:type="dxa"/>
            <w:vAlign w:val="bottom"/>
          </w:tcPr>
          <w:p>
            <w:pPr>
              <w:ind w:left="2380"/>
              <w:spacing w:after="0" w:line="139" w:lineRule="exact"/>
              <w:rPr>
                <w:sz w:val="20"/>
                <w:szCs w:val="20"/>
                <w:color w:val="auto"/>
              </w:rPr>
            </w:pPr>
            <w:r>
              <w:rPr>
                <w:rFonts w:ascii="Times New Roman" w:cs="Times New Roman" w:eastAsia="Times New Roman" w:hAnsi="Times New Roman"/>
                <w:sz w:val="14"/>
                <w:szCs w:val="14"/>
                <w:color w:val="auto"/>
              </w:rPr>
              <w:t>Chicago</w:t>
            </w:r>
          </w:p>
        </w:tc>
        <w:tc>
          <w:tcPr>
            <w:tcW w:w="11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Riyadh*</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Dubai</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San Diego</w:t>
            </w:r>
          </w:p>
        </w:tc>
        <w:tc>
          <w:tcPr>
            <w:tcW w:w="0" w:type="dxa"/>
            <w:vAlign w:val="bottom"/>
          </w:tcPr>
          <w:p>
            <w:pPr>
              <w:spacing w:after="0"/>
              <w:rPr>
                <w:sz w:val="1"/>
                <w:szCs w:val="1"/>
                <w:color w:val="auto"/>
              </w:rPr>
            </w:pPr>
          </w:p>
        </w:tc>
      </w:tr>
      <w:tr>
        <w:trPr>
          <w:trHeight w:val="148"/>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Mereo BioPharma Group plc</w:t>
            </w: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Düsseldorf</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San Francisco</w:t>
            </w:r>
          </w:p>
        </w:tc>
        <w:tc>
          <w:tcPr>
            <w:tcW w:w="0" w:type="dxa"/>
            <w:vAlign w:val="bottom"/>
          </w:tcPr>
          <w:p>
            <w:pPr>
              <w:spacing w:after="0"/>
              <w:rPr>
                <w:sz w:val="1"/>
                <w:szCs w:val="1"/>
                <w:color w:val="auto"/>
              </w:rPr>
            </w:pPr>
          </w:p>
        </w:tc>
      </w:tr>
      <w:tr>
        <w:trPr>
          <w:trHeight w:val="148"/>
        </w:trPr>
        <w:tc>
          <w:tcPr>
            <w:tcW w:w="4460" w:type="dxa"/>
            <w:vAlign w:val="bottom"/>
            <w:vMerge w:val="continue"/>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Frankfurt</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64"/>
        </w:trPr>
        <w:tc>
          <w:tcPr>
            <w:tcW w:w="44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4th Floor</w:t>
            </w:r>
          </w:p>
        </w:tc>
        <w:tc>
          <w:tcPr>
            <w:tcW w:w="324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Hamburg</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Shanghai</w:t>
            </w:r>
          </w:p>
        </w:tc>
        <w:tc>
          <w:tcPr>
            <w:tcW w:w="0" w:type="dxa"/>
            <w:vAlign w:val="bottom"/>
          </w:tcPr>
          <w:p>
            <w:pPr>
              <w:spacing w:after="0"/>
              <w:rPr>
                <w:sz w:val="1"/>
                <w:szCs w:val="1"/>
                <w:color w:val="auto"/>
              </w:rPr>
            </w:pPr>
          </w:p>
        </w:tc>
      </w:tr>
      <w:tr>
        <w:trPr>
          <w:trHeight w:val="133"/>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One Cavendish Place</w:t>
            </w:r>
          </w:p>
        </w:tc>
        <w:tc>
          <w:tcPr>
            <w:tcW w:w="3240" w:type="dxa"/>
            <w:vAlign w:val="bottom"/>
          </w:tcPr>
          <w:p>
            <w:pPr>
              <w:ind w:left="2380"/>
              <w:spacing w:after="0" w:line="133" w:lineRule="exact"/>
              <w:rPr>
                <w:sz w:val="20"/>
                <w:szCs w:val="20"/>
                <w:color w:val="auto"/>
              </w:rPr>
            </w:pPr>
            <w:r>
              <w:rPr>
                <w:rFonts w:ascii="Times New Roman" w:cs="Times New Roman" w:eastAsia="Times New Roman" w:hAnsi="Times New Roman"/>
                <w:sz w:val="14"/>
                <w:szCs w:val="14"/>
                <w:color w:val="auto"/>
              </w:rPr>
              <w:t>Hong Kong</w:t>
            </w:r>
          </w:p>
        </w:tc>
        <w:tc>
          <w:tcPr>
            <w:tcW w:w="116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Silicon Valley</w:t>
            </w:r>
          </w:p>
        </w:tc>
        <w:tc>
          <w:tcPr>
            <w:tcW w:w="0" w:type="dxa"/>
            <w:vAlign w:val="bottom"/>
          </w:tcPr>
          <w:p>
            <w:pPr>
              <w:spacing w:after="0"/>
              <w:rPr>
                <w:sz w:val="1"/>
                <w:szCs w:val="1"/>
                <w:color w:val="auto"/>
              </w:rPr>
            </w:pPr>
          </w:p>
        </w:tc>
      </w:tr>
      <w:tr>
        <w:trPr>
          <w:trHeight w:val="148"/>
        </w:trPr>
        <w:tc>
          <w:tcPr>
            <w:tcW w:w="4460" w:type="dxa"/>
            <w:vAlign w:val="bottom"/>
            <w:vMerge w:val="continue"/>
          </w:tcPr>
          <w:p>
            <w:pPr>
              <w:spacing w:after="0"/>
              <w:rPr>
                <w:sz w:val="12"/>
                <w:szCs w:val="12"/>
                <w:color w:val="auto"/>
              </w:rPr>
            </w:pPr>
          </w:p>
        </w:tc>
        <w:tc>
          <w:tcPr>
            <w:tcW w:w="324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color w:val="auto"/>
              </w:rPr>
              <w:t>Houston</w:t>
            </w:r>
          </w:p>
        </w:tc>
        <w:tc>
          <w:tcPr>
            <w:tcW w:w="1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London W1G 0QF</w:t>
            </w:r>
          </w:p>
        </w:tc>
        <w:tc>
          <w:tcPr>
            <w:tcW w:w="324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London</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Tel Aviv</w:t>
            </w:r>
          </w:p>
        </w:tc>
        <w:tc>
          <w:tcPr>
            <w:tcW w:w="0" w:type="dxa"/>
            <w:vAlign w:val="bottom"/>
          </w:tcPr>
          <w:p>
            <w:pPr>
              <w:spacing w:after="0"/>
              <w:rPr>
                <w:sz w:val="1"/>
                <w:szCs w:val="1"/>
                <w:color w:val="auto"/>
              </w:rPr>
            </w:pPr>
          </w:p>
        </w:tc>
      </w:tr>
      <w:tr>
        <w:trPr>
          <w:trHeight w:val="99"/>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40" w:type="dxa"/>
            <w:vAlign w:val="bottom"/>
          </w:tcPr>
          <w:p>
            <w:pPr>
              <w:ind w:left="2380"/>
              <w:spacing w:after="0" w:line="99" w:lineRule="exact"/>
              <w:rPr>
                <w:sz w:val="20"/>
                <w:szCs w:val="20"/>
                <w:color w:val="auto"/>
              </w:rPr>
            </w:pPr>
            <w:r>
              <w:rPr>
                <w:rFonts w:ascii="Times New Roman" w:cs="Times New Roman" w:eastAsia="Times New Roman" w:hAnsi="Times New Roman"/>
                <w:sz w:val="11"/>
                <w:szCs w:val="11"/>
                <w:color w:val="auto"/>
              </w:rPr>
              <w:t>Los Angeles</w:t>
            </w:r>
          </w:p>
        </w:tc>
        <w:tc>
          <w:tcPr>
            <w:tcW w:w="1160" w:type="dxa"/>
            <w:vAlign w:val="bottom"/>
          </w:tcPr>
          <w:p>
            <w:pPr>
              <w:ind w:left="120"/>
              <w:spacing w:after="0" w:line="99" w:lineRule="exact"/>
              <w:rPr>
                <w:sz w:val="20"/>
                <w:szCs w:val="20"/>
                <w:color w:val="auto"/>
              </w:rPr>
            </w:pPr>
            <w:r>
              <w:rPr>
                <w:rFonts w:ascii="Times New Roman" w:cs="Times New Roman" w:eastAsia="Times New Roman" w:hAnsi="Times New Roman"/>
                <w:sz w:val="11"/>
                <w:szCs w:val="11"/>
                <w:color w:val="auto"/>
              </w:rPr>
              <w:t>Tokyo</w:t>
            </w:r>
          </w:p>
        </w:tc>
        <w:tc>
          <w:tcPr>
            <w:tcW w:w="0" w:type="dxa"/>
            <w:vAlign w:val="bottom"/>
          </w:tcPr>
          <w:p>
            <w:pPr>
              <w:spacing w:after="0"/>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324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Madrid</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Washington, D.C.</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Mereo BioPharma Group plc (the “Company”) – Registration Statement on Form S-8</w:t>
      </w:r>
    </w:p>
    <w:p>
      <w:pPr>
        <w:spacing w:after="0" w:line="229"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We have acted as English legal advisers to the Company, a public limited company incorporated in England and Wales,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As set out in the Registration Statement, it is proposed that up to 33,183,704 ordinary shares of the Company each having a nominal value of £0.003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may become issuable under the Mereo BioPharma Group plc 2019 Equity Incentive Plan (including the Mereo BioPharma Group plc 2019 Non-Employee Equity Incentive Plan, which is a sub-plan thereof) (the “</w:t>
      </w:r>
      <w:r>
        <w:rPr>
          <w:rFonts w:ascii="Times New Roman" w:cs="Times New Roman" w:eastAsia="Times New Roman" w:hAnsi="Times New Roman"/>
          <w:sz w:val="18"/>
          <w:szCs w:val="18"/>
          <w:b w:val="1"/>
          <w:bCs w:val="1"/>
          <w:color w:val="auto"/>
        </w:rPr>
        <w:t>2019 EIP</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44" w:hanging="544"/>
        <w:spacing w:after="0"/>
        <w:tabs>
          <w:tab w:leader="none" w:pos="54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instructions in this regard solely from the Company.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Defined terms and headings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1184" w:hanging="644"/>
        <w:spacing w:after="0" w:line="282" w:lineRule="auto"/>
        <w:tabs>
          <w:tab w:leader="none" w:pos="1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 w:right="100"/>
        <w:spacing w:after="0" w:line="236" w:lineRule="auto"/>
        <w:rPr>
          <w:sz w:val="20"/>
          <w:szCs w:val="20"/>
          <w:color w:val="auto"/>
        </w:rPr>
      </w:pPr>
      <w:r>
        <w:rPr>
          <w:rFonts w:ascii="Times New Roman" w:cs="Times New Roman" w:eastAsia="Times New Roman" w:hAnsi="Times New Roman"/>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*In cooperation with the Law Firm of Salman M. Al-Sudairi LLC</w:t>
      </w:r>
    </w:p>
    <w:p>
      <w:pPr>
        <w:sectPr>
          <w:pgSz w:w="11900" w:h="16838" w:orient="portrait"/>
          <w:cols w:equalWidth="0" w:num="1">
            <w:col w:w="11024"/>
          </w:cols>
          <w:pgMar w:left="436" w:top="117"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January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143129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431290" cy="1543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131" w:lineRule="exact"/>
        <w:rPr>
          <w:sz w:val="20"/>
          <w:szCs w:val="20"/>
          <w:color w:val="auto"/>
        </w:rPr>
      </w:pPr>
    </w:p>
    <w:p>
      <w:pPr>
        <w:ind w:left="1180" w:right="2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Companies House in respect of information available for inspection about the Company conducted on 24 January 2023 at 10:00 a.m.;</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the Central Registry of Winding Up Petitions, London on 24 January 2023 at 10:15 a.m. with respect to the Company (paragraphs 1.3(a) and 1.3(b)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180" w:hanging="644"/>
        <w:spacing w:after="0" w:line="286"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a meeting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held on 18 March 2022, at which it was resolved, inter alia, to adopt the current terms of reference for the remuneration committee (“</w:t>
      </w:r>
      <w:r>
        <w:rPr>
          <w:rFonts w:ascii="Times New Roman" w:cs="Times New Roman" w:eastAsia="Times New Roman" w:hAnsi="Times New Roman"/>
          <w:sz w:val="18"/>
          <w:szCs w:val="18"/>
          <w:b w:val="1"/>
          <w:bCs w:val="1"/>
          <w:color w:val="auto"/>
        </w:rPr>
        <w:t>Remuneration Committee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a meeting of the Board held on 4 April 2019, at which it was resolved, inter alia, to approve the 2019 EIP;</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2019 EIP (as amended on 13 February 2020 and 15 January 2021);</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as a private company dated 10 March 2015 and a copy of the certificate of incorporation on re-registration of the Company as a public company dated 3 June 2016;</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current articles of association of the Company which were adopted pursuant to a special resolution passed on 16 May 2022;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 as at 23 January 2022 and to be filed with the SEC on or around 24 January 2022.</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121"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81" w:lineRule="exact"/>
        <w:rPr>
          <w:sz w:val="20"/>
          <w:szCs w:val="20"/>
          <w:color w:val="auto"/>
        </w:rPr>
      </w:pPr>
    </w:p>
    <w:p>
      <w:pPr>
        <w:ind w:left="1180" w:right="20" w:hanging="644"/>
        <w:spacing w:after="0" w:line="282"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119" w:lineRule="exact"/>
        <w:rPr>
          <w:sz w:val="20"/>
          <w:szCs w:val="20"/>
          <w:color w:val="auto"/>
        </w:rPr>
      </w:pPr>
    </w:p>
    <w:p>
      <w:pPr>
        <w:jc w:val="both"/>
        <w:ind w:left="540" w:right="20"/>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is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ectPr>
          <w:pgSz w:w="11900" w:h="16838" w:orient="portrait"/>
          <w:cols w:equalWidth="0" w:num="1">
            <w:col w:w="11020"/>
          </w:cols>
          <w:pgMar w:left="440" w:top="263" w:right="43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January 2023</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43129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431290" cy="1543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44" w:hanging="544"/>
        <w:spacing w:after="0"/>
        <w:tabs>
          <w:tab w:leader="none" w:pos="54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132"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having become effective under the Securities Act and continuing to be so effective;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in a general meeting or within the Company’s articles of association duly and validly having resolved:</w:t>
      </w:r>
    </w:p>
    <w:p>
      <w:pPr>
        <w:spacing w:after="0" w:line="27" w:lineRule="exact"/>
        <w:rPr>
          <w:rFonts w:ascii="Times New Roman" w:cs="Times New Roman" w:eastAsia="Times New Roman" w:hAnsi="Times New Roman"/>
          <w:sz w:val="18"/>
          <w:szCs w:val="18"/>
          <w:color w:val="auto"/>
        </w:rPr>
      </w:pPr>
    </w:p>
    <w:p>
      <w:pPr>
        <w:jc w:val="both"/>
        <w:ind w:left="1184" w:right="20" w:firstLine="4"/>
        <w:spacing w:after="0" w:line="252" w:lineRule="auto"/>
        <w:tabs>
          <w:tab w:leader="none" w:pos="141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required, as an ordinary resolution, or within the Company’s articles of association, to authorise the Board pursuant to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to allot Shares, or to grant rights to subscribe for Shares, pursuant to the 2019 EIP;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95"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of authority to the Remuneration Committee having been validly effected (among other things, in accordance with the Company’s articles of association and the 2019 EIP);</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approved the 2019 EIP;</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granted the awards in respect of the Shares under the 2019 EIP;</w:t>
      </w:r>
    </w:p>
    <w:p>
      <w:pPr>
        <w:spacing w:after="0" w:line="67" w:lineRule="exact"/>
        <w:rPr>
          <w:rFonts w:ascii="Times New Roman" w:cs="Times New Roman" w:eastAsia="Times New Roman" w:hAnsi="Times New Roman"/>
          <w:sz w:val="18"/>
          <w:szCs w:val="18"/>
          <w:color w:val="auto"/>
        </w:rPr>
      </w:pPr>
    </w:p>
    <w:p>
      <w:pPr>
        <w:jc w:val="both"/>
        <w:ind w:left="1184" w:hanging="644"/>
        <w:spacing w:after="0" w:line="261" w:lineRule="auto"/>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resolved to allot and issue the Shares, or grant rights to subscribe for the Shares, at duly convened and quorate meetings of the Board or the Remuneration Committee or by way of duly passed written resolutions of the Board or the Remuneration Committee and such resolutions being in full force and effect and not having been rescinded or amended;</w:t>
      </w:r>
    </w:p>
    <w:p>
      <w:pPr>
        <w:spacing w:after="0" w:line="85" w:lineRule="exact"/>
        <w:rPr>
          <w:rFonts w:ascii="Times New Roman" w:cs="Times New Roman" w:eastAsia="Times New Roman" w:hAnsi="Times New Roman"/>
          <w:sz w:val="18"/>
          <w:szCs w:val="18"/>
          <w:color w:val="auto"/>
        </w:rPr>
      </w:pPr>
    </w:p>
    <w:p>
      <w:pPr>
        <w:jc w:val="both"/>
        <w:ind w:left="1184" w:hanging="644"/>
        <w:spacing w:after="0" w:line="258" w:lineRule="auto"/>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2019 EIP are duly authorised by all necessary corporate action as described in (e) above and duly granted or awarded and exercised in accordance with the requirements of law, the Company’s articles of association and the 2019 EIP (and the agreements and awards duly adopted thereunder and in accordance therewith); and</w:t>
      </w:r>
    </w:p>
    <w:p>
      <w:pPr>
        <w:spacing w:after="0" w:line="8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225" w:lineRule="exact"/>
        <w:rPr>
          <w:sz w:val="20"/>
          <w:szCs w:val="20"/>
          <w:color w:val="auto"/>
        </w:rPr>
      </w:pPr>
    </w:p>
    <w:p>
      <w:pPr>
        <w:jc w:val="both"/>
        <w:ind w:left="544"/>
        <w:spacing w:after="0" w:line="261" w:lineRule="auto"/>
        <w:rPr>
          <w:sz w:val="20"/>
          <w:szCs w:val="20"/>
          <w:color w:val="auto"/>
        </w:rPr>
      </w:pPr>
      <w:r>
        <w:rPr>
          <w:rFonts w:ascii="Times New Roman" w:cs="Times New Roman" w:eastAsia="Times New Roman" w:hAnsi="Times New Roman"/>
          <w:sz w:val="18"/>
          <w:szCs w:val="18"/>
          <w:color w:val="auto"/>
        </w:rPr>
        <w:t>it is our opinion that, as of today’s date, the Shares, if and when allotted and issued, registered in the name of the recipient in the register of members of the Company and delivered in accordance with the terms and conditions referred to above and/or in the 2019 EIP,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ectPr>
          <w:pgSz w:w="11900" w:h="16838" w:orient="portrait"/>
          <w:cols w:equalWidth="0" w:num="1">
            <w:col w:w="11024"/>
          </w:cols>
          <w:pgMar w:left="436" w:top="263" w:right="4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January 2023</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43129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431290" cy="1543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44" w:hanging="544"/>
        <w:spacing w:after="0"/>
        <w:tabs>
          <w:tab w:leader="none" w:pos="54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2019 EIP.</w:t>
      </w:r>
    </w:p>
    <w:p>
      <w:pPr>
        <w:spacing w:after="0" w:line="16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121" w:lineRule="exact"/>
        <w:rPr>
          <w:rFonts w:ascii="Times New Roman" w:cs="Times New Roman" w:eastAsia="Times New Roman" w:hAnsi="Times New Roman"/>
          <w:sz w:val="18"/>
          <w:szCs w:val="18"/>
          <w:b w:val="1"/>
          <w:bCs w:val="1"/>
          <w:color w:val="auto"/>
        </w:rPr>
      </w:pPr>
    </w:p>
    <w:p>
      <w:pPr>
        <w:jc w:val="both"/>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75"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LATHAM &amp; WATKINS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LATHAM &amp; WATKINS</w:t>
      </w:r>
    </w:p>
    <w:p>
      <w:pPr>
        <w:sectPr>
          <w:pgSz w:w="11900" w:h="16838" w:orient="portrait"/>
          <w:cols w:equalWidth="0" w:num="1">
            <w:col w:w="11024"/>
          </w:cols>
          <w:pgMar w:left="436" w:top="263"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31" w:lineRule="exact"/>
        <w:rPr>
          <w:sz w:val="20"/>
          <w:szCs w:val="20"/>
          <w:color w:val="auto"/>
        </w:rPr>
      </w:pPr>
    </w:p>
    <w:p>
      <w:pPr>
        <w:ind w:left="960" w:right="2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67"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1.3(g)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2019 EIP was validly adopted and remains in full force and effect and no alteration has been made or will be made to it prior to an Allotment Date;</w:t>
      </w:r>
    </w:p>
    <w:p>
      <w:pPr>
        <w:spacing w:after="0" w:line="67"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55"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proceedings and resolutions described in the minutes of the meetings of the Board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94" w:lineRule="exact"/>
        <w:rPr>
          <w:rFonts w:ascii="Times New Roman" w:cs="Times New Roman" w:eastAsia="Times New Roman" w:hAnsi="Times New Roman"/>
          <w:sz w:val="18"/>
          <w:szCs w:val="18"/>
          <w:color w:val="auto"/>
        </w:rPr>
      </w:pPr>
    </w:p>
    <w:p>
      <w:pPr>
        <w:jc w:val="both"/>
        <w:ind w:left="960" w:hanging="532"/>
        <w:spacing w:after="0" w:line="258"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88"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w:t>
      </w:r>
    </w:p>
    <w:p>
      <w:pPr>
        <w:sectPr>
          <w:pgSz w:w="11900" w:h="16838" w:orient="portrait"/>
          <w:cols w:equalWidth="0" w:num="1">
            <w:col w:w="11020"/>
          </w:cols>
          <w:pgMar w:left="440" w:top="266" w:right="439" w:bottom="1440" w:gutter="0" w:footer="0" w:header="0"/>
        </w:sectPr>
      </w:pPr>
    </w:p>
    <w:bookmarkStart w:id="25" w:name="page26"/>
    <w:bookmarkEnd w:id="25"/>
    <w:p>
      <w:pPr>
        <w:ind w:left="552"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entered the holder or holders thereof in the register of members of the Company showing that all such Shares shall have been fully paid up as to their nominal value and any premium thereon as at each Allotment Date;</w:t>
      </w:r>
    </w:p>
    <w:p>
      <w:pPr>
        <w:spacing w:after="0" w:line="67" w:lineRule="exact"/>
        <w:rPr>
          <w:sz w:val="20"/>
          <w:szCs w:val="20"/>
          <w:color w:val="auto"/>
        </w:rPr>
      </w:pPr>
    </w:p>
    <w:p>
      <w:pPr>
        <w:jc w:val="both"/>
        <w:ind w:left="532" w:right="20" w:hanging="532"/>
        <w:spacing w:after="0" w:line="261"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any allotment and issue of any Shares by the Company pursuant to the 2019 EIP, the recipient will have become entitled to such Shares under the terms of the 2019 EIP and such Shares will, where applicable, be fully vested each in accordance with the terms of the 2019 EIP and such recipient has or will have complied with all other requirements of the 2019 EIP in connection with the allotment and issue of such Shares;</w:t>
      </w:r>
    </w:p>
    <w:p>
      <w:pPr>
        <w:spacing w:after="0" w:line="85" w:lineRule="exact"/>
        <w:rPr>
          <w:rFonts w:ascii="Times New Roman" w:cs="Times New Roman" w:eastAsia="Times New Roman" w:hAnsi="Times New Roman"/>
          <w:sz w:val="18"/>
          <w:szCs w:val="18"/>
          <w:color w:val="auto"/>
        </w:rPr>
      </w:pPr>
    </w:p>
    <w:p>
      <w:pPr>
        <w:jc w:val="both"/>
        <w:ind w:left="532" w:hanging="532"/>
        <w:spacing w:after="0" w:line="26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have been made under the terms of the 2019 EIP, that the terms of all awards have not materially deviated from the terms set out in the 2019 EIP and that any Shares will be allotted and issued in accordance with the terms set out in the 2019 EIP and in accordance with the Company’s articles of association;</w:t>
      </w:r>
    </w:p>
    <w:p>
      <w:pPr>
        <w:spacing w:after="0" w:line="81" w:lineRule="exact"/>
        <w:rPr>
          <w:rFonts w:ascii="Times New Roman" w:cs="Times New Roman" w:eastAsia="Times New Roman" w:hAnsi="Times New Roman"/>
          <w:sz w:val="18"/>
          <w:szCs w:val="18"/>
          <w:color w:val="auto"/>
        </w:rPr>
      </w:pPr>
    </w:p>
    <w:p>
      <w:pPr>
        <w:jc w:val="both"/>
        <w:ind w:left="532" w:hanging="532"/>
        <w:spacing w:after="0" w:line="25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92" w:lineRule="exact"/>
        <w:rPr>
          <w:rFonts w:ascii="Times New Roman" w:cs="Times New Roman" w:eastAsia="Times New Roman" w:hAnsi="Times New Roman"/>
          <w:sz w:val="18"/>
          <w:szCs w:val="18"/>
          <w:color w:val="auto"/>
        </w:rPr>
      </w:pPr>
    </w:p>
    <w:p>
      <w:pPr>
        <w:jc w:val="both"/>
        <w:ind w:left="532" w:right="20" w:hanging="532"/>
        <w:spacing w:after="0" w:line="26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issue of Shares pursuant to the 2019 EIP or otherwise to an employee benefit trust, that such Shares will be allotted and issued in accordance with the terms of the 2019 EIP, the Company’s articles of association and the requirements of all applicable laws;</w:t>
      </w:r>
    </w:p>
    <w:p>
      <w:pPr>
        <w:spacing w:after="0" w:line="81"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shall be allotted or issued, or are or shall be committed to be allotted or issued, at a discount to their nominal value (whether in dollars or equivalent in any other currency);</w:t>
      </w:r>
    </w:p>
    <w:p>
      <w:pPr>
        <w:spacing w:after="0" w:line="67" w:lineRule="exact"/>
        <w:rPr>
          <w:rFonts w:ascii="Times New Roman" w:cs="Times New Roman" w:eastAsia="Times New Roman" w:hAnsi="Times New Roman"/>
          <w:sz w:val="18"/>
          <w:szCs w:val="18"/>
          <w:color w:val="auto"/>
        </w:rPr>
      </w:pPr>
    </w:p>
    <w:p>
      <w:pPr>
        <w:jc w:val="both"/>
        <w:ind w:left="532" w:right="20" w:hanging="532"/>
        <w:spacing w:after="0" w:line="258"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88"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Shares and administering the 2019 EIP, the Company is not carrying on a regulated activity for the purposes of section 19 of FSMA;</w:t>
      </w:r>
    </w:p>
    <w:p>
      <w:pPr>
        <w:spacing w:after="0" w:line="67" w:lineRule="exact"/>
        <w:rPr>
          <w:rFonts w:ascii="Times New Roman" w:cs="Times New Roman" w:eastAsia="Times New Roman" w:hAnsi="Times New Roman"/>
          <w:sz w:val="18"/>
          <w:szCs w:val="18"/>
          <w:color w:val="auto"/>
        </w:rPr>
      </w:pPr>
    </w:p>
    <w:p>
      <w:pPr>
        <w:jc w:val="both"/>
        <w:ind w:left="532" w:hanging="532"/>
        <w:spacing w:after="0" w:line="26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2019 EIP will be consistent with all such laws and regulations;</w:t>
      </w:r>
    </w:p>
    <w:p>
      <w:pPr>
        <w:spacing w:after="0" w:line="81"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2019 EIP and all obligations thereunder have been entered into, and the Shares will be allotted and issued, in good faith and on bona fide commercial terms and on arms’ length terms and for the purpose of carrying on the business of the Company and</w:t>
      </w:r>
    </w:p>
    <w:p>
      <w:pPr>
        <w:sectPr>
          <w:pgSz w:w="11900" w:h="16838" w:orient="portrait"/>
          <w:cols w:equalWidth="0" w:num="1">
            <w:col w:w="10592"/>
          </w:cols>
          <w:pgMar w:left="868" w:top="270" w:right="439" w:bottom="1440" w:gutter="0" w:footer="0" w:header="0"/>
        </w:sectPr>
      </w:pPr>
    </w:p>
    <w:bookmarkStart w:id="26" w:name="page27"/>
    <w:bookmarkEnd w:id="26"/>
    <w:p>
      <w:pPr>
        <w:ind w:left="552"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there are reasonable grounds for believing that the entry into of the 2019 EIP, and the allotment and issue of the Shares, will promote the success of the Company for the benefit of its members as a whole; and</w:t>
      </w:r>
    </w:p>
    <w:p>
      <w:pPr>
        <w:spacing w:after="0" w:line="67" w:lineRule="exact"/>
        <w:rPr>
          <w:sz w:val="20"/>
          <w:szCs w:val="20"/>
          <w:color w:val="auto"/>
        </w:rPr>
      </w:pPr>
    </w:p>
    <w:p>
      <w:pPr>
        <w:jc w:val="both"/>
        <w:ind w:left="532" w:hanging="532"/>
        <w:spacing w:after="0" w:line="253" w:lineRule="auto"/>
        <w:tabs>
          <w:tab w:leader="none" w:pos="5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 the liquidation, administration, winding-up,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ectPr>
          <w:pgSz w:w="11900" w:h="16838" w:orient="portrait"/>
          <w:cols w:equalWidth="0" w:num="1">
            <w:col w:w="10592"/>
          </w:cols>
          <w:pgMar w:left="868" w:top="270" w:right="4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31" w:lineRule="exact"/>
        <w:rPr>
          <w:sz w:val="20"/>
          <w:szCs w:val="20"/>
          <w:color w:val="auto"/>
        </w:rPr>
      </w:pPr>
    </w:p>
    <w:p>
      <w:pPr>
        <w:jc w:val="both"/>
        <w:ind w:left="960" w:hanging="532"/>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420" w:right="20" w:hanging="439"/>
        <w:spacing w:after="0" w:line="282"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65" w:lineRule="exact"/>
        <w:rPr>
          <w:rFonts w:ascii="Times New Roman" w:cs="Times New Roman" w:eastAsia="Times New Roman" w:hAnsi="Times New Roman"/>
          <w:sz w:val="18"/>
          <w:szCs w:val="18"/>
          <w:color w:val="auto"/>
        </w:rPr>
      </w:pPr>
    </w:p>
    <w:p>
      <w:pPr>
        <w:jc w:val="both"/>
        <w:ind w:left="1420" w:right="20" w:hanging="439"/>
        <w:spacing w:after="0" w:line="267"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relevant country or territory;</w:t>
      </w:r>
    </w:p>
    <w:p>
      <w:pPr>
        <w:spacing w:after="0" w:line="8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the compliance of the 2019 EIP, or the compliance of any award made under the 2019 EIP, with the rules or regulations of the NASDAQ Stock Market LLC or the rules or regulations of any other securities exchange that are applicable to the Company;</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5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relation to the legality, enforceability or validity of the 2019 EIP or any award agreement entered into pursuant to it. In particular, but without prejudice to the generality of the foregoing, we have assumed that the Shares to be allotted under the 2019 EIP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92"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under the 2019 EIP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ectPr>
          <w:pgSz w:w="11900" w:h="16838" w:orient="portrait"/>
          <w:cols w:equalWidth="0" w:num="1">
            <w:col w:w="11020"/>
          </w:cols>
          <w:pgMar w:left="440" w:top="266"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Mereo BioPharma Group plc of our report dated March 31, 2022, relating to the consolidated financial statements of Mereo BioPharma Group plc which appears in the Company’s Annual Report on Form 20-F, which is incorporated by reference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2023</w:t>
      </w:r>
    </w:p>
    <w:p>
      <w:pPr>
        <w:sectPr>
          <w:pgSz w:w="11900" w:h="16838" w:orient="portrait"/>
          <w:cols w:equalWidth="0" w:num="1">
            <w:col w:w="11020"/>
          </w:cols>
          <w:pgMar w:left="440" w:top="117"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Mereo BioPharma Group plc 2019 Equity Incentive Plan, as amended and the Mereo BioPharma Group plc 2019 Non-Employee Equity Incentive Plan, as amended, of Mereo BioPharma Group plc of our report dated March 31, 2021, with respect to the consolidated financial statements of Mereo BioPharma Group plc included in its Annual Report (Form 20-F) for the year ended December 31, 2021, filed with the Securities and Exchange Commission.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2023</w:t>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324"/>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17" w:lineRule="exact"/>
        <w:rPr>
          <w:sz w:val="20"/>
          <w:szCs w:val="20"/>
          <w:color w:val="auto"/>
        </w:rPr>
      </w:pPr>
    </w:p>
    <w:p>
      <w:pPr>
        <w:ind w:left="5144"/>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54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12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 Calculation or</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Security Class</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Carry Forward</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15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color w:val="auto"/>
                <w:w w:val="95"/>
              </w:rPr>
              <w:t>Security Type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Share(4)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6"/>
        </w:trPr>
        <w:tc>
          <w:tcPr>
            <w:tcW w:w="1540" w:type="dxa"/>
            <w:vAlign w:val="bottom"/>
            <w:tcBorders>
              <w:left w:val="single" w:sz="8" w:color="auto"/>
              <w:right w:val="single" w:sz="8" w:color="auto"/>
            </w:tcBorders>
          </w:tcPr>
          <w:p>
            <w:pPr>
              <w:jc w:val="center"/>
              <w:ind w:left="6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1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Ordinary</w:t>
            </w:r>
          </w:p>
        </w:tc>
        <w:tc>
          <w:tcPr>
            <w:tcW w:w="11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nominal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1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£0.003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1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4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per share</w:t>
            </w:r>
            <w:r>
              <w:rPr>
                <w:rFonts w:ascii="Times New Roman" w:cs="Times New Roman" w:eastAsia="Times New Roman" w:hAnsi="Times New Roman"/>
                <w:sz w:val="26"/>
                <w:szCs w:val="26"/>
                <w:color w:val="auto"/>
                <w:w w:val="95"/>
                <w:vertAlign w:val="superscript"/>
              </w:rPr>
              <w:t>(1)</w:t>
            </w:r>
          </w:p>
        </w:tc>
        <w:tc>
          <w:tcPr>
            <w:tcW w:w="11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7"/>
              </w:rPr>
              <w:t>Rule 457(h)</w:t>
            </w:r>
            <w:r>
              <w:rPr>
                <w:rFonts w:ascii="Times New Roman" w:cs="Times New Roman" w:eastAsia="Times New Roman" w:hAnsi="Times New Roman"/>
                <w:sz w:val="26"/>
                <w:szCs w:val="26"/>
                <w:color w:val="auto"/>
                <w:w w:val="97"/>
                <w:vertAlign w:val="superscript"/>
              </w:rPr>
              <w:t>(1)</w:t>
            </w:r>
          </w:p>
        </w:tc>
        <w:tc>
          <w:tcPr>
            <w:tcW w:w="11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33,183,704</w:t>
            </w:r>
            <w:r>
              <w:rPr>
                <w:rFonts w:ascii="Times New Roman" w:cs="Times New Roman" w:eastAsia="Times New Roman" w:hAnsi="Times New Roman"/>
                <w:sz w:val="26"/>
                <w:szCs w:val="26"/>
                <w:color w:val="auto"/>
                <w:vertAlign w:val="superscript"/>
              </w:rPr>
              <w:t>(3)</w:t>
            </w:r>
          </w:p>
        </w:tc>
        <w:tc>
          <w:tcPr>
            <w:tcW w:w="6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$0.17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$5,641,229.68</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32"/>
        </w:trPr>
        <w:tc>
          <w:tcPr>
            <w:tcW w:w="15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4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$5,641,229.68</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44"/>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44"/>
              <w:spacing w:after="0"/>
              <w:rPr>
                <w:sz w:val="20"/>
                <w:szCs w:val="20"/>
                <w:color w:val="auto"/>
              </w:rPr>
            </w:pPr>
            <w:r>
              <w:rPr>
                <w:rFonts w:ascii="Times New Roman" w:cs="Times New Roman" w:eastAsia="Times New Roman" w:hAnsi="Times New Roman"/>
                <w:sz w:val="18"/>
                <w:szCs w:val="18"/>
                <w:color w:val="auto"/>
                <w:w w:val="98"/>
              </w:rPr>
              <w:t>Net Fee Due</w:t>
            </w:r>
          </w:p>
        </w:tc>
        <w:tc>
          <w:tcPr>
            <w:tcW w:w="1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424"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333-249338 and 333-258824).</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is deemed to cover an indeterminate number of additional Ordinary Shares that may be offered or issued pursuant to the Plans to prevent dilution resulting from any share dividend, share split or other similar transaction.</w:t>
      </w:r>
    </w:p>
    <w:p>
      <w:pPr>
        <w:spacing w:after="0" w:line="81" w:lineRule="exact"/>
        <w:rPr>
          <w:rFonts w:ascii="Times New Roman" w:cs="Times New Roman" w:eastAsia="Times New Roman" w:hAnsi="Times New Roman"/>
          <w:sz w:val="18"/>
          <w:szCs w:val="18"/>
          <w:color w:val="auto"/>
        </w:rPr>
      </w:pPr>
    </w:p>
    <w:p>
      <w:pPr>
        <w:jc w:val="both"/>
        <w:ind w:left="424" w:right="2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Ordinary Shares issuable pursuant to the Mereo BioPharma Group plc 2019 Equity Incentive Plan, as amended on February 13, 2020 and January 15, 2021, and the Mereo BioPharma Group plc 2019 Non-Employee Equity Incentive Plan, as amended on February 13, 2020 and January 15, 2021 (collectively, the “Plans”), and (ii) Ordinary Shares issuable upon vesting of restricted stock units and performance based stock unit awards granted to employees and executives pursuant to and in accordance with the Plans.</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 $0.86, the average high and low sale price of the ADSs on the Nasdaq Global Market on January 18, 2023 divided by five to reflect the Ordinary Share to ADS ratio.</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Roman"/>
      <w:start w:val="1"/>
    </w:lvl>
  </w:abstractNum>
  <w:abstractNum w:abstractNumId="1">
    <w:nsid w:val="721DA317"/>
    <w:multiLevelType w:val="hybridMultilevel"/>
    <w:lvl w:ilvl="0">
      <w:lvlJc w:val="left"/>
      <w:lvlText w:val="(%1)"/>
      <w:numFmt w:val="lowerLetter"/>
      <w:start w:val="1"/>
    </w:lvl>
  </w:abstractNum>
  <w:abstractNum w:abstractNumId="2">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D1D5AE9"/>
    <w:multiLevelType w:val="hybridMultilevel"/>
    <w:lvl w:ilvl="0">
      <w:lvlJc w:val="left"/>
      <w:lvlText w:val="(%1)"/>
      <w:numFmt w:val="lowerRoman"/>
      <w:start w:val="3"/>
    </w:lvl>
  </w:abstractNum>
  <w:abstractNum w:abstractNumId="4">
    <w:nsid w:val="6763845E"/>
    <w:multiLevelType w:val="hybridMultilevel"/>
    <w:lvl w:ilvl="0">
      <w:lvlJc w:val="left"/>
      <w:lvlText w:val="%1"/>
      <w:numFmt w:val="lowerLetter"/>
      <w:start w:val="1"/>
    </w:lvl>
    <w:lvl w:ilvl="1">
      <w:lvlJc w:val="left"/>
      <w:lvlText w:val="(%2)"/>
      <w:numFmt w:val="decimal"/>
      <w:start w:val="2"/>
    </w:lvl>
  </w:abstractNum>
  <w:abstractNum w:abstractNumId="5">
    <w:nsid w:val="75A2A8D4"/>
    <w:multiLevelType w:val="hybridMultilevel"/>
    <w:lvl w:ilvl="0">
      <w:lvlJc w:val="left"/>
      <w:lvlText w:val="(%1)"/>
      <w:numFmt w:val="lowerLetter"/>
      <w:start w:val="2"/>
    </w:lvl>
    <w:lvl w:ilvl="1">
      <w:lvlJc w:val="left"/>
      <w:lvlText w:val="%2"/>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lvl w:ilvl="1">
      <w:lvlJc w:val="left"/>
      <w:lvlText w:val="(%2)"/>
      <w:numFmt w:val="decimal"/>
      <w:start w:val="1"/>
    </w:lvl>
  </w:abstractNum>
  <w:abstractNum w:abstractNumId="8">
    <w:nsid w:val="4353D0CD"/>
    <w:multiLevelType w:val="hybridMultilevel"/>
    <w:lvl w:ilvl="0">
      <w:lvlJc w:val="left"/>
      <w:lvlText w:val="(%1)"/>
      <w:numFmt w:val="lowerLetter"/>
      <w:start w:val="1"/>
    </w:lvl>
    <w:lvl w:ilvl="1">
      <w:lvlJc w:val="left"/>
      <w:lvlText w:val="(%2)"/>
      <w:numFmt w:val="decimal"/>
      <w:start w:val="2"/>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decimal"/>
      <w:start w:val="3"/>
    </w:lvl>
  </w:abstractNum>
  <w:abstractNum w:abstractNumId="13">
    <w:nsid w:val="2CA88611"/>
    <w:multiLevelType w:val="hybridMultilevel"/>
    <w:lvl w:ilvl="0">
      <w:lvlJc w:val="left"/>
      <w:lvlText w:val="%1."/>
      <w:numFmt w:val="decimal"/>
      <w:start w:val="4"/>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lvl w:ilvl="1">
      <w:lvlJc w:val="left"/>
      <w:lvlText w:val="(%2)"/>
      <w:numFmt w:val="lowerLetter"/>
      <w:start w:val="25"/>
    </w:lvl>
  </w:abstractNum>
  <w:abstractNum w:abstractNumId="16">
    <w:nsid w:val="3A95F874"/>
    <w:multiLevelType w:val="hybridMultilevel"/>
    <w:lvl w:ilvl="0">
      <w:lvlJc w:val="left"/>
      <w:lvlText w:val="%1."/>
      <w:numFmt w:val="decimal"/>
      <w:start w:val="7"/>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2"/>
    </w:lvl>
  </w:abstractNum>
  <w:abstractNum w:abstractNumId="19">
    <w:nsid w:val="7C3DBD3D"/>
    <w:multiLevelType w:val="hybridMultilevel"/>
    <w:lvl w:ilvl="0">
      <w:lvlJc w:val="left"/>
      <w:lvlText w:val="(%1)"/>
      <w:numFmt w:val="lowerLetter"/>
      <w:start w:val="7"/>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25"/>
    </w:lvl>
  </w:abstractNum>
  <w:abstractNum w:abstractNumId="25">
    <w:nsid w:val="614FD4A1"/>
    <w:multiLevelType w:val="hybridMultilevel"/>
    <w:lvl w:ilvl="0">
      <w:lvlJc w:val="left"/>
      <w:lvlText w:val="%1."/>
      <w:numFmt w:val="decimal"/>
      <w:start w:val="7"/>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2"/>
    </w:lvl>
  </w:abstractNum>
  <w:abstractNum w:abstractNumId="28">
    <w:nsid w:val="440BADFC"/>
    <w:multiLevelType w:val="hybridMultilevel"/>
    <w:lvl w:ilvl="0">
      <w:lvlJc w:val="left"/>
      <w:lvlText w:val="(%1)"/>
      <w:numFmt w:val="lowerLetter"/>
      <w:start w:val="7"/>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4">
    <w:nsid w:val="2463B9EA"/>
    <w:multiLevelType w:val="hybridMultilevel"/>
    <w:lvl w:ilvl="0">
      <w:lvlJc w:val="left"/>
      <w:lvlText w:val="%1."/>
      <w:numFmt w:val="decimal"/>
      <w:start w:val="3"/>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0"/>
    </w:lvl>
  </w:abstractNum>
  <w:abstractNum w:abstractNumId="37">
    <w:nsid w:val="2D517796"/>
    <w:multiLevelType w:val="hybridMultilevel"/>
    <w:lvl w:ilvl="0">
      <w:lvlJc w:val="left"/>
      <w:lvlText w:val="(%1)"/>
      <w:numFmt w:val="lowerLetter"/>
      <w:start w:val="19"/>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1"/>
    </w:lvl>
    <w:lvl w:ilvl="1">
      <w:lvlJc w:val="left"/>
      <w:lvlText w:val="(%2)"/>
      <w:numFmt w:val="lowerRoman"/>
      <w:start w:val="1"/>
    </w:lvl>
  </w:abstractNum>
  <w:abstractNum w:abstractNumId="40">
    <w:nsid w:val="3855585C"/>
    <w:multiLevelType w:val="hybridMultilevel"/>
    <w:lvl w:ilvl="0">
      <w:lvlJc w:val="left"/>
      <w:lvlText w:val="(%1)"/>
      <w:numFmt w:val="lowerLetter"/>
      <w:start w:val="3"/>
    </w:lvl>
    <w:lvl w:ilvl="1">
      <w:lvlJc w:val="left"/>
      <w:lvlText w:val="%2"/>
      <w:numFmt w:val="lowerRoman"/>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jpeg"/><Relationship Id="rId44" Type="http://schemas.openxmlformats.org/officeDocument/2006/relationships/image" Target="media/image30.png"/><Relationship Id="rId45" Type="http://schemas.openxmlformats.org/officeDocument/2006/relationships/image" Target="media/image31.jpeg"/><Relationship Id="rId46" Type="http://schemas.openxmlformats.org/officeDocument/2006/relationships/image" Target="media/image32.png"/><Relationship Id="rId47" Type="http://schemas.openxmlformats.org/officeDocument/2006/relationships/image" Target="media/image33.jpeg"/><Relationship Id="rId48" Type="http://schemas.openxmlformats.org/officeDocument/2006/relationships/image" Target="media/image34.png"/><Relationship Id="rId49" Type="http://schemas.openxmlformats.org/officeDocument/2006/relationships/image" Target="media/image35.jpe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18" Type="http://schemas.openxmlformats.org/officeDocument/2006/relationships/hyperlink" Target="http://www.sec.gov/ix?doc=/Archives/edgar/data/0001719714/000119312522091822/d237872d20f.htm" TargetMode="External"/><Relationship Id="rId19" Type="http://schemas.openxmlformats.org/officeDocument/2006/relationships/hyperlink" Target="http://www.sec.gov/ix?doc=/Archives/edgar/data/1719714/000119312522275845/d312548d6k.htm" TargetMode="External"/><Relationship Id="rId20" Type="http://schemas.openxmlformats.org/officeDocument/2006/relationships/hyperlink" Target="http://www.sec.gov/Archives/edgar/data/1719714/000119312518111700/d566514d8a12b.htm" TargetMode="External"/><Relationship Id="rId21" Type="http://schemas.openxmlformats.org/officeDocument/2006/relationships/hyperlink" Target="http://www.sec.gov/Archives/edgar/data/1719714/000119312521102416/d60415dex22.htm" TargetMode="External"/><Relationship Id="rId24" Type="http://schemas.openxmlformats.org/officeDocument/2006/relationships/hyperlink" Target="http://www.sec.gov/Archives/edgar/data/1719714/000119312519016112/d680874dex31.htm" TargetMode="External"/><Relationship Id="rId25" Type="http://schemas.openxmlformats.org/officeDocument/2006/relationships/hyperlink" Target="http://www.sec.gov/Archives/edgar/data/1719714/000119312521010098/d35302dex991.htm" TargetMode="External"/><Relationship Id="rId26" Type="http://schemas.openxmlformats.org/officeDocument/2006/relationships/hyperlink" Target="http://www.sec.gov/Archives/edgar/data/1719714/000119312522091822/d237872dex4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2023-01-24T15:38:03Z</dcterms:created>
  <dcterms:modified xsi:type="dcterms:W3CDTF">2023-01-24T15:38:03Z</dcterms:modified>
</cp:coreProperties>
</file>