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(Amendment No. )*</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Mereo BioPharma Group plc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Ordinary shares, nominal value £0.003 per ordinary share¹</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589492107²</w:t>
      </w:r>
    </w:p>
    <w:p>
      <w:pPr>
        <w:spacing w:after="0" w:line="166" w:lineRule="exact"/>
        <w:rPr>
          <w:sz w:val="24"/>
          <w:szCs w:val="24"/>
          <w:color w:val="auto"/>
        </w:rPr>
      </w:pPr>
    </w:p>
    <w:p>
      <w:pPr>
        <w:ind w:left="6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February 17,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14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179"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165"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166" w:lineRule="exact"/>
        <w:rPr>
          <w:sz w:val="24"/>
          <w:szCs w:val="24"/>
          <w:color w:val="auto"/>
        </w:rPr>
      </w:pPr>
    </w:p>
    <w:p>
      <w:pPr>
        <w:ind w:right="3459"/>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44" w:lineRule="exact"/>
        <w:rPr>
          <w:sz w:val="24"/>
          <w:szCs w:val="24"/>
          <w:color w:val="auto"/>
        </w:rPr>
      </w:pPr>
    </w:p>
    <w:p>
      <w:pPr>
        <w:ind w:right="2999"/>
        <w:spacing w:after="0" w:line="287"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ind w:right="1079"/>
        <w:spacing w:after="0" w:line="196" w:lineRule="auto"/>
        <w:rPr>
          <w:sz w:val="20"/>
          <w:szCs w:val="20"/>
          <w:color w:val="auto"/>
        </w:rPr>
      </w:pPr>
      <w:r>
        <w:rPr>
          <w:rFonts w:ascii="Arial" w:cs="Arial" w:eastAsia="Arial" w:hAnsi="Arial"/>
          <w:sz w:val="35"/>
          <w:szCs w:val="35"/>
          <w:color w:val="auto"/>
          <w:vertAlign w:val="superscript"/>
        </w:rPr>
        <w:t>1</w:t>
      </w:r>
      <w:r>
        <w:rPr>
          <w:rFonts w:ascii="Arial" w:cs="Arial" w:eastAsia="Arial" w:hAnsi="Arial"/>
          <w:sz w:val="22"/>
          <w:szCs w:val="22"/>
          <w:color w:val="auto"/>
        </w:rPr>
        <w:t>The holdings reported herein are held in the form of American Depositary Shares (“ADS”), which each represent five (5) ordinary shares, nominal value £0.003 per ordinary share of the Issuer (“Ordinary Shares”).</w:t>
      </w:r>
    </w:p>
    <w:p>
      <w:pPr>
        <w:spacing w:after="0" w:line="3" w:lineRule="exact"/>
        <w:rPr>
          <w:sz w:val="24"/>
          <w:szCs w:val="24"/>
          <w:color w:val="auto"/>
        </w:rPr>
      </w:pPr>
    </w:p>
    <w:p>
      <w:pPr>
        <w:spacing w:after="0"/>
        <w:rPr>
          <w:sz w:val="20"/>
          <w:szCs w:val="20"/>
          <w:color w:val="auto"/>
        </w:rPr>
      </w:pPr>
      <w:r>
        <w:rPr>
          <w:rFonts w:ascii="Arial" w:cs="Arial" w:eastAsia="Arial" w:hAnsi="Arial"/>
          <w:sz w:val="34"/>
          <w:szCs w:val="34"/>
          <w:color w:val="auto"/>
          <w:vertAlign w:val="superscript"/>
        </w:rPr>
        <w:t>2</w:t>
      </w:r>
      <w:r>
        <w:rPr>
          <w:rFonts w:ascii="Arial" w:cs="Arial" w:eastAsia="Arial" w:hAnsi="Arial"/>
          <w:sz w:val="21"/>
          <w:szCs w:val="21"/>
          <w:color w:val="auto"/>
        </w:rPr>
        <w:t>The CUSIP Number listed throughout this filing is the CUSIP assigned to the ADS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Asset Management, L.P.</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6,899,669*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6,899,669*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6,899,669*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 represented by amount in Row (9) 6.4%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*Consists of 6,899,669 American Depositary Shares, representing 34,498,345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Names of reporting persons  Point72 Capital Advisors, Inc.</w:t>
            </w:r>
          </w:p>
        </w:tc>
        <w:tc>
          <w:tcPr>
            <w:tcW w:w="2860" w:type="dxa"/>
            <w:vAlign w:val="bottom"/>
          </w:tcPr>
          <w:p>
            <w:pPr>
              <w:spacing w:after="0"/>
              <w:rPr>
                <w:sz w:val="23"/>
                <w:szCs w:val="23"/>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40" w:type="dxa"/>
            <w:vAlign w:val="bottom"/>
          </w:tcPr>
          <w:p>
            <w:pPr>
              <w:ind w:left="60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28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28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740" w:type="dxa"/>
            <w:vAlign w:val="bottom"/>
          </w:tcPr>
          <w:p>
            <w:pPr>
              <w:ind w:left="30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28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740" w:type="dxa"/>
            <w:vAlign w:val="bottom"/>
          </w:tcPr>
          <w:p>
            <w:pPr>
              <w:ind w:left="300"/>
              <w:spacing w:after="0"/>
              <w:rPr>
                <w:sz w:val="20"/>
                <w:szCs w:val="20"/>
                <w:color w:val="auto"/>
              </w:rPr>
            </w:pPr>
            <w:r>
              <w:rPr>
                <w:rFonts w:ascii="Arial" w:cs="Arial" w:eastAsia="Arial" w:hAnsi="Arial"/>
                <w:sz w:val="22"/>
                <w:szCs w:val="22"/>
                <w:color w:val="auto"/>
              </w:rPr>
              <w:t>6,899,669*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28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740" w:type="dxa"/>
            <w:vAlign w:val="bottom"/>
          </w:tcPr>
          <w:p>
            <w:pPr>
              <w:ind w:left="30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7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280" w:type="dxa"/>
            <w:vAlign w:val="bottom"/>
          </w:tcPr>
          <w:p>
            <w:pPr>
              <w:ind w:left="20"/>
              <w:spacing w:after="0"/>
              <w:rPr>
                <w:sz w:val="20"/>
                <w:szCs w:val="20"/>
                <w:color w:val="auto"/>
              </w:rPr>
            </w:pPr>
            <w:r>
              <w:rPr>
                <w:rFonts w:ascii="Arial" w:cs="Arial" w:eastAsia="Arial" w:hAnsi="Arial"/>
                <w:sz w:val="22"/>
                <w:szCs w:val="22"/>
                <w:color w:val="auto"/>
                <w:w w:val="91"/>
              </w:rPr>
              <w:t>Shared dispositive power</w:t>
            </w:r>
          </w:p>
        </w:tc>
        <w:tc>
          <w:tcPr>
            <w:tcW w:w="5740" w:type="dxa"/>
            <w:vAlign w:val="bottom"/>
          </w:tcPr>
          <w:p>
            <w:pPr>
              <w:ind w:left="80"/>
              <w:spacing w:after="0"/>
              <w:rPr>
                <w:sz w:val="20"/>
                <w:szCs w:val="20"/>
                <w:color w:val="auto"/>
              </w:rPr>
            </w:pPr>
            <w:r>
              <w:rPr>
                <w:rFonts w:ascii="Arial" w:cs="Arial" w:eastAsia="Arial" w:hAnsi="Arial"/>
                <w:sz w:val="22"/>
                <w:szCs w:val="22"/>
                <w:color w:val="auto"/>
              </w:rPr>
              <w:t>6,899,669*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280" w:type="dxa"/>
            <w:vAlign w:val="bottom"/>
          </w:tcPr>
          <w:p>
            <w:pPr>
              <w:ind w:left="100"/>
              <w:spacing w:after="0"/>
              <w:rPr>
                <w:sz w:val="20"/>
                <w:szCs w:val="20"/>
                <w:color w:val="auto"/>
              </w:rPr>
            </w:pPr>
            <w:r>
              <w:rPr>
                <w:rFonts w:ascii="Arial" w:cs="Arial" w:eastAsia="Arial" w:hAnsi="Arial"/>
                <w:sz w:val="22"/>
                <w:szCs w:val="22"/>
                <w:color w:val="auto"/>
                <w:w w:val="93"/>
              </w:rPr>
              <w:t>6,899,669* (see Item 4)</w:t>
            </w:r>
          </w:p>
        </w:tc>
        <w:tc>
          <w:tcPr>
            <w:tcW w:w="574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64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74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6.4%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 CO</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*Consists of 6,899,669 American Depositary Shares, representing 34,498,345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589492107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Steven A. Cohen</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6,899,669*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6,899,669*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6,899,669*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6.4%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IN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*Consists of 6,899,669 American Depositary Shares, representing 34,498,345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Mereo BioPharma Group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06" w:lineRule="exact"/>
        <w:rPr>
          <w:sz w:val="20"/>
          <w:szCs w:val="20"/>
          <w:color w:val="auto"/>
        </w:rPr>
      </w:pPr>
    </w:p>
    <w:p>
      <w:pPr>
        <w:ind w:right="4039"/>
        <w:spacing w:after="0" w:line="435" w:lineRule="auto"/>
        <w:rPr>
          <w:sz w:val="20"/>
          <w:szCs w:val="20"/>
          <w:color w:val="auto"/>
        </w:rPr>
      </w:pPr>
      <w:r>
        <w:rPr>
          <w:rFonts w:ascii="Arial" w:cs="Arial" w:eastAsia="Arial" w:hAnsi="Arial"/>
          <w:sz w:val="22"/>
          <w:szCs w:val="22"/>
          <w:color w:val="auto"/>
        </w:rPr>
        <w:t>4th Floor, One Cavendish Place, London, W1G 0QF, United Kingdom 2(a) Name of person filing:</w:t>
      </w:r>
    </w:p>
    <w:p>
      <w:pPr>
        <w:spacing w:after="0" w:line="1" w:lineRule="exact"/>
        <w:rPr>
          <w:sz w:val="20"/>
          <w:szCs w:val="20"/>
          <w:color w:val="auto"/>
        </w:rPr>
      </w:pPr>
    </w:p>
    <w:p>
      <w:pPr>
        <w:ind w:right="2779"/>
        <w:spacing w:after="0" w:line="273" w:lineRule="auto"/>
        <w:rPr>
          <w:sz w:val="20"/>
          <w:szCs w:val="20"/>
          <w:color w:val="auto"/>
        </w:rPr>
      </w:pPr>
      <w:r>
        <w:rPr>
          <w:rFonts w:ascii="Arial" w:cs="Arial" w:eastAsia="Arial" w:hAnsi="Arial"/>
          <w:sz w:val="19"/>
          <w:szCs w:val="19"/>
          <w:color w:val="auto"/>
        </w:rPr>
        <w:t>The holdings of the Issuer’s ordinary shares, nominal value £0.003 per share (“Ordinary Shares”) reported herein are held in the form of American Depositary Shares (“ADS”), which each represent five (5) Ordinary Shares. This statement is filed by: (i) Point72 Asset Management, L.P. (“Point72 Asset Management”) with respect to Ordinary Shares held, in the form of ADSs, by certain investment funds it manages; (ii) Point72 Capital Advisors, Inc. (“Point72 Capital Advisors Inc.”) with respect to Ordinary Shares held, in the form of ADSs, by certain investment funds managed by Point72 Asset Management; and (iii) Steven A. Cohen (“Mr. Cohen”) with respect to Ordinary Shares held, in the form of ADSs, beneficially owned by Point72 Asset Management and Point72 Capital Advisors Inc.</w:t>
      </w:r>
    </w:p>
    <w:p>
      <w:pPr>
        <w:spacing w:after="0" w:line="188" w:lineRule="exact"/>
        <w:rPr>
          <w:sz w:val="20"/>
          <w:szCs w:val="20"/>
          <w:color w:val="auto"/>
        </w:rPr>
      </w:pPr>
    </w:p>
    <w:p>
      <w:pPr>
        <w:ind w:right="3199"/>
        <w:spacing w:after="0" w:line="236" w:lineRule="auto"/>
        <w:rPr>
          <w:sz w:val="20"/>
          <w:szCs w:val="20"/>
          <w:color w:val="auto"/>
        </w:rPr>
      </w:pPr>
      <w:r>
        <w:rPr>
          <w:rFonts w:ascii="Arial" w:cs="Arial" w:eastAsia="Arial" w:hAnsi="Arial"/>
          <w:sz w:val="22"/>
          <w:szCs w:val="22"/>
          <w:color w:val="auto"/>
        </w:rPr>
        <w:t>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06" w:lineRule="exact"/>
        <w:rPr>
          <w:sz w:val="20"/>
          <w:szCs w:val="20"/>
          <w:color w:val="auto"/>
        </w:rPr>
      </w:pPr>
    </w:p>
    <w:p>
      <w:pPr>
        <w:jc w:val="both"/>
        <w:ind w:right="3619"/>
        <w:spacing w:after="0"/>
        <w:rPr>
          <w:sz w:val="20"/>
          <w:szCs w:val="20"/>
          <w:color w:val="auto"/>
        </w:rPr>
      </w:pPr>
      <w:r>
        <w:rPr>
          <w:rFonts w:ascii="Arial" w:cs="Arial" w:eastAsia="Arial" w:hAnsi="Arial"/>
          <w:sz w:val="22"/>
          <w:szCs w:val="22"/>
          <w:color w:val="auto"/>
        </w:rPr>
        <w:t>The address of the principal business office of Point72 Asset Management, Point72 Capital Advisors Inc., and Mr. Cohen is 72 Cummings Point Road, Stamford, CT 06902.</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06" w:lineRule="exact"/>
        <w:rPr>
          <w:sz w:val="20"/>
          <w:szCs w:val="20"/>
          <w:color w:val="auto"/>
        </w:rPr>
      </w:pPr>
    </w:p>
    <w:p>
      <w:pPr>
        <w:jc w:val="both"/>
        <w:ind w:right="3359"/>
        <w:spacing w:after="0" w:line="328" w:lineRule="auto"/>
        <w:rPr>
          <w:sz w:val="20"/>
          <w:szCs w:val="20"/>
          <w:color w:val="auto"/>
        </w:rPr>
      </w:pPr>
      <w:r>
        <w:rPr>
          <w:rFonts w:ascii="Arial" w:cs="Arial" w:eastAsia="Arial" w:hAnsi="Arial"/>
          <w:sz w:val="19"/>
          <w:szCs w:val="19"/>
          <w:color w:val="auto"/>
        </w:rPr>
        <w:t>Point72 Asset Management is a Delaware limited partnership. Point72 Capital Advisors Inc. is a Delaware corporation. Mr. Cohen is a United States citizen.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Ordinary Shares, nominal value £0.003 per ordinary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589492107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close of business on February 26,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Point72 Asset Management, L.P.</w:t>
      </w:r>
    </w:p>
    <w:p>
      <w:pPr>
        <w:ind w:left="300" w:hanging="292"/>
        <w:spacing w:after="0" w:line="238" w:lineRule="auto"/>
        <w:tabs>
          <w:tab w:leader="none" w:pos="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6,899,669*</w:t>
      </w:r>
    </w:p>
    <w:p>
      <w:pPr>
        <w:ind w:left="320" w:hanging="312"/>
        <w:spacing w:after="0" w:line="230"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6.4%</w:t>
      </w:r>
    </w:p>
    <w:p>
      <w:pPr>
        <w:ind w:left="300" w:hanging="292"/>
        <w:spacing w:after="0" w:line="230" w:lineRule="auto"/>
        <w:tabs>
          <w:tab w:leader="none" w:pos="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power to vote or to direct the vote: 6,899,669*</w:t>
      </w:r>
    </w:p>
    <w:p>
      <w:pPr>
        <w:ind w:left="380" w:hanging="372"/>
        <w:spacing w:after="0" w:line="230" w:lineRule="auto"/>
        <w:tabs>
          <w:tab w:leader="none" w:pos="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6,899,669*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2. Point72 Capital Advisors, Inc.</w:t>
      </w:r>
    </w:p>
    <w:p>
      <w:pPr>
        <w:ind w:left="300" w:hanging="292"/>
        <w:spacing w:after="0" w:line="238" w:lineRule="auto"/>
        <w:tabs>
          <w:tab w:leader="none" w:pos="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Amount beneficially owned: 6,899,669*</w:t>
      </w:r>
    </w:p>
    <w:p>
      <w:pPr>
        <w:ind w:left="320" w:hanging="312"/>
        <w:spacing w:after="0" w:line="230"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6.4%</w:t>
      </w:r>
    </w:p>
    <w:p>
      <w:pPr>
        <w:ind w:left="300" w:hanging="292"/>
        <w:spacing w:after="0" w:line="230" w:lineRule="auto"/>
        <w:tabs>
          <w:tab w:leader="none" w:pos="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tabs>
          <w:tab w:leader="none" w:pos="2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ectPr>
          <w:pgSz w:w="11900" w:h="16838" w:orient="portrait"/>
          <w:cols w:equalWidth="0" w:num="1">
            <w:col w:w="10139"/>
          </w:cols>
          <w:pgMar w:left="320" w:top="334" w:right="1440" w:bottom="0" w:gutter="0" w:footer="0" w:header="0"/>
        </w:sectPr>
      </w:pPr>
    </w:p>
    <w:bookmarkStart w:id="5" w:name="page6"/>
    <w:bookmarkEnd w:id="5"/>
    <w:p>
      <w:pPr>
        <w:ind w:left="320" w:hanging="312"/>
        <w:spacing w:after="0"/>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Shared power to vote or to direct the vote: 6,899,669*</w:t>
      </w:r>
    </w:p>
    <w:p>
      <w:pPr>
        <w:spacing w:after="0" w:line="8" w:lineRule="exact"/>
        <w:rPr>
          <w:rFonts w:ascii="Arial" w:cs="Arial" w:eastAsia="Arial" w:hAnsi="Arial"/>
          <w:sz w:val="22"/>
          <w:szCs w:val="22"/>
          <w:color w:val="auto"/>
        </w:rPr>
      </w:pPr>
    </w:p>
    <w:p>
      <w:pPr>
        <w:ind w:left="380" w:hanging="372"/>
        <w:spacing w:after="0" w:line="230" w:lineRule="auto"/>
        <w:tabs>
          <w:tab w:leader="none" w:pos="3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ind w:left="380" w:hanging="372"/>
        <w:spacing w:after="0"/>
        <w:tabs>
          <w:tab w:leader="none" w:pos="3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6,899,669*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3. Steven A. Cohen</w:t>
      </w:r>
    </w:p>
    <w:p>
      <w:pPr>
        <w:ind w:left="300" w:hanging="292"/>
        <w:spacing w:after="0" w:line="238" w:lineRule="auto"/>
        <w:tabs>
          <w:tab w:leader="none" w:pos="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6,899,669*</w:t>
      </w:r>
    </w:p>
    <w:p>
      <w:pPr>
        <w:ind w:left="320" w:hanging="312"/>
        <w:spacing w:after="0" w:line="230" w:lineRule="auto"/>
        <w:tabs>
          <w:tab w:leader="none" w:pos="3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6.4%</w:t>
      </w:r>
    </w:p>
    <w:p>
      <w:pPr>
        <w:ind w:left="300" w:hanging="292"/>
        <w:spacing w:after="0" w:line="230" w:lineRule="auto"/>
        <w:tabs>
          <w:tab w:leader="none" w:pos="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Shared power to vote or to direct the vote: 6,899,669*</w:t>
      </w:r>
    </w:p>
    <w:p>
      <w:pPr>
        <w:ind w:left="380" w:hanging="372"/>
        <w:spacing w:after="0" w:line="230" w:lineRule="auto"/>
        <w:tabs>
          <w:tab w:leader="none" w:pos="3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6,899,669*</w:t>
      </w:r>
    </w:p>
    <w:p>
      <w:pPr>
        <w:spacing w:after="0" w:line="188" w:lineRule="exact"/>
        <w:rPr>
          <w:sz w:val="20"/>
          <w:szCs w:val="20"/>
          <w:color w:val="auto"/>
        </w:rPr>
      </w:pPr>
    </w:p>
    <w:p>
      <w:pPr>
        <w:ind w:right="4379" w:firstLine="8"/>
        <w:spacing w:after="0" w:line="250" w:lineRule="auto"/>
        <w:tabs>
          <w:tab w:leader="none" w:pos="162" w:val="left"/>
        </w:tabs>
        <w:numPr>
          <w:ilvl w:val="0"/>
          <w:numId w:val="16"/>
        </w:numPr>
        <w:rPr>
          <w:rFonts w:ascii="Arial" w:cs="Arial" w:eastAsia="Arial" w:hAnsi="Arial"/>
          <w:sz w:val="22"/>
          <w:szCs w:val="22"/>
          <w:color w:val="auto"/>
        </w:rPr>
      </w:pPr>
      <w:r>
        <w:rPr>
          <w:rFonts w:ascii="Arial" w:cs="Arial" w:eastAsia="Arial" w:hAnsi="Arial"/>
          <w:sz w:val="22"/>
          <w:szCs w:val="22"/>
          <w:color w:val="auto"/>
        </w:rPr>
        <w:t>Consists of 6,899,669 American Depositary Shares, representing 34,498,345 Ordinary Shares.</w:t>
      </w:r>
    </w:p>
    <w:p>
      <w:pPr>
        <w:spacing w:after="0" w:line="175" w:lineRule="exact"/>
        <w:rPr>
          <w:sz w:val="20"/>
          <w:szCs w:val="20"/>
          <w:color w:val="auto"/>
        </w:rPr>
      </w:pPr>
    </w:p>
    <w:p>
      <w:pPr>
        <w:ind w:right="2719"/>
        <w:spacing w:after="0" w:line="268" w:lineRule="auto"/>
        <w:rPr>
          <w:sz w:val="20"/>
          <w:szCs w:val="20"/>
          <w:color w:val="auto"/>
        </w:rPr>
      </w:pPr>
      <w:r>
        <w:rPr>
          <w:rFonts w:ascii="Arial" w:cs="Arial" w:eastAsia="Arial" w:hAnsi="Arial"/>
          <w:sz w:val="19"/>
          <w:szCs w:val="19"/>
          <w:color w:val="auto"/>
        </w:rPr>
        <w:t>Point72 Asset Management, Point72 Capital Advisors Inc., and Mr. Cohen own directly no ADSs or Ordinary Shares. Pursuant to an investment management agreement, Point72 Asset Management maintains investment and voting power with respect to the securities held by certain investment funds it manages. Point72 Capital Advisors Inc. is the general partner of Point72 Asset Management. Mr. Cohen controls each of Point72 Asset Management and Point72 Capital Advisors Inc. By reason of the provisions of Rule 13d-3 of the Securities Exchange Act of 1934, as amended, each of Point72 Asset Management, Point72 Capital Advisors Inc. and Mr. Cohen may be deemed to beneficially own 6,899,669 American Depositary Shares, or 34,498,345 Ordinary Shares (constituting approximately 6.4% of the Ordinary Shares outstanding). Each of Point72 Asset Management,</w:t>
      </w:r>
    </w:p>
    <w:p>
      <w:pPr>
        <w:spacing w:after="0" w:line="7" w:lineRule="exact"/>
        <w:rPr>
          <w:sz w:val="20"/>
          <w:szCs w:val="20"/>
          <w:color w:val="auto"/>
        </w:rPr>
      </w:pPr>
    </w:p>
    <w:p>
      <w:pPr>
        <w:ind w:right="4399"/>
        <w:spacing w:after="0" w:line="308" w:lineRule="auto"/>
        <w:rPr>
          <w:sz w:val="20"/>
          <w:szCs w:val="20"/>
          <w:color w:val="auto"/>
        </w:rPr>
      </w:pPr>
      <w:r>
        <w:rPr>
          <w:rFonts w:ascii="Arial" w:cs="Arial" w:eastAsia="Arial" w:hAnsi="Arial"/>
          <w:sz w:val="19"/>
          <w:szCs w:val="19"/>
          <w:color w:val="auto"/>
        </w:rPr>
        <w:t>Point72 Capital Advisors Inc., and Mr. Cohen disclaims beneficial ownership of any of the securities covered by this statement.</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3" w:lineRule="exact"/>
        <w:rPr>
          <w:sz w:val="20"/>
          <w:szCs w:val="20"/>
          <w:color w:val="auto"/>
        </w:rPr>
      </w:pPr>
    </w:p>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6. </w:t>
      </w:r>
      <w:r>
        <w:rPr>
          <w:rFonts w:ascii="Arial" w:cs="Arial" w:eastAsia="Arial" w:hAnsi="Arial"/>
          <w:sz w:val="22"/>
          <w:szCs w:val="22"/>
          <w:color w:val="auto"/>
        </w:rPr>
        <w:t>Ownership of More than 5 Percent on Behalf of Another Person.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15"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I certify that, to the best of my knowledge and belief,</w:t>
      </w:r>
    </w:p>
    <w:p>
      <w:pPr>
        <w:spacing w:after="0" w:line="8" w:lineRule="exact"/>
        <w:rPr>
          <w:sz w:val="20"/>
          <w:szCs w:val="20"/>
          <w:color w:val="auto"/>
        </w:rPr>
      </w:pPr>
    </w:p>
    <w:p>
      <w:pPr>
        <w:ind w:right="3059"/>
        <w:spacing w:after="0" w:line="266" w:lineRule="auto"/>
        <w:rPr>
          <w:sz w:val="20"/>
          <w:szCs w:val="20"/>
          <w:color w:val="auto"/>
        </w:rPr>
      </w:pPr>
      <w:r>
        <w:rPr>
          <w:rFonts w:ascii="Arial" w:cs="Arial" w:eastAsia="Arial" w:hAnsi="Arial"/>
          <w:sz w:val="19"/>
          <w:szCs w:val="19"/>
          <w:color w:val="auto"/>
        </w:rPr>
        <w:t>the securities referred to above were not acquired and are not held for the purpose of or with the effect of changing or influencing the control of the issuer of the securities and were not acquired and are not held in connection with or</w:t>
      </w:r>
    </w:p>
    <w:p>
      <w:pPr>
        <w:spacing w:after="0" w:line="3" w:lineRule="exact"/>
        <w:rPr>
          <w:sz w:val="20"/>
          <w:szCs w:val="20"/>
          <w:color w:val="auto"/>
        </w:rPr>
      </w:pPr>
    </w:p>
    <w:p>
      <w:pPr>
        <w:ind w:right="2879"/>
        <w:spacing w:after="0" w:line="236" w:lineRule="auto"/>
        <w:rPr>
          <w:sz w:val="20"/>
          <w:szCs w:val="20"/>
          <w:color w:val="auto"/>
        </w:rPr>
      </w:pPr>
      <w:r>
        <w:rPr>
          <w:rFonts w:ascii="Arial" w:cs="Arial" w:eastAsia="Arial" w:hAnsi="Arial"/>
          <w:sz w:val="22"/>
          <w:szCs w:val="22"/>
          <w:color w:val="auto"/>
        </w:rPr>
        <w:t>as a participant in any transaction having that purpose or effect, other than activities solely in connection with a nomination under§ 240.14a-11.</w:t>
      </w:r>
    </w:p>
    <w:p>
      <w:pPr>
        <w:spacing w:after="0" w:line="214" w:lineRule="exact"/>
        <w:rPr>
          <w:sz w:val="20"/>
          <w:szCs w:val="20"/>
          <w:color w:val="auto"/>
        </w:rPr>
      </w:pPr>
    </w:p>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Dated: </w:t>
      </w:r>
      <w:r>
        <w:rPr>
          <w:rFonts w:ascii="Arial" w:cs="Arial" w:eastAsia="Arial" w:hAnsi="Arial"/>
          <w:sz w:val="19"/>
          <w:szCs w:val="19"/>
          <w:u w:val="single" w:color="auto"/>
          <w:color w:val="auto"/>
        </w:rPr>
        <w:t>March 1, 2021</w:t>
      </w:r>
    </w:p>
    <w:p>
      <w:pPr>
        <w:sectPr>
          <w:pgSz w:w="11900" w:h="16838" w:orient="portrait"/>
          <w:cols w:equalWidth="0" w:num="1">
            <w:col w:w="10139"/>
          </w:cols>
          <w:pgMar w:left="320" w:top="118" w:right="1440" w:bottom="0" w:gutter="0" w:footer="0" w:header="0"/>
          <w:type w:val="continuous"/>
        </w:sectPr>
      </w:pPr>
    </w:p>
    <w:bookmarkStart w:id="6" w:name="page7"/>
    <w:bookmarkEnd w:id="6"/>
    <w:p>
      <w:pPr>
        <w:spacing w:after="0"/>
        <w:rPr>
          <w:sz w:val="20"/>
          <w:szCs w:val="20"/>
          <w:color w:val="auto"/>
        </w:rPr>
      </w:pPr>
      <w:r>
        <w:rPr>
          <w:rFonts w:ascii="Arial" w:cs="Arial" w:eastAsia="Arial" w:hAnsi="Arial"/>
          <w:sz w:val="19"/>
          <w:szCs w:val="19"/>
          <w:color w:val="auto"/>
        </w:rPr>
        <w:t>POINT72 ASSET MANAGEMENT, L.P.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POINT72 CAPITAL ADVISORS, INC.</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ectPr>
          <w:pgSz w:w="11900" w:h="16838" w:orient="portrait"/>
          <w:cols w:equalWidth="0" w:num="1">
            <w:col w:w="10139"/>
          </w:cols>
          <w:pgMar w:left="320" w:top="361" w:right="1440"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Exhibit 99.1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39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March 1,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1"/>
    </w:lvl>
  </w:abstractNum>
  <w:abstractNum w:abstractNumId="2">
    <w:nsid w:val="12200854"/>
    <w:multiLevelType w:val="hybridMultilevel"/>
    <w:lvl w:ilvl="0">
      <w:lvlJc w:val="left"/>
      <w:lvlText w:val="(%1)"/>
      <w:numFmt w:val="decimal"/>
      <w:start w:val="11"/>
    </w:lvl>
  </w:abstractNum>
  <w:abstractNum w:abstractNumId="3">
    <w:nsid w:val="4DB127F8"/>
    <w:multiLevelType w:val="hybridMultilevel"/>
    <w:lvl w:ilvl="0">
      <w:lvlJc w:val="left"/>
      <w:lvlText w:val="(%1)"/>
      <w:numFmt w:val="decimal"/>
      <w:start w:val="1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9"/>
    </w:lvl>
  </w:abstractNum>
  <w:abstractNum w:abstractNumId="6">
    <w:nsid w:val="1190CDE7"/>
    <w:multiLevelType w:val="hybridMultilevel"/>
    <w:lvl w:ilvl="0">
      <w:lvlJc w:val="left"/>
      <w:lvlText w:val="(%1)"/>
      <w:numFmt w:val="lowerLetter"/>
      <w:start w:val="35"/>
    </w:lvl>
  </w:abstractNum>
  <w:abstractNum w:abstractNumId="7">
    <w:nsid w:val="66EF438D"/>
    <w:multiLevelType w:val="hybridMultilevel"/>
    <w:lvl w:ilvl="0">
      <w:lvlJc w:val="left"/>
      <w:lvlText w:val="(%1)"/>
      <w:numFmt w:val="lowerLetter"/>
      <w:start w:val="6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9"/>
    </w:lvl>
  </w:abstractNum>
  <w:abstractNum w:abstractNumId="10">
    <w:nsid w:val="109CF92E"/>
    <w:multiLevelType w:val="hybridMultilevel"/>
    <w:lvl w:ilvl="0">
      <w:lvlJc w:val="left"/>
      <w:lvlText w:val="(%1)"/>
      <w:numFmt w:val="lowerRoman"/>
      <w:start w:val="2"/>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9"/>
    </w:lvl>
  </w:abstractNum>
  <w:abstractNum w:abstractNumId="13">
    <w:nsid w:val="1BEFD79F"/>
    <w:multiLevelType w:val="hybridMultilevel"/>
    <w:lvl w:ilvl="0">
      <w:lvlJc w:val="left"/>
      <w:lvlText w:val="(%1)"/>
      <w:numFmt w:val="lowerLetter"/>
      <w:start w:val="35"/>
    </w:lvl>
  </w:abstractNum>
  <w:abstractNum w:abstractNumId="14">
    <w:nsid w:val="41A7C4C9"/>
    <w:multiLevelType w:val="hybridMultilevel"/>
    <w:lvl w:ilvl="0">
      <w:lvlJc w:val="left"/>
      <w:lvlText w:val="(%1)"/>
      <w:numFmt w:val="lowerLetter"/>
      <w:start w:val="6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2021-03-01T16:44:26Z</dcterms:created>
  <dcterms:modified xsi:type="dcterms:W3CDTF">2021-03-01T16:44:26Z</dcterms:modified>
</cp:coreProperties>
</file>