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-226060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-613410</wp:posOffset>
            </wp:positionV>
            <wp:extent cx="57785" cy="626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3942715</wp:posOffset>
            </wp:positionH>
            <wp:positionV relativeFrom="paragraph">
              <wp:posOffset>-613410</wp:posOffset>
            </wp:positionV>
            <wp:extent cx="57785" cy="626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726440</wp:posOffset>
            </wp:positionV>
            <wp:extent cx="7047865" cy="4404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404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Lewicki John A.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36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MEREO BIOPHARMA GROUP PLC 4TH FLOOR, ONE CAVENDISH PLACE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W1G 0QF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Mereo BioPharma Group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MREO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Scientific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01/25/2025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60" w:space="580"/>
            <w:col w:w="724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116,000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2.91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116,000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Depository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116,000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underlying this share option will vest and become exercisable on January 25, 2026, with the remainder vesting in equal monthly installments for the three years thereafter.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("ADS") represents five ordinary shares, nominal value GBP 0.003 per ordinary share, of the Issuer.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Christine Fox, by power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01/28/2025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attorney</w:t>
            </w: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60" w:hanging="1"/>
        <w:spacing w:after="0" w:line="32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53352" TargetMode="External"/><Relationship Id="rId14" Type="http://schemas.openxmlformats.org/officeDocument/2006/relationships/hyperlink" Target="http://www.sec.gov/cgi-bin/browse-edgar?action=getcompany&amp;CIK=0001719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2025-01-28T15:10:39Z</dcterms:created>
  <dcterms:modified xsi:type="dcterms:W3CDTF">2025-01-28T15:10:39Z</dcterms:modified>
</cp:coreProperties>
</file>