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(Amendment No. 3)*</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6985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Rubric Capital Management LP</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155 East 44th St, Suite 1630</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New York, NY 10017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Attention: Brian Kleinhaus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212-418-1888</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-130175</wp:posOffset>
            </wp:positionV>
            <wp:extent cx="6214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14605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ý</w:t>
      </w:r>
    </w:p>
    <w:p>
      <w:pPr>
        <w:spacing w:after="0" w:line="170" w:lineRule="exact"/>
        <w:rPr>
          <w:sz w:val="24"/>
          <w:szCs w:val="24"/>
          <w:color w:val="auto"/>
        </w:rPr>
      </w:pPr>
    </w:p>
    <w:p>
      <w:pPr>
        <w:ind w:right="640"/>
        <w:spacing w:after="0" w:line="342" w:lineRule="auto"/>
        <w:rPr>
          <w:sz w:val="20"/>
          <w:szCs w:val="20"/>
          <w:color w:val="auto"/>
        </w:rPr>
      </w:pPr>
      <w:r>
        <w:rPr>
          <w:rFonts w:ascii="Arial" w:cs="Arial" w:eastAsia="Arial" w:hAnsi="Arial"/>
          <w:sz w:val="16"/>
          <w:szCs w:val="16"/>
          <w:color w:val="auto"/>
        </w:rPr>
        <w:t>**There is no CUSIP number assigned to the Ordinary Shares. CUSIP number 589492107 has been assigned to the American Depositary Receipts (“</w:t>
      </w:r>
      <w:r>
        <w:rPr>
          <w:rFonts w:ascii="Arial" w:cs="Arial" w:eastAsia="Arial" w:hAnsi="Arial"/>
          <w:sz w:val="16"/>
          <w:szCs w:val="16"/>
          <w:u w:val="single" w:color="auto"/>
          <w:color w:val="auto"/>
        </w:rPr>
        <w:t>ADRs</w:t>
      </w:r>
      <w:r>
        <w:rPr>
          <w:rFonts w:ascii="Arial" w:cs="Arial" w:eastAsia="Arial" w:hAnsi="Arial"/>
          <w:sz w:val="16"/>
          <w:szCs w:val="16"/>
          <w:color w:val="auto"/>
        </w:rPr>
        <w:t>”) of the Issuer, which are quoted on the Nasdaq Global Market under the symbol “MREO.” Each ADR represents 5 Ordinary Shares.</w:t>
      </w: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5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4"/>
          <w:szCs w:val="24"/>
          <w:color w:val="auto"/>
        </w:rPr>
      </w:pPr>
    </w:p>
    <w:p>
      <w:pPr>
        <w:ind w:firstLine="8"/>
        <w:spacing w:after="0" w:line="260"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5 Pages</w:t>
            </w:r>
          </w:p>
        </w:tc>
      </w:tr>
      <w:tr>
        <w:trPr>
          <w:trHeight w:val="67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1</w:t>
            </w:r>
          </w:p>
        </w:tc>
        <w:tc>
          <w:tcPr>
            <w:tcW w:w="80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Rubric Capital Management LP</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2</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120"/>
              <w:spacing w:after="0" w:line="22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360" w:type="dxa"/>
            <w:vAlign w:val="bottom"/>
            <w:tcBorders>
              <w:right w:val="single" w:sz="8" w:color="auto"/>
            </w:tcBorders>
            <w:vMerge w:val="restart"/>
          </w:tcPr>
          <w:p>
            <w:pPr>
              <w:ind w:left="120"/>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806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4</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AF</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rPr>
              <w:t>5</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w w:val="96"/>
              </w:rPr>
              <w:t>CHECK BOX IF DISCLOSURE OF LEGAL PROCEEDING IS REQUIRED PURSUANT TO ITEMS 2(d)</w:t>
            </w:r>
          </w:p>
        </w:tc>
        <w:tc>
          <w:tcPr>
            <w:tcW w:w="1360" w:type="dxa"/>
            <w:vAlign w:val="bottom"/>
            <w:tcBorders>
              <w:right w:val="single" w:sz="8" w:color="auto"/>
            </w:tcBorders>
          </w:tcPr>
          <w:p>
            <w:pPr>
              <w:ind w:left="1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or 2(e)</w:t>
            </w:r>
          </w:p>
        </w:tc>
        <w:tc>
          <w:tcPr>
            <w:tcW w:w="65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806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6</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State of Delaware</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vMerge w:val="continue"/>
          </w:tcPr>
          <w:p>
            <w:pPr>
              <w:spacing w:after="0"/>
              <w:rPr>
                <w:sz w:val="21"/>
                <w:szCs w:val="21"/>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6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48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25"/>
                <w:szCs w:val="25"/>
                <w:b w:val="1"/>
                <w:bCs w:val="1"/>
                <w:color w:val="auto"/>
                <w:w w:val="85"/>
              </w:rPr>
              <w:t>8</w:t>
            </w:r>
          </w:p>
        </w:tc>
        <w:tc>
          <w:tcPr>
            <w:tcW w:w="6580" w:type="dxa"/>
            <w:vAlign w:val="bottom"/>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6580" w:type="dxa"/>
            <w:vAlign w:val="bottom"/>
          </w:tcPr>
          <w:p>
            <w:pPr>
              <w:ind w:left="420"/>
              <w:spacing w:after="0" w:line="176" w:lineRule="exact"/>
              <w:rPr>
                <w:sz w:val="20"/>
                <w:szCs w:val="20"/>
                <w:color w:val="auto"/>
              </w:rPr>
            </w:pPr>
            <w:r>
              <w:rPr>
                <w:rFonts w:ascii="Arial" w:cs="Arial" w:eastAsia="Arial" w:hAnsi="Arial"/>
                <w:sz w:val="18"/>
                <w:szCs w:val="18"/>
                <w:color w:val="auto"/>
              </w:rPr>
              <w:t>83,780,600 Ordinary Shares (represented by 16,756,120 ADRs)</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9"/>
              </w:rPr>
              <w:t>BENEFICIALLY</w:t>
            </w:r>
          </w:p>
        </w:tc>
        <w:tc>
          <w:tcPr>
            <w:tcW w:w="1480" w:type="dxa"/>
            <w:vAlign w:val="bottom"/>
            <w:tcBorders>
              <w:right w:val="single" w:sz="8" w:color="auto"/>
            </w:tcBorders>
          </w:tcPr>
          <w:p>
            <w:pPr>
              <w:spacing w:after="0"/>
              <w:rPr>
                <w:sz w:val="15"/>
                <w:szCs w:val="15"/>
                <w:color w:val="auto"/>
              </w:rPr>
            </w:pPr>
          </w:p>
        </w:tc>
        <w:tc>
          <w:tcPr>
            <w:tcW w:w="658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5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6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9</w:t>
            </w:r>
          </w:p>
        </w:tc>
        <w:tc>
          <w:tcPr>
            <w:tcW w:w="658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658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80" w:type="dxa"/>
            <w:vAlign w:val="bottom"/>
            <w:tcBorders>
              <w:right w:val="single" w:sz="8" w:color="auto"/>
            </w:tcBorders>
            <w:vMerge w:val="continue"/>
          </w:tcPr>
          <w:p>
            <w:pPr>
              <w:spacing w:after="0"/>
              <w:rPr>
                <w:sz w:val="11"/>
                <w:szCs w:val="11"/>
                <w:color w:val="auto"/>
              </w:rPr>
            </w:pPr>
          </w:p>
        </w:tc>
        <w:tc>
          <w:tcPr>
            <w:tcW w:w="6580" w:type="dxa"/>
            <w:vAlign w:val="bottom"/>
            <w:vMerge w:val="continue"/>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658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480" w:type="dxa"/>
            <w:vAlign w:val="bottom"/>
            <w:tcBorders>
              <w:bottom w:val="single" w:sz="8" w:color="auto"/>
              <w:right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10</w:t>
            </w:r>
          </w:p>
        </w:tc>
        <w:tc>
          <w:tcPr>
            <w:tcW w:w="6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658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vMerge w:val="continue"/>
          </w:tcPr>
          <w:p>
            <w:pPr>
              <w:spacing w:after="0"/>
              <w:rPr>
                <w:sz w:val="21"/>
                <w:szCs w:val="21"/>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83,780,600 Ordinary Shares (represented by 16,756,120 ADRs)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6"/>
              </w:rPr>
              <w:t>11</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83,780,600 Ordinary Shares (represented by 16,756,120 ADRs)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12</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360" w:type="dxa"/>
            <w:vAlign w:val="bottom"/>
            <w:tcBorders>
              <w:right w:val="single" w:sz="8" w:color="auto"/>
            </w:tcBorders>
            <w:vMerge w:val="restart"/>
          </w:tcPr>
          <w:p>
            <w:pPr>
              <w:ind w:left="2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658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13</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14.32%</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14</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PN, IA</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1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5 Pages</w:t>
            </w:r>
          </w:p>
        </w:tc>
      </w:tr>
      <w:tr>
        <w:trPr>
          <w:trHeight w:val="67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8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1</w:t>
            </w:r>
          </w:p>
        </w:tc>
        <w:tc>
          <w:tcPr>
            <w:tcW w:w="80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w w:val="98"/>
              </w:rPr>
              <w:t>David Rosen</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2</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120"/>
              <w:spacing w:after="0" w:line="22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continue"/>
          </w:tcPr>
          <w:p>
            <w:pPr>
              <w:spacing w:after="0"/>
              <w:rPr>
                <w:sz w:val="16"/>
                <w:szCs w:val="16"/>
                <w:color w:val="auto"/>
              </w:rPr>
            </w:pPr>
          </w:p>
        </w:tc>
        <w:tc>
          <w:tcPr>
            <w:tcW w:w="148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360" w:type="dxa"/>
            <w:vAlign w:val="bottom"/>
            <w:tcBorders>
              <w:right w:val="single" w:sz="8" w:color="auto"/>
            </w:tcBorders>
            <w:vMerge w:val="restart"/>
          </w:tcPr>
          <w:p>
            <w:pPr>
              <w:ind w:left="120"/>
              <w:spacing w:after="0" w:line="288"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67"/>
        </w:trPr>
        <w:tc>
          <w:tcPr>
            <w:tcW w:w="1820" w:type="dxa"/>
            <w:vAlign w:val="bottom"/>
            <w:tcBorders>
              <w:left w:val="single" w:sz="8" w:color="auto"/>
              <w:bottom w:val="single" w:sz="8" w:color="auto"/>
              <w:right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806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4</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SOURCE OF FUNDS</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AF</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8060" w:type="dxa"/>
            <w:vAlign w:val="bottom"/>
            <w:tcBorders>
              <w:bottom w:val="single" w:sz="8" w:color="auto"/>
            </w:tcBorders>
            <w:gridSpan w:val="2"/>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820" w:type="dxa"/>
            <w:vAlign w:val="bottom"/>
            <w:tcBorders>
              <w:left w:val="single" w:sz="8" w:color="auto"/>
              <w:right w:val="single" w:sz="8" w:color="auto"/>
            </w:tcBorders>
          </w:tcPr>
          <w:p>
            <w:pPr>
              <w:jc w:val="center"/>
              <w:spacing w:after="0" w:line="265" w:lineRule="exact"/>
              <w:rPr>
                <w:sz w:val="20"/>
                <w:szCs w:val="20"/>
                <w:color w:val="auto"/>
              </w:rPr>
            </w:pPr>
            <w:r>
              <w:rPr>
                <w:rFonts w:ascii="Arial" w:cs="Arial" w:eastAsia="Arial" w:hAnsi="Arial"/>
                <w:sz w:val="25"/>
                <w:szCs w:val="25"/>
                <w:b w:val="1"/>
                <w:bCs w:val="1"/>
                <w:color w:val="auto"/>
              </w:rPr>
              <w:t>5</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w w:val="96"/>
              </w:rPr>
              <w:t>CHECK BOX IF DISCLOSURE OF LEGAL PROCEEDING IS REQUIRED PURSUANT TO ITEMS 2(d)</w:t>
            </w:r>
          </w:p>
        </w:tc>
        <w:tc>
          <w:tcPr>
            <w:tcW w:w="1360" w:type="dxa"/>
            <w:vAlign w:val="bottom"/>
            <w:tcBorders>
              <w:right w:val="single" w:sz="8" w:color="auto"/>
            </w:tcBorders>
          </w:tcPr>
          <w:p>
            <w:pPr>
              <w:ind w:left="1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30"/>
        </w:trPr>
        <w:tc>
          <w:tcPr>
            <w:tcW w:w="1820" w:type="dxa"/>
            <w:vAlign w:val="bottom"/>
            <w:tcBorders>
              <w:left w:val="single" w:sz="8" w:color="auto"/>
              <w:right w:val="single" w:sz="8" w:color="auto"/>
            </w:tcBorders>
          </w:tcPr>
          <w:p>
            <w:pPr>
              <w:spacing w:after="0"/>
              <w:rPr>
                <w:sz w:val="20"/>
                <w:szCs w:val="20"/>
                <w:color w:val="auto"/>
              </w:rPr>
            </w:pPr>
          </w:p>
        </w:tc>
        <w:tc>
          <w:tcPr>
            <w:tcW w:w="1480" w:type="dxa"/>
            <w:vAlign w:val="bottom"/>
          </w:tcPr>
          <w:p>
            <w:pPr>
              <w:ind w:left="100"/>
              <w:spacing w:after="0"/>
              <w:rPr>
                <w:sz w:val="20"/>
                <w:szCs w:val="20"/>
                <w:color w:val="auto"/>
              </w:rPr>
            </w:pPr>
            <w:r>
              <w:rPr>
                <w:rFonts w:ascii="Arial" w:cs="Arial" w:eastAsia="Arial" w:hAnsi="Arial"/>
                <w:sz w:val="18"/>
                <w:szCs w:val="18"/>
                <w:color w:val="auto"/>
              </w:rPr>
              <w:t>or 2(e)</w:t>
            </w:r>
          </w:p>
        </w:tc>
        <w:tc>
          <w:tcPr>
            <w:tcW w:w="658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8060" w:type="dxa"/>
            <w:vAlign w:val="bottom"/>
            <w:tcBorders>
              <w:bottom w:val="single" w:sz="8" w:color="auto"/>
            </w:tcBorders>
            <w:gridSpan w:val="2"/>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6</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7</w:t>
            </w:r>
          </w:p>
        </w:tc>
        <w:tc>
          <w:tcPr>
            <w:tcW w:w="65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vMerge w:val="continue"/>
          </w:tcPr>
          <w:p>
            <w:pPr>
              <w:spacing w:after="0"/>
              <w:rPr>
                <w:sz w:val="21"/>
                <w:szCs w:val="21"/>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6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148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25"/>
                <w:szCs w:val="25"/>
                <w:b w:val="1"/>
                <w:bCs w:val="1"/>
                <w:color w:val="auto"/>
                <w:w w:val="85"/>
              </w:rPr>
              <w:t>8</w:t>
            </w:r>
          </w:p>
        </w:tc>
        <w:tc>
          <w:tcPr>
            <w:tcW w:w="6580" w:type="dxa"/>
            <w:vAlign w:val="bottom"/>
            <w:vMerge w:val="continue"/>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820" w:type="dxa"/>
            <w:vAlign w:val="bottom"/>
            <w:tcBorders>
              <w:left w:val="single" w:sz="8" w:color="auto"/>
              <w:right w:val="single" w:sz="8" w:color="auto"/>
            </w:tcBorders>
            <w:vMerge w:val="continue"/>
          </w:tcPr>
          <w:p>
            <w:pPr>
              <w:spacing w:after="0"/>
              <w:rPr>
                <w:sz w:val="15"/>
                <w:szCs w:val="15"/>
                <w:color w:val="auto"/>
              </w:rPr>
            </w:pPr>
          </w:p>
        </w:tc>
        <w:tc>
          <w:tcPr>
            <w:tcW w:w="1480" w:type="dxa"/>
            <w:vAlign w:val="bottom"/>
            <w:tcBorders>
              <w:right w:val="single" w:sz="8" w:color="auto"/>
            </w:tcBorders>
            <w:vMerge w:val="continue"/>
          </w:tcPr>
          <w:p>
            <w:pPr>
              <w:spacing w:after="0"/>
              <w:rPr>
                <w:sz w:val="15"/>
                <w:szCs w:val="15"/>
                <w:color w:val="auto"/>
              </w:rPr>
            </w:pPr>
          </w:p>
        </w:tc>
        <w:tc>
          <w:tcPr>
            <w:tcW w:w="6580" w:type="dxa"/>
            <w:vAlign w:val="bottom"/>
          </w:tcPr>
          <w:p>
            <w:pPr>
              <w:ind w:left="420"/>
              <w:spacing w:after="0" w:line="176" w:lineRule="exact"/>
              <w:rPr>
                <w:sz w:val="20"/>
                <w:szCs w:val="20"/>
                <w:color w:val="auto"/>
              </w:rPr>
            </w:pPr>
            <w:r>
              <w:rPr>
                <w:rFonts w:ascii="Arial" w:cs="Arial" w:eastAsia="Arial" w:hAnsi="Arial"/>
                <w:sz w:val="18"/>
                <w:szCs w:val="18"/>
                <w:color w:val="auto"/>
              </w:rPr>
              <w:t>83,780,600 Ordinary Shares (represented by 16,756,120 ADRs)</w:t>
            </w: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Borders>
              <w:left w:val="single" w:sz="8" w:color="auto"/>
              <w:right w:val="single" w:sz="8" w:color="auto"/>
            </w:tcBorders>
          </w:tcPr>
          <w:p>
            <w:pPr>
              <w:jc w:val="center"/>
              <w:spacing w:after="0" w:line="175" w:lineRule="exact"/>
              <w:rPr>
                <w:sz w:val="20"/>
                <w:szCs w:val="20"/>
                <w:color w:val="auto"/>
              </w:rPr>
            </w:pPr>
            <w:r>
              <w:rPr>
                <w:rFonts w:ascii="Arial" w:cs="Arial" w:eastAsia="Arial" w:hAnsi="Arial"/>
                <w:sz w:val="18"/>
                <w:szCs w:val="18"/>
                <w:color w:val="auto"/>
                <w:w w:val="99"/>
              </w:rPr>
              <w:t>BENEFICIALLY</w:t>
            </w:r>
          </w:p>
        </w:tc>
        <w:tc>
          <w:tcPr>
            <w:tcW w:w="1480" w:type="dxa"/>
            <w:vAlign w:val="bottom"/>
            <w:tcBorders>
              <w:right w:val="single" w:sz="8" w:color="auto"/>
            </w:tcBorders>
          </w:tcPr>
          <w:p>
            <w:pPr>
              <w:spacing w:after="0"/>
              <w:rPr>
                <w:sz w:val="15"/>
                <w:szCs w:val="15"/>
                <w:color w:val="auto"/>
              </w:rPr>
            </w:pPr>
          </w:p>
        </w:tc>
        <w:tc>
          <w:tcPr>
            <w:tcW w:w="6580" w:type="dxa"/>
            <w:vAlign w:val="bottom"/>
          </w:tcPr>
          <w:p>
            <w:pPr>
              <w:spacing w:after="0"/>
              <w:rPr>
                <w:sz w:val="15"/>
                <w:szCs w:val="15"/>
                <w:color w:val="auto"/>
              </w:rPr>
            </w:pPr>
          </w:p>
        </w:tc>
        <w:tc>
          <w:tcPr>
            <w:tcW w:w="1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480" w:type="dxa"/>
            <w:vAlign w:val="bottom"/>
            <w:tcBorders>
              <w:bottom w:val="single" w:sz="8" w:color="auto"/>
              <w:right w:val="single" w:sz="8" w:color="auto"/>
            </w:tcBorders>
          </w:tcPr>
          <w:p>
            <w:pPr>
              <w:spacing w:after="0"/>
              <w:rPr>
                <w:sz w:val="8"/>
                <w:szCs w:val="8"/>
                <w:color w:val="auto"/>
              </w:rPr>
            </w:pPr>
          </w:p>
        </w:tc>
        <w:tc>
          <w:tcPr>
            <w:tcW w:w="658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6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5"/>
              </w:rPr>
              <w:t>9</w:t>
            </w:r>
          </w:p>
        </w:tc>
        <w:tc>
          <w:tcPr>
            <w:tcW w:w="658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658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13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480" w:type="dxa"/>
            <w:vAlign w:val="bottom"/>
            <w:tcBorders>
              <w:right w:val="single" w:sz="8" w:color="auto"/>
            </w:tcBorders>
            <w:vMerge w:val="continue"/>
          </w:tcPr>
          <w:p>
            <w:pPr>
              <w:spacing w:after="0"/>
              <w:rPr>
                <w:sz w:val="11"/>
                <w:szCs w:val="11"/>
                <w:color w:val="auto"/>
              </w:rPr>
            </w:pPr>
          </w:p>
        </w:tc>
        <w:tc>
          <w:tcPr>
            <w:tcW w:w="6580" w:type="dxa"/>
            <w:vAlign w:val="bottom"/>
            <w:vMerge w:val="continue"/>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820" w:type="dxa"/>
            <w:vAlign w:val="bottom"/>
            <w:tcBorders>
              <w:left w:val="single" w:sz="8" w:color="auto"/>
              <w:right w:val="single" w:sz="8" w:color="auto"/>
            </w:tcBorders>
            <w:vMerge w:val="continue"/>
          </w:tcPr>
          <w:p>
            <w:pPr>
              <w:spacing w:after="0"/>
              <w:rPr>
                <w:sz w:val="7"/>
                <w:szCs w:val="7"/>
                <w:color w:val="auto"/>
              </w:rPr>
            </w:pPr>
          </w:p>
        </w:tc>
        <w:tc>
          <w:tcPr>
            <w:tcW w:w="1480" w:type="dxa"/>
            <w:vAlign w:val="bottom"/>
            <w:tcBorders>
              <w:right w:val="single" w:sz="8" w:color="auto"/>
            </w:tcBorders>
          </w:tcPr>
          <w:p>
            <w:pPr>
              <w:spacing w:after="0"/>
              <w:rPr>
                <w:sz w:val="7"/>
                <w:szCs w:val="7"/>
                <w:color w:val="auto"/>
              </w:rPr>
            </w:pPr>
          </w:p>
        </w:tc>
        <w:tc>
          <w:tcPr>
            <w:tcW w:w="6580" w:type="dxa"/>
            <w:vAlign w:val="bottom"/>
          </w:tcPr>
          <w:p>
            <w:pPr>
              <w:spacing w:after="0"/>
              <w:rPr>
                <w:sz w:val="7"/>
                <w:szCs w:val="7"/>
                <w:color w:val="auto"/>
              </w:rPr>
            </w:pP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PERSON WITH:</w:t>
            </w:r>
          </w:p>
        </w:tc>
        <w:tc>
          <w:tcPr>
            <w:tcW w:w="1480" w:type="dxa"/>
            <w:vAlign w:val="bottom"/>
            <w:tcBorders>
              <w:bottom w:val="single" w:sz="8" w:color="auto"/>
              <w:right w:val="single" w:sz="8" w:color="auto"/>
            </w:tcBorders>
          </w:tcPr>
          <w:p>
            <w:pPr>
              <w:spacing w:after="0"/>
              <w:rPr>
                <w:sz w:val="9"/>
                <w:szCs w:val="9"/>
                <w:color w:val="auto"/>
              </w:rPr>
            </w:pPr>
          </w:p>
        </w:tc>
        <w:tc>
          <w:tcPr>
            <w:tcW w:w="658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20" w:type="dxa"/>
            <w:vAlign w:val="bottom"/>
            <w:tcBorders>
              <w:left w:val="single" w:sz="8" w:color="auto"/>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10</w:t>
            </w:r>
          </w:p>
        </w:tc>
        <w:tc>
          <w:tcPr>
            <w:tcW w:w="6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20" w:type="dxa"/>
            <w:vAlign w:val="bottom"/>
            <w:tcBorders>
              <w:left w:val="single" w:sz="8" w:color="auto"/>
              <w:right w:val="single" w:sz="8" w:color="auto"/>
            </w:tcBorders>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6580" w:type="dxa"/>
            <w:vAlign w:val="bottom"/>
            <w:vMerge w:val="continue"/>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vMerge w:val="continue"/>
          </w:tcPr>
          <w:p>
            <w:pPr>
              <w:spacing w:after="0"/>
              <w:rPr>
                <w:sz w:val="21"/>
                <w:szCs w:val="21"/>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83,780,600 Ordinary Shares (represented by 16,756,120 ADRs)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right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86"/>
              </w:rPr>
              <w:t>11</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AGGREGATE AMOUNT BENEFICIALLY OWNED BY EACH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8060" w:type="dxa"/>
            <w:vAlign w:val="bottom"/>
            <w:gridSpan w:val="2"/>
          </w:tcPr>
          <w:p>
            <w:pPr>
              <w:ind w:left="420"/>
              <w:spacing w:after="0"/>
              <w:rPr>
                <w:sz w:val="20"/>
                <w:szCs w:val="20"/>
                <w:color w:val="auto"/>
              </w:rPr>
            </w:pPr>
            <w:r>
              <w:rPr>
                <w:rFonts w:ascii="Arial" w:cs="Arial" w:eastAsia="Arial" w:hAnsi="Arial"/>
                <w:sz w:val="18"/>
                <w:szCs w:val="18"/>
                <w:color w:val="auto"/>
              </w:rPr>
              <w:t>83,780,600 Ordinary Shares (represented by 16,756,120 ADRs)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12</w:t>
            </w:r>
          </w:p>
        </w:tc>
        <w:tc>
          <w:tcPr>
            <w:tcW w:w="8060" w:type="dxa"/>
            <w:vAlign w:val="bottom"/>
            <w:gridSpan w:val="2"/>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360" w:type="dxa"/>
            <w:vAlign w:val="bottom"/>
            <w:tcBorders>
              <w:right w:val="single" w:sz="8" w:color="auto"/>
            </w:tcBorders>
            <w:vMerge w:val="restart"/>
          </w:tcPr>
          <w:p>
            <w:pPr>
              <w:ind w:left="22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28"/>
        </w:trPr>
        <w:tc>
          <w:tcPr>
            <w:tcW w:w="182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20" w:type="dxa"/>
            <w:vAlign w:val="bottom"/>
            <w:tcBorders>
              <w:left w:val="single" w:sz="8" w:color="auto"/>
              <w:bottom w:val="single" w:sz="8" w:color="auto"/>
              <w:right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6580" w:type="dxa"/>
            <w:vAlign w:val="bottom"/>
            <w:tcBorders>
              <w:bottom w:val="single" w:sz="8" w:color="auto"/>
            </w:tcBorders>
          </w:tcPr>
          <w:p>
            <w:pPr>
              <w:spacing w:after="0"/>
              <w:rPr>
                <w:sz w:val="6"/>
                <w:szCs w:val="6"/>
                <w:color w:val="auto"/>
              </w:rPr>
            </w:pPr>
          </w:p>
        </w:tc>
        <w:tc>
          <w:tcPr>
            <w:tcW w:w="13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13</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14.32%</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w w:val="93"/>
              </w:rPr>
              <w:t>14</w:t>
            </w:r>
          </w:p>
        </w:tc>
        <w:tc>
          <w:tcPr>
            <w:tcW w:w="806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right w:val="single" w:sz="8" w:color="auto"/>
            </w:tcBorders>
            <w:vMerge w:val="continue"/>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18"/>
                <w:szCs w:val="18"/>
                <w:color w:val="auto"/>
              </w:rPr>
              <w:t>IN</w:t>
            </w:r>
          </w:p>
        </w:tc>
        <w:tc>
          <w:tcPr>
            <w:tcW w:w="658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1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5 Pages</w:t>
            </w:r>
          </w:p>
        </w:tc>
      </w:tr>
      <w:tr>
        <w:trPr>
          <w:trHeight w:val="67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of Mereo BioPharma Group plc, a public limited company under the laws of England and Wales (the “</w:t>
      </w:r>
      <w:r>
        <w:rPr>
          <w:rFonts w:ascii="Arial" w:cs="Arial" w:eastAsia="Arial" w:hAnsi="Arial"/>
          <w:sz w:val="18"/>
          <w:szCs w:val="18"/>
          <w:u w:val="single" w:color="auto"/>
          <w:color w:val="auto"/>
        </w:rPr>
        <w:t>Issuer</w:t>
      </w:r>
      <w:r>
        <w:rPr>
          <w:rFonts w:ascii="Arial" w:cs="Arial" w:eastAsia="Arial" w:hAnsi="Arial"/>
          <w:sz w:val="18"/>
          <w:szCs w:val="18"/>
          <w:color w:val="auto"/>
        </w:rPr>
        <w:t>”), which was subsequently amended on June 9, 2022 and June 14, 2022 (collectively, including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by adding the following.</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19, 2022, the Reporting Persons delivered a letter to the Issuer requiring it to convene a general meeting. The foregoing description of the Reporting Persons’ letter is qualified in its entirety by reference to the full text of the letter, a copy of which is attached hereto as Exhibit 1 and incorporated herein by reference.</w:t>
      </w:r>
    </w:p>
    <w:p>
      <w:pPr>
        <w:spacing w:after="0" w:line="18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LIST OF EXHIBITS</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Item 5 of the Schedule 13D is hereby amended by adding the following:</w:t>
      </w:r>
    </w:p>
    <w:p>
      <w:pPr>
        <w:spacing w:after="0" w:line="225" w:lineRule="exact"/>
        <w:rPr>
          <w:sz w:val="20"/>
          <w:szCs w:val="20"/>
          <w:color w:val="auto"/>
        </w:rPr>
      </w:pPr>
    </w:p>
    <w:p>
      <w:pPr>
        <w:ind w:left="1340" w:hanging="1235"/>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Reporting Persons did not enter into any transactions in the Ordinary Shares within the past sixty days.</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LIST OF EXHIBITS</w:t>
      </w:r>
    </w:p>
    <w:p>
      <w:pPr>
        <w:spacing w:after="0" w:line="22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Item 7 of the Schedule 13D is hereby amended by adding the following:</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 xml:space="preserve">Exhibit 1: </w:t>
      </w:r>
      <w:r>
        <w:rPr>
          <w:rFonts w:ascii="Arial" w:cs="Arial" w:eastAsia="Arial" w:hAnsi="Arial"/>
          <w:sz w:val="18"/>
          <w:szCs w:val="18"/>
          <w:u w:val="single" w:color="auto"/>
          <w:color w:val="0000EE"/>
        </w:rPr>
        <w:t>Letter to the Issuer: Members’ Requisition of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38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589492107</w:t>
            </w:r>
          </w:p>
        </w:tc>
        <w:tc>
          <w:tcPr>
            <w:tcW w:w="3700" w:type="dxa"/>
            <w:vAlign w:val="bottom"/>
            <w:tcBorders>
              <w:right w:val="single" w:sz="8" w:color="auto"/>
            </w:tcBorders>
          </w:tcPr>
          <w:p>
            <w:pPr>
              <w:ind w:left="118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5 of 5 Pages</w:t>
            </w:r>
          </w:p>
        </w:tc>
      </w:tr>
      <w:tr>
        <w:trPr>
          <w:trHeight w:val="675"/>
        </w:trPr>
        <w:tc>
          <w:tcPr>
            <w:tcW w:w="3840" w:type="dxa"/>
            <w:vAlign w:val="bottom"/>
            <w:tcBorders>
              <w:left w:val="single" w:sz="8" w:color="auto"/>
              <w:bottom w:val="single" w:sz="8" w:color="auto"/>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After reasonable inquiry and to the best of his or its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RUBRIC CAPITAL MANAGEMENT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Nachmani</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165100</wp:posOffset>
            </wp:positionV>
            <wp:extent cx="1894205" cy="9944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9420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W1G 0QF</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Consistent with section 303(1) of the Companies Act 2006, we, the undersigned, require you to proceed to convene a general meeting of the Company, not later than 21 days after you receive this requisition, for the purpose of considering the removal of Dr. Peter Fellner, Dr. Anders Ekblom, Dr. Deepika Pakianathan, and Mr. Michael Wyzga from his/her office as directors of the Company and appointing the individuals named in the proposed resolution set out at 2 below as directors of the Company.</w:t>
      </w:r>
    </w:p>
    <w:p>
      <w:pPr>
        <w:spacing w:after="0" w:line="18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At the general meeting, it is intended to consider and, if thought fit, pass the following resolutions, which are being proposed as an ordinary resolutions, giving special notice pursuant to section 168(2) and 312(1) of the Companies Act 2006 of that resolution, being a resolution to remove a director under section 168 of the Companies Act 2006 and pursuant to Article 32 of the Company’s articles of association: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resolutions</w:t>
      </w:r>
      <w:r>
        <w:rPr>
          <w:rFonts w:ascii="Arial" w:cs="Arial" w:eastAsia="Arial" w:hAnsi="Arial"/>
          <w:sz w:val="18"/>
          <w:szCs w:val="18"/>
          <w:color w:val="auto"/>
        </w:rPr>
        <w:t>:</w:t>
      </w:r>
    </w:p>
    <w:p>
      <w:pPr>
        <w:spacing w:after="0" w:line="229" w:lineRule="exact"/>
        <w:rPr>
          <w:sz w:val="20"/>
          <w:szCs w:val="20"/>
          <w:color w:val="auto"/>
        </w:rPr>
      </w:pPr>
    </w:p>
    <w:p>
      <w:pPr>
        <w:ind w:left="980" w:right="20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Dr. Peter Fellner, Dr. Anders Ekblom, Dr. Deepika Pakianathan, and Mr. Michael Wyzga be removed from office as directors of the company with immediate effect”</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Dr. Annalisa Jenkins, Dr. Daniel Shames, Mr. Marc Yoskowitz, and Mr. Justin Roberts be appointed as directors of the company with immediate effect”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Consistent with section 314 of the Companies Act 2006, we also require you to circulate with the above resolutions the following statement on the subject matter of the resolutions: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Dear Fellow Mereo Shareholders,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Rubric Capital Management is currently the largest shareholder of Mereo BioPharma, holding an approximately 14.32% stake in the company, more than twenty-five times the combined ownership of the independent directors. We invested in the company based upon our conviction that the company was massively undervalued. In our June 14 letter to the Board, we outlined a low-risk strategy to unlock the value of the company’s assets while preserving the company’s diminishing cash resources.</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current Board has not responded to our letter and has totally failed to engage with us over the last two months. Consequently, we have called a special meeting to replace four long-tenured directors with four highly qualified, independent candidates, who are committed to exploring all avenues to maximize shareholder value and who we believe will materially improve corporate governance and alignment with shareholders. Rubric did not undertake this course of action lightly, but this Board has forced our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17"/>
          <w:szCs w:val="17"/>
          <w:color w:val="auto"/>
        </w:rPr>
        <w:t>The current Board has presided over a period of enormous value destruction for shareholders. For the three years ending on May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when Rubric filed its 13D, Mereo shares had declined by </w:t>
      </w:r>
      <w:r>
        <w:rPr>
          <w:rFonts w:ascii="Arial" w:cs="Arial" w:eastAsia="Arial" w:hAnsi="Arial"/>
          <w:sz w:val="17"/>
          <w:szCs w:val="17"/>
          <w:u w:val="single" w:color="auto"/>
          <w:color w:val="auto"/>
        </w:rPr>
        <w:t>90%</w:t>
      </w:r>
      <w:r>
        <w:rPr>
          <w:rFonts w:ascii="Arial" w:cs="Arial" w:eastAsia="Arial" w:hAnsi="Arial"/>
          <w:sz w:val="17"/>
          <w:szCs w:val="17"/>
          <w:color w:val="auto"/>
        </w:rPr>
        <w:t>. Since filing our 13D, Mereo shares have outperformed the Nasdaq Biotech Index. We are convinced that, with the direct involvement of our nominees in Mereo’s governance, Mereo can dramatically improve shareholder value.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Rubric underwrote its position in Mereo over the last two years based on two main factors:</w:t>
      </w:r>
    </w:p>
    <w:p>
      <w:pPr>
        <w:spacing w:after="0" w:line="225" w:lineRule="exact"/>
        <w:rPr>
          <w:sz w:val="20"/>
          <w:szCs w:val="20"/>
          <w:color w:val="auto"/>
        </w:rPr>
      </w:pPr>
    </w:p>
    <w:p>
      <w:pPr>
        <w:ind w:left="1060" w:right="320" w:hanging="242"/>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setrusumab partnership provides bedrock valuation support, given the high probability of success and the ability to unlock that value without substantial financial commitments by Mereo</w:t>
      </w:r>
    </w:p>
    <w:p>
      <w:pPr>
        <w:spacing w:after="0" w:line="170" w:lineRule="exact"/>
        <w:rPr>
          <w:rFonts w:ascii="Arial" w:cs="Arial" w:eastAsia="Arial" w:hAnsi="Arial"/>
          <w:sz w:val="18"/>
          <w:szCs w:val="18"/>
          <w:color w:val="auto"/>
        </w:rPr>
      </w:pPr>
    </w:p>
    <w:p>
      <w:pPr>
        <w:ind w:left="1060" w:hanging="242"/>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Attractive opportunities to drive incremental value from the TIGIT and AATD programs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Mereo has failed to deliver on those opportunities. It has failed to find a partner for TIGIT and provided murky phase 2 results in AATD. Continued cash burn in pursuit of those programs could jeopardize the per-share value of the setrusumab partnership.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If elected to the Board, our nominees are committed to working with the continuing directors to maximize the value of Mereo. Our June 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letter to the</w:t>
      </w:r>
    </w:p>
    <w:p>
      <w:pPr>
        <w:spacing w:after="0"/>
        <w:rPr>
          <w:sz w:val="20"/>
          <w:szCs w:val="20"/>
          <w:color w:val="auto"/>
        </w:rPr>
      </w:pPr>
      <w:r>
        <w:rPr>
          <w:rFonts w:ascii="Arial" w:cs="Arial" w:eastAsia="Arial" w:hAnsi="Arial"/>
          <w:sz w:val="18"/>
          <w:szCs w:val="18"/>
          <w:color w:val="auto"/>
        </w:rPr>
        <w:t>Board outlined a series of steps to unlock value:</w:t>
      </w:r>
    </w:p>
    <w:p>
      <w:pPr>
        <w:spacing w:after="0" w:line="209" w:lineRule="exact"/>
        <w:rPr>
          <w:sz w:val="20"/>
          <w:szCs w:val="20"/>
          <w:color w:val="auto"/>
        </w:rPr>
      </w:pPr>
    </w:p>
    <w:p>
      <w:pPr>
        <w:ind w:left="1060" w:hanging="24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Explore strategic alternatives for the setrusumab royalty and the European rights held by Mereo</w:t>
      </w:r>
    </w:p>
    <w:p>
      <w:pPr>
        <w:spacing w:after="0" w:line="225" w:lineRule="exact"/>
        <w:rPr>
          <w:rFonts w:ascii="Arial" w:cs="Arial" w:eastAsia="Arial" w:hAnsi="Arial"/>
          <w:sz w:val="18"/>
          <w:szCs w:val="18"/>
          <w:color w:val="auto"/>
        </w:rPr>
      </w:pPr>
    </w:p>
    <w:p>
      <w:pPr>
        <w:ind w:left="1060" w:right="80" w:hanging="242"/>
        <w:spacing w:after="0" w:line="26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 feedback from FDA on alvelestat from the end of phase 2 meeting and determine best path forward. In light of the Board and management’s lost credibility following the phase 2 endpoint changes, our experienced, independent directors will be able to provide a clear framework to maximizing value for this program following receipt of the minutes from the FDA</w:t>
      </w:r>
    </w:p>
    <w:p>
      <w:pPr>
        <w:spacing w:after="0" w:line="183" w:lineRule="exact"/>
        <w:rPr>
          <w:rFonts w:ascii="Arial" w:cs="Arial" w:eastAsia="Arial" w:hAnsi="Arial"/>
          <w:sz w:val="18"/>
          <w:szCs w:val="18"/>
          <w:color w:val="auto"/>
        </w:rPr>
      </w:pPr>
    </w:p>
    <w:p>
      <w:pPr>
        <w:ind w:left="1060" w:hanging="24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Explore strategic alternatives for etigilimab and the non-core assets</w:t>
      </w:r>
    </w:p>
    <w:p>
      <w:pPr>
        <w:spacing w:after="0" w:line="225" w:lineRule="exact"/>
        <w:rPr>
          <w:rFonts w:ascii="Arial" w:cs="Arial" w:eastAsia="Arial" w:hAnsi="Arial"/>
          <w:sz w:val="18"/>
          <w:szCs w:val="18"/>
          <w:color w:val="auto"/>
        </w:rPr>
      </w:pPr>
    </w:p>
    <w:p>
      <w:pPr>
        <w:ind w:left="1060" w:hanging="242"/>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cash burn and evaluate opportunities for cash including the possibility of returning excess to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course, our nominees are open to all ideas to drive value and intend to work collaboratively with the Board to achieve the best outcome for shareholders.</w:t>
      </w:r>
    </w:p>
    <w:p>
      <w:pPr>
        <w:spacing w:after="0" w:line="24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order to elect our nominees, we are asking shareholders to remove four long-tenured directors. We believe these directors should be held accountable for the massive value destruction that has occurred during their tenure. Drs. Fellner and Ekblom have been directors since the original AIM listing in 2016, during which time Mereo shares have declined ~ 90%. Dr. Pakianathan and Mr. Wyzga joined from the OncoMed board in the 2019 merger and their tenure has been marked by a ~80% decline in Mereo shares (on top of the massive losses OncoMed shareholders experienced prior to the merger).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7" w:name="page8"/>
    <w:bookmarkEnd w:id="7"/>
    <w:p>
      <w:pPr>
        <w:ind w:left="58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candidates: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Annalisa Jenkins, MBBS, FRCP: </w:t>
      </w:r>
      <w:r>
        <w:rPr>
          <w:rFonts w:ascii="Arial" w:cs="Arial" w:eastAsia="Arial" w:hAnsi="Arial"/>
          <w:sz w:val="18"/>
          <w:szCs w:val="18"/>
          <w:color w:val="auto"/>
        </w:rPr>
        <w:t>Dr. Jenkins served as president and CEO of Dimension Therapeutics, a leading NASDAQ listed gene therapy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was acquired by Ultragenyx in November 2017. Prior leadership roles have included the head of global research and development at Merck Serono and SVP, Global Development at Bristol Myers-Squibb. Dr. Jenkins is a board member and advisor to a number of public and private health and life science companies globally. She also is a committee member of the Science Board to the FDA and is Chair of The Court at The London School of Hygiene and Tropical Medicine. Dr. Jenkins graduated with a degree in medicine from St. Bartholomew’s Hospital in the University of London and served as a Surgeon Lieutenant Commander in the British Royal Navy.</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Daniel Shames, MD: </w:t>
      </w:r>
      <w:r>
        <w:rPr>
          <w:rFonts w:ascii="Arial" w:cs="Arial" w:eastAsia="Arial" w:hAnsi="Arial"/>
          <w:sz w:val="17"/>
          <w:szCs w:val="17"/>
          <w:color w:val="auto"/>
        </w:rPr>
        <w:t>Dr. Shames has served as President of Daniel A. Shames Consulting, providing regulatory services to over 100 biotechnology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United States Army Medical Corps. Dr. Shames received his undergraduate degree from Brandeis University, his MD from Georgetown University School of Medicine, and did his urology residency at the University of Pennsylvania.</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Marc Yoskowitz: </w:t>
      </w:r>
      <w:r>
        <w:rPr>
          <w:rFonts w:ascii="Arial" w:cs="Arial" w:eastAsia="Arial" w:hAnsi="Arial"/>
          <w:sz w:val="18"/>
          <w:szCs w:val="18"/>
          <w:color w:val="auto"/>
        </w:rPr>
        <w:t>Mr. Yoskowitz serves as EVP and Chief Strategy Officer, Life Sciences at Tempus, Inc. Prior to Tempus, Mr. Yoskowitz was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Officer, Pfizer Essential Health, leading a range of corporate initiatives within the Pfizer portfolio. Prior to Pfizer, he served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w:t>
      </w:r>
      <w:r>
        <w:rPr>
          <w:rFonts w:ascii="Arial" w:cs="Arial" w:eastAsia="Arial" w:hAnsi="Arial"/>
          <w:sz w:val="18"/>
          <w:szCs w:val="18"/>
          <w:i w:val="1"/>
          <w:iCs w:val="1"/>
          <w:color w:val="auto"/>
        </w:rPr>
        <w:t>.</w:t>
      </w:r>
    </w:p>
    <w:p>
      <w:pPr>
        <w:spacing w:after="0" w:line="19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 xml:space="preserve">Justin Roberts: </w:t>
      </w:r>
      <w:r>
        <w:rPr>
          <w:rFonts w:ascii="Arial" w:cs="Arial" w:eastAsia="Arial" w:hAnsi="Arial"/>
          <w:sz w:val="16"/>
          <w:szCs w:val="16"/>
          <w:color w:val="auto"/>
        </w:rPr>
        <w:t>Mr. Roberts is a Partner at Rubric Capital Management LP, a role he has held since the formation of the company in 2016. Before Rubric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spent seven years at Point72 Asset Management. Mr. Roberts has also held roles at ZS Associates, Moore Capital Management, and began his career at Lehman Brothers as an investment banker in their M&amp;A practice. Mr. Roberts graduated with honors from Johns Hopkins University.</w:t>
      </w:r>
    </w:p>
    <w:p>
      <w:pPr>
        <w:spacing w:after="0" w:line="14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hope shareholders will support our slate and, if successful, we believe our nominees can help unlock considerable value for </w:t>
      </w:r>
      <w:r>
        <w:rPr>
          <w:rFonts w:ascii="Arial" w:cs="Arial" w:eastAsia="Arial" w:hAnsi="Arial"/>
          <w:sz w:val="17"/>
          <w:szCs w:val="17"/>
          <w:u w:val="single" w:color="auto"/>
          <w:color w:val="auto"/>
        </w:rPr>
        <w:t>all</w:t>
      </w:r>
      <w:r>
        <w:rPr>
          <w:rFonts w:ascii="Arial" w:cs="Arial" w:eastAsia="Arial" w:hAnsi="Arial"/>
          <w:sz w:val="17"/>
          <w:szCs w:val="17"/>
          <w:color w:val="auto"/>
        </w:rPr>
        <w:t xml:space="preserve"> shareholders.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Justin Roberts</w:t>
      </w:r>
    </w:p>
    <w:p>
      <w:pPr>
        <w:spacing w:after="0" w:line="9" w:lineRule="exact"/>
        <w:rPr>
          <w:sz w:val="20"/>
          <w:szCs w:val="20"/>
          <w:color w:val="auto"/>
        </w:rPr>
      </w:pPr>
    </w:p>
    <w:p>
      <w:pPr>
        <w:ind w:right="9360"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418-1888 mereo@rubriccapital.com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Okapi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Goldfarb / Jason Alexander</w:t>
      </w:r>
    </w:p>
    <w:p>
      <w:pPr>
        <w:spacing w:after="0" w:line="9" w:lineRule="exact"/>
        <w:rPr>
          <w:sz w:val="20"/>
          <w:szCs w:val="20"/>
          <w:color w:val="auto"/>
        </w:rPr>
      </w:pPr>
    </w:p>
    <w:p>
      <w:pPr>
        <w:ind w:right="944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297-0720 info@okapipartners.com</w:t>
      </w:r>
    </w:p>
    <w:p>
      <w:pPr>
        <w:spacing w:after="0" w:line="3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confirm that we hold ADSs representing least 5% of the total voting rights of all members of the company having a right to vote at general meetings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Rubric Capital Management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manager or sub-manager of its funds and accounts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Rosen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and Class of Shares Held: 83,780,600 Ordinary Shares represented by 16,756,120 American Depositary Receipts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19, 2022</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3060" w:type="dxa"/>
            <w:vAlign w:val="bottom"/>
            <w:tcBorders>
              <w:top w:val="single" w:sz="8" w:color="auto"/>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8"/>
                <w:szCs w:val="18"/>
                <w:b w:val="1"/>
                <w:bCs w:val="1"/>
                <w:color w:val="auto"/>
              </w:rPr>
              <w:t>Name and address of</w:t>
            </w:r>
          </w:p>
        </w:tc>
        <w:tc>
          <w:tcPr>
            <w:tcW w:w="1680" w:type="dxa"/>
            <w:vAlign w:val="bottom"/>
            <w:tcBorders>
              <w:top w:val="single" w:sz="8" w:color="auto"/>
            </w:tcBorders>
            <w:shd w:val="clear" w:color="auto" w:fill="F2F2F2"/>
          </w:tcPr>
          <w:p>
            <w:pPr>
              <w:spacing w:after="0"/>
              <w:rPr>
                <w:sz w:val="24"/>
                <w:szCs w:val="24"/>
                <w:color w:val="auto"/>
              </w:rPr>
            </w:pPr>
          </w:p>
        </w:tc>
        <w:tc>
          <w:tcPr>
            <w:tcW w:w="3060" w:type="dxa"/>
            <w:vAlign w:val="bottom"/>
            <w:tcBorders>
              <w:top w:val="single" w:sz="8" w:color="auto"/>
              <w:right w:val="single" w:sz="8" w:color="auto"/>
            </w:tcBorders>
            <w:shd w:val="clear" w:color="auto" w:fill="F2F2F2"/>
          </w:tcPr>
          <w:p>
            <w:pPr>
              <w:spacing w:after="0"/>
              <w:rPr>
                <w:sz w:val="24"/>
                <w:szCs w:val="24"/>
                <w:color w:val="auto"/>
              </w:rPr>
            </w:pPr>
          </w:p>
        </w:tc>
        <w:tc>
          <w:tcPr>
            <w:tcW w:w="178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No and class</w:t>
            </w:r>
          </w:p>
        </w:tc>
        <w:tc>
          <w:tcPr>
            <w:tcW w:w="1660" w:type="dxa"/>
            <w:vAlign w:val="bottom"/>
            <w:tcBorders>
              <w:top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continue"/>
            <w:shd w:val="clear" w:color="auto" w:fill="F2F2F2"/>
          </w:tcPr>
          <w:p>
            <w:pPr>
              <w:spacing w:after="0"/>
              <w:rPr>
                <w:sz w:val="9"/>
                <w:szCs w:val="9"/>
                <w:color w:val="auto"/>
              </w:rPr>
            </w:pPr>
          </w:p>
        </w:tc>
        <w:tc>
          <w:tcPr>
            <w:tcW w:w="1680" w:type="dxa"/>
            <w:vAlign w:val="bottom"/>
            <w:vMerge w:val="restart"/>
            <w:shd w:val="clear" w:color="auto" w:fill="F2F2F2"/>
          </w:tcPr>
          <w:p>
            <w:pPr>
              <w:ind w:left="100"/>
              <w:spacing w:after="0"/>
              <w:rPr>
                <w:sz w:val="20"/>
                <w:szCs w:val="20"/>
                <w:color w:val="auto"/>
              </w:rPr>
            </w:pPr>
            <w:r>
              <w:rPr>
                <w:rFonts w:ascii="Arial" w:cs="Arial" w:eastAsia="Arial" w:hAnsi="Arial"/>
                <w:sz w:val="18"/>
                <w:szCs w:val="18"/>
                <w:b w:val="1"/>
                <w:bCs w:val="1"/>
                <w:color w:val="auto"/>
              </w:rPr>
              <w:t>Signature</w:t>
            </w:r>
          </w:p>
        </w:tc>
        <w:tc>
          <w:tcPr>
            <w:tcW w:w="3060" w:type="dxa"/>
            <w:vAlign w:val="bottom"/>
            <w:tcBorders>
              <w:right w:val="single" w:sz="8" w:color="auto"/>
            </w:tcBorders>
            <w:shd w:val="clear" w:color="auto" w:fill="F2F2F2"/>
          </w:tcPr>
          <w:p>
            <w:pPr>
              <w:spacing w:after="0"/>
              <w:rPr>
                <w:sz w:val="9"/>
                <w:szCs w:val="9"/>
                <w:color w:val="auto"/>
              </w:rPr>
            </w:pPr>
          </w:p>
        </w:tc>
        <w:tc>
          <w:tcPr>
            <w:tcW w:w="1780" w:type="dxa"/>
            <w:vAlign w:val="bottom"/>
            <w:tcBorders>
              <w:right w:val="single" w:sz="8" w:color="auto"/>
            </w:tcBorders>
            <w:vMerge w:val="restart"/>
            <w:shd w:val="clear" w:color="auto" w:fill="F2F2F2"/>
          </w:tcPr>
          <w:p>
            <w:pPr>
              <w:ind w:left="80"/>
              <w:spacing w:after="0"/>
              <w:rPr>
                <w:sz w:val="20"/>
                <w:szCs w:val="20"/>
                <w:color w:val="auto"/>
              </w:rPr>
            </w:pPr>
            <w:r>
              <w:rPr>
                <w:rFonts w:ascii="Arial" w:cs="Arial" w:eastAsia="Arial" w:hAnsi="Arial"/>
                <w:sz w:val="18"/>
                <w:szCs w:val="18"/>
                <w:b w:val="1"/>
                <w:bCs w:val="1"/>
                <w:color w:val="auto"/>
              </w:rPr>
              <w:t>of shares</w:t>
            </w:r>
          </w:p>
        </w:tc>
        <w:tc>
          <w:tcPr>
            <w:tcW w:w="1660" w:type="dxa"/>
            <w:vAlign w:val="bottom"/>
            <w:tcBorders>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vMerge w:val="restart"/>
            <w:shd w:val="clear" w:color="auto" w:fill="F2F2F2"/>
          </w:tcPr>
          <w:p>
            <w:pPr>
              <w:ind w:left="120"/>
              <w:spacing w:after="0"/>
              <w:rPr>
                <w:sz w:val="20"/>
                <w:szCs w:val="20"/>
                <w:color w:val="auto"/>
              </w:rPr>
            </w:pPr>
            <w:r>
              <w:rPr>
                <w:rFonts w:ascii="Arial" w:cs="Arial" w:eastAsia="Arial" w:hAnsi="Arial"/>
                <w:sz w:val="18"/>
                <w:szCs w:val="18"/>
                <w:b w:val="1"/>
                <w:bCs w:val="1"/>
                <w:color w:val="auto"/>
              </w:rPr>
              <w:t>member</w:t>
            </w:r>
          </w:p>
        </w:tc>
        <w:tc>
          <w:tcPr>
            <w:tcW w:w="1680" w:type="dxa"/>
            <w:vAlign w:val="bottom"/>
            <w:vMerge w:val="continue"/>
            <w:shd w:val="clear" w:color="auto" w:fill="F2F2F2"/>
          </w:tcPr>
          <w:p>
            <w:pPr>
              <w:spacing w:after="0"/>
              <w:rPr>
                <w:sz w:val="9"/>
                <w:szCs w:val="9"/>
                <w:color w:val="auto"/>
              </w:rPr>
            </w:pPr>
          </w:p>
        </w:tc>
        <w:tc>
          <w:tcPr>
            <w:tcW w:w="3060" w:type="dxa"/>
            <w:vAlign w:val="bottom"/>
            <w:tcBorders>
              <w:right w:val="single" w:sz="8" w:color="auto"/>
            </w:tcBorders>
            <w:shd w:val="clear" w:color="auto" w:fill="F2F2F2"/>
          </w:tcPr>
          <w:p>
            <w:pPr>
              <w:spacing w:after="0"/>
              <w:rPr>
                <w:sz w:val="9"/>
                <w:szCs w:val="9"/>
                <w:color w:val="auto"/>
              </w:rPr>
            </w:pPr>
          </w:p>
        </w:tc>
        <w:tc>
          <w:tcPr>
            <w:tcW w:w="1780" w:type="dxa"/>
            <w:vAlign w:val="bottom"/>
            <w:tcBorders>
              <w:right w:val="single" w:sz="8" w:color="auto"/>
            </w:tcBorders>
            <w:vMerge w:val="continue"/>
            <w:shd w:val="clear" w:color="auto" w:fill="F2F2F2"/>
          </w:tcPr>
          <w:p>
            <w:pPr>
              <w:spacing w:after="0"/>
              <w:rPr>
                <w:sz w:val="9"/>
                <w:szCs w:val="9"/>
                <w:color w:val="auto"/>
              </w:rPr>
            </w:pPr>
          </w:p>
        </w:tc>
        <w:tc>
          <w:tcPr>
            <w:tcW w:w="1660" w:type="dxa"/>
            <w:vAlign w:val="bottom"/>
            <w:tcBorders>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060" w:type="dxa"/>
            <w:vAlign w:val="bottom"/>
            <w:tcBorders>
              <w:left w:val="single" w:sz="8" w:color="auto"/>
              <w:right w:val="single" w:sz="8" w:color="auto"/>
            </w:tcBorders>
            <w:vMerge w:val="continue"/>
            <w:shd w:val="clear" w:color="auto" w:fill="F2F2F2"/>
          </w:tcPr>
          <w:p>
            <w:pPr>
              <w:spacing w:after="0"/>
              <w:rPr>
                <w:sz w:val="10"/>
                <w:szCs w:val="10"/>
                <w:color w:val="auto"/>
              </w:rPr>
            </w:pPr>
          </w:p>
        </w:tc>
        <w:tc>
          <w:tcPr>
            <w:tcW w:w="1680" w:type="dxa"/>
            <w:vAlign w:val="bottom"/>
            <w:shd w:val="clear" w:color="auto" w:fill="F2F2F2"/>
          </w:tcPr>
          <w:p>
            <w:pPr>
              <w:spacing w:after="0"/>
              <w:rPr>
                <w:sz w:val="10"/>
                <w:szCs w:val="10"/>
                <w:color w:val="auto"/>
              </w:rPr>
            </w:pPr>
          </w:p>
        </w:tc>
        <w:tc>
          <w:tcPr>
            <w:tcW w:w="3060" w:type="dxa"/>
            <w:vAlign w:val="bottom"/>
            <w:tcBorders>
              <w:right w:val="single" w:sz="8" w:color="auto"/>
            </w:tcBorders>
            <w:shd w:val="clear" w:color="auto" w:fill="F2F2F2"/>
          </w:tcPr>
          <w:p>
            <w:pPr>
              <w:spacing w:after="0"/>
              <w:rPr>
                <w:sz w:val="10"/>
                <w:szCs w:val="10"/>
                <w:color w:val="auto"/>
              </w:rPr>
            </w:pPr>
          </w:p>
        </w:tc>
        <w:tc>
          <w:tcPr>
            <w:tcW w:w="1780" w:type="dxa"/>
            <w:vAlign w:val="bottom"/>
            <w:tcBorders>
              <w:right w:val="single" w:sz="8" w:color="auto"/>
            </w:tcBorders>
            <w:vMerge w:val="restart"/>
            <w:shd w:val="clear" w:color="auto" w:fill="F2F2F2"/>
          </w:tcPr>
          <w:p>
            <w:pPr>
              <w:ind w:left="80"/>
              <w:spacing w:after="0"/>
              <w:rPr>
                <w:sz w:val="20"/>
                <w:szCs w:val="20"/>
                <w:color w:val="auto"/>
              </w:rPr>
            </w:pPr>
            <w:r>
              <w:rPr>
                <w:rFonts w:ascii="Arial" w:cs="Arial" w:eastAsia="Arial" w:hAnsi="Arial"/>
                <w:sz w:val="18"/>
                <w:szCs w:val="18"/>
                <w:b w:val="1"/>
                <w:bCs w:val="1"/>
                <w:color w:val="auto"/>
              </w:rPr>
              <w:t>held</w:t>
            </w:r>
          </w:p>
        </w:tc>
        <w:tc>
          <w:tcPr>
            <w:tcW w:w="1660" w:type="dxa"/>
            <w:vAlign w:val="bottom"/>
            <w:tcBorders>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shd w:val="clear" w:color="auto" w:fill="F2F2F2"/>
          </w:tcPr>
          <w:p>
            <w:pPr>
              <w:spacing w:after="0"/>
              <w:rPr>
                <w:sz w:val="9"/>
                <w:szCs w:val="9"/>
                <w:color w:val="auto"/>
              </w:rPr>
            </w:pPr>
          </w:p>
        </w:tc>
        <w:tc>
          <w:tcPr>
            <w:tcW w:w="1680" w:type="dxa"/>
            <w:vAlign w:val="bottom"/>
            <w:shd w:val="clear" w:color="auto" w:fill="F2F2F2"/>
          </w:tcPr>
          <w:p>
            <w:pPr>
              <w:spacing w:after="0"/>
              <w:rPr>
                <w:sz w:val="9"/>
                <w:szCs w:val="9"/>
                <w:color w:val="auto"/>
              </w:rPr>
            </w:pPr>
          </w:p>
        </w:tc>
        <w:tc>
          <w:tcPr>
            <w:tcW w:w="3060" w:type="dxa"/>
            <w:vAlign w:val="bottom"/>
            <w:tcBorders>
              <w:right w:val="single" w:sz="8" w:color="auto"/>
            </w:tcBorders>
            <w:shd w:val="clear" w:color="auto" w:fill="F2F2F2"/>
          </w:tcPr>
          <w:p>
            <w:pPr>
              <w:spacing w:after="0"/>
              <w:rPr>
                <w:sz w:val="9"/>
                <w:szCs w:val="9"/>
                <w:color w:val="auto"/>
              </w:rPr>
            </w:pPr>
          </w:p>
        </w:tc>
        <w:tc>
          <w:tcPr>
            <w:tcW w:w="1780" w:type="dxa"/>
            <w:vAlign w:val="bottom"/>
            <w:tcBorders>
              <w:right w:val="single" w:sz="8" w:color="auto"/>
            </w:tcBorders>
            <w:vMerge w:val="continue"/>
            <w:shd w:val="clear" w:color="auto" w:fill="F2F2F2"/>
          </w:tcPr>
          <w:p>
            <w:pPr>
              <w:spacing w:after="0"/>
              <w:rPr>
                <w:sz w:val="9"/>
                <w:szCs w:val="9"/>
                <w:color w:val="auto"/>
              </w:rPr>
            </w:pPr>
          </w:p>
        </w:tc>
        <w:tc>
          <w:tcPr>
            <w:tcW w:w="1660" w:type="dxa"/>
            <w:vAlign w:val="bottom"/>
            <w:tcBorders>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680" w:type="dxa"/>
            <w:vAlign w:val="bottom"/>
            <w:tcBorders>
              <w:bottom w:val="single" w:sz="8" w:color="auto"/>
            </w:tcBorders>
            <w:shd w:val="clear" w:color="auto" w:fill="F2F2F2"/>
          </w:tcPr>
          <w:p>
            <w:pPr>
              <w:spacing w:after="0"/>
              <w:rPr>
                <w:sz w:val="9"/>
                <w:szCs w:val="9"/>
                <w:color w:val="auto"/>
              </w:rPr>
            </w:pPr>
          </w:p>
        </w:tc>
        <w:tc>
          <w:tcPr>
            <w:tcW w:w="3060" w:type="dxa"/>
            <w:vAlign w:val="bottom"/>
            <w:tcBorders>
              <w:bottom w:val="single" w:sz="8" w:color="auto"/>
              <w:right w:val="single" w:sz="8" w:color="auto"/>
            </w:tcBorders>
            <w:shd w:val="clear" w:color="auto" w:fill="F2F2F2"/>
          </w:tcPr>
          <w:p>
            <w:pPr>
              <w:spacing w:after="0"/>
              <w:rPr>
                <w:sz w:val="9"/>
                <w:szCs w:val="9"/>
                <w:color w:val="auto"/>
              </w:rPr>
            </w:pPr>
          </w:p>
        </w:tc>
        <w:tc>
          <w:tcPr>
            <w:tcW w:w="1780" w:type="dxa"/>
            <w:vAlign w:val="bottom"/>
            <w:tcBorders>
              <w:bottom w:val="single" w:sz="8" w:color="auto"/>
              <w:right w:val="single" w:sz="8" w:color="auto"/>
            </w:tcBorders>
            <w:shd w:val="clear" w:color="auto" w:fill="F2F2F2"/>
          </w:tcPr>
          <w:p>
            <w:pPr>
              <w:spacing w:after="0"/>
              <w:rPr>
                <w:sz w:val="9"/>
                <w:szCs w:val="9"/>
                <w:color w:val="auto"/>
              </w:rPr>
            </w:pPr>
          </w:p>
        </w:tc>
        <w:tc>
          <w:tcPr>
            <w:tcW w:w="166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060" w:type="dxa"/>
            <w:vAlign w:val="bottom"/>
            <w:tcBorders>
              <w:left w:val="single" w:sz="8" w:color="auto"/>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30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83,780,600 Ordinary</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Rubric Capital Management LP as</w:t>
            </w:r>
          </w:p>
        </w:tc>
        <w:tc>
          <w:tcPr>
            <w:tcW w:w="168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 represented</w:t>
            </w: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Pr>
          <w:p>
            <w:pPr>
              <w:spacing w:after="0"/>
              <w:rPr>
                <w:sz w:val="7"/>
                <w:szCs w:val="7"/>
                <w:color w:val="auto"/>
              </w:rPr>
            </w:pPr>
          </w:p>
        </w:tc>
        <w:tc>
          <w:tcPr>
            <w:tcW w:w="30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by 16,756,120</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August 19, 2022</w:t>
            </w: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w w:val="98"/>
              </w:rPr>
              <w:t>manager or sub-manager of its funds</w:t>
            </w:r>
          </w:p>
        </w:tc>
        <w:tc>
          <w:tcPr>
            <w:tcW w:w="1680" w:type="dxa"/>
            <w:vAlign w:val="bottom"/>
          </w:tcPr>
          <w:p>
            <w:pPr>
              <w:spacing w:after="0"/>
              <w:rPr>
                <w:sz w:val="11"/>
                <w:szCs w:val="11"/>
                <w:color w:val="auto"/>
              </w:rPr>
            </w:pPr>
          </w:p>
        </w:tc>
        <w:tc>
          <w:tcPr>
            <w:tcW w:w="306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Pr>
          <w:p>
            <w:pPr>
              <w:spacing w:after="0"/>
              <w:rPr>
                <w:sz w:val="7"/>
                <w:szCs w:val="7"/>
                <w:color w:val="auto"/>
              </w:rPr>
            </w:pPr>
          </w:p>
        </w:tc>
        <w:tc>
          <w:tcPr>
            <w:tcW w:w="30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w w:val="99"/>
              </w:rPr>
              <w:t>American Depositary</w:t>
            </w: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and accounts</w:t>
            </w:r>
          </w:p>
        </w:tc>
        <w:tc>
          <w:tcPr>
            <w:tcW w:w="1680" w:type="dxa"/>
            <w:vAlign w:val="bottom"/>
          </w:tcPr>
          <w:p>
            <w:pPr>
              <w:spacing w:after="0"/>
              <w:rPr>
                <w:sz w:val="11"/>
                <w:szCs w:val="11"/>
                <w:color w:val="auto"/>
              </w:rPr>
            </w:pPr>
          </w:p>
        </w:tc>
        <w:tc>
          <w:tcPr>
            <w:tcW w:w="306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06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Pr>
          <w:p>
            <w:pPr>
              <w:spacing w:after="0"/>
              <w:rPr>
                <w:sz w:val="8"/>
                <w:szCs w:val="8"/>
                <w:color w:val="auto"/>
              </w:rPr>
            </w:pPr>
          </w:p>
        </w:tc>
        <w:tc>
          <w:tcPr>
            <w:tcW w:w="30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Receipts</w:t>
            </w:r>
          </w:p>
        </w:tc>
        <w:tc>
          <w:tcPr>
            <w:tcW w:w="1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306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60" w:type="dxa"/>
            <w:vAlign w:val="bottom"/>
            <w:tcBorders>
              <w:left w:val="single" w:sz="8" w:color="auto"/>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41"/>
        </w:trPr>
        <w:tc>
          <w:tcPr>
            <w:tcW w:w="3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4</w:t>
            </w:r>
          </w:p>
        </w:tc>
        <w:tc>
          <w:tcPr>
            <w:tcW w:w="1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12"/>
    </w:lvl>
  </w:abstractNum>
  <w:abstractNum w:abstractNumId="6">
    <w:nsid w:val="41B71EF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2022-08-24T05:08:16Z</dcterms:created>
  <dcterms:modified xsi:type="dcterms:W3CDTF">2022-08-24T05:08:16Z</dcterms:modified>
</cp:coreProperties>
</file>