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13, 2025</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18" w:right="339" w:bottom="1440" w:gutter="0" w:footer="0" w:header="0"/>
        </w:sectPr>
      </w:pPr>
    </w:p>
    <w:p>
      <w:pPr>
        <w:spacing w:after="0" w:line="14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111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118" w:right="339" w:bottom="1440" w:gutter="0" w:footer="0" w:header="0"/>
          <w:type w:val="continuous"/>
        </w:sectPr>
      </w:pP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3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42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five</w:t>
            </w:r>
          </w:p>
        </w:tc>
        <w:tc>
          <w:tcPr>
            <w:tcW w:w="120" w:type="dxa"/>
            <w:vAlign w:val="bottom"/>
          </w:tcPr>
          <w:p>
            <w:pPr>
              <w:spacing w:after="0"/>
              <w:rPr>
                <w:sz w:val="16"/>
                <w:szCs w:val="16"/>
                <w:color w:val="auto"/>
              </w:rPr>
            </w:pPr>
          </w:p>
        </w:tc>
        <w:tc>
          <w:tcPr>
            <w:tcW w:w="3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£0.003 per share</w:t>
            </w: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May 13, 2025, Mereo BioPharma Group plc announced its financial results for the first quarter ended March 31, 2025 and provided recent corporate highlights. The full text of the press release issued in connection with the announcement is furnished as Exhibit 99.1 to this Current Report on Form 8-K.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4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3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13, 2025</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EE"/>
            </w:tcBorders>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60" w:type="dxa"/>
            <w:vAlign w:val="bottom"/>
          </w:tcPr>
          <w:p>
            <w:pPr>
              <w:spacing w:after="0"/>
              <w:rPr>
                <w:sz w:val="22"/>
                <w:szCs w:val="22"/>
                <w:color w:val="auto"/>
              </w:rPr>
            </w:pPr>
          </w:p>
        </w:tc>
        <w:tc>
          <w:tcPr>
            <w:tcW w:w="758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MEREO BIOPHARMA GROUP PLC</w:t>
            </w:r>
          </w:p>
        </w:tc>
      </w:tr>
      <w:tr>
        <w:trPr>
          <w:trHeight w:val="453"/>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Date: May 13, 2025</w:t>
            </w:r>
          </w:p>
        </w:tc>
        <w:tc>
          <w:tcPr>
            <w:tcW w:w="758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By:  /s/ Christine Fox</w:t>
            </w:r>
          </w:p>
        </w:tc>
      </w:tr>
      <w:tr>
        <w:trPr>
          <w:trHeight w:val="200"/>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160" w:type="dxa"/>
            <w:vAlign w:val="bottom"/>
            <w:tcBorders>
              <w:top w:val="single" w:sz="8" w:color="auto"/>
            </w:tcBorders>
          </w:tcPr>
          <w:p>
            <w:pPr>
              <w:ind w:left="360"/>
              <w:spacing w:after="0" w:line="200" w:lineRule="exact"/>
              <w:rPr>
                <w:sz w:val="20"/>
                <w:szCs w:val="20"/>
                <w:color w:val="auto"/>
              </w:rPr>
            </w:pPr>
            <w:r>
              <w:rPr>
                <w:rFonts w:ascii="Times New Roman" w:cs="Times New Roman" w:eastAsia="Times New Roman" w:hAnsi="Times New Roman"/>
                <w:sz w:val="20"/>
                <w:szCs w:val="20"/>
                <w:color w:val="auto"/>
              </w:rPr>
              <w:t>Christine Fox</w:t>
            </w:r>
          </w:p>
        </w:tc>
      </w:tr>
      <w:tr>
        <w:trPr>
          <w:trHeight w:val="258"/>
        </w:trPr>
        <w:tc>
          <w:tcPr>
            <w:tcW w:w="36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973"/>
        </w:trPr>
        <w:tc>
          <w:tcPr>
            <w:tcW w:w="3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Reports First Quarter 2025 Financial Results and Provides Corporate Highlights</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Progress continues in Phase 3 Orbit study of setrusumab in osteogenesis imperfecta (OI)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of $62.5 million as of March 31, 2025, expected to fund operations into 2027</w:t>
      </w:r>
    </w:p>
    <w:p>
      <w:pPr>
        <w:spacing w:after="0" w:line="22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London, May 13, 2025 – </w:t>
      </w:r>
      <w:r>
        <w:rPr>
          <w:rFonts w:ascii="Times New Roman" w:cs="Times New Roman" w:eastAsia="Times New Roman" w:hAnsi="Times New Roman"/>
          <w:sz w:val="18"/>
          <w:szCs w:val="18"/>
          <w:color w:val="auto"/>
        </w:rPr>
        <w:t>Mereo BioPharma Group plc (NASDAQ: MREO) (“Mereo” or the “Company”),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rare diseases, today announced its financial results for the first quarter ended March 31, 2025, and provided recent corporate highlights.</w:t>
      </w:r>
    </w:p>
    <w:p>
      <w:pPr>
        <w:spacing w:after="0" w:line="15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“As we close out the first quarter of 2025, we continue to anticipate this will be an important, milestone-rich year for Mereo. The Phase 3 Orbit study of setrusumab in osteogenesis imperfecta remains on track to read-out either at the second interim analysis in mid-2025 or at the final analysis in the fourth quarter. We are continuing to invest in the pre-commercial activities for setrusumab to enable a successful launch in our European territory, following potential regulatory approvals,” said Dr. Denise Scots-Knight, Chief Executive Officer of Mereo. "Further, alvelestat is now Phase 3 ready and we are finalizing the trial start-up activities to support our ongoing partnering process. Along with our late-stage pipeline, we believe that continued close management of our cash balance will enable us to support our operations into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Highlights, Recent Developments, and Anticipated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(UX143)</w:t>
      </w:r>
    </w:p>
    <w:p>
      <w:pPr>
        <w:spacing w:after="0" w:line="121"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in the two global Phase 3 studies led by our partner Ultragenyx:</w:t>
      </w:r>
    </w:p>
    <w:p>
      <w:pPr>
        <w:spacing w:after="0" w:line="117" w:lineRule="exact"/>
        <w:rPr>
          <w:rFonts w:ascii="Times New Roman" w:cs="Times New Roman" w:eastAsia="Times New Roman" w:hAnsi="Times New Roman"/>
          <w:sz w:val="18"/>
          <w:szCs w:val="18"/>
          <w:color w:val="auto"/>
        </w:rPr>
      </w:pPr>
    </w:p>
    <w:p>
      <w:pPr>
        <w:ind w:left="1540" w:right="8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randomized, placebo-controlled Phase 3 portion of the Orbit study (in patients aged 5 to 25 years) is progressing toward a second interim analysis (IA2) in mid-2025 or a final analysis in the fourth quarter of 2025. All patients have now been on therapy for at least 12 months, conduct of the study is going well and patient safety in the Phase 3 portion of the study is consistent with safety observed in the Phase 2.</w:t>
      </w:r>
    </w:p>
    <w:p>
      <w:pPr>
        <w:spacing w:after="0" w:line="71" w:lineRule="exact"/>
        <w:rPr>
          <w:rFonts w:ascii="Times New Roman" w:cs="Times New Roman" w:eastAsia="Times New Roman" w:hAnsi="Times New Roman"/>
          <w:sz w:val="18"/>
          <w:szCs w:val="18"/>
          <w:color w:val="auto"/>
        </w:rPr>
      </w:pPr>
    </w:p>
    <w:p>
      <w:pPr>
        <w:ind w:left="1540" w:right="14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oPatients in the Cosmic study (aged 2 to &lt;7 years) are being treated with either setrusumab or intravenous bisphosphonates (IV-BP) therapy and will be evaluated in parallel with the Orbit interim analysis. If Orbit progresses to full study completion in the fourth quarter of 2025, Cosmic will also continue to a data read-out, to align with the Orbit read-out without spending alpha at the mid-year interim assessment.</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pre-commercial activities in Europe to support potential launch, including engagement with regulatory/HTA bodies and real-world data collection efforts through the SATURN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Alvelestat (MPH-966)</w:t>
      </w:r>
    </w:p>
    <w:p>
      <w:pPr>
        <w:spacing w:after="0" w:line="121" w:lineRule="exact"/>
        <w:rPr>
          <w:sz w:val="20"/>
          <w:szCs w:val="20"/>
          <w:color w:val="auto"/>
        </w:rPr>
      </w:pPr>
    </w:p>
    <w:p>
      <w:pPr>
        <w:ind w:left="1020" w:right="7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first quarter of 2025, the European Commission granted Orphan Designation to alvelestat for the treatment of alpha-1 antitrypsin deficiency-associated lung disease (AATD-LD). This adds to existing US FDA Orphan Drug and Fast Track designations.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start-up activities for the planned single, global Phase 3 pivotal study are ongoing.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remains in discussion with multiple potential development and commercialization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Results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Total research and development (“R&amp;D”) expenses decreased by $0.1 million from $4.0 million in the first quarter of 2024 to $3.9 million in the first quarter of 2025. The decrease was primarily due to decreases of $1.2 million and $0.1 million in R&amp;D expenses for alvelestat and etigilimab, offset by an increase of $1.3 million in R&amp;D expenses for setrusumab. The decrease in program expenses for alvelestat was primarily due to undertaking reduced drug formulation and manufacturing activities in preparation for the Phase 3 study in the first quarter of 2025, compared to the first quarter of 2024. The increase in program expenses for setrusumab was primarily driven by amounts due under the manufacturing and supply agreement with our partner, Ultragenyx, ongoing activities related to real-world evidence programs and medical affairs activities in Europe and input into development, regulatory and manufacturing plans with Ultragenyx, who fund the global development of the program pursuant to our license and collaboration agreement.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$1.4 million from $5.9 million in the first quarter of 2024 to $7.3 million in the first quarter of 2025. The increase was primarily due to the recognition of a $1.7 million reduction in expenses in the first quarter of 2024 for amounts received from our depository to reimburse certain expenses incurred by us in respect of our ADR program, partially offset by a net decrease in employee-related expenses and professional fees. A reimbursement in respect of our ADR program is anticipated in 2025.</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loss for the first quarter of 2025 was $12.9 million, compared to $9.0 million during the first quarter of 2024, primarily reflecting an operating loss of $11.2 million and foreign currency translation loss.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cash and cash equivalents of $62.5 million, compared to $69.8 million as of December 31, 2024. The Company’s guidance remains unchanged, and it continues to expect, based on current operational plans, that its existing cash and cash equivalents balance will enable it to fund its currently committed clinical trials, operating expenses, and capital expenditure requirements into 2027. This guidance does not include any potential upfront payments associated with a partnership for alvelestat or business development activity around any of the Company’s non-core programs.</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ordinary shares issued as of March 31, 2025 were 795,001,444. Total ADS equivalents as of March 31, 2025 were 159,000,288, with each ADS representing five ordinary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two rare disease product candidates: setrusumab for the treatment of osteogenesis imperfecta (OI); and alvelestat for the treatment of severe alpha-1 antitrypsin deficiency-associated lung disease (AATD-LD). The Company’s partner, Ultragenyx Pharmaceutical, Inc., has completed enrollment in the Phase 3 portion of a pivotal Phase 2/3 study in pediatrics and young adults (5 to 25 years old) for setrusumab in OI and in the Phase 3 study in pediatric patients (2 to &lt;7 years old).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European Commission (“EC”) and the FDA, PRIME designation from the EMA, and has Breakthrough Therapy designation and rare pediatric disease designation from the FDA. Alvelestat has received Orphan Designation for AATD from the EC and the FDA, and Fast Track designation from the FDA for AATD-LD. Following results from ASTRAEUS and ATALANTa in AATD-lung disease, the Company has aligned with the FDA and the EMA on the primary endpoints for a Phase 3 pivotal study which, if successful, could enable full approval in both the U.S. and Europe. In addition to the rare disease programs, Mereo has two oncology product candidates, etigilimab, an anti-TIGIT; and navicixizumab for the potential treatment of late-line ovarian cancer. Navicixizumab has been partnered with Feng Biosciences, Inc. in a global licensing agreement that includes milestone payments and royalties. Mereo has also entered into an exclusive global license agreement with ReproNovo SA, a reproductive medicine company, for the development and commercialization of leflutrozole, a non-steroidal aromatase inhibitor.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720" w:type="dxa"/>
            <w:vAlign w:val="bottom"/>
          </w:tcPr>
          <w:p>
            <w:pPr>
              <w:spacing w:after="0"/>
              <w:rPr>
                <w:sz w:val="24"/>
                <w:szCs w:val="24"/>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c>
          <w:tcPr>
            <w:tcW w:w="1720" w:type="dxa"/>
            <w:vAlign w:val="bottom"/>
          </w:tcPr>
          <w:p>
            <w:pPr>
              <w:spacing w:after="0"/>
              <w:rPr>
                <w:sz w:val="24"/>
                <w:szCs w:val="24"/>
                <w:color w:val="auto"/>
              </w:rPr>
            </w:pPr>
          </w:p>
        </w:tc>
      </w:tr>
      <w:tr>
        <w:trPr>
          <w:trHeight w:val="21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Roth</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8"/>
        </w:trPr>
        <w:tc>
          <w:tcPr>
            <w:tcW w:w="5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Investors</w:t>
            </w:r>
          </w:p>
        </w:tc>
        <w:tc>
          <w:tcPr>
            <w:tcW w:w="5540" w:type="dxa"/>
            <w:vAlign w:val="bottom"/>
            <w:gridSpan w:val="4"/>
          </w:tcPr>
          <w:p>
            <w:pPr>
              <w:ind w:left="1420"/>
              <w:spacing w:after="0" w:line="198" w:lineRule="exact"/>
              <w:rPr>
                <w:sz w:val="20"/>
                <w:szCs w:val="20"/>
                <w:color w:val="auto"/>
              </w:rPr>
            </w:pPr>
            <w:r>
              <w:rPr>
                <w:rFonts w:ascii="Times New Roman" w:cs="Times New Roman" w:eastAsia="Times New Roman" w:hAnsi="Times New Roman"/>
                <w:sz w:val="18"/>
                <w:szCs w:val="18"/>
                <w:color w:val="0432FF"/>
              </w:rPr>
              <w:t>investors@mereobiopharma.com</w:t>
            </w:r>
          </w:p>
        </w:tc>
      </w:tr>
      <w:tr>
        <w:trPr>
          <w:trHeight w:val="1432"/>
        </w:trPr>
        <w:tc>
          <w:tcPr>
            <w:tcW w:w="5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top w:val="single" w:sz="8" w:color="0432FF"/>
              <w:bottom w:val="single" w:sz="8" w:color="9A9A9A"/>
            </w:tcBorders>
          </w:tcPr>
          <w:p>
            <w:pPr>
              <w:spacing w:after="0"/>
              <w:rPr>
                <w:sz w:val="24"/>
                <w:szCs w:val="24"/>
                <w:color w:val="auto"/>
              </w:rPr>
            </w:pPr>
          </w:p>
        </w:tc>
        <w:tc>
          <w:tcPr>
            <w:tcW w:w="2100" w:type="dxa"/>
            <w:vAlign w:val="bottom"/>
            <w:tcBorders>
              <w:top w:val="single" w:sz="8" w:color="0432FF"/>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62,483</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69,802</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16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2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68,322</w:t>
            </w:r>
          </w:p>
        </w:tc>
        <w:tc>
          <w:tcPr>
            <w:tcW w:w="2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76,390</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2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8,241</w:t>
            </w:r>
          </w:p>
        </w:tc>
        <w:tc>
          <w:tcPr>
            <w:tcW w:w="2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15,421</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61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795,001,444 shares issued at March</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31, 2025 (December 31, 2024: 775,728,034).</w:t>
            </w:r>
          </w:p>
        </w:tc>
        <w:tc>
          <w:tcPr>
            <w:tcW w:w="172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shd w:val="clear" w:color="auto" w:fill="CFF0FC"/>
          </w:tcPr>
          <w:p>
            <w:pPr>
              <w:spacing w:after="0"/>
              <w:rPr>
                <w:sz w:val="20"/>
                <w:szCs w:val="20"/>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539,642</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(472,027)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(462,883)</w:t>
            </w: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(18,849)</w:t>
            </w:r>
          </w:p>
        </w:tc>
      </w:tr>
      <w:tr>
        <w:trPr>
          <w:trHeight w:val="210"/>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60,081</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72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68,322</w:t>
            </w:r>
          </w:p>
        </w:tc>
        <w:tc>
          <w:tcPr>
            <w:tcW w:w="2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76,390</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6"/>
        </w:trPr>
        <w:tc>
          <w:tcPr>
            <w:tcW w:w="6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-6111240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-6111240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-5554345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-5554345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-4285615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-3728085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-3728085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-2313940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2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(3,994)</w:t>
            </w: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(5,906)</w:t>
            </w:r>
          </w:p>
        </w:tc>
      </w:tr>
      <w:tr>
        <w:trPr>
          <w:trHeight w:val="20"/>
        </w:trPr>
        <w:tc>
          <w:tcPr>
            <w:tcW w:w="6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(11,202)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(9,900)</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(12,887)</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(8,951)</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(12,887)</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(8,951)</w:t>
            </w: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49"/>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784,279,387</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700,263,490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(12,887)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(8,951)</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income/(loss) – Foreign currency translation adjustments, net of tax</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6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(9,328)</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(9,749)</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60"/>
        </w:trPr>
        <w:tc>
          <w:tcPr>
            <w:tcW w:w="6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-3085465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-1687830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-1671320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-1242695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-1224915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-805180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2025-05-13T06:56:30Z</dcterms:created>
  <dcterms:modified xsi:type="dcterms:W3CDTF">2025-05-13T06:56:30Z</dcterms:modified>
</cp:coreProperties>
</file>