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7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April, 2019</w:t>
      </w: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1200"/>
        <w:spacing w:after="0"/>
        <w:rPr>
          <w:sz w:val="20"/>
          <w:szCs w:val="20"/>
          <w:color w:val="auto"/>
        </w:rPr>
      </w:pPr>
      <w:r>
        <w:rPr>
          <w:rFonts w:ascii="Arial" w:cs="Arial" w:eastAsia="Arial" w:hAnsi="Arial"/>
          <w:sz w:val="18"/>
          <w:szCs w:val="18"/>
          <w:b w:val="1"/>
          <w:bCs w:val="1"/>
          <w:color w:val="auto"/>
        </w:rPr>
        <w:t>London, W1G 0QF, United Kingdom</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("Mereo" or the "Company" or the "Group")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Admission to trading on AIM of New Shares and initiation of trading on Nasdaq of American Depositary Shares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London, April 24, 2019 </w:t>
      </w:r>
      <w:r>
        <w:rPr>
          <w:rFonts w:ascii="Arial" w:cs="Arial" w:eastAsia="Arial" w:hAnsi="Arial"/>
          <w:sz w:val="18"/>
          <w:szCs w:val="18"/>
          <w:color w:val="auto"/>
        </w:rPr>
        <w:t>– Mereo BioPharma Group plc (AIM: MPH) (NASDAQ: MREO), a clinical stage, UK-based,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rare diseases, today announces that, in connection with the completed merger with OncoMed Pharmaceuticals, Inc. (“OncoMed”) that was announced yesterday (the "Merger"), the 24,783,320 new ordinary shares of Mereo (the "New Shares") issued as consideration for the Merger by Mereo to Citibank, N.A., London Branch, as custodian, have today been admitted to trading on AIM and 4,956,664 American Depositary Shares (each representing five New Shares) which Mereo instructed Citibank, N.A., as depositary, to issue to the former stockholders of OncoMed, have today been admitted to trading on the Nasdaq Global Market under the ticker symbol “MREO”.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Commenting on the announcement, Mereo’s Chief Executive Officer, Dr. Denise Scots-Knight, said:</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completion of this merger represents a significant milestone for Mereo and its shareholders. Upon closing the merger, we have broadened our product pipeline and will have a strong cash position extending the current operational runway into mid 2020. We are excited to work with our two new Board Members who have joined from OncoMed and to now have our US operations based in Redwood City, California. We believe having a more diversified, global shareholder base will be instrumental to Mereo as we advance our programs.”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that have substantial preclinical, clinical and manufacturing data packages. Mereo's four product candidates have previously generated positive clinical data for Mereo's target indications or in related indications. Mereo has commenced randomized Phase 2 clinical trials for all four of the product candidates. In connection with the merger with OncoMed, Mereo added two candidates to its pipeline, Navicixizumab and Etigilimab.</w:t>
      </w:r>
    </w:p>
    <w:p>
      <w:pPr>
        <w:spacing w:after="0" w:line="189" w:lineRule="exact"/>
        <w:rPr>
          <w:sz w:val="20"/>
          <w:szCs w:val="20"/>
          <w:color w:val="auto"/>
        </w:rPr>
      </w:pPr>
    </w:p>
    <w:p>
      <w:pPr>
        <w:jc w:val="both"/>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BPS-804 for osteogenesis imperfecta (OI). In October 2018, the Company announced completion of enrollment of 112 adult patients in a Phase 2b dose ranging study with initial data expected in Q2 2019 and top-line dose ranging data in late 2019. A pediatric Phase 3 study design has also been approved by the EMA. BPS-804 has orphan designation in the U.S. and the EU and has been accepted into the PRIME and Adaptive Pathways in EU;</w:t>
      </w:r>
    </w:p>
    <w:p>
      <w:pPr>
        <w:spacing w:after="0" w:line="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MPH-966 for alpha-1 antitrypsin deficiency (AATD). The Company recently announced dosing of the first patient in a Phase 2 dose ranging study in the U.S. with data expected around the end of 2019;</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BCT-197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2"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BGS-649 for hypogonadotropic hypogonadism (HH). The Company announced positive top-line Phase 2b data in March 2018 and positive results from the Phase 2b safety extension study in December 2018;</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enrolment; and</w:t>
      </w:r>
    </w:p>
    <w:p>
      <w:pPr>
        <w:spacing w:after="0" w:line="2"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is currently in a Phase 1b combination study with nivolumab. Etigilimab is part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2" w:name="page3"/>
    <w:bookmarkEnd w:id="2"/>
    <w:p>
      <w:pPr>
        <w:jc w:val="both"/>
        <w:ind w:left="660"/>
        <w:spacing w:after="0"/>
        <w:rPr>
          <w:sz w:val="20"/>
          <w:szCs w:val="20"/>
          <w:color w:val="auto"/>
        </w:rPr>
      </w:pPr>
      <w:r>
        <w:rPr>
          <w:rFonts w:ascii="Arial" w:cs="Arial" w:eastAsia="Arial" w:hAnsi="Arial"/>
          <w:sz w:val="18"/>
          <w:szCs w:val="18"/>
          <w:color w:val="auto"/>
        </w:rPr>
        <w:t>OncoMed’s prior collaboration with Celgene. Celgene has the option to obtain an exclusive licence to develop and commercialize the product. If Celgene exercises such option, OncoMed (now a wholly-owned indirect subsidiary of Mereo) will be eligible to receive a $35 million opt in payment.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80" w:type="dxa"/>
            <w:vAlign w:val="bottom"/>
          </w:tcPr>
          <w:p>
            <w:pPr>
              <w:spacing w:after="0"/>
              <w:rPr>
                <w:sz w:val="20"/>
                <w:szCs w:val="20"/>
                <w:color w:val="auto"/>
              </w:rPr>
            </w:pPr>
            <w:r>
              <w:rPr>
                <w:rFonts w:ascii="Arial" w:cs="Arial" w:eastAsia="Arial" w:hAnsi="Arial"/>
                <w:sz w:val="18"/>
                <w:szCs w:val="18"/>
                <w:b w:val="1"/>
                <w:bCs w:val="1"/>
                <w:color w:val="auto"/>
              </w:rPr>
              <w:t>For Further Enquiries</w:t>
            </w:r>
            <w:r>
              <w:rPr>
                <w:rFonts w:ascii="Arial" w:cs="Arial" w:eastAsia="Arial" w:hAnsi="Arial"/>
                <w:sz w:val="18"/>
                <w:szCs w:val="18"/>
                <w:color w:val="auto"/>
              </w:rPr>
              <w:t>:</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98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+44 (0)333 023 7300</w:t>
            </w: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Denise Scots-Knight, Chief Executive Officer</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980" w:type="dxa"/>
            <w:vAlign w:val="bottom"/>
          </w:tcPr>
          <w:p>
            <w:pPr>
              <w:spacing w:after="0"/>
              <w:rPr>
                <w:sz w:val="20"/>
                <w:szCs w:val="20"/>
                <w:color w:val="auto"/>
              </w:rPr>
            </w:pPr>
            <w:r>
              <w:rPr>
                <w:rFonts w:ascii="Arial" w:cs="Arial" w:eastAsia="Arial" w:hAnsi="Arial"/>
                <w:sz w:val="18"/>
                <w:szCs w:val="18"/>
                <w:b w:val="1"/>
                <w:bCs w:val="1"/>
                <w:color w:val="auto"/>
              </w:rPr>
              <w:t>Evercore (Financial Adviser to Mereo)</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+44 (0)20 7653 6000</w:t>
            </w: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Julian Oakley</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Tom Watson</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980" w:type="dxa"/>
            <w:vAlign w:val="bottom"/>
          </w:tcPr>
          <w:p>
            <w:pPr>
              <w:spacing w:after="0"/>
              <w:rPr>
                <w:sz w:val="20"/>
                <w:szCs w:val="20"/>
                <w:color w:val="auto"/>
              </w:rPr>
            </w:pPr>
            <w:r>
              <w:rPr>
                <w:rFonts w:ascii="Arial" w:cs="Arial" w:eastAsia="Arial" w:hAnsi="Arial"/>
                <w:sz w:val="18"/>
                <w:szCs w:val="18"/>
                <w:b w:val="1"/>
                <w:bCs w:val="1"/>
                <w:color w:val="auto"/>
              </w:rPr>
              <w:t>Cantor Fitzgerald Europe (Nominated Adviser and Joint Broker to Mereo)</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+44 (0)20 7894 7000</w:t>
            </w: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Phil Davies</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Will Goode</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980" w:type="dxa"/>
            <w:vAlign w:val="bottom"/>
          </w:tcPr>
          <w:p>
            <w:pPr>
              <w:spacing w:after="0"/>
              <w:rPr>
                <w:sz w:val="20"/>
                <w:szCs w:val="20"/>
                <w:color w:val="auto"/>
              </w:rPr>
            </w:pPr>
            <w:r>
              <w:rPr>
                <w:rFonts w:ascii="Arial" w:cs="Arial" w:eastAsia="Arial" w:hAnsi="Arial"/>
                <w:sz w:val="18"/>
                <w:szCs w:val="18"/>
                <w:b w:val="1"/>
                <w:bCs w:val="1"/>
                <w:color w:val="auto"/>
              </w:rPr>
              <w:t>RBC Capital Markets (Joint Broker to Mereo)</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+44 (0)20 7653 4000</w:t>
            </w: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Rupert Walford</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Jamil Miah</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980" w:type="dxa"/>
            <w:vAlign w:val="bottom"/>
          </w:tcPr>
          <w:p>
            <w:pPr>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3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 (0)20 3727 1000</w:t>
            </w: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Simon Conway</w:t>
            </w:r>
          </w:p>
        </w:tc>
        <w:tc>
          <w:tcPr>
            <w:tcW w:w="3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Brett Pollard</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98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+01 (0) 212 213 0006</w:t>
            </w:r>
          </w:p>
        </w:tc>
        <w:tc>
          <w:tcPr>
            <w:tcW w:w="0" w:type="dxa"/>
            <w:vAlign w:val="bottom"/>
          </w:tcPr>
          <w:p>
            <w:pPr>
              <w:spacing w:after="0"/>
              <w:rPr>
                <w:sz w:val="1"/>
                <w:szCs w:val="1"/>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Lisa Burns</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8"/>
                <w:szCs w:val="18"/>
                <w:color w:val="auto"/>
              </w:rPr>
              <w:t>Jill Steier</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Each of Evercore Partners International LLP ("Evercore"), Cantor Fitzgerald Europe (“Cantor Fitzgerald”) and RBC Europe Limited (“RBC”), which is authorized and regulated in the United Kingdom by the FCA, is acting exclusively for Mereo and no one else in connection with the Merger and accordingly will not be responsible to anyone other than Mereo in providing the protections afforded to clients of Evercore, Cantor Fitzgerald or RBC (as applicable) nor for providing advice in relation to the Merger, the content of this announcement or any matter referred to herein. None of Evercore, Cantor Fitzgerald or RBC nor any of its subsidiaries, branches or affiliates owes or accepts any duty, liability or responsibility whatsoever (whether direct or indirect, whether in contract, in tort, under statue or otherwise) to any person who is not a client of Evercore, Cantor Fitzgerald or RBC (as applicable) in connection with this announcement, any statement contained herein or otherwise.</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Save for the responsibilities and liabilities, if any, of Evercore, Cantor Fitzgerald and RBC under the Financial Services and Markets Act 2000 or the regulatory regime established thereunder or in respect of fraudulent misrepresentation, no representation or warranty, express or implied, is or will be made as to, or in relation to, and no responsibility or liability is or will be accepted by or on behalf of Evercore, Cantor Fitzgerald or RBC or by their respective affiliates, agents, directors, officers and employees as to, or in relation to, the accuracy or completeness of this announcement or any other written or oral information made available to or publicly available to any interested party or its advisers, and any liability therefor is expressly disclaimed.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 w:name="page4"/>
    <w:bookmarkEnd w:id="3"/>
    <w:p>
      <w:pPr>
        <w:jc w:val="both"/>
        <w:spacing w:after="0" w:line="238" w:lineRule="auto"/>
        <w:rPr>
          <w:sz w:val="20"/>
          <w:szCs w:val="20"/>
          <w:color w:val="auto"/>
        </w:rPr>
      </w:pPr>
      <w:r>
        <w:rPr>
          <w:rFonts w:ascii="Arial" w:cs="Arial" w:eastAsia="Arial" w:hAnsi="Arial"/>
          <w:sz w:val="18"/>
          <w:szCs w:val="18"/>
          <w:color w:val="auto"/>
        </w:rPr>
        <w:t>This announcement has been issued by and is the sole responsibility of Mereo. The information contained in this announcement is for background purposes only and does not purport to be full or complete. The information in this announcement is subject to change without notice. Subject to the AIM Rules, the UK Disclosure Guidance and Transparency Rules and MAR, the issue of this announcement shall not, under any circumstances, create any implication that there has been no change in the affairs of Mereo or OncoMed since the date of this announcement or that the information in this announcement is correct as at any time subsequent to the date of this announcement.</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distribution of this announcement may be restricted by law in certain jurisdictions and persons into whose possession this announcement, or other information referred to herein, comes should inform themselves about and observe any such restriction. Any failure to comply with these restrictions may constitute a violation of the securities laws of any such jurisdiction.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statement in this announcement is intended to be a profit forecast, and no statement in this announcement should be interpreted to mean that earnings per share of Mereo for the current or future financial years would necessarily match or exceed the historical published earnings per share of Mereo.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This communication contains "forward-looking statements". All statements other than statements of historical fact contained in this report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9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You should carefully consider the foregoing factors and the other risks and uncertainties that affect the Company's business, including those described in the Company's annual reports, relevant reports and other documents published from time to time by the Company or filed by the Company with the SEC. We wish to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2019</w:t>
      </w:r>
    </w:p>
    <w:p>
      <w:pPr>
        <w:spacing w:after="0" w:line="22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8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Denise Scots-Knight</w:t>
            </w:r>
          </w:p>
        </w:tc>
      </w:tr>
      <w:tr>
        <w:trPr>
          <w:trHeight w:val="195"/>
        </w:trPr>
        <w:tc>
          <w:tcPr>
            <w:tcW w:w="640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ind w:left="160"/>
              <w:spacing w:after="0" w:line="195" w:lineRule="exact"/>
              <w:rPr>
                <w:sz w:val="20"/>
                <w:szCs w:val="20"/>
                <w:color w:val="auto"/>
              </w:rPr>
            </w:pPr>
            <w:r>
              <w:rPr>
                <w:rFonts w:ascii="Arial" w:cs="Arial" w:eastAsia="Arial" w:hAnsi="Arial"/>
                <w:sz w:val="18"/>
                <w:szCs w:val="18"/>
                <w:color w:val="auto"/>
              </w:rPr>
              <w:t>Denise Scots-Knight</w:t>
            </w:r>
          </w:p>
        </w:tc>
      </w:tr>
      <w:tr>
        <w:trPr>
          <w:trHeight w:val="230"/>
        </w:trPr>
        <w:tc>
          <w:tcPr>
            <w:tcW w:w="64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716"/>
        </w:trPr>
        <w:tc>
          <w:tcPr>
            <w:tcW w:w="6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0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2019-12-03T05:44:42Z</dcterms:created>
  <dcterms:modified xsi:type="dcterms:W3CDTF">2019-12-03T05:44:42Z</dcterms:modified>
</cp:coreProperties>
</file>