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40,976,460.00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40,976,460.00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40,976,460.00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security CUSIP corresponds to Mereo Biopharma Group PLC CUSIP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Numbering System (CINS) of the common stock. 2. The beneficial ownership calculation relies on the 798,078,829 outstanding shares disclosed in the Form 10-K by the issuer on March 19, 2026, which reports share totals as of March 18,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 0QF.</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240"/>
          </w:cols>
          <w:pgMar w:left="320" w:top="102" w:right="339" w:bottom="0" w:gutter="0" w:footer="0" w:header="0"/>
        </w:sectPr>
      </w:pPr>
    </w:p>
    <w:bookmarkStart w:id="2" w:name="page3"/>
    <w:bookmarkEnd w:id="2"/>
    <w:p>
      <w:pPr>
        <w:spacing w:after="0" w:line="97" w:lineRule="exact"/>
        <w:rPr>
          <w:sz w:val="20"/>
          <w:szCs w:val="20"/>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40,976,460.00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5"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40,976,460.00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40,976,460.00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and Merrill Lynch International, a non-U.S. institution in accordance with section 240.13d-1(b)(1)(ii)(J).</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5" w:orient="portrait"/>
          <w:cols w:equalWidth="0" w:num="2">
            <w:col w:w="720" w:space="200"/>
            <w:col w:w="10220"/>
          </w:cols>
          <w:pgMar w:left="360" w:top="180"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935" w:orient="portrait"/>
          <w:cols w:equalWidth="0" w:num="1">
            <w:col w:w="11140"/>
          </w:cols>
          <w:pgMar w:left="360" w:top="180" w:right="399" w:bottom="0" w:gutter="0" w:footer="0" w:header="0"/>
          <w:type w:val="continuous"/>
        </w:sectPr>
      </w:pPr>
    </w:p>
    <w:bookmarkStart w:id="3" w:name="page4"/>
    <w:bookmarkEnd w:id="3"/>
    <w:p>
      <w:pPr>
        <w:ind w:left="2180"/>
        <w:spacing w:after="0"/>
        <w:rPr>
          <w:sz w:val="20"/>
          <w:szCs w:val="20"/>
          <w:color w:val="auto"/>
        </w:rPr>
      </w:pPr>
      <w:r>
        <w:rPr>
          <w:rFonts w:ascii="Times New Roman" w:cs="Times New Roman" w:eastAsia="Times New Roman" w:hAnsi="Times New Roman"/>
          <w:sz w:val="21"/>
          <w:szCs w:val="21"/>
          <w:color w:val="auto"/>
        </w:rPr>
        <w:t>BANK OF AMERICA CORP /DE/</w:t>
      </w:r>
    </w:p>
    <w:p>
      <w:pPr>
        <w:spacing w:after="0" w:line="16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2026-05-14T14:08:59Z</dcterms:created>
  <dcterms:modified xsi:type="dcterms:W3CDTF">2026-05-14T14:08:59Z</dcterms:modified>
</cp:coreProperties>
</file>