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6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February 12, 2021</w:t>
        </w:r>
        <w:r>
          <w:rPr>
            <w:rFonts w:ascii="Times New Roman" w:cs="Times New Roman" w:eastAsia="Times New Roman" w:hAnsi="Times New Roman"/>
            <w:sz w:val="18"/>
            <w:szCs w:val="18"/>
            <w:color w:val="0000EE"/>
          </w:rPr>
          <w:t>.</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Mereo BioPharma Group plc Announces Closing of Public Offering of American Depositary Shares and Full Exercise of Underwriters’ Option to Purchase Additional American Depositary Shares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LONDON and REDWOOD CITY, Calif., Feb. 12, 2021 (GLOBE NEWSWIRE) — Mereo BioPharma Group plc (NASDAQ: MREO) (“Mereo” or the “Company”), a clinical-stage biopharmaceutical company focused on oncology and rare diseases, announced the closing of its previously announced underwritten public offering of 39,675,000 American Depositary Shares (“ADSs”), at a public offering price of $2.90 per ADS, which includes 5,175,000 additional ADSs issued upon the exercise in full of the underwriters’ option to purchase additional ADSs. Each ADS represents five ordinary shares of Mereo. The aggregate gross proceeds to Mereo from the offering, before deducting underwriting discounts and commissions and offering expenses were $115.1 million. All of the ADSs in the offering were sold by Mereo.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acted as sole book-running manager for the offering. BTIG and Needham &amp; Company acted as the co-lead managers for the offering.</w:t>
      </w:r>
    </w:p>
    <w:p>
      <w:pPr>
        <w:spacing w:after="0" w:line="22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 xml:space="preserve">The securities were offered pursuant to a shelf registration statement on Form F-3 which has been filed with the U.S. Securities and Exchange Commission (the “SEC”) and was declared effective on October 21, 2020. This offering was made only by means of a prospectus supplement and accompanying prospectus that form a part of the registration statement. A final prospectus supplement and accompanying prospectus relating to the offering has been filed with the SEC and is available for free on the SEC’s website located at http://www.sec.gov. Copies of the final prospectus supplement and accompanying prospectus relating to this offering may also be obtained by contacting SVB Leerink LLC, Attention: Syndicate Department, One Federal Street, 37th Floor, Boston, MA, 02110, by telephone at 1-800-808-7525, ext. 6105, or by email at </w:t>
      </w:r>
      <w:r>
        <w:rPr>
          <w:rFonts w:ascii="Times New Roman" w:cs="Times New Roman" w:eastAsia="Times New Roman" w:hAnsi="Times New Roman"/>
          <w:sz w:val="17"/>
          <w:szCs w:val="17"/>
          <w:u w:val="single" w:color="auto"/>
          <w:color w:val="auto"/>
        </w:rPr>
        <w:t>syndicate@svbleerink.com</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these securities, nor will there be any sale of these securities in any state or other jurisdiction in which such offer, solicitation or sale is not permitted.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the second half of 2021, and setrusumab for the treatment of osteogenesis imperfecta (OI). In September 2020, the FDA granted Rare Pediatric Disease designation to setrusumab for the treatment of OI. Following the completion of the Company’s Phase 2b ASTEROID study, the Company met with both the FDA and the European Medicines Agency (EMA) to discuss the principles of a design of a single Phase 2/3 registrational pediatric study in OI. In December 2020, the Company signed a license and collaboration agreement for setrusumab in OI with Ultragenyx Pharmaceutical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ectPr>
          <w:pgSz w:w="11900" w:h="16838" w:orient="portrait"/>
          <w:cols w:equalWidth="0" w:num="1">
            <w:col w:w="11020"/>
          </w:cols>
          <w:pgMar w:left="440" w:top="117" w:right="4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latest Annual Report on Form 20-F, Reports on Form 6-K and other documents filed from time to time by the Company with the SEC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380" w:type="dxa"/>
            <w:vAlign w:val="bottom"/>
          </w:tcPr>
          <w:p>
            <w:pPr>
              <w:spacing w:after="0"/>
              <w:rPr>
                <w:sz w:val="20"/>
                <w:szCs w:val="20"/>
                <w:color w:val="auto"/>
              </w:rPr>
            </w:pPr>
          </w:p>
        </w:tc>
      </w:tr>
      <w:tr>
        <w:trPr>
          <w:trHeight w:val="319"/>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3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23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01 212 213 0006</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23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2021-02-12T15:21:15Z</dcterms:created>
  <dcterms:modified xsi:type="dcterms:W3CDTF">2021-02-12T15:21:15Z</dcterms:modified>
</cp:coreProperties>
</file>