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23,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3" w:lineRule="exact"/>
        <w:rPr>
          <w:sz w:val="24"/>
          <w:szCs w:val="24"/>
          <w:color w:val="auto"/>
        </w:rPr>
      </w:pPr>
    </w:p>
    <w:p>
      <w:pPr>
        <w:sectPr>
          <w:pgSz w:w="11900" w:h="16838" w:orient="portrait"/>
          <w:cols w:equalWidth="0" w:num="2">
            <w:col w:w="7500" w:space="720"/>
            <w:col w:w="2740"/>
          </w:cols>
          <w:pgMar w:left="440" w:top="225" w:right="49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2">
            <w:col w:w="7080" w:space="720"/>
            <w:col w:w="3160"/>
          </w:cols>
          <w:pgMar w:left="440" w:top="225" w:right="49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4th Floor</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One Cavendish Place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+44 33 3023 7300</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including zip code of Principal Executive Offices)</w:t>
      </w:r>
    </w:p>
    <w:p>
      <w:pPr>
        <w:sectPr>
          <w:pgSz w:w="11900" w:h="16838" w:orient="portrait"/>
          <w:cols w:equalWidth="0" w:num="1">
            <w:col w:w="10960"/>
          </w:cols>
          <w:pgMar w:left="440" w:top="225" w:right="499" w:bottom="1440" w:gutter="0" w:footer="0" w:header="0"/>
          <w:type w:val="continuous"/>
        </w:sectPr>
      </w:pPr>
    </w:p>
    <w:p>
      <w:pPr>
        <w:spacing w:after="0" w:line="1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Mereo BioPharma Group plc 2019 Equity Incentive Plan, as amended</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Mereo BioPharma Group plc 2019 Non-Employee Equity Incentive Plan, as amended</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Mereo US Holdings, Inc.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251 Little Falls Drive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Wilmington, DE 19808</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No.: +1 302 636 5401</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Copy to : David S. Bakst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Mayer Brown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+1 212 506 2500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REGISTRATION OF ADDITIONAL SHARES PURSUANT TO GENERAL INSTRUCTION E</w:t>
      </w:r>
    </w:p>
    <w:p>
      <w:pPr>
        <w:spacing w:after="0" w:line="22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filed by Mereo BioPharma Group plc (the “Company”) to register 37,234,627 additional ordinary shares, nominal value £0.003 per share (the “Ordinary Shares”) under the Mereo BioPharma Group plc 2019 Equity Incentive Plan, as amended on February 13, 2020 and January 15, 2021, and the Mereo BioPharma Group plc 2019 Non-Employee Equity Incentive Plan, as amended on February 13, 2020 and January 15, 2021 (collectively, the “Plans”). In accordance with the instructional note to Part I of Form S-8 as promulgated by the Commission, the information specified by Part I of the Form S-8 has been omitted from this Registration Statement.</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INCORPORATION BY REFERENCE OF CONTENTS OF</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207"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On May 21, 2019, the Company filed with the Securities and Exchange Commission (the “SEC”) a Registration Statement on Form S-8 (File No. 333-231636), on February 18, 2020 the Company filed a Registration Statement on Form S-8 (File No. 333-236498), on January 15, 2021 the Company filed a Registration Statement on Form S-8 (File No. 333-252147), on January 13, 2022 the Company filed a Registration Statement on Form S-8 (File No. 333-262151) and on January 24, 2023 the Company filed a Registration Statement on Form S-8 (File No. 333-269388) (collectively, the “Prior Registration Statements”) to register a total of 101,954,273 Ordinary Shares issuable under the plans described in those registration statements. The Company is filing this Registration Statement to register an additional 37,234,627 Ordinary Shares, which may be issued pursuant to new and previously issued awards under the Plans. Pursuant to General Instruction E to Form S-8, this S-8 Registration Statement hereby incorporates by reference the contents of the Registration Statements referenced above, except as otherwise updated or modified by this Registration Statement.</w:t>
      </w:r>
    </w:p>
    <w:p>
      <w:pPr>
        <w:sectPr>
          <w:pgSz w:w="11900" w:h="16838" w:orient="portrait"/>
          <w:cols w:equalWidth="0" w:num="1">
            <w:col w:w="10920"/>
          </w:cols>
          <w:pgMar w:left="440" w:top="266" w:right="5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are incorporated herein by reference:</w:t>
      </w:r>
    </w:p>
    <w:p>
      <w:pPr>
        <w:spacing w:after="0" w:line="131" w:lineRule="exact"/>
        <w:rPr>
          <w:sz w:val="20"/>
          <w:szCs w:val="20"/>
          <w:color w:val="auto"/>
        </w:rPr>
      </w:pPr>
    </w:p>
    <w:p>
      <w:pPr>
        <w:ind w:left="960" w:right="6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auto"/>
          </w:rPr>
          <w:t xml:space="preserve">The Company’s annual report on Form 20-F for the year ended December 31, 2022 (the “2022 Form 20-F”), filed with the SEC on </w:t>
        </w:r>
        <w:r>
          <w:rPr>
            <w:rFonts w:ascii="Times New Roman" w:cs="Times New Roman" w:eastAsia="Times New Roman" w:hAnsi="Times New Roman"/>
            <w:sz w:val="18"/>
            <w:szCs w:val="18"/>
            <w:u w:val="single" w:color="auto"/>
            <w:color w:val="0000EE"/>
          </w:rPr>
          <w:t>March</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28, 2023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001-38452);</w:t>
        </w:r>
      </w:hyperlink>
    </w:p>
    <w:p>
      <w:pPr>
        <w:spacing w:after="0" w:line="67" w:lineRule="exact"/>
        <w:rPr>
          <w:rFonts w:ascii="Times New Roman" w:cs="Times New Roman" w:eastAsia="Times New Roman" w:hAnsi="Times New Roman"/>
          <w:sz w:val="18"/>
          <w:szCs w:val="18"/>
          <w:color w:val="0000EE"/>
        </w:rPr>
      </w:pPr>
    </w:p>
    <w:p>
      <w:pPr>
        <w:ind w:left="960" w:right="60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Company’s report on Form 6-K filed with the SEC on </w:t>
      </w:r>
      <w:hyperlink r:id="rId19">
        <w:r>
          <w:rPr>
            <w:rFonts w:ascii="Times New Roman" w:cs="Times New Roman" w:eastAsia="Times New Roman" w:hAnsi="Times New Roman"/>
            <w:sz w:val="18"/>
            <w:szCs w:val="18"/>
            <w:u w:val="single" w:color="auto"/>
            <w:color w:val="0000EE"/>
          </w:rPr>
          <w:t>April 27, 2023</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May 5, 2023</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May 8, 2023</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June 7, 2023</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July 6, 2023</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September 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September 20,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October 17,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 xml:space="preserve">October 23, 2023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8">
        <w:r>
          <w:rPr>
            <w:rFonts w:ascii="Times New Roman" w:cs="Times New Roman" w:eastAsia="Times New Roman" w:hAnsi="Times New Roman"/>
            <w:sz w:val="18"/>
            <w:szCs w:val="18"/>
            <w:u w:val="single" w:color="auto"/>
            <w:color w:val="0000EE"/>
          </w:rPr>
          <w:t>December 18,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960" w:right="160" w:hanging="532"/>
        <w:spacing w:after="0" w:line="258"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Ordinary Shares and ADSs contained in the Company’s registration statement on Form 8-A, filed with the SEC on </w:t>
      </w:r>
      <w:hyperlink r:id="rId29">
        <w:r>
          <w:rPr>
            <w:rFonts w:ascii="Times New Roman" w:cs="Times New Roman" w:eastAsia="Times New Roman" w:hAnsi="Times New Roman"/>
            <w:sz w:val="18"/>
            <w:szCs w:val="18"/>
            <w:u w:val="single" w:color="auto"/>
            <w:color w:val="0000EE"/>
          </w:rPr>
          <w:t>April 9, 2018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001-38452), as amended on </w:t>
      </w:r>
      <w:hyperlink r:id="rId30">
        <w:r>
          <w:rPr>
            <w:rFonts w:ascii="Times New Roman" w:cs="Times New Roman" w:eastAsia="Times New Roman" w:hAnsi="Times New Roman"/>
            <w:sz w:val="18"/>
            <w:szCs w:val="18"/>
            <w:u w:val="single" w:color="auto"/>
            <w:color w:val="0000EE"/>
          </w:rPr>
          <w:t>April 15, 2019</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May 17,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2">
        <w:r>
          <w:rPr>
            <w:rFonts w:ascii="Times New Roman" w:cs="Times New Roman" w:eastAsia="Times New Roman" w:hAnsi="Times New Roman"/>
            <w:sz w:val="18"/>
            <w:szCs w:val="18"/>
            <w:u w:val="single" w:color="auto"/>
            <w:color w:val="0000EE"/>
          </w:rPr>
          <w:t>December 18, 2023</w:t>
        </w:r>
      </w:hyperlink>
      <w:r>
        <w:rPr>
          <w:rFonts w:ascii="Times New Roman" w:cs="Times New Roman" w:eastAsia="Times New Roman" w:hAnsi="Times New Roman"/>
          <w:sz w:val="18"/>
          <w:szCs w:val="18"/>
          <w:color w:val="auto"/>
        </w:rPr>
        <w:t xml:space="preserve">, including any amendment or report filed for the purpose of updating such description as updated by </w:t>
      </w:r>
      <w:hyperlink r:id="rId33">
        <w:r>
          <w:rPr>
            <w:rFonts w:ascii="Times New Roman" w:cs="Times New Roman" w:eastAsia="Times New Roman" w:hAnsi="Times New Roman"/>
            <w:sz w:val="18"/>
            <w:szCs w:val="18"/>
            <w:u w:val="single" w:color="auto"/>
            <w:color w:val="0000EE"/>
          </w:rPr>
          <w:t>Exhibit 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2022 Form 20-F, including the “Description of Ordinary Shares” and the “Description of American Depositary Shares” contained therein and any amendment or report filed for the purpose of further updating such descriptions.</w:t>
      </w:r>
    </w:p>
    <w:p>
      <w:pPr>
        <w:spacing w:after="0" w:line="183" w:lineRule="exact"/>
        <w:rPr>
          <w:rFonts w:ascii="Times New Roman" w:cs="Times New Roman" w:eastAsia="Times New Roman" w:hAnsi="Times New Roman"/>
          <w:sz w:val="18"/>
          <w:szCs w:val="18"/>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All documents that the Company subsequently files pursuant to Sections 13(a), 13(c), 14 and 15(d) of the Exchange Act prior to the filing of a post-effective amendment to this Registration Statement which indicates that all of the securities offered have been sold or which deregisters all of such securities then remaining unsold, shall be deemed to be incorporated by reference in this registration statement and to be a part hereof from the date of the filing of such documents. The Company is not incorporating by reference any document or portion thereof, whether specifically listed above or to be filed in the future, that is not deemed “filed” with the SEC.</w:t>
      </w:r>
    </w:p>
    <w:p>
      <w:pPr>
        <w:spacing w:after="0" w:line="183" w:lineRule="exact"/>
        <w:rPr>
          <w:rFonts w:ascii="Times New Roman" w:cs="Times New Roman" w:eastAsia="Times New Roman" w:hAnsi="Times New Roman"/>
          <w:sz w:val="18"/>
          <w:szCs w:val="18"/>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Under no circumstances will any information furnished under Items 2.02 or 7.01 of a Current Report on Form 8-K be deemed incorporated herein by reference, unless such Form 8-K expressly provides to the contrary.</w:t>
      </w:r>
    </w:p>
    <w:p>
      <w:pPr>
        <w:spacing w:after="0" w:line="306"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rFonts w:ascii="Times New Roman" w:cs="Times New Roman" w:eastAsia="Times New Roman" w:hAnsi="Times New Roman"/>
          <w:sz w:val="18"/>
          <w:szCs w:val="18"/>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Under the Company’s Articles of Association, the Company may indemnify its directors and other officers in respect of any proceedings, whether civil or criminal, brought against them by reason of their being directors or officers of the Company and to the fullest extent permitted by the Companies Act 2006 of the United Kingdom (“CA 2006”) and other applicable law.</w:t>
      </w:r>
    </w:p>
    <w:p>
      <w:pPr>
        <w:spacing w:after="0" w:line="176" w:lineRule="exact"/>
        <w:rPr>
          <w:rFonts w:ascii="Times New Roman" w:cs="Times New Roman" w:eastAsia="Times New Roman" w:hAnsi="Times New Roman"/>
          <w:sz w:val="18"/>
          <w:szCs w:val="18"/>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Generally, under CA 2006, any provision by which the Company directly or indirectly provides an indemnity (to any extent) for a director of the Company or of an “associated company” (i.e., a company that is a parent, subsidiary or sister company of the Company) against any liability attaching to him or her in connection with any negligence, default, breach of duty or breach of trust in relation to the company of which he or she is a director is (subject to certain exceptions specified under CA 2006) void.</w:t>
      </w:r>
    </w:p>
    <w:p>
      <w:pPr>
        <w:spacing w:after="0" w:line="180"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Company has entered into a deed of indemnity with each of its directors, the form of which was filed as Exhibit 10.26 to the Company’s registration statement on Form F-4 (Registration No. 333-229351), as originally filed by the Company on January 25, 2019 and subsequently amended. Except as prohibited by applicable law, these deeds of indemnity may require the Company, among other things, to indemnify its directors for certain expenses, including attorneys’ fees, costs and expenses, incurred by such directors in any action or proceeding arising out of their service as a director of the Company, or one of its subsidiaries.</w:t>
      </w:r>
    </w:p>
    <w:p>
      <w:pPr>
        <w:sectPr>
          <w:pgSz w:w="11900" w:h="16838" w:orient="portrait"/>
          <w:cols w:equalWidth="0" w:num="1">
            <w:col w:w="11000"/>
          </w:cols>
          <w:pgMar w:left="440" w:top="266" w:right="459" w:bottom="1440" w:gutter="0" w:footer="0" w:header="0"/>
        </w:sectPr>
      </w:pPr>
    </w:p>
    <w:bookmarkStart w:id="3" w:name="page4"/>
    <w:bookmarkEnd w:id="3"/>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maintains directors and officers insurance coverage, which, subject to policy terms and limitations, is expected to include coverage to reimburse the Company for amounts that it may be required or permitted by law to pay directors or officers of the Company.</w:t>
      </w:r>
    </w:p>
    <w:p>
      <w:pPr>
        <w:spacing w:after="0" w:line="162"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SEC such indemnification is against public policy as expressed in the Securities Act and is, therefore, unenforceable.</w:t>
      </w:r>
    </w:p>
    <w:p>
      <w:pPr>
        <w:spacing w:after="0" w:line="32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exhibits listed below in the “Exhibit Index” are filed as a part of, or incorporated by reference into, this Registration Statement.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85"/>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7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20" w:type="dxa"/>
            <w:vAlign w:val="bottom"/>
            <w:tcBorders>
              <w:bottom w:val="single" w:sz="8" w:color="auto"/>
            </w:tcBorders>
            <w:gridSpan w:val="11"/>
          </w:tcPr>
          <w:p>
            <w:pPr>
              <w:ind w:left="480"/>
              <w:spacing w:after="0"/>
              <w:rPr>
                <w:sz w:val="20"/>
                <w:szCs w:val="20"/>
                <w:color w:val="auto"/>
              </w:rPr>
            </w:pPr>
            <w:r>
              <w:rPr>
                <w:rFonts w:ascii="Times New Roman" w:cs="Times New Roman" w:eastAsia="Times New Roman" w:hAnsi="Times New Roman"/>
                <w:sz w:val="14"/>
                <w:szCs w:val="14"/>
                <w:color w:val="auto"/>
              </w:rPr>
              <w:t>Description</w:t>
            </w:r>
          </w:p>
        </w:tc>
      </w:tr>
      <w:tr>
        <w:trPr>
          <w:trHeight w:val="263"/>
        </w:trPr>
        <w:tc>
          <w:tcPr>
            <w:tcW w:w="6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tcPr>
          <w:p>
            <w:pPr>
              <w:spacing w:after="0"/>
              <w:rPr>
                <w:sz w:val="22"/>
                <w:szCs w:val="22"/>
                <w:color w:val="auto"/>
              </w:rPr>
            </w:pPr>
          </w:p>
        </w:tc>
        <w:tc>
          <w:tcPr>
            <w:tcW w:w="95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New Articles of Association of the Company (incorporated herein by reference to Exhibit 3.1 to the Company’s Form 6-K, filed with</w:t>
              </w:r>
            </w:hyperlink>
          </w:p>
        </w:tc>
        <w:tc>
          <w:tcPr>
            <w:tcW w:w="20" w:type="dxa"/>
            <w:vAlign w:val="bottom"/>
          </w:tcPr>
          <w:p>
            <w:pPr>
              <w:spacing w:after="0"/>
              <w:rPr>
                <w:sz w:val="22"/>
                <w:szCs w:val="22"/>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the SEC on December 18, 2023 (File No. 001-38452)).</w:t>
              </w:r>
            </w:hyperlink>
          </w:p>
        </w:tc>
        <w:tc>
          <w:tcPr>
            <w:tcW w:w="5620" w:type="dxa"/>
            <w:vAlign w:val="bottom"/>
            <w:gridSpan w:val="11"/>
          </w:tcPr>
          <w:p>
            <w:pPr>
              <w:spacing w:after="0"/>
              <w:rPr>
                <w:sz w:val="17"/>
                <w:szCs w:val="17"/>
                <w:color w:val="auto"/>
              </w:rPr>
            </w:pPr>
          </w:p>
        </w:tc>
      </w:tr>
      <w:tr>
        <w:trPr>
          <w:trHeight w:val="304"/>
        </w:trPr>
        <w:tc>
          <w:tcPr>
            <w:tcW w:w="6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4.1</w:t>
            </w:r>
          </w:p>
        </w:tc>
        <w:tc>
          <w:tcPr>
            <w:tcW w:w="740" w:type="dxa"/>
            <w:vAlign w:val="bottom"/>
          </w:tcPr>
          <w:p>
            <w:pPr>
              <w:spacing w:after="0"/>
              <w:rPr>
                <w:sz w:val="24"/>
                <w:szCs w:val="24"/>
                <w:color w:val="auto"/>
              </w:rPr>
            </w:pPr>
          </w:p>
        </w:tc>
        <w:tc>
          <w:tcPr>
            <w:tcW w:w="95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Mereo BioPharma Group plc 2019 Equity Incentive Plan, as amended on February 13, 2020 and January 15, 2021 (incorporated by</w:t>
              </w:r>
            </w:hyperlink>
          </w:p>
        </w:tc>
        <w:tc>
          <w:tcPr>
            <w:tcW w:w="10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gridSpan w:val="15"/>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reference to Exhibit 99.1 to the Company’s Form S-8 filed January 15, 2021 (File No. 333-252147))</w:t>
              </w:r>
            </w:hyperlink>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4.2</w:t>
            </w:r>
          </w:p>
        </w:tc>
        <w:tc>
          <w:tcPr>
            <w:tcW w:w="740" w:type="dxa"/>
            <w:vAlign w:val="bottom"/>
          </w:tcPr>
          <w:p>
            <w:pPr>
              <w:spacing w:after="0"/>
              <w:rPr>
                <w:sz w:val="24"/>
                <w:szCs w:val="24"/>
                <w:color w:val="auto"/>
              </w:rPr>
            </w:pPr>
          </w:p>
        </w:tc>
        <w:tc>
          <w:tcPr>
            <w:tcW w:w="94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Mereo BioPharma Group plc 2019 Non-Employee Equity Incentive Plan, as amended on February 13, 2020 and January 15, 2021</w:t>
              </w:r>
            </w:hyperlink>
          </w:p>
        </w:tc>
        <w:tc>
          <w:tcPr>
            <w:tcW w:w="200" w:type="dxa"/>
            <w:vAlign w:val="bottom"/>
            <w:gridSpan w:val="4"/>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gridSpan w:val="15"/>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(incorporated by reference to Exhibit 99.2 to the Company’s Form S-8 filed January 15, 2021 (File No. 333-252147))</w:t>
              </w:r>
            </w:hyperlink>
          </w:p>
        </w:tc>
      </w:tr>
      <w:tr>
        <w:trPr>
          <w:trHeight w:val="304"/>
        </w:trPr>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4.3*</w:t>
            </w:r>
          </w:p>
        </w:tc>
        <w:tc>
          <w:tcPr>
            <w:tcW w:w="740" w:type="dxa"/>
            <w:vAlign w:val="bottom"/>
          </w:tcPr>
          <w:p>
            <w:pPr>
              <w:spacing w:after="0"/>
              <w:rPr>
                <w:sz w:val="24"/>
                <w:szCs w:val="24"/>
                <w:color w:val="auto"/>
              </w:rPr>
            </w:pPr>
          </w:p>
        </w:tc>
        <w:tc>
          <w:tcPr>
            <w:tcW w:w="682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Deferred Compensation Plan for Non-Employee Directors, as amended on December 13, 2023</w:t>
            </w:r>
          </w:p>
        </w:tc>
        <w:tc>
          <w:tcPr>
            <w:tcW w:w="1620" w:type="dxa"/>
            <w:vAlign w:val="bottom"/>
            <w:tcBorders>
              <w:top w:val="single" w:sz="8" w:color="0000EE"/>
            </w:tcBorders>
            <w:gridSpan w:val="3"/>
          </w:tcPr>
          <w:p>
            <w:pPr>
              <w:spacing w:after="0"/>
              <w:rPr>
                <w:sz w:val="24"/>
                <w:szCs w:val="24"/>
                <w:color w:val="auto"/>
              </w:rPr>
            </w:pPr>
          </w:p>
        </w:tc>
        <w:tc>
          <w:tcPr>
            <w:tcW w:w="1160" w:type="dxa"/>
            <w:vAlign w:val="bottom"/>
            <w:gridSpan w:val="5"/>
          </w:tcPr>
          <w:p>
            <w:pPr>
              <w:spacing w:after="0"/>
              <w:rPr>
                <w:sz w:val="24"/>
                <w:szCs w:val="24"/>
                <w:color w:val="auto"/>
              </w:rPr>
            </w:pPr>
          </w:p>
        </w:tc>
      </w:tr>
      <w:tr>
        <w:trPr>
          <w:trHeight w:val="304"/>
        </w:trPr>
        <w:tc>
          <w:tcPr>
            <w:tcW w:w="6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4.4</w:t>
            </w:r>
          </w:p>
        </w:tc>
        <w:tc>
          <w:tcPr>
            <w:tcW w:w="740" w:type="dxa"/>
            <w:vAlign w:val="bottom"/>
          </w:tcPr>
          <w:p>
            <w:pPr>
              <w:spacing w:after="0"/>
              <w:rPr>
                <w:sz w:val="24"/>
                <w:szCs w:val="24"/>
                <w:color w:val="auto"/>
              </w:rPr>
            </w:pPr>
          </w:p>
        </w:tc>
        <w:tc>
          <w:tcPr>
            <w:tcW w:w="9600" w:type="dxa"/>
            <w:vAlign w:val="bottom"/>
            <w:gridSpan w:val="15"/>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Form of Performance-Based Restricted Stock Unit Award Agreement under the Plans (incorporated by reference to Exhibit 4.4 to the</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Company’s Form S-8 filed January 24, 2023 (File No. 333-269388))</w:t>
              </w:r>
            </w:hyperlink>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6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4.5</w:t>
            </w:r>
          </w:p>
        </w:tc>
        <w:tc>
          <w:tcPr>
            <w:tcW w:w="740" w:type="dxa"/>
            <w:vAlign w:val="bottom"/>
          </w:tcPr>
          <w:p>
            <w:pPr>
              <w:spacing w:after="0"/>
              <w:rPr>
                <w:sz w:val="24"/>
                <w:szCs w:val="24"/>
                <w:color w:val="auto"/>
              </w:rPr>
            </w:pPr>
          </w:p>
        </w:tc>
        <w:tc>
          <w:tcPr>
            <w:tcW w:w="9600" w:type="dxa"/>
            <w:vAlign w:val="bottom"/>
            <w:gridSpan w:val="15"/>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Restricted Stock Unit Award Agreement under the Plans (incorporated by reference to Exhibit 4.5 to the Company’s Form</w:t>
              </w:r>
            </w:hyperlink>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S-8 filed January 24, 2023 (File No. 333-269388))</w:t>
              </w:r>
            </w:hyperlink>
          </w:p>
        </w:tc>
        <w:tc>
          <w:tcPr>
            <w:tcW w:w="180" w:type="dxa"/>
            <w:vAlign w:val="bottom"/>
            <w:gridSpan w:val="3"/>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r>
      <w:tr>
        <w:trPr>
          <w:trHeight w:val="304"/>
        </w:trPr>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Opinion of Latham &amp; Watkins (London) LLP, counsel of the Registrant</w:t>
            </w: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180" w:type="dxa"/>
            <w:vAlign w:val="bottom"/>
            <w:tcBorders>
              <w:right w:val="single" w:sz="8" w:color="0000EE"/>
            </w:tcBorders>
            <w:gridSpan w:val="3"/>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r>
      <w:tr>
        <w:trPr>
          <w:trHeight w:val="304"/>
        </w:trPr>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3"/>
              </w:rPr>
              <w:t>23.1*</w:t>
            </w:r>
          </w:p>
        </w:tc>
        <w:tc>
          <w:tcPr>
            <w:tcW w:w="740" w:type="dxa"/>
            <w:vAlign w:val="bottom"/>
          </w:tcPr>
          <w:p>
            <w:pPr>
              <w:spacing w:after="0"/>
              <w:rPr>
                <w:sz w:val="24"/>
                <w:szCs w:val="24"/>
                <w:color w:val="auto"/>
              </w:rPr>
            </w:pPr>
          </w:p>
        </w:tc>
        <w:tc>
          <w:tcPr>
            <w:tcW w:w="69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Latham &amp; Watkins (London) LLP, counsel of the Registrant (included in Exhibit 5.1)</w:t>
            </w:r>
          </w:p>
        </w:tc>
        <w:tc>
          <w:tcPr>
            <w:tcW w:w="2640" w:type="dxa"/>
            <w:vAlign w:val="bottom"/>
            <w:gridSpan w:val="7"/>
          </w:tcPr>
          <w:p>
            <w:pPr>
              <w:spacing w:after="0"/>
              <w:rPr>
                <w:sz w:val="24"/>
                <w:szCs w:val="24"/>
                <w:color w:val="auto"/>
              </w:rPr>
            </w:pPr>
          </w:p>
        </w:tc>
      </w:tr>
      <w:tr>
        <w:trPr>
          <w:trHeight w:val="304"/>
        </w:trPr>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3"/>
              </w:rPr>
              <w:t>23.2*</w:t>
            </w:r>
          </w:p>
        </w:tc>
        <w:tc>
          <w:tcPr>
            <w:tcW w:w="740" w:type="dxa"/>
            <w:vAlign w:val="bottom"/>
          </w:tcPr>
          <w:p>
            <w:pPr>
              <w:spacing w:after="0"/>
              <w:rPr>
                <w:sz w:val="24"/>
                <w:szCs w:val="24"/>
                <w:color w:val="auto"/>
              </w:rPr>
            </w:pPr>
          </w:p>
        </w:tc>
        <w:tc>
          <w:tcPr>
            <w:tcW w:w="96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BDO LLP, Independent Registered Public Accounting Firm</w:t>
            </w:r>
          </w:p>
        </w:tc>
      </w:tr>
      <w:tr>
        <w:trPr>
          <w:trHeight w:val="304"/>
        </w:trPr>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93"/>
              </w:rPr>
              <w:t>24.1*</w:t>
            </w:r>
          </w:p>
        </w:tc>
        <w:tc>
          <w:tcPr>
            <w:tcW w:w="740" w:type="dxa"/>
            <w:vAlign w:val="bottom"/>
          </w:tcPr>
          <w:p>
            <w:pPr>
              <w:spacing w:after="0"/>
              <w:rPr>
                <w:sz w:val="24"/>
                <w:szCs w:val="24"/>
                <w:color w:val="auto"/>
              </w:rPr>
            </w:pPr>
          </w:p>
        </w:tc>
        <w:tc>
          <w:tcPr>
            <w:tcW w:w="39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Powers of Attorney (included in signature page hereto)</w:t>
            </w:r>
          </w:p>
        </w:tc>
        <w:tc>
          <w:tcPr>
            <w:tcW w:w="1180" w:type="dxa"/>
            <w:vAlign w:val="bottom"/>
            <w:tcBorders>
              <w:top w:val="single" w:sz="8" w:color="0000EE"/>
            </w:tcBorders>
            <w:gridSpan w:val="3"/>
          </w:tcPr>
          <w:p>
            <w:pPr>
              <w:spacing w:after="0"/>
              <w:rPr>
                <w:sz w:val="24"/>
                <w:szCs w:val="24"/>
                <w:color w:val="auto"/>
              </w:rPr>
            </w:pPr>
          </w:p>
        </w:tc>
        <w:tc>
          <w:tcPr>
            <w:tcW w:w="4460" w:type="dxa"/>
            <w:vAlign w:val="bottom"/>
            <w:gridSpan w:val="9"/>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40" w:type="dxa"/>
            <w:vAlign w:val="bottom"/>
          </w:tcPr>
          <w:p>
            <w:pPr>
              <w:spacing w:after="0"/>
              <w:rPr>
                <w:sz w:val="24"/>
                <w:szCs w:val="24"/>
                <w:color w:val="auto"/>
              </w:rPr>
            </w:pPr>
          </w:p>
        </w:tc>
        <w:tc>
          <w:tcPr>
            <w:tcW w:w="1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420" w:type="dxa"/>
            <w:vAlign w:val="bottom"/>
            <w:gridSpan w:val="14"/>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024"/>
          </w:cols>
          <w:pgMar w:left="436" w:top="270"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London, the United Kingdom on January 23, 2024.</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Denise Scots-Knight</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 that each person whose signature appears below hereby constitutes and appoints Denise Scots-Knight, Ph.D. and Christine Fox, and each of them, as his or her true and lawful attorney-in-fact and agent,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and to file the same, with all exhibits thereto, and other documents in connection therewith, with the U.S. Securities and Exchange Commission, granting unto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19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on January 23, 2024 in the capacities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440" w:type="dxa"/>
            <w:vAlign w:val="bottom"/>
          </w:tcPr>
          <w:p>
            <w:pPr>
              <w:spacing w:after="0"/>
              <w:rPr>
                <w:sz w:val="16"/>
                <w:szCs w:val="16"/>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04"/>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Denise Scots-Knight</w:t>
            </w:r>
          </w:p>
        </w:tc>
        <w:tc>
          <w:tcPr>
            <w:tcW w:w="440" w:type="dxa"/>
            <w:vAlign w:val="bottom"/>
          </w:tcPr>
          <w:p>
            <w:pPr>
              <w:spacing w:after="0"/>
              <w:rPr>
                <w:sz w:val="24"/>
                <w:szCs w:val="24"/>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23, 2024</w:t>
            </w:r>
          </w:p>
        </w:tc>
      </w:tr>
      <w:tr>
        <w:trPr>
          <w:trHeight w:val="22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Denise Scots-Knight</w:t>
            </w:r>
          </w:p>
        </w:tc>
        <w:tc>
          <w:tcPr>
            <w:tcW w:w="440" w:type="dxa"/>
            <w:vAlign w:val="bottom"/>
          </w:tcPr>
          <w:p>
            <w:pPr>
              <w:spacing w:after="0"/>
              <w:rPr>
                <w:sz w:val="19"/>
                <w:szCs w:val="19"/>
                <w:color w:val="auto"/>
              </w:rPr>
            </w:pPr>
          </w:p>
        </w:tc>
        <w:tc>
          <w:tcPr>
            <w:tcW w:w="4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0" w:type="dxa"/>
            <w:vAlign w:val="bottom"/>
          </w:tcPr>
          <w:p>
            <w:pPr>
              <w:spacing w:after="0"/>
              <w:rPr>
                <w:sz w:val="19"/>
                <w:szCs w:val="19"/>
                <w:color w:val="auto"/>
              </w:rPr>
            </w:pPr>
          </w:p>
        </w:tc>
      </w:tr>
      <w:tr>
        <w:trPr>
          <w:trHeight w:val="319"/>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Christine Fox</w:t>
            </w:r>
          </w:p>
        </w:tc>
        <w:tc>
          <w:tcPr>
            <w:tcW w:w="440" w:type="dxa"/>
            <w:vAlign w:val="bottom"/>
          </w:tcPr>
          <w:p>
            <w:pPr>
              <w:spacing w:after="0"/>
              <w:rPr>
                <w:sz w:val="24"/>
                <w:szCs w:val="24"/>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23, 2024</w:t>
            </w:r>
          </w:p>
        </w:tc>
      </w:tr>
      <w:tr>
        <w:trPr>
          <w:trHeight w:val="22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Christine Fox</w:t>
            </w:r>
          </w:p>
        </w:tc>
        <w:tc>
          <w:tcPr>
            <w:tcW w:w="440" w:type="dxa"/>
            <w:vAlign w:val="bottom"/>
          </w:tcPr>
          <w:p>
            <w:pPr>
              <w:spacing w:after="0"/>
              <w:rPr>
                <w:sz w:val="19"/>
                <w:szCs w:val="19"/>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and Financial Officer</w:t>
            </w:r>
            <w:r>
              <w:rPr>
                <w:rFonts w:ascii="Times New Roman" w:cs="Times New Roman" w:eastAsia="Times New Roman" w:hAnsi="Times New Roman"/>
                <w:sz w:val="18"/>
                <w:szCs w:val="18"/>
                <w:color w:val="auto"/>
                <w:w w:val="99"/>
              </w:rPr>
              <w:t>)</w:t>
            </w:r>
          </w:p>
        </w:tc>
        <w:tc>
          <w:tcPr>
            <w:tcW w:w="2200" w:type="dxa"/>
            <w:vAlign w:val="bottom"/>
          </w:tcPr>
          <w:p>
            <w:pPr>
              <w:spacing w:after="0"/>
              <w:rPr>
                <w:sz w:val="19"/>
                <w:szCs w:val="19"/>
                <w:color w:val="auto"/>
              </w:rPr>
            </w:pPr>
          </w:p>
        </w:tc>
      </w:tr>
      <w:tr>
        <w:trPr>
          <w:trHeight w:val="319"/>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Michael Wyzga</w:t>
            </w:r>
          </w:p>
        </w:tc>
        <w:tc>
          <w:tcPr>
            <w:tcW w:w="440" w:type="dxa"/>
            <w:vAlign w:val="bottom"/>
          </w:tcPr>
          <w:p>
            <w:pPr>
              <w:spacing w:after="0"/>
              <w:rPr>
                <w:sz w:val="24"/>
                <w:szCs w:val="24"/>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23, 2024</w:t>
            </w:r>
          </w:p>
        </w:tc>
      </w:tr>
      <w:tr>
        <w:trPr>
          <w:trHeight w:val="22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Wyzga</w:t>
            </w:r>
          </w:p>
        </w:tc>
        <w:tc>
          <w:tcPr>
            <w:tcW w:w="4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19"/>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Jeremy Bender</w:t>
            </w:r>
          </w:p>
        </w:tc>
        <w:tc>
          <w:tcPr>
            <w:tcW w:w="440" w:type="dxa"/>
            <w:vAlign w:val="bottom"/>
          </w:tcPr>
          <w:p>
            <w:pPr>
              <w:spacing w:after="0"/>
              <w:rPr>
                <w:sz w:val="24"/>
                <w:szCs w:val="24"/>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23, 2024</w:t>
            </w:r>
          </w:p>
        </w:tc>
      </w:tr>
      <w:tr>
        <w:trPr>
          <w:trHeight w:val="22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Jeremy Bender</w:t>
            </w:r>
          </w:p>
        </w:tc>
        <w:tc>
          <w:tcPr>
            <w:tcW w:w="4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19"/>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Anders Ekblom</w:t>
            </w:r>
          </w:p>
        </w:tc>
        <w:tc>
          <w:tcPr>
            <w:tcW w:w="440" w:type="dxa"/>
            <w:vAlign w:val="bottom"/>
          </w:tcPr>
          <w:p>
            <w:pPr>
              <w:spacing w:after="0"/>
              <w:rPr>
                <w:sz w:val="24"/>
                <w:szCs w:val="24"/>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23, 2024</w:t>
            </w:r>
          </w:p>
        </w:tc>
      </w:tr>
      <w:tr>
        <w:trPr>
          <w:trHeight w:val="22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Anders Ekblom</w:t>
            </w:r>
          </w:p>
        </w:tc>
        <w:tc>
          <w:tcPr>
            <w:tcW w:w="4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19"/>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Pierre Jacquet</w:t>
            </w:r>
          </w:p>
        </w:tc>
        <w:tc>
          <w:tcPr>
            <w:tcW w:w="440" w:type="dxa"/>
            <w:vAlign w:val="bottom"/>
          </w:tcPr>
          <w:p>
            <w:pPr>
              <w:spacing w:after="0"/>
              <w:rPr>
                <w:sz w:val="24"/>
                <w:szCs w:val="24"/>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23, 2024</w:t>
            </w:r>
          </w:p>
        </w:tc>
      </w:tr>
      <w:tr>
        <w:trPr>
          <w:trHeight w:val="22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Pierre Jacquet</w:t>
            </w:r>
          </w:p>
        </w:tc>
        <w:tc>
          <w:tcPr>
            <w:tcW w:w="4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19"/>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Annalisa Jenkins</w:t>
            </w:r>
          </w:p>
        </w:tc>
        <w:tc>
          <w:tcPr>
            <w:tcW w:w="440" w:type="dxa"/>
            <w:vAlign w:val="bottom"/>
          </w:tcPr>
          <w:p>
            <w:pPr>
              <w:spacing w:after="0"/>
              <w:rPr>
                <w:sz w:val="24"/>
                <w:szCs w:val="24"/>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23, 2024</w:t>
            </w:r>
          </w:p>
        </w:tc>
      </w:tr>
      <w:tr>
        <w:trPr>
          <w:trHeight w:val="22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Annalisa Jenkins</w:t>
            </w:r>
          </w:p>
        </w:tc>
        <w:tc>
          <w:tcPr>
            <w:tcW w:w="4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19"/>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Deepika Pakianathan</w:t>
            </w:r>
          </w:p>
        </w:tc>
        <w:tc>
          <w:tcPr>
            <w:tcW w:w="440" w:type="dxa"/>
            <w:vAlign w:val="bottom"/>
          </w:tcPr>
          <w:p>
            <w:pPr>
              <w:spacing w:after="0"/>
              <w:rPr>
                <w:sz w:val="24"/>
                <w:szCs w:val="24"/>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23, 2024</w:t>
            </w:r>
          </w:p>
        </w:tc>
      </w:tr>
      <w:tr>
        <w:trPr>
          <w:trHeight w:val="22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Deepika Pakianathan</w:t>
            </w:r>
          </w:p>
        </w:tc>
        <w:tc>
          <w:tcPr>
            <w:tcW w:w="4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19"/>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Justin Roberts</w:t>
            </w:r>
          </w:p>
        </w:tc>
        <w:tc>
          <w:tcPr>
            <w:tcW w:w="440" w:type="dxa"/>
            <w:vAlign w:val="bottom"/>
          </w:tcPr>
          <w:p>
            <w:pPr>
              <w:spacing w:after="0"/>
              <w:rPr>
                <w:sz w:val="24"/>
                <w:szCs w:val="24"/>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23, 2024</w:t>
            </w:r>
          </w:p>
        </w:tc>
      </w:tr>
      <w:tr>
        <w:trPr>
          <w:trHeight w:val="22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Justin Roberts</w:t>
            </w:r>
          </w:p>
        </w:tc>
        <w:tc>
          <w:tcPr>
            <w:tcW w:w="4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19"/>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Shames</w:t>
            </w:r>
          </w:p>
        </w:tc>
        <w:tc>
          <w:tcPr>
            <w:tcW w:w="440" w:type="dxa"/>
            <w:vAlign w:val="bottom"/>
          </w:tcPr>
          <w:p>
            <w:pPr>
              <w:spacing w:after="0"/>
              <w:rPr>
                <w:sz w:val="24"/>
                <w:szCs w:val="24"/>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23, 2024</w:t>
            </w:r>
          </w:p>
        </w:tc>
      </w:tr>
      <w:tr>
        <w:trPr>
          <w:trHeight w:val="22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Daniel Shames</w:t>
            </w:r>
          </w:p>
        </w:tc>
        <w:tc>
          <w:tcPr>
            <w:tcW w:w="4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19"/>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Marc Yoskowitz</w:t>
            </w:r>
          </w:p>
        </w:tc>
        <w:tc>
          <w:tcPr>
            <w:tcW w:w="440" w:type="dxa"/>
            <w:vAlign w:val="bottom"/>
          </w:tcPr>
          <w:p>
            <w:pPr>
              <w:spacing w:after="0"/>
              <w:rPr>
                <w:sz w:val="24"/>
                <w:szCs w:val="24"/>
                <w:color w:val="auto"/>
              </w:rPr>
            </w:pPr>
          </w:p>
        </w:tc>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23, 2024</w:t>
            </w:r>
          </w:p>
        </w:tc>
      </w:tr>
      <w:tr>
        <w:trPr>
          <w:trHeight w:val="22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 Yoskowitz</w:t>
            </w:r>
          </w:p>
        </w:tc>
        <w:tc>
          <w:tcPr>
            <w:tcW w:w="4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ind w:left="2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OF AUTHORIZED U.S. REPRESENTATIVE OF 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Mereo BioPharma Group plc has signed this registration statement on January 23, 2024.</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Mereo US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Denise Scots-Knight</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President</w:t>
      </w:r>
    </w:p>
    <w:p>
      <w:pPr>
        <w:sectPr>
          <w:pgSz w:w="11900" w:h="16838" w:orient="portrait"/>
          <w:cols w:equalWidth="0" w:num="1">
            <w:col w:w="10540"/>
          </w:cols>
          <w:pgMar w:left="440" w:top="266" w:right="9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41" w:lineRule="exact"/>
        <w:rPr>
          <w:sz w:val="20"/>
          <w:szCs w:val="20"/>
          <w:color w:val="auto"/>
        </w:rPr>
      </w:pPr>
    </w:p>
    <w:p>
      <w:pPr>
        <w:ind w:left="4024"/>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ind w:left="3984"/>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9" w:lineRule="exact"/>
        <w:rPr>
          <w:sz w:val="20"/>
          <w:szCs w:val="20"/>
          <w:color w:val="auto"/>
        </w:rPr>
      </w:pPr>
    </w:p>
    <w:p>
      <w:pPr>
        <w:ind w:left="4004"/>
        <w:spacing w:after="0"/>
        <w:rPr>
          <w:sz w:val="20"/>
          <w:szCs w:val="20"/>
          <w:color w:val="auto"/>
        </w:rPr>
      </w:pPr>
      <w:r>
        <w:rPr>
          <w:rFonts w:ascii="Times New Roman" w:cs="Times New Roman" w:eastAsia="Times New Roman" w:hAnsi="Times New Roman"/>
          <w:sz w:val="18"/>
          <w:szCs w:val="18"/>
          <w:b w:val="1"/>
          <w:bCs w:val="1"/>
          <w:color w:val="auto"/>
        </w:rPr>
        <w:t>FOR NON-EMPLOYEE DIRECTORS</w:t>
      </w:r>
    </w:p>
    <w:p>
      <w:pPr>
        <w:spacing w:after="0" w:line="205" w:lineRule="exact"/>
        <w:rPr>
          <w:sz w:val="20"/>
          <w:szCs w:val="20"/>
          <w:color w:val="auto"/>
        </w:rPr>
      </w:pPr>
    </w:p>
    <w:p>
      <w:pPr>
        <w:ind w:left="4" w:right="80" w:hanging="4"/>
        <w:spacing w:after="0" w:line="257" w:lineRule="auto"/>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and Effective Date</w:t>
      </w:r>
      <w:r>
        <w:rPr>
          <w:rFonts w:ascii="Times New Roman" w:cs="Times New Roman" w:eastAsia="Times New Roman" w:hAnsi="Times New Roman"/>
          <w:sz w:val="18"/>
          <w:szCs w:val="18"/>
          <w:color w:val="auto"/>
        </w:rPr>
        <w:t>. The purpose of this Plan is to provide the non-employee members of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Mereo BioPharma Group plc and it successors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with an opportunity to (i) elect to receive RSUs (as defined below) in lieu of their cash fees and (ii) upon such election to receive RSUs, defer settlement of all their Deferred RSUs (as defined below). The Plan was originally effective as of January 31, 2022, and has been amended as of December 13, 2023 but only with respect to Plan Years that commence after the Effective Date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Any amendments set forth herein shall only be applicable to Plan Years that commence after the Effective Date and for the avoidance of doubt, no set forth herein are intended to accelerate or defer any amounts under this Plan.</w:t>
      </w:r>
    </w:p>
    <w:p>
      <w:pPr>
        <w:spacing w:after="0" w:line="18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following terms shall have the meanings given in this section unless a different meaning is clearly implied by the context:</w:t>
      </w:r>
    </w:p>
    <w:p>
      <w:pPr>
        <w:spacing w:after="0" w:line="22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ADS</w:t>
      </w:r>
      <w:r>
        <w:rPr>
          <w:rFonts w:ascii="Times New Roman" w:cs="Times New Roman" w:eastAsia="Times New Roman" w:hAnsi="Times New Roman"/>
          <w:sz w:val="18"/>
          <w:szCs w:val="18"/>
          <w:color w:val="auto"/>
        </w:rPr>
        <w:t>” shall have the same meaning as defined in the Existing Equity Plan as in effect on the Effective Date.</w:t>
      </w:r>
    </w:p>
    <w:p>
      <w:pPr>
        <w:spacing w:after="0" w:line="225" w:lineRule="exact"/>
        <w:rPr>
          <w:rFonts w:ascii="Times New Roman" w:cs="Times New Roman" w:eastAsia="Times New Roman" w:hAnsi="Times New Roman"/>
          <w:sz w:val="18"/>
          <w:szCs w:val="18"/>
          <w:color w:val="auto"/>
        </w:rPr>
      </w:pPr>
    </w:p>
    <w:p>
      <w:pPr>
        <w:ind w:left="4" w:right="160" w:firstLine="436"/>
        <w:spacing w:after="0" w:line="267" w:lineRule="auto"/>
        <w:tabs>
          <w:tab w:leader="none" w:pos="69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xml:space="preserve">” shall have the same meaning as defined in the Existing Equity Plan as in effect on the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the Plan, in no event will a Change in Control be deemed to have occurred if the transaction is not also a “change in control event” under Section 409A of the Code.</w:t>
      </w:r>
    </w:p>
    <w:p>
      <w:pPr>
        <w:spacing w:after="0" w:line="17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Deferred Compensation Account</w:t>
      </w:r>
      <w:r>
        <w:rPr>
          <w:rFonts w:ascii="Times New Roman" w:cs="Times New Roman" w:eastAsia="Times New Roman" w:hAnsi="Times New Roman"/>
          <w:sz w:val="18"/>
          <w:szCs w:val="18"/>
          <w:color w:val="auto"/>
        </w:rPr>
        <w:t>” means an account maintained for each director who makes a deferral election as described in Section 4.</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Deferred RSU</w:t>
      </w:r>
      <w:r>
        <w:rPr>
          <w:rFonts w:ascii="Times New Roman" w:cs="Times New Roman" w:eastAsia="Times New Roman" w:hAnsi="Times New Roman"/>
          <w:sz w:val="18"/>
          <w:szCs w:val="18"/>
          <w:color w:val="auto"/>
        </w:rPr>
        <w:t>” means RSUs that are received by a participant pursuant to this Plan that provides for the deferred receipt of compensation.</w:t>
      </w:r>
    </w:p>
    <w:p>
      <w:pPr>
        <w:spacing w:after="0" w:line="225" w:lineRule="exact"/>
        <w:rPr>
          <w:rFonts w:ascii="Times New Roman" w:cs="Times New Roman" w:eastAsia="Times New Roman" w:hAnsi="Times New Roman"/>
          <w:sz w:val="18"/>
          <w:szCs w:val="18"/>
          <w:color w:val="auto"/>
        </w:rPr>
      </w:pPr>
    </w:p>
    <w:p>
      <w:pPr>
        <w:ind w:left="4" w:right="60" w:firstLine="436"/>
        <w:spacing w:after="0" w:line="284" w:lineRule="auto"/>
        <w:tabs>
          <w:tab w:leader="none" w:pos="68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 means the compensation payable to a director for his or her service as a director in the applicable Plan Year pursuant to a Letter of Appointment, including both cash, RSUs and other forms of equity.</w:t>
      </w:r>
    </w:p>
    <w:p>
      <w:pPr>
        <w:spacing w:after="0" w:line="158" w:lineRule="exact"/>
        <w:rPr>
          <w:rFonts w:ascii="Times New Roman" w:cs="Times New Roman" w:eastAsia="Times New Roman" w:hAnsi="Times New Roman"/>
          <w:sz w:val="18"/>
          <w:szCs w:val="18"/>
          <w:color w:val="auto"/>
        </w:rPr>
      </w:pPr>
    </w:p>
    <w:p>
      <w:pPr>
        <w:ind w:left="4" w:right="120" w:firstLine="436"/>
        <w:spacing w:after="0" w:line="284" w:lineRule="auto"/>
        <w:tabs>
          <w:tab w:leader="none" w:pos="66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Election Form</w:t>
      </w:r>
      <w:r>
        <w:rPr>
          <w:rFonts w:ascii="Times New Roman" w:cs="Times New Roman" w:eastAsia="Times New Roman" w:hAnsi="Times New Roman"/>
          <w:sz w:val="18"/>
          <w:szCs w:val="18"/>
          <w:color w:val="auto"/>
        </w:rPr>
        <w:t>” means an election form, in a form approved by the Plan Administrator, to be provided to directors by the Plan Administrator, pursuant to which they may elect to receive Deferred RSUs in lieu of their cash fees.</w:t>
      </w:r>
    </w:p>
    <w:p>
      <w:pPr>
        <w:spacing w:after="0" w:line="15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Plan</w:t>
      </w:r>
      <w:r>
        <w:rPr>
          <w:rFonts w:ascii="Times New Roman" w:cs="Times New Roman" w:eastAsia="Times New Roman" w:hAnsi="Times New Roman"/>
          <w:sz w:val="18"/>
          <w:szCs w:val="18"/>
          <w:color w:val="auto"/>
        </w:rPr>
        <w:t>” means the Existing Equity Plan and any successor or replacement plan as in effect from time to time.</w:t>
      </w:r>
    </w:p>
    <w:p>
      <w:pPr>
        <w:spacing w:after="0" w:line="225" w:lineRule="exact"/>
        <w:rPr>
          <w:rFonts w:ascii="Times New Roman" w:cs="Times New Roman" w:eastAsia="Times New Roman" w:hAnsi="Times New Roman"/>
          <w:sz w:val="18"/>
          <w:szCs w:val="18"/>
          <w:i w:val="1"/>
          <w:iCs w:val="1"/>
          <w:color w:val="auto"/>
        </w:rPr>
      </w:pPr>
    </w:p>
    <w:p>
      <w:pPr>
        <w:ind w:left="4" w:right="340" w:firstLine="436"/>
        <w:spacing w:after="0" w:line="284" w:lineRule="auto"/>
        <w:tabs>
          <w:tab w:leader="none" w:pos="69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Equity Plan</w:t>
      </w:r>
      <w:r>
        <w:rPr>
          <w:rFonts w:ascii="Times New Roman" w:cs="Times New Roman" w:eastAsia="Times New Roman" w:hAnsi="Times New Roman"/>
          <w:sz w:val="18"/>
          <w:szCs w:val="18"/>
          <w:color w:val="auto"/>
        </w:rPr>
        <w:t>” means the Company’s 2019 Non-Employee Equity Incentive Plan, which is a sub-plan the Company’s 2019 Equity Incentive Plan.</w:t>
      </w:r>
    </w:p>
    <w:p>
      <w:pPr>
        <w:spacing w:after="0" w:line="158" w:lineRule="exact"/>
        <w:rPr>
          <w:rFonts w:ascii="Times New Roman" w:cs="Times New Roman" w:eastAsia="Times New Roman" w:hAnsi="Times New Roman"/>
          <w:sz w:val="18"/>
          <w:szCs w:val="18"/>
          <w:color w:val="auto"/>
        </w:rPr>
      </w:pPr>
    </w:p>
    <w:p>
      <w:pPr>
        <w:ind w:left="4" w:right="100" w:firstLine="436"/>
        <w:spacing w:after="0" w:line="284" w:lineRule="auto"/>
        <w:tabs>
          <w:tab w:leader="none" w:pos="65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Letter of Appointment</w:t>
      </w:r>
      <w:r>
        <w:rPr>
          <w:rFonts w:ascii="Times New Roman" w:cs="Times New Roman" w:eastAsia="Times New Roman" w:hAnsi="Times New Roman"/>
          <w:sz w:val="18"/>
          <w:szCs w:val="18"/>
          <w:color w:val="auto"/>
        </w:rPr>
        <w:t>” shall mean a letter of appointment (as may be amended or restated from time to time) or any similar letter, agreement, arrangement or plan that sets a participant’s service on the Board, including such participant’s remuneration for service on the Board.</w:t>
      </w:r>
    </w:p>
    <w:p>
      <w:pPr>
        <w:spacing w:after="0" w:line="158"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means the Mereo BioPharma Group plc Deferred Compensation Plan for Non-Employee Directors.</w:t>
      </w:r>
    </w:p>
    <w:p>
      <w:pPr>
        <w:sectPr>
          <w:pgSz w:w="11900" w:h="16838" w:orient="portrait"/>
          <w:cols w:equalWidth="0" w:num="1">
            <w:col w:w="11024"/>
          </w:cols>
          <w:pgMar w:left="436" w:top="117" w:right="439" w:bottom="1440" w:gutter="0" w:footer="0" w:header="0"/>
        </w:sectPr>
      </w:pPr>
    </w:p>
    <w:bookmarkStart w:id="7" w:name="page8"/>
    <w:bookmarkEnd w:id="7"/>
    <w:p>
      <w:pPr>
        <w:ind w:left="704" w:hanging="264"/>
        <w:spacing w:after="0"/>
        <w:tabs>
          <w:tab w:leader="none" w:pos="70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Plan Year</w:t>
      </w:r>
      <w:r>
        <w:rPr>
          <w:rFonts w:ascii="Times New Roman" w:cs="Times New Roman" w:eastAsia="Times New Roman" w:hAnsi="Times New Roman"/>
          <w:sz w:val="18"/>
          <w:szCs w:val="18"/>
          <w:color w:val="auto"/>
        </w:rPr>
        <w:t>” means the annual period from 1 February to 31 January.</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 Administrator</w:t>
      </w:r>
      <w:r>
        <w:rPr>
          <w:rFonts w:ascii="Times New Roman" w:cs="Times New Roman" w:eastAsia="Times New Roman" w:hAnsi="Times New Roman"/>
          <w:sz w:val="18"/>
          <w:szCs w:val="18"/>
          <w:color w:val="auto"/>
        </w:rPr>
        <w:t>” means the Board or its designee (including the Remuneration Committee).</w:t>
      </w:r>
    </w:p>
    <w:p>
      <w:pPr>
        <w:spacing w:after="0" w:line="225"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Remuneration Committee</w:t>
      </w:r>
      <w:r>
        <w:rPr>
          <w:rFonts w:ascii="Times New Roman" w:cs="Times New Roman" w:eastAsia="Times New Roman" w:hAnsi="Times New Roman"/>
          <w:sz w:val="18"/>
          <w:szCs w:val="18"/>
          <w:color w:val="auto"/>
        </w:rPr>
        <w:t>” means the Remuneration Committee of the Board.</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RSU</w:t>
      </w:r>
      <w:r>
        <w:rPr>
          <w:rFonts w:ascii="Times New Roman" w:cs="Times New Roman" w:eastAsia="Times New Roman" w:hAnsi="Times New Roman"/>
          <w:sz w:val="18"/>
          <w:szCs w:val="18"/>
          <w:color w:val="auto"/>
        </w:rPr>
        <w:t>” shall have the same meaning as defined in the Existing Equity Plan as in effect on the Effective Date.</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means Section 409A of the U.S. Internal Revenue Code of 1986, as amended.</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Separation from Service</w:t>
      </w:r>
      <w:r>
        <w:rPr>
          <w:rFonts w:ascii="Times New Roman" w:cs="Times New Roman" w:eastAsia="Times New Roman" w:hAnsi="Times New Roman"/>
          <w:sz w:val="18"/>
          <w:szCs w:val="18"/>
          <w:color w:val="auto"/>
        </w:rPr>
        <w:t>” means a “separation from service” within the meaning of Section 409A.</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w:t>
      </w:r>
      <w:r>
        <w:rPr>
          <w:rFonts w:ascii="Times New Roman" w:cs="Times New Roman" w:eastAsia="Times New Roman" w:hAnsi="Times New Roman"/>
          <w:sz w:val="18"/>
          <w:szCs w:val="18"/>
          <w:color w:val="auto"/>
        </w:rPr>
        <w:t>” shall have the same meaning as defined in the Existing Equity Plan as in effect on the Effective Date.</w:t>
      </w:r>
    </w:p>
    <w:p>
      <w:pPr>
        <w:spacing w:after="0" w:line="227" w:lineRule="exact"/>
        <w:rPr>
          <w:rFonts w:ascii="Times New Roman" w:cs="Times New Roman" w:eastAsia="Times New Roman" w:hAnsi="Times New Roman"/>
          <w:sz w:val="18"/>
          <w:szCs w:val="18"/>
          <w:color w:val="auto"/>
        </w:rPr>
      </w:pPr>
    </w:p>
    <w:p>
      <w:pPr>
        <w:ind w:left="4" w:right="60" w:hanging="4"/>
        <w:spacing w:after="0" w:line="282"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All members of the Board who are not employees of the Company or any subsidiary of the Company shall be eligible to participate in the Plan.</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Deferred RSUs in Lieu of Cash Fees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Manner of Election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1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may, in its discretion, provide participants with the opportunity in an Election Form to elect to convert all or a portion of their Plan Year cash Director Compensation into awards of Deferred RSUs granted under the Equity Plan (such election, a “</w:t>
      </w:r>
      <w:r>
        <w:rPr>
          <w:rFonts w:ascii="Times New Roman" w:cs="Times New Roman" w:eastAsia="Times New Roman" w:hAnsi="Times New Roman"/>
          <w:sz w:val="18"/>
          <w:szCs w:val="18"/>
          <w:i w:val="1"/>
          <w:iCs w:val="1"/>
          <w:color w:val="auto"/>
        </w:rPr>
        <w:t>Deferred 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Deferred RSU shall cover a number of ADS (or, if permitted by the Plan Administrator, Shares) calculated by dividing</w:t>
      </w:r>
    </w:p>
    <w:p>
      <w:pPr>
        <w:spacing w:after="0" w:line="27" w:lineRule="exact"/>
        <w:rPr>
          <w:sz w:val="20"/>
          <w:szCs w:val="20"/>
          <w:color w:val="auto"/>
        </w:rPr>
      </w:pPr>
    </w:p>
    <w:p>
      <w:pPr>
        <w:ind w:left="4" w:hanging="4"/>
        <w:spacing w:after="0" w:line="255"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amount of the Plan Year cash Director Compensation that would have otherwise been paid to such participant for a Plan Year (which may be pro-rated for any director newly appointed in a given plan Year) by (ii) the average per ADS (or Share, if applicable) closing trading price of the ADS (or Shares, if applicable) over the most recent 30 trading days as of the grant date.</w:t>
      </w:r>
    </w:p>
    <w:p>
      <w:pPr>
        <w:spacing w:after="0" w:line="185"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3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there is a change to a director’s service on the committees of the Board that results in increased cash Director Compensation during a Plan Year, such director shall be eligible for additional Deferred RSUs for the amount of increased Director Compensation that such director will receive through the remainder of the Plan Year compared to the estimate as of the beginning of the Plan Year, pro-rated through the end of the Plan-Year, with such number of Deferred RSUs calculated in accordance with subsection (ii) above.</w:t>
      </w:r>
    </w:p>
    <w:p>
      <w:pPr>
        <w:spacing w:after="0" w:line="179" w:lineRule="exact"/>
        <w:rPr>
          <w:rFonts w:ascii="Times New Roman" w:cs="Times New Roman" w:eastAsia="Times New Roman" w:hAnsi="Times New Roman"/>
          <w:sz w:val="18"/>
          <w:szCs w:val="18"/>
          <w:color w:val="auto"/>
        </w:rPr>
      </w:pPr>
    </w:p>
    <w:p>
      <w:pPr>
        <w:ind w:left="4" w:firstLine="987"/>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fails to make a timely Deferred RSU Election in accordance with the below shall not receive a Deferred RSU and instead shall receive the applicable Plan Year cash Director Compensation in cash. A participant’s Deferred RSU Election is irrevocable and may not be changed, except as may be provided in the election form.</w:t>
      </w:r>
    </w:p>
    <w:p>
      <w:pPr>
        <w:sectPr>
          <w:pgSz w:w="11900" w:h="16838" w:orient="portrait"/>
          <w:cols w:equalWidth="0" w:num="1">
            <w:col w:w="10944"/>
          </w:cols>
          <w:pgMar w:left="436" w:top="268" w:right="519" w:bottom="1440" w:gutter="0" w:footer="0" w:header="0"/>
        </w:sectPr>
      </w:pPr>
    </w:p>
    <w:bookmarkStart w:id="8" w:name="page9"/>
    <w:bookmarkEnd w:id="8"/>
    <w:p>
      <w:pPr>
        <w:ind w:left="704" w:hanging="264"/>
        <w:spacing w:after="0"/>
        <w:tabs>
          <w:tab w:leader="none" w:pos="70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Timing for Grant of Deferred RSUs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 w:right="40" w:firstLine="987"/>
        <w:spacing w:after="0" w:line="274" w:lineRule="auto"/>
        <w:tabs>
          <w:tab w:leader="none" w:pos="1210"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Deferred RSU award will automatically be granted on (A) the first business day of the Plan Year, (B) the first business day of the month following the date a director is appointed to the Board during a Plan Year or (C) the first business day of the month following the date there is a change to a director’s service on the committees of the Board that results in increased cash Director Compensation during a Plan Year. The grant of such Deferred RSUs is subject to (1) the continued service of the applicable director through to the grant of the relevant Deferred RSU and (2) the Existing Equity Plan having a sufficient share reserve to issue such Deferred RSUs; provided that if the Existing Equity Plan does not have a sufficient share reserve, then the date of grant will be the first date upon which the Existing Equity Plan has a sufficient share reserve to issue such Deferred RSUs.</w:t>
      </w:r>
    </w:p>
    <w:p>
      <w:pPr>
        <w:spacing w:after="0" w:line="172" w:lineRule="exact"/>
        <w:rPr>
          <w:rFonts w:ascii="Times New Roman" w:cs="Times New Roman" w:eastAsia="Times New Roman" w:hAnsi="Times New Roman"/>
          <w:sz w:val="17"/>
          <w:szCs w:val="17"/>
          <w:color w:val="auto"/>
        </w:rPr>
      </w:pPr>
    </w:p>
    <w:p>
      <w:pPr>
        <w:ind w:left="4" w:right="40" w:firstLine="987"/>
        <w:spacing w:after="0" w:line="254" w:lineRule="auto"/>
        <w:tabs>
          <w:tab w:leader="none" w:pos="12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Deferred RSU award will vest in substantially equal installments over each month of the Plan Year, subject to the continued service of the applicable holder through the applicable vesting date; provided that any Deferred RSUs shall be deferred as set forth below and as specified in the Election Form and in no event will be settled until the deferred period set forth in Section 7(a). Notwithstanding the foregoing, in the event that there is a change to a director’s service on the committees of the Board that results in decreased cash Director Compensation during a Plan Year, then that number of Deferred RSUs granted during the Plan Year shall be automatically forfeited (effective as of that date such change in committee service) equal to (A) the amount of decreased Director Compensation that such director will no longer receive as compared to the estimate as of the original applicable grant date, pro-rated through the end of the Plan-Year, divided by (B) the average per ADS (or Share, if applicable) closing trading price of the ADS (or Shares, if applicable) over the 30 trading days as of the applicable original grant date of such Deferred RSUs, rounded down to the nearest whole Deferred RSU.</w:t>
      </w:r>
    </w:p>
    <w:p>
      <w:pPr>
        <w:spacing w:after="0" w:line="188"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a participant be able to elect to receive RSUs that are not Deferred RSUs in lieu of such participant’s cash Director</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0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Forms and Timing</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of Election</w:t>
      </w:r>
      <w:r>
        <w:rPr>
          <w:rFonts w:ascii="Times New Roman" w:cs="Times New Roman" w:eastAsia="Times New Roman" w:hAnsi="Times New Roman"/>
          <w:sz w:val="18"/>
          <w:szCs w:val="18"/>
          <w:color w:val="auto"/>
        </w:rPr>
        <w:t>. Deferred RSU Elections shall be made at the following times:</w:t>
      </w:r>
    </w:p>
    <w:p>
      <w:pPr>
        <w:spacing w:after="0" w:line="227"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make Deferred RSU Elections at such time or times during the calendar year as permitted by the Plan</w:t>
      </w:r>
    </w:p>
    <w:p>
      <w:pPr>
        <w:spacing w:after="0" w:line="27" w:lineRule="exact"/>
        <w:rPr>
          <w:sz w:val="20"/>
          <w:szCs w:val="20"/>
          <w:color w:val="auto"/>
        </w:rPr>
      </w:pPr>
    </w:p>
    <w:p>
      <w:pPr>
        <w:ind w:left="4" w:right="100"/>
        <w:spacing w:after="0" w:line="230" w:lineRule="auto"/>
        <w:rPr>
          <w:sz w:val="20"/>
          <w:szCs w:val="20"/>
          <w:color w:val="auto"/>
        </w:rPr>
      </w:pPr>
      <w:r>
        <w:rPr>
          <w:rFonts w:ascii="Times New Roman" w:cs="Times New Roman" w:eastAsia="Times New Roman" w:hAnsi="Times New Roman"/>
          <w:sz w:val="18"/>
          <w:szCs w:val="18"/>
          <w:color w:val="auto"/>
        </w:rPr>
        <w:t>Administrator. Unless otherwise provided by the Plan Administrator, each director will submit an Election Form no later than December 31 of each calendar year with respect to the Deferred RSU Election relating to services to be performed in the Plan Year that commences in the following calendar year. For the avoidance of doubt, even if a Plan Year crosses tax years, there shall be no impact on a new Deferred RSU Election submitted after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the calendar year before a given Plan Year commences, and such new Deferred RSU Election shall only apply to Plan Years that commence for the first time in the year following the year in which the election is made.</w:t>
      </w:r>
    </w:p>
    <w:p>
      <w:pPr>
        <w:spacing w:after="0" w:line="198" w:lineRule="exact"/>
        <w:rPr>
          <w:sz w:val="20"/>
          <w:szCs w:val="20"/>
          <w:color w:val="auto"/>
        </w:rPr>
      </w:pPr>
    </w:p>
    <w:p>
      <w:pPr>
        <w:ind w:left="4" w:firstLine="987"/>
        <w:spacing w:after="0" w:line="261"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nominee for election and/or appointment to director (who is not at the time of nomination a sitting director and was not previously eligible to participate in this Plan) may make a Deferred RSU Election no later than 30 days after the date of the director’s commencement of services as a director. Such Deferred RSU Election shall be effective for Deferred RSUs, following the later of (A) the date of the director’s commencement of services as a director, and (B) the date an irrevocable election form is filed with the Company.</w:t>
      </w:r>
    </w:p>
    <w:p>
      <w:pPr>
        <w:sectPr>
          <w:pgSz w:w="11900" w:h="16838" w:orient="portrait"/>
          <w:cols w:equalWidth="0" w:num="1">
            <w:col w:w="11004"/>
          </w:cols>
          <w:pgMar w:left="436" w:top="268" w:right="459" w:bottom="1440" w:gutter="0" w:footer="0" w:header="0"/>
        </w:sectPr>
      </w:pPr>
    </w:p>
    <w:bookmarkStart w:id="9" w:name="page10"/>
    <w:bookmarkEnd w:id="9"/>
    <w:p>
      <w:pPr>
        <w:ind w:left="4" w:firstLine="436"/>
        <w:spacing w:after="0" w:line="258" w:lineRule="auto"/>
        <w:tabs>
          <w:tab w:leader="none" w:pos="6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Duration of Deferral Election</w:t>
      </w:r>
      <w:r>
        <w:rPr>
          <w:rFonts w:ascii="Times New Roman" w:cs="Times New Roman" w:eastAsia="Times New Roman" w:hAnsi="Times New Roman"/>
          <w:sz w:val="18"/>
          <w:szCs w:val="18"/>
          <w:color w:val="auto"/>
        </w:rPr>
        <w:t>. Unless otherwise permitted by the Plan Administrator and specified in an applicable deferral election form,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RSU Election will only apply to one Plan Year and a participant must make a new deferral election with respect to each Plan Year that the participant decides to make a Deferred RSU Election. The Plan Administrator may provide pursuant to the terms of an approved Election Form that such Deferred RSU Election shall carry forward from year-to-year and continue to apply to Deferred RSUs and Director Compensation for subsequent years, in each case as specified in the applicable Election Form.</w:t>
      </w:r>
    </w:p>
    <w:p>
      <w:pPr>
        <w:spacing w:after="0" w:line="185" w:lineRule="exact"/>
        <w:rPr>
          <w:rFonts w:ascii="Times New Roman" w:cs="Times New Roman" w:eastAsia="Times New Roman" w:hAnsi="Times New Roman"/>
          <w:sz w:val="18"/>
          <w:szCs w:val="18"/>
          <w:color w:val="auto"/>
        </w:rPr>
      </w:pPr>
    </w:p>
    <w:p>
      <w:pPr>
        <w:ind w:left="4" w:right="280" w:hanging="4"/>
        <w:spacing w:after="0" w:line="282" w:lineRule="auto"/>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Compensation Accounts</w:t>
      </w:r>
      <w:r>
        <w:rPr>
          <w:rFonts w:ascii="Times New Roman" w:cs="Times New Roman" w:eastAsia="Times New Roman" w:hAnsi="Times New Roman"/>
          <w:sz w:val="18"/>
          <w:szCs w:val="18"/>
          <w:color w:val="auto"/>
        </w:rPr>
        <w:t>. The Company shall establish on its books and records a Deferred Compensation Account with sub accounts for each participant, as provided below.</w:t>
      </w:r>
    </w:p>
    <w:p>
      <w:pPr>
        <w:spacing w:after="0" w:line="159" w:lineRule="exact"/>
        <w:rPr>
          <w:rFonts w:ascii="Times New Roman" w:cs="Times New Roman" w:eastAsia="Times New Roman" w:hAnsi="Times New Roman"/>
          <w:sz w:val="18"/>
          <w:szCs w:val="18"/>
          <w:color w:val="auto"/>
        </w:rPr>
      </w:pPr>
    </w:p>
    <w:p>
      <w:pPr>
        <w:ind w:left="4" w:right="80" w:firstLine="436"/>
        <w:spacing w:after="0" w:line="267" w:lineRule="auto"/>
        <w:tabs>
          <w:tab w:leader="none" w:pos="6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Crediting of Deferred RSUs</w:t>
      </w:r>
      <w:r>
        <w:rPr>
          <w:rFonts w:ascii="Times New Roman" w:cs="Times New Roman" w:eastAsia="Times New Roman" w:hAnsi="Times New Roman"/>
          <w:sz w:val="18"/>
          <w:szCs w:val="18"/>
          <w:color w:val="auto"/>
        </w:rPr>
        <w:t>. Deferred RSUs, if applicable, shall be credited to the participant’s Deferred Compensation Account on the date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otherwise have been granted. On such date, the Company shall credit to the Deferred Compensation Account with a number of Deferred RSUs that was granted. No fractional Deferred RSUs will be credited to a participant’s account.</w:t>
      </w:r>
    </w:p>
    <w:p>
      <w:pPr>
        <w:spacing w:after="0" w:line="173"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Each Deferred RSU credited to a participant’s Deferred Compensation Account shall carry with it a right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equivalents in respect of the Share or ADS, as applicable, underlying such Deferred RSU. Dividend equivalents shall be paid to participants in cash on the Company’s applicable dividend payment date based on the number of Deferred RSU, whether vested or unvested, held in the director’s Deferred Compensation Account on the applicable Company record date. The dividend equivalent right associated with a Deferred RSU shall remain outstanding until the delivery to the participant of the Share or ADS, applicable underlying such Deferred RSU.</w:t>
      </w:r>
    </w:p>
    <w:p>
      <w:pPr>
        <w:spacing w:after="0" w:line="183" w:lineRule="exact"/>
        <w:rPr>
          <w:rFonts w:ascii="Times New Roman" w:cs="Times New Roman" w:eastAsia="Times New Roman" w:hAnsi="Times New Roman"/>
          <w:sz w:val="18"/>
          <w:szCs w:val="18"/>
          <w:color w:val="auto"/>
        </w:rPr>
      </w:pPr>
    </w:p>
    <w:p>
      <w:pPr>
        <w:ind w:left="4" w:right="220" w:firstLine="436"/>
        <w:spacing w:after="0" w:line="257" w:lineRule="auto"/>
        <w:tabs>
          <w:tab w:leader="none" w:pos="6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 of Deferred RSUs</w:t>
      </w:r>
      <w:r>
        <w:rPr>
          <w:rFonts w:ascii="Times New Roman" w:cs="Times New Roman" w:eastAsia="Times New Roman" w:hAnsi="Times New Roman"/>
          <w:sz w:val="18"/>
          <w:szCs w:val="18"/>
          <w:color w:val="auto"/>
        </w:rPr>
        <w:t>. If the number of outstanding Shares and/or ADS, as applicable, is increased or decreased or the Shares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ADS, as applicable, are changed into or exchanged for a different number or kind of shares or other securities of the Company on account of any recapitalization, reclassification, share split, reverse split, combination of shares, exchange of shares, share dividend, or other distribution payable in capital securities, or other increase or decrease in such shares effected without receipt of consideration by the Company occurring after the Effective Date, the Plan Administrator will make appropriate adjustments to (i) the number and kind of Shares and/or ADS, as applicable, for which Deferred RSUs are outstanding, and (ii) the number of Deferred RSUs credited to each participant’s Deferred Compensation Account.</w:t>
      </w:r>
    </w:p>
    <w:p>
      <w:pPr>
        <w:spacing w:after="0" w:line="18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Deferred RSUs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Payment from the Deferred RSUs shall be made in one lump sum on the earliest to occur of:</w:t>
      </w:r>
    </w:p>
    <w:p>
      <w:pPr>
        <w:spacing w:after="0" w:line="119"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following the participant’s Separation From Service;</w:t>
      </w:r>
    </w:p>
    <w:p>
      <w:pPr>
        <w:spacing w:after="0" w:line="117"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on or within 30 days following a Change in Control;</w:t>
      </w:r>
    </w:p>
    <w:p>
      <w:pPr>
        <w:spacing w:after="0" w:line="117"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days following the participant’s Disability;</w:t>
      </w:r>
    </w:p>
    <w:p>
      <w:pPr>
        <w:spacing w:after="0" w:line="117"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death.</w:t>
      </w:r>
    </w:p>
    <w:p>
      <w:pPr>
        <w:sectPr>
          <w:pgSz w:w="11900" w:h="16838" w:orient="portrait"/>
          <w:cols w:equalWidth="0" w:num="1">
            <w:col w:w="11004"/>
          </w:cols>
          <w:pgMar w:left="436" w:top="268" w:right="459" w:bottom="1440" w:gutter="0" w:footer="0" w:header="0"/>
        </w:sectPr>
      </w:pPr>
    </w:p>
    <w:bookmarkStart w:id="10" w:name="page11"/>
    <w:bookmarkEnd w:id="10"/>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the Plan, if on the date of the participant’s Separation from Service, the participant is a “</w:t>
      </w:r>
      <w:r>
        <w:rPr>
          <w:rFonts w:ascii="Times New Roman" w:cs="Times New Roman" w:eastAsia="Times New Roman" w:hAnsi="Times New Roman"/>
          <w:sz w:val="18"/>
          <w:szCs w:val="18"/>
          <w:i w:val="1"/>
          <w:iCs w:val="1"/>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within the meaning of Section 409A and is subject to Section 409A, the payment will occur on the later to occur of (x) the scheduled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date and (y) the first day of the seventh month following the date of the participant’s Separation from Service or, if earlier, the date of the participant’s death.</w:t>
      </w:r>
    </w:p>
    <w:p>
      <w:pPr>
        <w:spacing w:after="0" w:line="180" w:lineRule="exact"/>
        <w:rPr>
          <w:sz w:val="20"/>
          <w:szCs w:val="20"/>
          <w:color w:val="auto"/>
        </w:rPr>
      </w:pPr>
    </w:p>
    <w:p>
      <w:pPr>
        <w:jc w:val="both"/>
        <w:ind w:left="4" w:right="120" w:firstLine="436"/>
        <w:spacing w:after="0" w:line="261" w:lineRule="auto"/>
        <w:tabs>
          <w:tab w:leader="none" w:pos="6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Medium of Payment</w:t>
      </w:r>
      <w:r>
        <w:rPr>
          <w:rFonts w:ascii="Times New Roman" w:cs="Times New Roman" w:eastAsia="Times New Roman" w:hAnsi="Times New Roman"/>
          <w:sz w:val="18"/>
          <w:szCs w:val="18"/>
          <w:color w:val="auto"/>
        </w:rPr>
        <w:t>. Payments from the Deferred Compensation Account shall be made in whole Shares and/or ADS, as applicable,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whole Deferred RSU, and in cash for any fractional Deferred RSU;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may choose in its sole discretion to pay the participant cash in lieu of all or a portion of the Shares and/or ADS, as applicable. Deferred RSUs issued to and Shares and/or ADS, as applicable, paid to participants under the Plan shall be issued and paid from the Equity Plan.</w:t>
      </w:r>
    </w:p>
    <w:p>
      <w:pPr>
        <w:spacing w:after="0" w:line="181" w:lineRule="exact"/>
        <w:rPr>
          <w:rFonts w:ascii="Times New Roman" w:cs="Times New Roman" w:eastAsia="Times New Roman" w:hAnsi="Times New Roman"/>
          <w:sz w:val="18"/>
          <w:szCs w:val="18"/>
          <w:color w:val="auto"/>
        </w:rPr>
      </w:pPr>
    </w:p>
    <w:p>
      <w:pPr>
        <w:ind w:left="4" w:right="80" w:hanging="4"/>
        <w:spacing w:after="0" w:line="261" w:lineRule="auto"/>
        <w:tabs>
          <w:tab w:leader="none" w:pos="1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Promise to Pay; No Segregation of Funds or Assets</w:t>
      </w:r>
      <w:r>
        <w:rPr>
          <w:rFonts w:ascii="Times New Roman" w:cs="Times New Roman" w:eastAsia="Times New Roman" w:hAnsi="Times New Roman"/>
          <w:sz w:val="18"/>
          <w:szCs w:val="18"/>
          <w:color w:val="auto"/>
        </w:rPr>
        <w:t>. Nothing in this Plan shall require the segregation of any assets of the Company or any type of funding by the Company, it being the intention of the parties that the Plan be an unfunded arrangement for federal income tax purposes. No participant shall have any rights to or interest in any specific assets or ADS or Shares by reason of the Plan, and any participant’s rights to enforce payment of the obligations of the Company hereunder shall be those of a general creditor of the Company.</w:t>
      </w:r>
    </w:p>
    <w:p>
      <w:pPr>
        <w:spacing w:after="0" w:line="179" w:lineRule="exact"/>
        <w:rPr>
          <w:rFonts w:ascii="Times New Roman" w:cs="Times New Roman" w:eastAsia="Times New Roman" w:hAnsi="Times New Roman"/>
          <w:sz w:val="18"/>
          <w:szCs w:val="18"/>
          <w:color w:val="auto"/>
        </w:rPr>
      </w:pPr>
    </w:p>
    <w:p>
      <w:pPr>
        <w:ind w:left="4" w:right="200" w:hanging="4"/>
        <w:spacing w:after="0" w:line="261" w:lineRule="auto"/>
        <w:tabs>
          <w:tab w:leader="none" w:pos="1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Nonassignability; Beneficiary Designation</w:t>
      </w:r>
      <w:r>
        <w:rPr>
          <w:rFonts w:ascii="Times New Roman" w:cs="Times New Roman" w:eastAsia="Times New Roman" w:hAnsi="Times New Roman"/>
          <w:sz w:val="18"/>
          <w:szCs w:val="18"/>
          <w:color w:val="auto"/>
        </w:rPr>
        <w:t>. The right of a participant to receive any unpaid portion of the participant’s Deferred Compensation Account shall not be assigned, transferred, pledged or encumbered or subjected in any manner to alienation or anticipation. However, in the event of a participant’s death, the Company will pay the unpaid portion of the participant’s Deferred Compensation Account to the participant’s designated beneficiaries. If the participant fails to complete a valid beneficiary designation, the participant’s beneficiary will be his or her estate.</w:t>
      </w:r>
    </w:p>
    <w:p>
      <w:pPr>
        <w:spacing w:after="0" w:line="179" w:lineRule="exact"/>
        <w:rPr>
          <w:rFonts w:ascii="Times New Roman" w:cs="Times New Roman" w:eastAsia="Times New Roman" w:hAnsi="Times New Roman"/>
          <w:sz w:val="18"/>
          <w:szCs w:val="18"/>
          <w:color w:val="auto"/>
        </w:rPr>
      </w:pPr>
    </w:p>
    <w:p>
      <w:pPr>
        <w:ind w:left="4" w:right="20" w:hanging="4"/>
        <w:spacing w:after="0" w:line="266"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xml:space="preserve"> The Plan will be administered under the supervision of the Plan Administrator. The Plan Administrator will prescribe guidelines and forms for the implementation and administration of the Plan, interpret the terms of the Plan, and make all other substantive decisions regarding the operation of the Plan. The Plan Administrator’s decisions in its administration of the Plan are conclusive and binding on all persons.</w:t>
      </w:r>
    </w:p>
    <w:p>
      <w:pPr>
        <w:spacing w:after="0" w:line="175" w:lineRule="exact"/>
        <w:rPr>
          <w:rFonts w:ascii="Times New Roman" w:cs="Times New Roman" w:eastAsia="Times New Roman" w:hAnsi="Times New Roman"/>
          <w:sz w:val="18"/>
          <w:szCs w:val="18"/>
          <w:color w:val="auto"/>
        </w:rPr>
      </w:pPr>
    </w:p>
    <w:p>
      <w:pPr>
        <w:ind w:left="4" w:right="20" w:hanging="4"/>
        <w:spacing w:after="0" w:line="258" w:lineRule="auto"/>
        <w:tabs>
          <w:tab w:leader="none" w:pos="2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To the extent a participant is subject to Section 409A, the Plan is intended to comply with Section 409A and any regulations and guidance thereunder and shall be interpreted and operated in accordance with such intent. Notwithstanding anything to the contrary in the Plan, neither the Company, its affiliates, the Board, nor the Plan Administrator will have any obligation to take any action to prevent the assessment of any excise tax or penalty on any participant under Section 409A, and neither the Company, its affiliates, the Board, nor the Plan Administrator will have any liability to any participant for such tax or penalty.</w:t>
      </w:r>
    </w:p>
    <w:p>
      <w:pPr>
        <w:spacing w:after="0" w:line="183" w:lineRule="exact"/>
        <w:rPr>
          <w:rFonts w:ascii="Times New Roman" w:cs="Times New Roman" w:eastAsia="Times New Roman" w:hAnsi="Times New Roman"/>
          <w:sz w:val="18"/>
          <w:szCs w:val="18"/>
          <w:color w:val="auto"/>
        </w:rPr>
      </w:pPr>
    </w:p>
    <w:p>
      <w:pPr>
        <w:ind w:left="4" w:hanging="4"/>
        <w:spacing w:after="0" w:line="255" w:lineRule="auto"/>
        <w:tabs>
          <w:tab w:leader="none" w:pos="2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laws of the England and Wales shall govern all questions of law arising with respect to the Plan, without regard to the choice of law principles of any jurisdiction, except where the laws governing the Plan are preempted by the laws of the England and Wales. To the extent applicable, the Plan is intended to be construed so that participation in the Plan will be exempt from Section 16(b) of the Securities Exchange Act of 1934, as amended, pursuant to regulations and interpretations issued from time to time by the Securities and Exchange Commission. If any provision of the Plan is held to be illegal or void, such illegality or invalidity shall not affect the remaining provisions of the Plan, but shall be fully severable, and the Plan shall be construed and enforced as if the illegal or invalid provision had never been inserted. This document constitutes the entire Plan, and supersedes any prior oral or written agreements on the subject matter hereof.</w:t>
      </w:r>
    </w:p>
    <w:p>
      <w:pPr>
        <w:sectPr>
          <w:pgSz w:w="11900" w:h="16838" w:orient="portrait"/>
          <w:cols w:equalWidth="0" w:num="1">
            <w:col w:w="11004"/>
          </w:cols>
          <w:pgMar w:left="436" w:top="268" w:right="459" w:bottom="1440" w:gutter="0" w:footer="0" w:header="0"/>
        </w:sectPr>
      </w:pPr>
    </w:p>
    <w:bookmarkStart w:id="11" w:name="page12"/>
    <w:bookmarkEnd w:id="11"/>
    <w:p>
      <w:pPr>
        <w:ind w:left="4" w:hanging="4"/>
        <w:spacing w:after="0" w:line="261" w:lineRule="auto"/>
        <w:tabs>
          <w:tab w:leader="none" w:pos="2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Claw-back.</w:t>
      </w:r>
      <w:r>
        <w:rPr>
          <w:rFonts w:ascii="Times New Roman" w:cs="Times New Roman" w:eastAsia="Times New Roman" w:hAnsi="Times New Roman"/>
          <w:sz w:val="18"/>
          <w:szCs w:val="18"/>
          <w:color w:val="auto"/>
        </w:rPr>
        <w:t xml:space="preserve"> All awards of Deferred RSUs under the Plan will be subject to mandatory repayment by the participant to the Company to the extent the participant is, or in the future becomes, subject to any Company or affiliate “claw-back” or recoupment policy that is adopted to comply with the requirements of any applicable law, rule, regulation or otherwise, or any law, rule, or regulation that imposes mandatory recoupment, under circumstances set forth in such law, rule or regulation.</w:t>
      </w:r>
    </w:p>
    <w:p>
      <w:pPr>
        <w:spacing w:after="0" w:line="179" w:lineRule="exact"/>
        <w:rPr>
          <w:rFonts w:ascii="Times New Roman" w:cs="Times New Roman" w:eastAsia="Times New Roman" w:hAnsi="Times New Roman"/>
          <w:sz w:val="18"/>
          <w:szCs w:val="18"/>
          <w:color w:val="auto"/>
        </w:rPr>
      </w:pPr>
    </w:p>
    <w:p>
      <w:pPr>
        <w:ind w:left="4" w:right="180" w:hanging="4"/>
        <w:spacing w:after="0" w:line="266" w:lineRule="auto"/>
        <w:tabs>
          <w:tab w:leader="none" w:pos="2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subscription cost</w:t>
      </w:r>
      <w:r>
        <w:rPr>
          <w:rFonts w:ascii="Times New Roman" w:cs="Times New Roman" w:eastAsia="Times New Roman" w:hAnsi="Times New Roman"/>
          <w:sz w:val="18"/>
          <w:szCs w:val="18"/>
          <w:color w:val="auto"/>
        </w:rPr>
        <w:t>. A pre-condition of the delivery of any Shares and/or ADS under the Plan includes that the relevant participant must pay the Company (or undertake to pay) the aggregate nominal value subscription cost for number of Shares delivered (or underlying the ADS as relevant) in connection with such settlement and in any event no later than the applicable payment date under section 7(a) of the Plan.</w:t>
      </w:r>
    </w:p>
    <w:p>
      <w:pPr>
        <w:spacing w:after="0" w:line="175" w:lineRule="exact"/>
        <w:rPr>
          <w:rFonts w:ascii="Times New Roman" w:cs="Times New Roman" w:eastAsia="Times New Roman" w:hAnsi="Times New Roman"/>
          <w:sz w:val="18"/>
          <w:szCs w:val="18"/>
          <w:color w:val="auto"/>
        </w:rPr>
      </w:pPr>
    </w:p>
    <w:p>
      <w:pPr>
        <w:ind w:left="4" w:right="20" w:hanging="4"/>
        <w:spacing w:after="0" w:line="258" w:lineRule="auto"/>
        <w:tabs>
          <w:tab w:leader="none" w:pos="2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Board may amend, suspend, or terminate the Plan at any time and for any reason. No amendment, suspension, or termination will, without the consent of the participant, materially impair rights or obligations under any Deferred RSUs previously awarded to the participant under the Plan, except as provided below. The Board may terminate the Plan and distribute the Deferred Compensation Accounts to participants in accordance with and subject to the rules of U.S. Treas. Reg. Section 1.409A-3(j)(4)(ix), or successor provisions, and any generally applicable guidance issued by the U.S. Internal Revenue Service permitting such termination and distribution.</w:t>
      </w:r>
    </w:p>
    <w:p>
      <w:pPr>
        <w:sectPr>
          <w:pgSz w:w="11900" w:h="16838" w:orient="portrait"/>
          <w:cols w:equalWidth="0" w:num="1">
            <w:col w:w="10944"/>
          </w:cols>
          <w:pgMar w:left="436" w:top="270" w:right="519" w:bottom="1440" w:gutter="0" w:footer="0" w:header="0"/>
        </w:sectPr>
      </w:pPr>
    </w:p>
    <w:bookmarkStart w:id="12" w:name="page13"/>
    <w:bookmarkEnd w:id="12"/>
    <w:tbl>
      <w:tblPr>
        <w:tblLayout w:type="fixed"/>
        <w:tblInd w:w="4"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30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41"/>
        </w:trPr>
        <w:tc>
          <w:tcPr>
            <w:tcW w:w="4520" w:type="dxa"/>
            <w:vAlign w:val="bottom"/>
          </w:tcPr>
          <w:p>
            <w:pPr>
              <w:spacing w:after="0"/>
              <w:rPr>
                <w:sz w:val="24"/>
                <w:szCs w:val="24"/>
                <w:color w:val="auto"/>
              </w:rPr>
            </w:pP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99 Bishopsgate</w:t>
            </w:r>
          </w:p>
        </w:tc>
        <w:tc>
          <w:tcPr>
            <w:tcW w:w="230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London EC2M 3XF</w:t>
            </w:r>
          </w:p>
        </w:tc>
        <w:tc>
          <w:tcPr>
            <w:tcW w:w="23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United Kingdom</w:t>
            </w:r>
          </w:p>
        </w:tc>
        <w:tc>
          <w:tcPr>
            <w:tcW w:w="23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65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Tel: +44(0)20.7710.1000 Fax: +44(0)20.7374.4460</w:t>
            </w:r>
          </w:p>
        </w:tc>
      </w:tr>
      <w:tr>
        <w:trPr>
          <w:trHeight w:val="234"/>
        </w:trPr>
        <w:tc>
          <w:tcPr>
            <w:tcW w:w="4520" w:type="dxa"/>
            <w:vAlign w:val="bottom"/>
          </w:tcPr>
          <w:p>
            <w:pPr>
              <w:spacing w:after="0"/>
              <w:rPr>
                <w:sz w:val="20"/>
                <w:szCs w:val="20"/>
                <w:color w:val="auto"/>
              </w:rPr>
            </w:pP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www.lw.com</w:t>
            </w:r>
          </w:p>
        </w:tc>
        <w:tc>
          <w:tcPr>
            <w:tcW w:w="2300" w:type="dxa"/>
            <w:vAlign w:val="bottom"/>
          </w:tcPr>
          <w:p>
            <w:pPr>
              <w:spacing w:after="0"/>
              <w:rPr>
                <w:sz w:val="20"/>
                <w:szCs w:val="20"/>
                <w:color w:val="auto"/>
              </w:rPr>
            </w:pPr>
          </w:p>
        </w:tc>
      </w:tr>
      <w:tr>
        <w:trPr>
          <w:trHeight w:val="333"/>
        </w:trPr>
        <w:tc>
          <w:tcPr>
            <w:tcW w:w="4520" w:type="dxa"/>
            <w:vAlign w:val="bottom"/>
          </w:tcPr>
          <w:p>
            <w:pPr>
              <w:spacing w:after="0"/>
              <w:rPr>
                <w:sz w:val="24"/>
                <w:szCs w:val="24"/>
                <w:color w:val="auto"/>
              </w:rPr>
            </w:pPr>
          </w:p>
        </w:tc>
        <w:tc>
          <w:tcPr>
            <w:tcW w:w="65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6"/>
        </w:trPr>
        <w:tc>
          <w:tcPr>
            <w:tcW w:w="4520" w:type="dxa"/>
            <w:vAlign w:val="bottom"/>
          </w:tcPr>
          <w:p>
            <w:pPr>
              <w:spacing w:after="0"/>
              <w:rPr>
                <w:sz w:val="18"/>
                <w:szCs w:val="18"/>
                <w:color w:val="auto"/>
              </w:rPr>
            </w:pP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Austin</w:t>
            </w: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Milan</w:t>
            </w:r>
          </w:p>
        </w:tc>
      </w:tr>
      <w:tr>
        <w:trPr>
          <w:trHeight w:val="216"/>
        </w:trPr>
        <w:tc>
          <w:tcPr>
            <w:tcW w:w="4520" w:type="dxa"/>
            <w:vAlign w:val="bottom"/>
          </w:tcPr>
          <w:p>
            <w:pPr>
              <w:spacing w:after="0"/>
              <w:rPr>
                <w:sz w:val="18"/>
                <w:szCs w:val="18"/>
                <w:color w:val="auto"/>
              </w:rPr>
            </w:pP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Beijing</w:t>
            </w: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4520" w:type="dxa"/>
            <w:vAlign w:val="bottom"/>
          </w:tcPr>
          <w:p>
            <w:pPr>
              <w:spacing w:after="0"/>
              <w:rPr>
                <w:sz w:val="18"/>
                <w:szCs w:val="18"/>
                <w:color w:val="auto"/>
              </w:rPr>
            </w:pP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Boston</w:t>
            </w: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4520" w:type="dxa"/>
            <w:vAlign w:val="bottom"/>
          </w:tcPr>
          <w:p>
            <w:pPr>
              <w:spacing w:after="0"/>
              <w:rPr>
                <w:sz w:val="18"/>
                <w:szCs w:val="18"/>
                <w:color w:val="auto"/>
              </w:rPr>
            </w:pP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Brussels</w:t>
            </w: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4520" w:type="dxa"/>
            <w:vAlign w:val="bottom"/>
          </w:tcPr>
          <w:p>
            <w:pPr>
              <w:spacing w:after="0"/>
              <w:rPr>
                <w:sz w:val="18"/>
                <w:szCs w:val="18"/>
                <w:color w:val="auto"/>
              </w:rPr>
            </w:pP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Century City</w:t>
            </w: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23 January 2024</w:t>
            </w: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Chicago</w:t>
            </w: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4520" w:type="dxa"/>
            <w:vAlign w:val="bottom"/>
          </w:tcPr>
          <w:p>
            <w:pPr>
              <w:spacing w:after="0"/>
              <w:rPr>
                <w:sz w:val="18"/>
                <w:szCs w:val="18"/>
                <w:color w:val="auto"/>
              </w:rPr>
            </w:pP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Dubai</w:t>
            </w: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4520" w:type="dxa"/>
            <w:vAlign w:val="bottom"/>
          </w:tcPr>
          <w:p>
            <w:pPr>
              <w:spacing w:after="0"/>
              <w:rPr>
                <w:sz w:val="18"/>
                <w:szCs w:val="18"/>
                <w:color w:val="auto"/>
              </w:rPr>
            </w:pP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Düsseldorf</w:t>
            </w: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4520" w:type="dxa"/>
            <w:vAlign w:val="bottom"/>
          </w:tcPr>
          <w:p>
            <w:pPr>
              <w:spacing w:after="0"/>
              <w:rPr>
                <w:sz w:val="18"/>
                <w:szCs w:val="18"/>
                <w:color w:val="auto"/>
              </w:rPr>
            </w:pP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Frankfurt</w:t>
            </w: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4520" w:type="dxa"/>
            <w:vAlign w:val="bottom"/>
          </w:tcPr>
          <w:p>
            <w:pPr>
              <w:spacing w:after="0"/>
              <w:rPr>
                <w:sz w:val="18"/>
                <w:szCs w:val="18"/>
                <w:color w:val="auto"/>
              </w:rPr>
            </w:pP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Hamburg</w:t>
            </w: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Mereo BioPharma Group plc</w:t>
            </w: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Hong Kong</w:t>
            </w: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4th Floor</w:t>
            </w: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Houston</w:t>
            </w: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Tel Aviv</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One Cavendish Place</w:t>
            </w: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London</w:t>
            </w: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Tokyo</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London W1G 0QF</w:t>
            </w: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Los Angeles</w:t>
            </w:r>
          </w:p>
        </w:tc>
        <w:tc>
          <w:tcPr>
            <w:tcW w:w="2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Washington, D.C.</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2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Madrid</w:t>
            </w:r>
          </w:p>
        </w:tc>
        <w:tc>
          <w:tcPr>
            <w:tcW w:w="2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-2416810</wp:posOffset>
            </wp:positionV>
            <wp:extent cx="2099945"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2099945" cy="2489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Mereo BioPharma Group plc (the “Company”) – Registration Statement on Form S-8</w:t>
      </w:r>
    </w:p>
    <w:p>
      <w:pPr>
        <w:spacing w:after="0" w:line="229" w:lineRule="exact"/>
        <w:rPr>
          <w:sz w:val="20"/>
          <w:szCs w:val="20"/>
          <w:color w:val="auto"/>
        </w:rPr>
      </w:pPr>
    </w:p>
    <w:p>
      <w:pPr>
        <w:ind w:left="4" w:right="440"/>
        <w:spacing w:after="0" w:line="261" w:lineRule="auto"/>
        <w:rPr>
          <w:sz w:val="20"/>
          <w:szCs w:val="20"/>
          <w:color w:val="auto"/>
        </w:rPr>
      </w:pPr>
      <w:r>
        <w:rPr>
          <w:rFonts w:ascii="Times New Roman" w:cs="Times New Roman" w:eastAsia="Times New Roman" w:hAnsi="Times New Roman"/>
          <w:sz w:val="18"/>
          <w:szCs w:val="18"/>
          <w:color w:val="auto"/>
        </w:rPr>
        <w:t>We have acted as English legal advisers to the Company, a public limited company incorporated in England and Wales, in connection with the preparation and filing of the registration statement on Form S-8 to which this opinion letter is attached as an exhibit (such registration statement, as amended, including the documents incorporated by reference therein,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pursuant to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As set out in the Registration Statement, it is proposed that up to 37,234,627 ordinary shares of the Company each having a nominal value of £0.003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may become issuable under the Mereo BioPharma Group plc 2019 Equity Incentive Plan (including the Mereo BioPharma Group plc 2019 Non-Employee Equity Incentive Plan, which is a sub-plan thereof) (the “</w:t>
      </w:r>
      <w:r>
        <w:rPr>
          <w:rFonts w:ascii="Times New Roman" w:cs="Times New Roman" w:eastAsia="Times New Roman" w:hAnsi="Times New Roman"/>
          <w:sz w:val="18"/>
          <w:szCs w:val="18"/>
          <w:b w:val="1"/>
          <w:bCs w:val="1"/>
          <w:color w:val="auto"/>
        </w:rPr>
        <w:t>2019 EIP</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444" w:right="460"/>
        <w:spacing w:after="0" w:line="282" w:lineRule="auto"/>
        <w:rPr>
          <w:sz w:val="20"/>
          <w:szCs w:val="20"/>
          <w:color w:val="auto"/>
        </w:rPr>
      </w:pPr>
      <w:r>
        <w:rPr>
          <w:rFonts w:ascii="Times New Roman" w:cs="Times New Roman" w:eastAsia="Times New Roman" w:hAnsi="Times New Roman"/>
          <w:sz w:val="18"/>
          <w:szCs w:val="18"/>
          <w:color w:val="auto"/>
        </w:rPr>
        <w:t>In connection with the Registration Statement, we have been asked to provide an opinion on certain matters, as set out below. We have taken instructions in this regard solely from the Company.</w:t>
      </w:r>
    </w:p>
    <w:p>
      <w:pPr>
        <w:spacing w:after="0" w:line="63"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b w:val="1"/>
          <w:bCs w:val="1"/>
          <w:color w:val="auto"/>
        </w:rPr>
        <w:t>Defined terms and headings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this letter:</w:t>
      </w:r>
    </w:p>
    <w:p>
      <w:pPr>
        <w:spacing w:after="0" w:line="131" w:lineRule="exact"/>
        <w:rPr>
          <w:sz w:val="20"/>
          <w:szCs w:val="20"/>
          <w:color w:val="auto"/>
        </w:rPr>
      </w:pPr>
    </w:p>
    <w:p>
      <w:pPr>
        <w:ind w:left="964" w:right="500" w:hanging="532"/>
        <w:spacing w:after="0" w:line="282" w:lineRule="auto"/>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without definition in this letter or the schedules hereto have the meanings assigned to them in the Registration Statement unless a contrary indication appears;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ease of reference only and shall not affect interpretation.</w:t>
      </w:r>
    </w:p>
    <w:p>
      <w:pPr>
        <w:spacing w:after="0" w:line="230" w:lineRule="exact"/>
        <w:rPr>
          <w:sz w:val="20"/>
          <w:szCs w:val="20"/>
          <w:color w:val="auto"/>
        </w:rPr>
      </w:pPr>
    </w:p>
    <w:p>
      <w:pPr>
        <w:ind w:left="4" w:right="20"/>
        <w:spacing w:after="0" w:line="243" w:lineRule="auto"/>
        <w:rPr>
          <w:sz w:val="20"/>
          <w:szCs w:val="20"/>
          <w:color w:val="auto"/>
        </w:rPr>
      </w:pPr>
      <w:r>
        <w:rPr>
          <w:rFonts w:ascii="Times New Roman" w:cs="Times New Roman" w:eastAsia="Times New Roman" w:hAnsi="Times New Roman"/>
          <w:sz w:val="11"/>
          <w:szCs w:val="11"/>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managers authorised by the SRA. We are affiliated with the firm Latham &amp; Watkins LLP, a limited liability partnership organised under the laws of Delaware.</w:t>
      </w:r>
    </w:p>
    <w:p>
      <w:pPr>
        <w:sectPr>
          <w:pgSz w:w="11900" w:h="16838" w:orient="portrait"/>
          <w:cols w:equalWidth="0" w:num="1">
            <w:col w:w="11024"/>
          </w:cols>
          <w:pgMar w:left="436" w:top="117"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 January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465580"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1465580" cy="1968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Legal review</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 of issuing this letter, we have reviewed only the following documents and conducted only the following enquiries and searches:</w:t>
      </w:r>
    </w:p>
    <w:p>
      <w:pPr>
        <w:spacing w:after="0" w:line="131" w:lineRule="exact"/>
        <w:rPr>
          <w:sz w:val="20"/>
          <w:szCs w:val="20"/>
          <w:color w:val="auto"/>
        </w:rPr>
      </w:pPr>
    </w:p>
    <w:p>
      <w:pPr>
        <w:ind w:left="960" w:right="60" w:hanging="532"/>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search at Companies House in respect of information available for inspection about the Company conducted on 23 January 2024 at 10:00 a.m.;</w:t>
      </w:r>
    </w:p>
    <w:p>
      <w:pPr>
        <w:spacing w:after="0" w:line="67"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search at the Central Registry of Winding Up Petitions, London on 23 January 2024 at 10:00 a.m. with respect to the Company (paragraphs 1.3(a) and 1.3(b) together,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960" w:right="180" w:hanging="532"/>
        <w:spacing w:after="0" w:line="28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extracts from the minutes of a meeting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held on 13 December 2023, at which it was resolved, inter alia, to adopt the current terms of reference for the remuneration committee (“</w:t>
      </w:r>
      <w:r>
        <w:rPr>
          <w:rFonts w:ascii="Times New Roman" w:cs="Times New Roman" w:eastAsia="Times New Roman" w:hAnsi="Times New Roman"/>
          <w:sz w:val="18"/>
          <w:szCs w:val="18"/>
          <w:b w:val="1"/>
          <w:bCs w:val="1"/>
          <w:color w:val="auto"/>
        </w:rPr>
        <w:t>Remuneration Committee</w:t>
      </w:r>
      <w:r>
        <w:rPr>
          <w:rFonts w:ascii="Times New Roman" w:cs="Times New Roman" w:eastAsia="Times New Roman" w:hAnsi="Times New Roman"/>
          <w:sz w:val="18"/>
          <w:szCs w:val="18"/>
          <w:color w:val="auto"/>
        </w:rPr>
        <w:t>”);</w:t>
      </w:r>
    </w:p>
    <w:p>
      <w:pPr>
        <w:spacing w:after="0" w:line="6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minutes of a meeting of the Board held on 4 April 2019, at which it was resolved, inter alia, to approve the 2019 EIP;</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2019 EIP (as amended on 13 February 2020 and 15 January 2021);</w:t>
      </w:r>
    </w:p>
    <w:p>
      <w:pPr>
        <w:spacing w:after="0" w:line="130" w:lineRule="exact"/>
        <w:rPr>
          <w:rFonts w:ascii="Times New Roman" w:cs="Times New Roman" w:eastAsia="Times New Roman" w:hAnsi="Times New Roman"/>
          <w:sz w:val="18"/>
          <w:szCs w:val="18"/>
          <w:color w:val="auto"/>
        </w:rPr>
      </w:pPr>
    </w:p>
    <w:p>
      <w:pPr>
        <w:ind w:left="960" w:right="520" w:hanging="532"/>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of the Company as a private company dated 10 March 2015 and a copy of the certificate of incorporation on re-registration of the Company as a public company dated 3 June 2016;</w:t>
      </w:r>
    </w:p>
    <w:p>
      <w:pPr>
        <w:spacing w:after="0" w:line="67"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current articles of association of the Company which were adopted pursuant to a special resolution passed on 18 December 2023;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copy of the Registration Statement as at 22 January 2024 and to be filed with the SEC on or around 23 January 2024.</w:t>
      </w:r>
    </w:p>
    <w:p>
      <w:pPr>
        <w:spacing w:after="0" w:line="1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b w:val="1"/>
          <w:bCs w:val="1"/>
          <w:color w:val="auto"/>
        </w:rPr>
        <w:t>Applicable law</w:t>
      </w:r>
    </w:p>
    <w:p>
      <w:pPr>
        <w:spacing w:after="0" w:line="121"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This letter, the opinion given in it, and any non-contractual obligations arising out of or in connection with this letter and/or the opinion given in it, are governed by, and shall be construed in accordance with English law, and relate only to English law, as applied by the English courts as at today’s date. In particular:</w:t>
      </w:r>
    </w:p>
    <w:p>
      <w:pPr>
        <w:spacing w:after="0" w:line="81" w:lineRule="exact"/>
        <w:rPr>
          <w:sz w:val="20"/>
          <w:szCs w:val="20"/>
          <w:color w:val="auto"/>
        </w:rPr>
      </w:pPr>
    </w:p>
    <w:p>
      <w:pPr>
        <w:ind w:left="960" w:right="240" w:hanging="532"/>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investigated the laws of any country other than England and we assume that no foreign law (including, for the avoidance of doubt, European Union law on and after 1 January 2021) affects the opinion stated below;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this letter on the laws of any jurisdiction other than England.</w:t>
      </w:r>
    </w:p>
    <w:p>
      <w:pPr>
        <w:spacing w:after="0" w:line="12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b w:val="1"/>
          <w:bCs w:val="1"/>
          <w:color w:val="auto"/>
        </w:rPr>
        <w:t>Assumptions and reservations</w:t>
      </w:r>
    </w:p>
    <w:p>
      <w:pPr>
        <w:spacing w:after="0" w:line="119" w:lineRule="exact"/>
        <w:rPr>
          <w:sz w:val="20"/>
          <w:szCs w:val="20"/>
          <w:color w:val="auto"/>
        </w:rPr>
      </w:pPr>
    </w:p>
    <w:p>
      <w:pPr>
        <w:ind w:left="440"/>
        <w:spacing w:after="0" w:line="267" w:lineRule="auto"/>
        <w:rPr>
          <w:sz w:val="20"/>
          <w:szCs w:val="20"/>
          <w:color w:val="auto"/>
        </w:rPr>
      </w:pPr>
      <w:r>
        <w:rPr>
          <w:rFonts w:ascii="Times New Roman" w:cs="Times New Roman" w:eastAsia="Times New Roman" w:hAnsi="Times New Roman"/>
          <w:sz w:val="18"/>
          <w:szCs w:val="18"/>
          <w:color w:val="auto"/>
        </w:rPr>
        <w:t>The opinion given in this letter is given on the basis of each of the assumptions set out in Schedule 1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and is subject to each of the reservations set out in Schedule 2 (</w:t>
      </w:r>
      <w:r>
        <w:rPr>
          <w:rFonts w:ascii="Times New Roman" w:cs="Times New Roman" w:eastAsia="Times New Roman" w:hAnsi="Times New Roman"/>
          <w:sz w:val="18"/>
          <w:szCs w:val="18"/>
          <w:i w:val="1"/>
          <w:iCs w:val="1"/>
          <w:color w:val="auto"/>
        </w:rPr>
        <w:t>Reservations</w:t>
      </w:r>
      <w:r>
        <w:rPr>
          <w:rFonts w:ascii="Times New Roman" w:cs="Times New Roman" w:eastAsia="Times New Roman" w:hAnsi="Times New Roman"/>
          <w:sz w:val="18"/>
          <w:szCs w:val="18"/>
          <w:color w:val="auto"/>
        </w:rPr>
        <w:t>) to this letter. The opinion given in this letter is strictly limited to the matters stated in paragraph 2 (</w:t>
      </w:r>
      <w:r>
        <w:rPr>
          <w:rFonts w:ascii="Times New Roman" w:cs="Times New Roman" w:eastAsia="Times New Roman" w:hAnsi="Times New Roman"/>
          <w:sz w:val="18"/>
          <w:szCs w:val="18"/>
          <w:i w:val="1"/>
          <w:iCs w:val="1"/>
          <w:color w:val="auto"/>
        </w:rPr>
        <w:t>Opinion</w:t>
      </w:r>
      <w:r>
        <w:rPr>
          <w:rFonts w:ascii="Times New Roman" w:cs="Times New Roman" w:eastAsia="Times New Roman" w:hAnsi="Times New Roman"/>
          <w:sz w:val="18"/>
          <w:szCs w:val="18"/>
          <w:color w:val="auto"/>
        </w:rPr>
        <w:t>) below and does not extend, and should not be read as extending, by implication or otherwise, to any other matters.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 January 2024</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1465580" cy="1968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424" w:hanging="424"/>
        <w:spacing w:after="0"/>
        <w:tabs>
          <w:tab w:leader="none" w:pos="42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19"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paragraph 1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and the other matters set out in this letter and its Schedules, and subject further to the following:</w:t>
      </w:r>
    </w:p>
    <w:p>
      <w:pPr>
        <w:spacing w:after="0" w:line="132"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finally amended, having become effective under the Securities Act and continuing to be so effective;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in a general meeting or within the Company’s articles of association duly and validly having resolved:</w:t>
      </w:r>
    </w:p>
    <w:p>
      <w:pPr>
        <w:spacing w:after="0" w:line="27" w:lineRule="exact"/>
        <w:rPr>
          <w:rFonts w:ascii="Times New Roman" w:cs="Times New Roman" w:eastAsia="Times New Roman" w:hAnsi="Times New Roman"/>
          <w:sz w:val="18"/>
          <w:szCs w:val="18"/>
          <w:color w:val="auto"/>
        </w:rPr>
      </w:pPr>
    </w:p>
    <w:p>
      <w:pPr>
        <w:ind w:left="96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as may be required, as an ordinary resolution, or within the Company’s articles of association, to authorise the Board pursuant to section 551 of the Companies Act 2006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to allot Shares, or to grant rights to subscribe for Shares, pursuant to the 2019 EIP; and (ii) as may be required, as a special resolution, or within the Company’s articles of association, to empower the directors of the Company pursuant to section 570 of the Companies Act to allot such Shares, and grant such rights (as applicable), free of the restrictions in section 561 of the Companies Act, and such resolutions and authorities remaining in full force and effect and not having expired, been rescinded or amended;</w:t>
      </w:r>
    </w:p>
    <w:p>
      <w:pPr>
        <w:spacing w:after="0" w:line="95" w:lineRule="exact"/>
        <w:rPr>
          <w:rFonts w:ascii="Times New Roman" w:cs="Times New Roman" w:eastAsia="Times New Roman" w:hAnsi="Times New Roman"/>
          <w:sz w:val="18"/>
          <w:szCs w:val="18"/>
          <w:color w:val="auto"/>
        </w:rPr>
      </w:pPr>
    </w:p>
    <w:p>
      <w:pPr>
        <w:ind w:left="964" w:right="480" w:hanging="532"/>
        <w:spacing w:after="0" w:line="282"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delegation of authority to the Remuneration Committee having been validly effected (among other things, in accordance with the Company’s articles of association and the 2019 EIP);</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the Remuneration Committee having validly approved the 2019 EIP;</w:t>
      </w:r>
    </w:p>
    <w:p>
      <w:pPr>
        <w:spacing w:after="0" w:line="130" w:lineRule="exact"/>
        <w:rPr>
          <w:rFonts w:ascii="Times New Roman" w:cs="Times New Roman" w:eastAsia="Times New Roman" w:hAnsi="Times New Roman"/>
          <w:sz w:val="18"/>
          <w:szCs w:val="18"/>
          <w:color w:val="auto"/>
        </w:rPr>
      </w:pPr>
    </w:p>
    <w:p>
      <w:pPr>
        <w:ind w:left="964" w:right="240" w:hanging="532"/>
        <w:spacing w:after="0" w:line="282"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the Remuneration Committee having validly granted the awards in respect of the Shares under the 2019 EIP;</w:t>
      </w:r>
    </w:p>
    <w:p>
      <w:pPr>
        <w:spacing w:after="0" w:line="67" w:lineRule="exact"/>
        <w:rPr>
          <w:rFonts w:ascii="Times New Roman" w:cs="Times New Roman" w:eastAsia="Times New Roman" w:hAnsi="Times New Roman"/>
          <w:sz w:val="18"/>
          <w:szCs w:val="18"/>
          <w:color w:val="auto"/>
        </w:rPr>
      </w:pPr>
    </w:p>
    <w:p>
      <w:pPr>
        <w:ind w:left="964" w:right="240" w:hanging="532"/>
        <w:spacing w:after="0" w:line="261"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the Remuneration Committee having validly resolved to allot and issue the Shares, or grant rights to subscribe for the Shares, at duly convened and quorate meetings of the Board or the Remuneration Committee or by way of duly passed written resolutions of the Board or the Remuneration Committee and such resolutions being in full force and effect and not having been rescinded or amended;</w:t>
      </w:r>
    </w:p>
    <w:p>
      <w:pPr>
        <w:spacing w:after="0" w:line="85" w:lineRule="exact"/>
        <w:rPr>
          <w:rFonts w:ascii="Times New Roman" w:cs="Times New Roman" w:eastAsia="Times New Roman" w:hAnsi="Times New Roman"/>
          <w:sz w:val="18"/>
          <w:szCs w:val="18"/>
          <w:color w:val="auto"/>
        </w:rPr>
      </w:pPr>
    </w:p>
    <w:p>
      <w:pPr>
        <w:ind w:left="964" w:right="80" w:hanging="532"/>
        <w:spacing w:after="0" w:line="258" w:lineRule="auto"/>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in full of payment for such Shares in an amount of “cash consideration” (as defined in section 583(3) of the Companies Act) of not less than the aggregate nominal value for such Shares, assuming in each case that the individual grants or awards under the 2019 EIP are duly authorised by all necessary corporate action as described in (e) above and duly granted or awarded and exercised in accordance with the requirements of law, the Company’s articles of association and the 2019 EIP (and the agreements and awards duly adopted thereunder and in accordance therewith); and</w:t>
      </w:r>
    </w:p>
    <w:p>
      <w:pPr>
        <w:spacing w:after="0" w:line="8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entries having been made in relation to the allotment and issue of the Shares in the books and registers of the Company,</w:t>
      </w:r>
    </w:p>
    <w:p>
      <w:pPr>
        <w:spacing w:after="0" w:line="117" w:lineRule="exact"/>
        <w:rPr>
          <w:sz w:val="20"/>
          <w:szCs w:val="20"/>
          <w:color w:val="auto"/>
        </w:rPr>
      </w:pPr>
    </w:p>
    <w:p>
      <w:pPr>
        <w:ind w:left="444" w:right="80"/>
        <w:spacing w:after="0" w:line="261" w:lineRule="auto"/>
        <w:rPr>
          <w:sz w:val="20"/>
          <w:szCs w:val="20"/>
          <w:color w:val="auto"/>
        </w:rPr>
      </w:pPr>
      <w:r>
        <w:rPr>
          <w:rFonts w:ascii="Times New Roman" w:cs="Times New Roman" w:eastAsia="Times New Roman" w:hAnsi="Times New Roman"/>
          <w:sz w:val="18"/>
          <w:szCs w:val="18"/>
          <w:color w:val="auto"/>
        </w:rPr>
        <w:t>it is our opinion that, as of today’s date, the Shares, if and when allotted and issued, registered in the name of the recipient in the register of members of the Company and delivered in accordance with the terms and conditions referred to above and/or in the 2019 EIP, and as described in the Registration Statement, will be duly and validly authorised and issued, fully paid or credited as fully paid (subject to the receipt of valid consideration by the Company for the issue thereof) and will not be subject to any call for payment of further capital.</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 January 2024</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1465580" cy="1968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EXTENT OF OPINION</w:t>
      </w:r>
    </w:p>
    <w:p>
      <w:pPr>
        <w:spacing w:after="0" w:line="121" w:lineRule="exact"/>
        <w:rPr>
          <w:rFonts w:ascii="Times New Roman" w:cs="Times New Roman" w:eastAsia="Times New Roman" w:hAnsi="Times New Roman"/>
          <w:sz w:val="18"/>
          <w:szCs w:val="18"/>
          <w:b w:val="1"/>
          <w:bCs w:val="1"/>
          <w:color w:val="auto"/>
        </w:rPr>
      </w:pPr>
    </w:p>
    <w:p>
      <w:pPr>
        <w:ind w:left="444"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express no opinion as to any agreement, instrument or other document other than as specified in this letter or as to any liability to tax which may arise or be suffered as a result of or in connection with the transactions contemplated by the 2019 EIP.</w:t>
      </w:r>
    </w:p>
    <w:p>
      <w:pPr>
        <w:spacing w:after="0" w:line="53" w:lineRule="exact"/>
        <w:rPr>
          <w:rFonts w:ascii="Times New Roman" w:cs="Times New Roman" w:eastAsia="Times New Roman" w:hAnsi="Times New Roman"/>
          <w:sz w:val="18"/>
          <w:szCs w:val="18"/>
          <w:b w:val="1"/>
          <w:bCs w:val="1"/>
          <w:color w:val="auto"/>
        </w:rPr>
      </w:pPr>
    </w:p>
    <w:p>
      <w:pPr>
        <w:jc w:val="both"/>
        <w:ind w:left="444" w:right="1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302"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 AND DISCLOSURE</w:t>
      </w:r>
    </w:p>
    <w:p>
      <w:pPr>
        <w:spacing w:after="0" w:line="121" w:lineRule="exact"/>
        <w:rPr>
          <w:rFonts w:ascii="Times New Roman" w:cs="Times New Roman" w:eastAsia="Times New Roman" w:hAnsi="Times New Roman"/>
          <w:sz w:val="18"/>
          <w:szCs w:val="18"/>
          <w:b w:val="1"/>
          <w:bCs w:val="1"/>
          <w:color w:val="auto"/>
        </w:rPr>
      </w:pPr>
    </w:p>
    <w:p>
      <w:pPr>
        <w:ind w:left="444"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67"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may not be relied upon by you for any other purpose, and, other than as set out in this paragraph 4, may not be furnished to, or assigned to or relied upon by any other person, firm or entity for any purpose (including, without limitation, by any person, firm or other entity that acquires Shares from the Company), without our prior written consent, which may be granted or withheld in our discretion.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Latham &amp; Watkins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LATHAM &amp; WATKINS</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66" w:right="47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has been given on the basis of the following assumptions:</w:t>
      </w:r>
    </w:p>
    <w:p>
      <w:pPr>
        <w:spacing w:after="0" w:line="131" w:lineRule="exact"/>
        <w:rPr>
          <w:sz w:val="20"/>
          <w:szCs w:val="20"/>
          <w:color w:val="auto"/>
        </w:rPr>
      </w:pPr>
    </w:p>
    <w:p>
      <w:pPr>
        <w:ind w:left="96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case of a document signed electronically, the person signing it intended to sign and be bound by the document;</w:t>
      </w:r>
    </w:p>
    <w:p>
      <w:pPr>
        <w:spacing w:after="0" w:line="130"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or specimen form, it will be or has been duly executed in the form of that draft or specimen;</w:t>
      </w:r>
    </w:p>
    <w:p>
      <w:pPr>
        <w:spacing w:after="0" w:line="67" w:lineRule="exact"/>
        <w:rPr>
          <w:rFonts w:ascii="Times New Roman" w:cs="Times New Roman" w:eastAsia="Times New Roman" w:hAnsi="Times New Roman"/>
          <w:sz w:val="18"/>
          <w:szCs w:val="18"/>
          <w:color w:val="auto"/>
        </w:rPr>
      </w:pPr>
    </w:p>
    <w:p>
      <w:pPr>
        <w:ind w:left="960" w:right="40" w:hanging="532"/>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articles of association of the Company referred to in paragraph 1.3(g) of this letter remain in full force and effect, and no alteration has been made or will be made to such articles of association, in each case, prior to any date on which the Shares are allotted, issued or rights are granted to subscribe for Shares (each such date being an “</w:t>
      </w:r>
      <w:r>
        <w:rPr>
          <w:rFonts w:ascii="Times New Roman" w:cs="Times New Roman" w:eastAsia="Times New Roman" w:hAnsi="Times New Roman"/>
          <w:sz w:val="18"/>
          <w:szCs w:val="18"/>
          <w:b w:val="1"/>
          <w:bCs w:val="1"/>
          <w:color w:val="auto"/>
        </w:rPr>
        <w:t>Allotment Date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2019 EIP was validly adopted and remains in full force and effect and no alteration has been made or will be made to it prior to an Allotment Date;</w:t>
      </w:r>
    </w:p>
    <w:p>
      <w:pPr>
        <w:spacing w:after="0" w:line="67" w:lineRule="exact"/>
        <w:rPr>
          <w:rFonts w:ascii="Times New Roman" w:cs="Times New Roman" w:eastAsia="Times New Roman" w:hAnsi="Times New Roman"/>
          <w:sz w:val="18"/>
          <w:szCs w:val="18"/>
          <w:color w:val="auto"/>
        </w:rPr>
      </w:pPr>
    </w:p>
    <w:p>
      <w:pPr>
        <w:ind w:left="960" w:right="360" w:hanging="532"/>
        <w:spacing w:after="0" w:line="266"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forms and notices which should have been delivered to Companies House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81" w:lineRule="exact"/>
        <w:rPr>
          <w:rFonts w:ascii="Times New Roman" w:cs="Times New Roman" w:eastAsia="Times New Roman" w:hAnsi="Times New Roman"/>
          <w:sz w:val="18"/>
          <w:szCs w:val="18"/>
          <w:color w:val="auto"/>
        </w:rPr>
      </w:pPr>
    </w:p>
    <w:p>
      <w:pPr>
        <w:ind w:left="960" w:right="80" w:hanging="532"/>
        <w:spacing w:after="0" w:line="255"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proceedings and resolutions described in the minutes of the meetings of the Board provided to us in connection with the giving of this opinion or otherwise contemplated in connection with the matters referred to herein were and/or will be duly conducted as so described, and that each of the meetings referred to therein was and/or will be duly constituted, convened and conducted and all constitutional, statutory and other formalities were and/or will be duly observed (including, if applicable, those relating to the declaration of directors’ interests or the power of interested directors to vote), a quorum was and/or will be present throughout, the requisite majority of directors voted and/or will vote in favour of approving the resolutions and the resolutions passed thereat were and/or will be duly adopted, have not been and will not be revoked or varied and remain in full force and effect and will remain so as at each Allotment Date;</w:t>
      </w:r>
    </w:p>
    <w:p>
      <w:pPr>
        <w:spacing w:after="0" w:line="94" w:lineRule="exact"/>
        <w:rPr>
          <w:rFonts w:ascii="Times New Roman" w:cs="Times New Roman" w:eastAsia="Times New Roman" w:hAnsi="Times New Roman"/>
          <w:sz w:val="18"/>
          <w:szCs w:val="18"/>
          <w:color w:val="auto"/>
        </w:rPr>
      </w:pPr>
    </w:p>
    <w:p>
      <w:pPr>
        <w:ind w:left="960" w:right="60" w:hanging="532"/>
        <w:spacing w:after="0" w:line="258"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resolutions of the shareholders of the Company provided to us in connection with the giving of this opinion and as referred to at paragraph 2(b) of this letter or otherwise contemplated in connection with the matters referred to herein were and/or will be duly passed at a general meeting of the Company, all constitutional, statutory and other formalities were and/or will be observed in relation to such general meeting and such resolutions have not been and/or will not be revoked or varied and will not be revoked or varied prior to each Allotment Date and remain in full force and effect and will remain in full force and effect as at each Allotment Date;</w:t>
      </w:r>
    </w:p>
    <w:p>
      <w:pPr>
        <w:spacing w:after="0" w:line="88"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each allotment and issue of any Shares, the Company shall have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17" w:name="page18"/>
    <w:bookmarkEnd w:id="17"/>
    <w:p>
      <w:pPr>
        <w:ind w:left="540" w:right="40" w:hanging="532"/>
        <w:spacing w:after="0" w:line="261"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in relation to any allotment and issue of any Shares by the Company pursuant to the 2019 EIP, the recipient will have become entitled to such Shares under the terms of the 2019 EIP and such Shares will, where applicable, be fully vested each in accordance with the terms of the 2019 EIP and such recipient has or will have complied with all other requirements of the 2019 EIP in connection with the allotment and issue of such Shares;</w:t>
      </w:r>
    </w:p>
    <w:p>
      <w:pPr>
        <w:spacing w:after="0" w:line="85" w:lineRule="exact"/>
        <w:rPr>
          <w:rFonts w:ascii="Times New Roman" w:cs="Times New Roman" w:eastAsia="Times New Roman" w:hAnsi="Times New Roman"/>
          <w:sz w:val="18"/>
          <w:szCs w:val="18"/>
          <w:color w:val="auto"/>
        </w:rPr>
      </w:pPr>
    </w:p>
    <w:p>
      <w:pPr>
        <w:ind w:left="540" w:right="200" w:hanging="532"/>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awards have been made under the terms of the 2019 EIP, that the terms of all awards have not materially deviated from the terms set out in the 2019 EIP and that any Shares will be allotted and issued in accordance with the terms set out in the 2019 EIP and in accordance with the Company’s articles of association;</w:t>
      </w:r>
    </w:p>
    <w:p>
      <w:pPr>
        <w:spacing w:after="0" w:line="81" w:lineRule="exact"/>
        <w:rPr>
          <w:rFonts w:ascii="Times New Roman" w:cs="Times New Roman" w:eastAsia="Times New Roman" w:hAnsi="Times New Roman"/>
          <w:sz w:val="18"/>
          <w:szCs w:val="18"/>
          <w:color w:val="auto"/>
        </w:rPr>
      </w:pPr>
    </w:p>
    <w:p>
      <w:pPr>
        <w:ind w:left="540" w:right="80" w:hanging="532"/>
        <w:spacing w:after="0" w:line="25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immediately prior to each Allotment Date, the directors of the Company and/or the Remuneration Committee had or shall have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and/or the Remuneration Committee shall not allot or issue (or purport to allot or issue) Shares and shall not grant rights (or purport to grant rights) to acquire Shares in excess of such powers or in breach of any other limitation on their power to allot and issue Shares or grant rights to acquire Shares;</w:t>
      </w:r>
    </w:p>
    <w:p>
      <w:pPr>
        <w:spacing w:after="0" w:line="92" w:lineRule="exact"/>
        <w:rPr>
          <w:rFonts w:ascii="Times New Roman" w:cs="Times New Roman" w:eastAsia="Times New Roman" w:hAnsi="Times New Roman"/>
          <w:sz w:val="18"/>
          <w:szCs w:val="18"/>
          <w:color w:val="auto"/>
        </w:rPr>
      </w:pPr>
    </w:p>
    <w:p>
      <w:pPr>
        <w:ind w:left="540" w:right="100" w:hanging="532"/>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relation to the allotment and issue of Shares pursuant to the 2019 EIP or otherwise to an employee benefit trust, that such Shares will be allotted and issued in accordance with the terms of the 2019 EIP, the Company’s articles of association and the requirements of all applicable laws;</w:t>
      </w:r>
    </w:p>
    <w:p>
      <w:pPr>
        <w:spacing w:after="0" w:line="81" w:lineRule="exact"/>
        <w:rPr>
          <w:rFonts w:ascii="Times New Roman" w:cs="Times New Roman" w:eastAsia="Times New Roman" w:hAnsi="Times New Roman"/>
          <w:sz w:val="18"/>
          <w:szCs w:val="18"/>
          <w:color w:val="auto"/>
        </w:rPr>
      </w:pPr>
    </w:p>
    <w:p>
      <w:pPr>
        <w:ind w:left="540" w:right="20" w:hanging="532"/>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shall be allotted or issued, or are or shall be committed to be allotted or issued, at a discount to their nominal value (whether in sterling or equivalent in any other currency);</w:t>
      </w:r>
    </w:p>
    <w:p>
      <w:pPr>
        <w:spacing w:after="0" w:line="67"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or rights to subscribe for Shares have been or shall be offered to the public in the United Kingdom in breach of the Financial Services and Markets Act 2000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88" w:lineRule="exact"/>
        <w:rPr>
          <w:rFonts w:ascii="Times New Roman" w:cs="Times New Roman" w:eastAsia="Times New Roman" w:hAnsi="Times New Roman"/>
          <w:sz w:val="18"/>
          <w:szCs w:val="18"/>
          <w:color w:val="auto"/>
        </w:rPr>
      </w:pPr>
    </w:p>
    <w:p>
      <w:pPr>
        <w:ind w:left="540" w:right="580" w:hanging="532"/>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issuing and allotting and granting rights to acquire Shares and administering the 2019 EIP, the Company is not carrying on a regulated activity for the purposes of section 19 of FSMA;</w:t>
      </w:r>
    </w:p>
    <w:p>
      <w:pPr>
        <w:spacing w:after="0" w:line="67" w:lineRule="exact"/>
        <w:rPr>
          <w:rFonts w:ascii="Times New Roman" w:cs="Times New Roman" w:eastAsia="Times New Roman" w:hAnsi="Times New Roman"/>
          <w:sz w:val="18"/>
          <w:szCs w:val="18"/>
          <w:color w:val="auto"/>
        </w:rPr>
      </w:pPr>
    </w:p>
    <w:p>
      <w:pPr>
        <w:jc w:val="both"/>
        <w:ind w:left="540" w:right="340" w:hanging="532"/>
        <w:spacing w:after="0" w:line="266"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complied and will comply with all applicable anti-terrorism, anti-money laundering, sanctions and human rights laws and regulations and that each allotment and issue of Shares and grant of rights to acquire Shares pursuant to the 2019 EIP will be consistent with all such laws and regulations;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60" w:top="270" w:right="479" w:bottom="1440" w:gutter="0" w:footer="0" w:header="0"/>
        </w:sectPr>
      </w:pPr>
    </w:p>
    <w:bookmarkStart w:id="18" w:name="page19"/>
    <w:bookmarkEnd w:id="18"/>
    <w:p>
      <w:pPr>
        <w:ind w:left="540" w:right="60" w:hanging="532"/>
        <w:spacing w:after="0" w:line="261"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the 2019 EIP and all obligations thereunder have been entered into, and the Shares will be allotted and issued, in good faith and on bona fide commercial terms and on arms’ length terms and for the purpose of carrying on the business of the Company and that there are reasonable grounds for believing that the entry into of the 2019 EIP, and the allotment and issue of the Shares, will promote the success of the Company for the benefit of its members as a whole; and</w:t>
      </w:r>
    </w:p>
    <w:p>
      <w:pPr>
        <w:spacing w:after="0" w:line="85" w:lineRule="exact"/>
        <w:rPr>
          <w:rFonts w:ascii="Times New Roman" w:cs="Times New Roman" w:eastAsia="Times New Roman" w:hAnsi="Times New Roman"/>
          <w:sz w:val="18"/>
          <w:szCs w:val="18"/>
          <w:color w:val="auto"/>
        </w:rPr>
      </w:pPr>
    </w:p>
    <w:p>
      <w:pPr>
        <w:ind w:left="540" w:hanging="532"/>
        <w:spacing w:after="0" w:line="253"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not taken any corporate or other action nor have any steps been taken or legal proceedings been started against the Company for the liquidation, administration, winding-up, dissolution, reorganisation or bankruptcy or similar procedures in other relevant jurisdictions, of, or for the commencement of a moratorium in respect of or the appointment of a liquidator, receiver, trustee, administrator, administrative receiver, monitor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administrator, administrative receiver, monitor or similar officer has been made with respect to the Company), and such actions and steps will not have been taken as at any Allotment Date.</w:t>
      </w:r>
    </w:p>
    <w:p>
      <w:pPr>
        <w:spacing w:after="0" w:line="1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860" w:top="270" w:right="4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in this letter is subject to the following reservations:</w:t>
      </w:r>
    </w:p>
    <w:p>
      <w:pPr>
        <w:spacing w:after="0" w:line="131" w:lineRule="exact"/>
        <w:rPr>
          <w:sz w:val="20"/>
          <w:szCs w:val="20"/>
          <w:color w:val="auto"/>
        </w:rPr>
      </w:pPr>
    </w:p>
    <w:p>
      <w:pPr>
        <w:ind w:left="960" w:right="60" w:hanging="532"/>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w:t>
      </w:r>
    </w:p>
    <w:p>
      <w:pPr>
        <w:spacing w:after="0" w:line="131" w:lineRule="exact"/>
        <w:rPr>
          <w:sz w:val="20"/>
          <w:szCs w:val="20"/>
          <w:color w:val="auto"/>
        </w:rPr>
      </w:pPr>
    </w:p>
    <w:p>
      <w:pPr>
        <w:ind w:left="1420" w:hanging="439"/>
        <w:spacing w:after="0" w:line="282"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arising from applicable laws relating to insolvency, bankruptcy, administration, reorganisation, liquidation, moratoria, schemes, restructuring plans or analogous circumstances; and</w:t>
      </w:r>
    </w:p>
    <w:p>
      <w:pPr>
        <w:spacing w:after="0" w:line="65" w:lineRule="exact"/>
        <w:rPr>
          <w:rFonts w:ascii="Times New Roman" w:cs="Times New Roman" w:eastAsia="Times New Roman" w:hAnsi="Times New Roman"/>
          <w:sz w:val="18"/>
          <w:szCs w:val="18"/>
          <w:color w:val="auto"/>
        </w:rPr>
      </w:pPr>
    </w:p>
    <w:p>
      <w:pPr>
        <w:ind w:left="1420" w:right="80" w:hanging="439"/>
        <w:spacing w:after="0" w:line="267" w:lineRule="auto"/>
        <w:tabs>
          <w:tab w:leader="none" w:pos="14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English court exercising its discretion under section 426 of the Insolvency Act 1986 (</w:t>
      </w:r>
      <w:r>
        <w:rPr>
          <w:rFonts w:ascii="Times New Roman" w:cs="Times New Roman" w:eastAsia="Times New Roman" w:hAnsi="Times New Roman"/>
          <w:sz w:val="18"/>
          <w:szCs w:val="18"/>
          <w:i w:val="1"/>
          <w:iCs w:val="1"/>
          <w:color w:val="auto"/>
        </w:rPr>
        <w:t>co-operation between courts exercising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jurisdiction in relation to insolvency</w:t>
      </w:r>
      <w:r>
        <w:rPr>
          <w:rFonts w:ascii="Times New Roman" w:cs="Times New Roman" w:eastAsia="Times New Roman" w:hAnsi="Times New Roman"/>
          <w:sz w:val="18"/>
          <w:szCs w:val="18"/>
          <w:color w:val="auto"/>
        </w:rPr>
        <w:t>) to assist the courts having the corresponding jurisdiction in any part of the United Kingdom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relevant country or territory;</w:t>
      </w:r>
    </w:p>
    <w:p>
      <w:pPr>
        <w:spacing w:after="0" w:line="8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matters of fact;</w:t>
      </w:r>
    </w:p>
    <w:p>
      <w:pPr>
        <w:spacing w:after="0" w:line="130" w:lineRule="exact"/>
        <w:rPr>
          <w:rFonts w:ascii="Times New Roman" w:cs="Times New Roman" w:eastAsia="Times New Roman" w:hAnsi="Times New Roman"/>
          <w:sz w:val="18"/>
          <w:szCs w:val="18"/>
          <w:color w:val="auto"/>
        </w:rPr>
      </w:pPr>
    </w:p>
    <w:p>
      <w:pPr>
        <w:ind w:left="960" w:right="420" w:hanging="532"/>
        <w:spacing w:after="0" w:line="26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on the compliance of the 2019 EIP, or the compliance of any award made under the 2019 EIP, with the rules or regulations of the NASDAQ Stock Market LLC or the rules or regulations of any other securities exchange that are applicable to the Company;</w:t>
      </w:r>
    </w:p>
    <w:p>
      <w:pPr>
        <w:spacing w:after="0" w:line="81" w:lineRule="exact"/>
        <w:rPr>
          <w:rFonts w:ascii="Times New Roman" w:cs="Times New Roman" w:eastAsia="Times New Roman" w:hAnsi="Times New Roman"/>
          <w:sz w:val="18"/>
          <w:szCs w:val="18"/>
          <w:color w:val="auto"/>
        </w:rPr>
      </w:pPr>
    </w:p>
    <w:p>
      <w:pPr>
        <w:ind w:left="960" w:right="40" w:hanging="532"/>
        <w:spacing w:after="0" w:line="25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relation to the legality, enforceability or validity of the 2019 EIP or any award agreement entered into pursuant to it. In particular, but without prejudice to the generality of the foregoing, we have assumed that the Shares to be allotted under the 2019 EIP or any such award agreement will be paid up in full (as to their nominal value and any premium) in cash (within the meaning of section 583(1) of the Companies Act) and we express no opinion as to whether any consideration other than “cash consideration” (as such term is defined in section 583(3) of the Companies Act) which might be paid, or purport to be paid, for the Shares would result in such Shares being validly issued, fully paid and not subject to any call for payment of further capital;</w:t>
      </w:r>
    </w:p>
    <w:p>
      <w:pPr>
        <w:spacing w:after="0" w:line="92" w:lineRule="exact"/>
        <w:rPr>
          <w:rFonts w:ascii="Times New Roman" w:cs="Times New Roman" w:eastAsia="Times New Roman" w:hAnsi="Times New Roman"/>
          <w:sz w:val="18"/>
          <w:szCs w:val="18"/>
          <w:color w:val="auto"/>
        </w:rPr>
      </w:pPr>
    </w:p>
    <w:p>
      <w:pPr>
        <w:jc w:val="both"/>
        <w:ind w:left="960" w:right="160" w:hanging="532"/>
        <w:spacing w:after="0" w:line="26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award under the 2019 EIP does not constitute the award of a cash bonus, so as to create a liability for a liquidated sum, any Shares purported to be allotted and issued pursuant to any such award will not have been validly allotted and issued for cash in accordance with the requirements of the Companies Act and may not therefore be fully paid and not subject to any call for payment of further capital; and</w:t>
      </w:r>
    </w:p>
    <w:p>
      <w:pPr>
        <w:spacing w:after="0" w:line="81" w:lineRule="exact"/>
        <w:rPr>
          <w:rFonts w:ascii="Times New Roman" w:cs="Times New Roman" w:eastAsia="Times New Roman" w:hAnsi="Times New Roman"/>
          <w:sz w:val="18"/>
          <w:szCs w:val="18"/>
          <w:color w:val="auto"/>
        </w:rPr>
      </w:pPr>
    </w:p>
    <w:p>
      <w:pPr>
        <w:ind w:left="960" w:hanging="532"/>
        <w:spacing w:after="0" w:line="266"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of Mereo BioPharma Group plc of our report dated March 28, 2023, relating to the consolidated financial statements of Mereo BioPharma Group plc which appears in the Company’s Annual Report on Form 20-F, which is incorporated by reference in this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BDO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23, 2024</w:t>
      </w:r>
    </w:p>
    <w:p>
      <w:pPr>
        <w:sectPr>
          <w:pgSz w:w="11900" w:h="16838" w:orient="portrait"/>
          <w:cols w:equalWidth="0" w:num="1">
            <w:col w:w="11020"/>
          </w:cols>
          <w:pgMar w:left="440" w:top="117" w:right="4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19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MEREO BIOPHARMA GROUP PLC</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854" w:type="dxa"/>
        <w:tblCellMar>
          <w:top w:w="0" w:type="dxa"/>
          <w:left w:w="0" w:type="dxa"/>
          <w:bottom w:w="0" w:type="dxa"/>
          <w:right w:w="0" w:type="dxa"/>
        </w:tblCellMar>
      </w:tblPr>
      <w:tr>
        <w:trPr>
          <w:trHeight w:val="144"/>
        </w:trPr>
        <w:tc>
          <w:tcPr>
            <w:tcW w:w="1600" w:type="dxa"/>
            <w:vAlign w:val="bottom"/>
            <w:tcBorders>
              <w:top w:val="single" w:sz="8" w:color="auto"/>
              <w:left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48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r>
      <w:tr>
        <w:trPr>
          <w:trHeight w:val="135"/>
        </w:trPr>
        <w:tc>
          <w:tcPr>
            <w:tcW w:w="160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3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r>
      <w:tr>
        <w:trPr>
          <w:trHeight w:val="135"/>
        </w:trPr>
        <w:tc>
          <w:tcPr>
            <w:tcW w:w="160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3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1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160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or Carry</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4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r>
      <w:tr>
        <w:trPr>
          <w:trHeight w:val="180"/>
        </w:trPr>
        <w:tc>
          <w:tcPr>
            <w:tcW w:w="160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color w:val="auto"/>
                <w:w w:val="95"/>
              </w:rPr>
              <w:t>Security Type</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Forward Rule</w:t>
            </w:r>
          </w:p>
        </w:tc>
        <w:tc>
          <w:tcPr>
            <w:tcW w:w="132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3"/>
                <w:szCs w:val="13"/>
                <w:color w:val="auto"/>
                <w:w w:val="95"/>
              </w:rPr>
              <w:t>to be Registered</w:t>
            </w:r>
            <w:r>
              <w:rPr>
                <w:rFonts w:ascii="Times New Roman" w:cs="Times New Roman" w:eastAsia="Times New Roman" w:hAnsi="Times New Roman"/>
                <w:sz w:val="18"/>
                <w:szCs w:val="18"/>
                <w:color w:val="auto"/>
                <w:w w:val="95"/>
                <w:vertAlign w:val="superscript"/>
              </w:rPr>
              <w:t>(2)</w:t>
            </w:r>
          </w:p>
        </w:tc>
        <w:tc>
          <w:tcPr>
            <w:tcW w:w="76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3"/>
                <w:szCs w:val="13"/>
                <w:color w:val="auto"/>
                <w:w w:val="91"/>
              </w:rPr>
              <w:t>Share</w:t>
            </w:r>
            <w:r>
              <w:rPr>
                <w:rFonts w:ascii="Times New Roman" w:cs="Times New Roman" w:eastAsia="Times New Roman" w:hAnsi="Times New Roman"/>
                <w:sz w:val="18"/>
                <w:szCs w:val="18"/>
                <w:color w:val="auto"/>
                <w:w w:val="91"/>
                <w:vertAlign w:val="superscript"/>
              </w:rPr>
              <w:t>(4)</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5"/>
        </w:trPr>
        <w:tc>
          <w:tcPr>
            <w:tcW w:w="1600" w:type="dxa"/>
            <w:vAlign w:val="bottom"/>
            <w:tcBorders>
              <w:left w:val="single" w:sz="8" w:color="auto"/>
              <w:right w:val="single" w:sz="8" w:color="auto"/>
            </w:tcBorders>
          </w:tcPr>
          <w:p>
            <w:pPr>
              <w:jc w:val="center"/>
              <w:ind w:left="44"/>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9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Ordinary</w:t>
            </w:r>
          </w:p>
        </w:tc>
        <w:tc>
          <w:tcPr>
            <w:tcW w:w="112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shares,</w:t>
            </w:r>
          </w:p>
        </w:tc>
        <w:tc>
          <w:tcPr>
            <w:tcW w:w="11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nominal</w:t>
            </w:r>
          </w:p>
        </w:tc>
        <w:tc>
          <w:tcPr>
            <w:tcW w:w="11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457(c)</w:t>
            </w:r>
          </w:p>
        </w:tc>
        <w:tc>
          <w:tcPr>
            <w:tcW w:w="13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£0.003 per</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132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$147.60 per</w:t>
            </w:r>
          </w:p>
        </w:tc>
        <w:tc>
          <w:tcPr>
            <w:tcW w:w="1000" w:type="dxa"/>
            <w:vAlign w:val="bottom"/>
            <w:tcBorders>
              <w:right w:val="single" w:sz="8" w:color="auto"/>
            </w:tcBorders>
          </w:tcPr>
          <w:p>
            <w:pPr>
              <w:spacing w:after="0"/>
              <w:rPr>
                <w:sz w:val="18"/>
                <w:szCs w:val="18"/>
                <w:color w:val="auto"/>
              </w:rPr>
            </w:pPr>
          </w:p>
        </w:tc>
      </w:tr>
      <w:tr>
        <w:trPr>
          <w:trHeight w:val="248"/>
        </w:trPr>
        <w:tc>
          <w:tcPr>
            <w:tcW w:w="1600" w:type="dxa"/>
            <w:vAlign w:val="bottom"/>
            <w:tcBorders>
              <w:left w:val="single" w:sz="8" w:color="auto"/>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89"/>
              </w:rPr>
              <w:t>share</w:t>
            </w:r>
            <w:r>
              <w:rPr>
                <w:rFonts w:ascii="Times New Roman" w:cs="Times New Roman" w:eastAsia="Times New Roman" w:hAnsi="Times New Roman"/>
                <w:sz w:val="26"/>
                <w:szCs w:val="26"/>
                <w:color w:val="auto"/>
                <w:w w:val="89"/>
                <w:vertAlign w:val="superscript"/>
              </w:rPr>
              <w:t>(1)</w:t>
            </w:r>
          </w:p>
        </w:tc>
        <w:tc>
          <w:tcPr>
            <w:tcW w:w="112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3"/>
              </w:rPr>
              <w:t>457(h)</w:t>
            </w:r>
            <w:r>
              <w:rPr>
                <w:rFonts w:ascii="Times New Roman" w:cs="Times New Roman" w:eastAsia="Times New Roman" w:hAnsi="Times New Roman"/>
                <w:sz w:val="26"/>
                <w:szCs w:val="26"/>
                <w:color w:val="auto"/>
                <w:w w:val="93"/>
                <w:vertAlign w:val="superscript"/>
              </w:rPr>
              <w:t>(1)</w:t>
            </w:r>
          </w:p>
        </w:tc>
        <w:tc>
          <w:tcPr>
            <w:tcW w:w="132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6"/>
              </w:rPr>
              <w:t>37,234,627</w:t>
            </w:r>
            <w:r>
              <w:rPr>
                <w:rFonts w:ascii="Times New Roman" w:cs="Times New Roman" w:eastAsia="Times New Roman" w:hAnsi="Times New Roman"/>
                <w:sz w:val="26"/>
                <w:szCs w:val="26"/>
                <w:color w:val="auto"/>
                <w:w w:val="96"/>
                <w:vertAlign w:val="superscript"/>
              </w:rPr>
              <w:t>(3)</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$0.62</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$23,085,468.74</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$3,407.42</w:t>
            </w:r>
          </w:p>
        </w:tc>
      </w:tr>
      <w:tr>
        <w:trPr>
          <w:trHeight w:val="232"/>
        </w:trPr>
        <w:tc>
          <w:tcPr>
            <w:tcW w:w="1600" w:type="dxa"/>
            <w:vAlign w:val="bottom"/>
            <w:tcBorders>
              <w:left w:val="single" w:sz="8" w:color="auto"/>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right="85"/>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32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$23,085,468.74</w:t>
            </w: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$3,407.42</w:t>
            </w:r>
          </w:p>
        </w:tc>
      </w:tr>
      <w:tr>
        <w:trPr>
          <w:trHeight w:val="236"/>
        </w:trPr>
        <w:tc>
          <w:tcPr>
            <w:tcW w:w="1600" w:type="dxa"/>
            <w:vAlign w:val="bottom"/>
            <w:tcBorders>
              <w:left w:val="single" w:sz="8" w:color="auto"/>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right="85"/>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32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600" w:type="dxa"/>
            <w:vAlign w:val="bottom"/>
            <w:tcBorders>
              <w:left w:val="single" w:sz="8" w:color="auto"/>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right="85"/>
              <w:spacing w:after="0"/>
              <w:rPr>
                <w:sz w:val="20"/>
                <w:szCs w:val="20"/>
                <w:color w:val="auto"/>
              </w:rPr>
            </w:pPr>
            <w:r>
              <w:rPr>
                <w:rFonts w:ascii="Times New Roman" w:cs="Times New Roman" w:eastAsia="Times New Roman" w:hAnsi="Times New Roman"/>
                <w:sz w:val="18"/>
                <w:szCs w:val="18"/>
                <w:color w:val="auto"/>
              </w:rPr>
              <w:t>Net Fee Due</w:t>
            </w:r>
          </w:p>
        </w:tc>
        <w:tc>
          <w:tcPr>
            <w:tcW w:w="132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$3,407.42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24" w:right="60" w:hanging="424"/>
        <w:spacing w:after="0" w:line="261"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par value £0.003 per share (the “Ordinary Shares”) of Mereo BioPharma Group plc (the “Company”) registered hereunder may be represented by the Company’s American Depositary Shares (“ADSs”), with each ADS representing five Ordinary Shares. The Company’s ADSs issuable upon deposit of the ordinary shares have been registered under separate registration statements on Form F-6 (333-223890, 333-249338 and 333-258824).</w:t>
      </w:r>
    </w:p>
    <w:p>
      <w:pPr>
        <w:spacing w:after="0" w:line="85" w:lineRule="exact"/>
        <w:rPr>
          <w:rFonts w:ascii="Times New Roman" w:cs="Times New Roman" w:eastAsia="Times New Roman" w:hAnsi="Times New Roman"/>
          <w:sz w:val="18"/>
          <w:szCs w:val="18"/>
          <w:color w:val="auto"/>
        </w:rPr>
      </w:pPr>
    </w:p>
    <w:p>
      <w:pPr>
        <w:jc w:val="both"/>
        <w:ind w:left="424" w:right="400" w:hanging="424"/>
        <w:spacing w:after="0" w:line="266"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is deemed to cover an indeterminate number of additional Ordinary Shares that may be offered or issued pursuant to the Plans to prevent dilution resulting from any share dividend, share split or other similar transaction.</w:t>
      </w:r>
    </w:p>
    <w:p>
      <w:pPr>
        <w:spacing w:after="0" w:line="81" w:lineRule="exact"/>
        <w:rPr>
          <w:rFonts w:ascii="Times New Roman" w:cs="Times New Roman" w:eastAsia="Times New Roman" w:hAnsi="Times New Roman"/>
          <w:sz w:val="18"/>
          <w:szCs w:val="18"/>
          <w:color w:val="auto"/>
        </w:rPr>
      </w:pPr>
    </w:p>
    <w:p>
      <w:pPr>
        <w:ind w:left="424" w:right="180" w:hanging="424"/>
        <w:spacing w:after="0" w:line="261"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Ordinary Shares issuable pursuant to the Mereo BioPharma Group plc 2019 Equity Incentive Plan, as amended on February 13, 2020 and January 15, 2021, and the Mereo BioPharma Group plc 2019 Non-Employee Equity Incentive Plan, as amended on February 13, 2020 and January 15, 2021 (collectively, the “Plans”), and (ii) Ordinary Shares issuable upon vesting of restricted stock units and performance awards granted to employees and executives pursuant to and in accordance with the Plans.</w:t>
      </w:r>
    </w:p>
    <w:p>
      <w:pPr>
        <w:spacing w:after="0" w:line="8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solely for the purpose of calculating the registration fee pursuant to Rule 457(c) and 457(h) under the Securities Act on the basis of</w:t>
      </w:r>
    </w:p>
    <w:p>
      <w:pPr>
        <w:spacing w:after="0" w:line="27" w:lineRule="exact"/>
        <w:rPr>
          <w:rFonts w:ascii="Times New Roman" w:cs="Times New Roman" w:eastAsia="Times New Roman" w:hAnsi="Times New Roman"/>
          <w:sz w:val="18"/>
          <w:szCs w:val="18"/>
          <w:color w:val="auto"/>
        </w:rPr>
      </w:pPr>
    </w:p>
    <w:p>
      <w:pPr>
        <w:ind w:left="424"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 the average high and low sale price of the ADSs on the Nasdaq Capital Market on January 18, 2024 divided by five to reflect the Ordinary Share to ADS ratio.</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lowerLetter"/>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lvl w:ilvl="1">
      <w:lvlJc w:val="left"/>
      <w:lvlText w:val="(%2)"/>
      <w:numFmt w:val="lowerLetter"/>
      <w:start w:val="1"/>
    </w:lvl>
  </w:abstractNum>
  <w:abstractNum w:abstractNumId="3">
    <w:nsid w:val="41A7C4C9"/>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4">
    <w:nsid w:val="6B68079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
    <w:nsid w:val="4E6AFB66"/>
    <w:multiLevelType w:val="hybridMultilevel"/>
    <w:lvl w:ilvl="0">
      <w:lvlJc w:val="left"/>
      <w:lvlText w:val="(%1)"/>
      <w:numFmt w:val="lowerRoman"/>
      <w:start w:val="1"/>
    </w:lvl>
    <w:lvl w:ilvl="1">
      <w:lvlJc w:val="left"/>
      <w:lvlText w:val="(%2)"/>
      <w:numFmt w:val="lowerRoman"/>
      <w:start w:val="3"/>
    </w:lvl>
  </w:abstractNum>
  <w:abstractNum w:abstractNumId="6">
    <w:nsid w:val="25E45D3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
    <w:nsid w:val="519B500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
    <w:nsid w:val="431BD7B7"/>
    <w:multiLevelType w:val="hybridMultilevel"/>
    <w:lvl w:ilvl="0">
      <w:lvlJc w:val="left"/>
      <w:lvlText w:val="(%1)"/>
      <w:numFmt w:val="lowerRoman"/>
      <w:start w:val="2"/>
    </w:lvl>
  </w:abstractNum>
  <w:abstractNum w:abstractNumId="9">
    <w:nsid w:val="3F2DBA3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
    <w:nsid w:val="7C83E45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
    <w:nsid w:val="257130A3"/>
    <w:multiLevelType w:val="hybridMultilevel"/>
    <w:lvl w:ilvl="0">
      <w:lvlJc w:val="left"/>
      <w:lvlText w:val="%1"/>
      <w:numFmt w:val="decimal"/>
      <w:start w:val="1"/>
    </w:lvl>
    <w:lvl w:ilvl="1">
      <w:lvlJc w:val="left"/>
      <w:lvlText w:val="(%2)"/>
      <w:numFmt w:val="lowerLetter"/>
      <w:start w:val="2"/>
    </w:lvl>
  </w:abstractNum>
  <w:abstractNum w:abstractNumId="12">
    <w:nsid w:val="62BBD95A"/>
    <w:multiLevelType w:val="hybridMultilevel"/>
    <w:lvl w:ilvl="0">
      <w:lvlJc w:val="left"/>
      <w:lvlText w:val="%1."/>
      <w:numFmt w:val="decimal"/>
      <w:start w:val="8"/>
    </w:lvl>
    <w:lvl w:ilvl="1">
      <w:lvlJc w:val="left"/>
      <w:lvlText w:val="%2"/>
      <w:numFmt w:val="lowerLetter"/>
      <w:start w:val="1"/>
    </w:lvl>
  </w:abstractNum>
  <w:abstractNum w:abstractNumId="13">
    <w:nsid w:val="436C6125"/>
    <w:multiLevelType w:val="hybridMultilevel"/>
    <w:lvl w:ilvl="0">
      <w:lvlJc w:val="left"/>
      <w:lvlText w:val="%1."/>
      <w:numFmt w:val="decimal"/>
      <w:start w:val="13"/>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decimal"/>
      <w:start w:val="2"/>
    </w:lvl>
    <w:lvl w:ilvl="1">
      <w:lvlJc w:val="left"/>
      <w:lvlText w:val="(%2)"/>
      <w:numFmt w:val="lowerLetter"/>
      <w:start w:val="1"/>
    </w:lvl>
  </w:abstractNum>
  <w:abstractNum w:abstractNumId="19">
    <w:nsid w:val="6763845E"/>
    <w:multiLevelType w:val="hybridMultilevel"/>
    <w:lvl w:ilvl="0">
      <w:lvlJc w:val="left"/>
      <w:lvlText w:val="%1."/>
      <w:numFmt w:val="decimal"/>
      <w:start w:val="3"/>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0"/>
    </w:lvl>
  </w:abstractNum>
  <w:abstractNum w:abstractNumId="22">
    <w:nsid w:val="79838CB2"/>
    <w:multiLevelType w:val="hybridMultilevel"/>
    <w:lvl w:ilvl="0">
      <w:lvlJc w:val="left"/>
      <w:lvlText w:val="(%1)"/>
      <w:numFmt w:val="lowerLetter"/>
      <w:start w:val="18"/>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lowerLetter"/>
      <w:start w:val="1"/>
    </w:lvl>
    <w:lvl w:ilvl="1">
      <w:lvlJc w:val="left"/>
      <w:lvlText w:val="(%2)"/>
      <w:numFmt w:val="lowerRoman"/>
      <w:start w:val="1"/>
    </w:lvl>
  </w:abstractNum>
  <w:abstractNum w:abstractNumId="25">
    <w:nsid w:val="189A769B"/>
    <w:multiLevelType w:val="hybridMultilevel"/>
    <w:lvl w:ilvl="0">
      <w:lvlJc w:val="left"/>
      <w:lvlText w:val="(%1)"/>
      <w:numFmt w:val="lowerLetter"/>
      <w:start w:val="3"/>
    </w:lvl>
    <w:lvl w:ilvl="1">
      <w:lvlJc w:val="left"/>
      <w:lvlText w:val="%2"/>
      <w:numFmt w:val="lowerRoman"/>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4"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jpeg"/><Relationship Id="rId50" Type="http://schemas.openxmlformats.org/officeDocument/2006/relationships/image" Target="media/image23.png"/><Relationship Id="rId51" Type="http://schemas.openxmlformats.org/officeDocument/2006/relationships/image" Target="media/image24.jpeg"/><Relationship Id="rId52" Type="http://schemas.openxmlformats.org/officeDocument/2006/relationships/image" Target="media/image25.png"/><Relationship Id="rId53" Type="http://schemas.openxmlformats.org/officeDocument/2006/relationships/image" Target="media/image26.jpeg"/><Relationship Id="rId54" Type="http://schemas.openxmlformats.org/officeDocument/2006/relationships/image" Target="media/image27.png"/><Relationship Id="rId55" Type="http://schemas.openxmlformats.org/officeDocument/2006/relationships/image" Target="media/image28.jpe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18" Type="http://schemas.openxmlformats.org/officeDocument/2006/relationships/hyperlink" Target="http://www.sec.gov/ix?doc=/Archives/edgar/data/1719714/000119312523082264/d430075d20f.htm" TargetMode="External"/><Relationship Id="rId19" Type="http://schemas.openxmlformats.org/officeDocument/2006/relationships/hyperlink" Target="http://www.sec.gov/Archives/edgar/data/1719714/000119312523122204/d499842d6k.htm" TargetMode="External"/><Relationship Id="rId20" Type="http://schemas.openxmlformats.org/officeDocument/2006/relationships/hyperlink" Target="http://www.sec.gov/Archives/edgar/data/1719714/000119312523137234/d258096d6k.htm" TargetMode="External"/><Relationship Id="rId21" Type="http://schemas.openxmlformats.org/officeDocument/2006/relationships/hyperlink" Target="http://www.sec.gov/Archives/edgar/data/1719714/000119312523138236/d447899d6k.htm" TargetMode="External"/><Relationship Id="rId22" Type="http://schemas.openxmlformats.org/officeDocument/2006/relationships/hyperlink" Target="http://www.sec.gov/Archives/edgar/data/1719714/000119312523162135/d352650d6k.htm" TargetMode="External"/><Relationship Id="rId23" Type="http://schemas.openxmlformats.org/officeDocument/2006/relationships/hyperlink" Target="http://www.sec.gov/Archives/edgar/data/1719714/000119312523182427/d489512d6k.htm" TargetMode="External"/><Relationship Id="rId24" Type="http://schemas.openxmlformats.org/officeDocument/2006/relationships/hyperlink" Target="http://www.sec.gov/ix?doc=/Archives/edgar/data/1719714/000119312523230110/d477278d6k.htm" TargetMode="External"/><Relationship Id="rId25" Type="http://schemas.openxmlformats.org/officeDocument/2006/relationships/hyperlink" Target="http://www.sec.gov/Archives/edgar/data/1719714/000119312523238555/d482364d6k.htm" TargetMode="External"/><Relationship Id="rId26" Type="http://schemas.openxmlformats.org/officeDocument/2006/relationships/hyperlink" Target="http://www.sec.gov/Archives/edgar/data/1719714/000119312523257262/d540091d6k.htm" TargetMode="External"/><Relationship Id="rId27" Type="http://schemas.openxmlformats.org/officeDocument/2006/relationships/hyperlink" Target="http://www.sec.gov/Archives/edgar/data/1719714/000119312523260797/d464113d6k.htm" TargetMode="External"/><Relationship Id="rId28" Type="http://schemas.openxmlformats.org/officeDocument/2006/relationships/hyperlink" Target="http://www.sec.gov/Archives/edgar/data/1719714/000119312523297624/d677335d6k.htm" TargetMode="External"/><Relationship Id="rId29" Type="http://schemas.openxmlformats.org/officeDocument/2006/relationships/hyperlink" Target="http://www.sec.gov/Archives/edgar/data/1719714/000119312518111700/d566514d8a12b.htm" TargetMode="External"/><Relationship Id="rId30" Type="http://schemas.openxmlformats.org/officeDocument/2006/relationships/hyperlink" Target="http://www.sec.gov/Archives/edgar/data/1719714/000095010319004787/dp105138_8a12ba.htm" TargetMode="External"/><Relationship Id="rId31" Type="http://schemas.openxmlformats.org/officeDocument/2006/relationships/hyperlink" Target="http://www.sec.gov/Archives/edgar/data/1719714/000119312522152532/d341224d8a12ba.htm" TargetMode="External"/><Relationship Id="rId32" Type="http://schemas.openxmlformats.org/officeDocument/2006/relationships/hyperlink" Target="http://www.sec.gov/Archives/edgar/data/1719714/000119312523297640/d671792d8a12ba.htm" TargetMode="External"/><Relationship Id="rId33" Type="http://schemas.openxmlformats.org/officeDocument/2006/relationships/hyperlink" Target="http://www.sec.gov/Archives/edgar/data/1719714/000119312523082264/d430075dex22.htm" TargetMode="External"/><Relationship Id="rId35" Type="http://schemas.openxmlformats.org/officeDocument/2006/relationships/hyperlink" Target="http://www.sec.gov/Archives/edgar/data/1719714/000119312523297624/d677335dex31.htm" TargetMode="External"/><Relationship Id="rId36" Type="http://schemas.openxmlformats.org/officeDocument/2006/relationships/hyperlink" Target="http://www.sec.gov/Archives/edgar/data/1719714/000119312521010098/d35302dex991.htm" TargetMode="External"/><Relationship Id="rId37" Type="http://schemas.openxmlformats.org/officeDocument/2006/relationships/hyperlink" Target="http://www.sec.gov/Archives/edgar/data/1719714/000119312523014256/d421215dex44.htm" TargetMode="External"/><Relationship Id="rId38" Type="http://schemas.openxmlformats.org/officeDocument/2006/relationships/hyperlink" Target="http://www.sec.gov/Archives/edgar/data/1719714/000119312523014256/d421215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2024-01-23T15:31:23Z</dcterms:created>
  <dcterms:modified xsi:type="dcterms:W3CDTF">2024-01-23T15:31:23Z</dcterms:modified>
</cp:coreProperties>
</file>