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reo-20250930.htm"/>
        <w:bookmarkStart w:id="1" w:name="ksmreo202509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For the quarterly period ended September 30, 2025</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9"/>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Commission File Number 001-38452</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MEREO BIOPHARMA GROUP PLC</w:t>
      </w:r>
    </w:p>
    <w:p>
      <w:pPr>
        <w:pStyle w:val="TextBody"/>
        <w:bidi w:val="0"/>
        <w:jc w:val="center"/>
        <w:rPr>
          <w:rFonts w:ascii="Times New Roman" w:hAnsi="Times New Roman"/>
          <w:color w:val="000000"/>
          <w:sz w:val="19"/>
        </w:rPr>
      </w:pPr>
      <w:r>
        <w:rPr>
          <w:rFonts w:ascii="Times New Roman" w:hAnsi="Times New Roman"/>
          <w:color w:val="000000"/>
          <w:sz w:val="19"/>
        </w:rPr>
        <w:t>(Exact name of Registrant as specified in its charter)</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4291"/>
        <w:gridCol w:w="146"/>
        <w:gridCol w:w="384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England and Wales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 Applicable</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(I.R.S. Employer Identification No.)</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One Cavendish Place,</w:t>
            </w:r>
            <w:r>
              <w:rPr>
                <w:rFonts w:ascii="Times New Roman" w:hAnsi="Times New Roman"/>
                <w:color w:val="000000"/>
                <w:sz w:val="20"/>
              </w:rPr>
              <w:t xml:space="preserve"> </w:t>
            </w:r>
            <w:r>
              <w:rPr>
                <w:rFonts w:ascii="Times New Roman" w:hAnsi="Times New Roman"/>
                <w:b/>
                <w:color w:val="000000"/>
                <w:sz w:val="18"/>
              </w:rPr>
              <w:t>4th Floor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London,</w:t>
            </w:r>
            <w:r>
              <w:rPr>
                <w:rFonts w:ascii="Times New Roman" w:hAnsi="Times New Roman"/>
                <w:color w:val="000000"/>
                <w:sz w:val="20"/>
              </w:rPr>
              <w:t xml:space="preserve"> </w:t>
            </w:r>
            <w:r>
              <w:rPr>
                <w:rFonts w:ascii="Times New Roman" w:hAnsi="Times New Roman"/>
                <w:b/>
                <w:color w:val="000000"/>
                <w:sz w:val="18"/>
              </w:rPr>
              <w:t>W1G 0QF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 Kingdom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+44-333-023-7300</w:t>
            </w:r>
            <w:r>
              <w:rPr>
                <w:rFonts w:ascii="Times New Roman" w:hAnsi="Times New Roman"/>
                <w:color w:val="000000"/>
                <w:sz w:val="20"/>
              </w:rPr>
              <w:t xml:space="preserve"> </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(Registrant’s telephone number, including area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02"/>
        <w:gridCol w:w="146"/>
        <w:gridCol w:w="1277"/>
        <w:gridCol w:w="146"/>
        <w:gridCol w:w="2734"/>
      </w:tblGrid>
      <w:tr>
        <w:trPr/>
        <w:tc>
          <w:tcPr>
            <w:tcW w:w="5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90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90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American Depositary Shares, each representing five ordinary shares, nominal value of £0.003 per share</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Ordinary Shares, nominal value of £0.003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The Nasdaq Stock Market LLC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Not for trading, but only in connection with the registration of American Depositary Shares representing such Ordinary Shares pursuant to the requirements of the U.S. Securities and Exchange Commission.</w:t>
      </w:r>
    </w:p>
    <w:p>
      <w:pPr>
        <w:pStyle w:val="TextBody"/>
        <w:bidi w:val="0"/>
        <w:jc w:val="center"/>
        <w:rPr>
          <w:rFonts w:ascii="Times New Roman" w:hAnsi="Times New Roman"/>
          <w:color w:val="000000"/>
          <w:sz w:val="19"/>
        </w:rPr>
      </w:pPr>
      <w:r>
        <w:rPr>
          <w:rFonts w:ascii="Times New Roman" w:hAnsi="Times New Roman"/>
          <w:color w:val="000000"/>
          <w:sz w:val="19"/>
        </w:rPr>
        <w:t>Securities registered pursuant to Section 12(g) of the Act:</w:t>
      </w:r>
    </w:p>
    <w:p>
      <w:pPr>
        <w:pStyle w:val="TextBody"/>
        <w:bidi w:val="0"/>
        <w:jc w:val="center"/>
        <w:rPr>
          <w:rFonts w:ascii="Times New Roman" w:hAnsi="Times New Roman"/>
          <w:b/>
          <w:color w:val="000000"/>
          <w:sz w:val="19"/>
        </w:rPr>
      </w:pPr>
      <w:r>
        <w:rPr>
          <w:rFonts w:ascii="Times New Roman" w:hAnsi="Times New Roman"/>
          <w:b/>
          <w:color w:val="000000"/>
          <w:sz w:val="19"/>
        </w:rPr>
        <w:t>None</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br/>
      </w:r>
      <w:r>
        <w:rPr>
          <w:rFonts w:ascii="Times New Roman" w:hAnsi="Times New Roman"/>
          <w:color w:val="000000"/>
          <w:sz w:val="20"/>
        </w:rPr>
        <w:t> </w:t>
      </w:r>
    </w:p>
    <w:tbl>
      <w:tblPr>
        <w:tblW w:w="8419" w:type="dxa"/>
        <w:jc w:val="left"/>
        <w:tblInd w:w="0" w:type="dxa"/>
        <w:tblLayout w:type="fixed"/>
        <w:tblCellMar>
          <w:top w:w="28" w:type="dxa"/>
          <w:left w:w="28" w:type="dxa"/>
          <w:bottom w:w="28" w:type="dxa"/>
          <w:right w:w="28" w:type="dxa"/>
        </w:tblCellMar>
      </w:tblPr>
      <w:tblGrid>
        <w:gridCol w:w="2146"/>
        <w:gridCol w:w="1666"/>
        <w:gridCol w:w="202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Accelerated filer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Act). </w:t>
      </w:r>
      <w:r>
        <w:rPr>
          <w:rFonts w:ascii="Times New Roman" w:hAnsi="Times New Roman"/>
          <w:color w:val="000000"/>
          <w:sz w:val="20"/>
        </w:rPr>
        <w:t xml:space="preserve"> </w:t>
      </w:r>
      <w:r>
        <w:rPr>
          <w:rFonts w:ascii="Times New Roman" w:hAnsi="Times New Roman"/>
          <w:color w:val="000000"/>
          <w:sz w:val="19"/>
        </w:rPr>
        <w:t xml:space="preserve">Yes </w:t>
      </w:r>
      <w:r>
        <w:rPr>
          <w:rFonts w:ascii="Times New Roman" w:hAnsi="Times New Roman"/>
          <w:color w:val="000000"/>
          <w:sz w:val="20"/>
        </w:rPr>
        <w:t xml:space="preserve">☒ </w:t>
      </w:r>
      <w:r>
        <w:rPr>
          <w:rFonts w:ascii="Times New Roman" w:hAnsi="Times New Roman"/>
          <w:color w:val="000000"/>
          <w:sz w:val="19"/>
        </w:rPr>
        <w:t>No</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9"/>
        </w:rPr>
        <w:t>As of November 7, 2025 the number of outstanding ordinary shares, par value £0.003 per share, of the registrant was 795,658,504.</w:t>
      </w:r>
      <w:r>
        <w:rPr>
          <w:rFonts w:ascii="Times New Roman" w:hAnsi="Times New Roman"/>
          <w:color w:val="000000"/>
          <w:sz w:val="20"/>
        </w:rPr>
        <w:t xml:space="preserve"> </w:t>
      </w:r>
    </w:p>
    <w:p>
      <w:pPr>
        <w:pStyle w:val="TextBody"/>
        <w:pBdr>
          <w:bottom w:val="double" w:sz="6" w:space="1" w:color="000000"/>
        </w:pBdr>
        <w:bidi w:val="0"/>
        <w:ind w:left="0" w:right="0" w:firstLine="72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34" w:type="dxa"/>
        <w:jc w:val="left"/>
        <w:tblInd w:w="0" w:type="dxa"/>
        <w:tblLayout w:type="fixed"/>
        <w:tblCellMar>
          <w:top w:w="28" w:type="dxa"/>
          <w:left w:w="28" w:type="dxa"/>
          <w:bottom w:w="28" w:type="dxa"/>
          <w:right w:w="28" w:type="dxa"/>
        </w:tblCellMar>
      </w:tblPr>
      <w:tblGrid>
        <w:gridCol w:w="811"/>
        <w:gridCol w:w="7366"/>
        <w:gridCol w:w="146"/>
        <w:gridCol w:w="51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parti">
              <w:r>
                <w:rPr>
                  <w:rStyle w:val="InternetLink"/>
                  <w:rFonts w:ascii="Times New Roman" w:hAnsi="Times New Roman"/>
                  <w:color w:val="0000FF"/>
                  <w:sz w:val="20"/>
                  <w:u w:val="single"/>
                </w:rPr>
                <w:t>PART 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pPr>
            <w:hyperlink w:anchor="part_ii_other_information">
              <w:r>
                <w:rPr>
                  <w:rStyle w:val="InternetLink"/>
                  <w:rFonts w:ascii="Times New Roman" w:hAnsi="Times New Roman"/>
                  <w:color w:val="0000FF"/>
                  <w:sz w:val="20"/>
                  <w:u w:val="single"/>
                </w:rPr>
                <w:t>PART II</w:t>
              </w:r>
            </w:hyperlink>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_legal_proceeding">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2_unregistered">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_default">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_mine">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811" w:type="dxa"/>
            <w:tcBorders/>
            <w:tcMar>
              <w:top w:w="0" w:type="dxa"/>
              <w:left w:w="0" w:type="dxa"/>
              <w:bottom w:w="0" w:type="dxa"/>
              <w:right w:w="0" w:type="dxa"/>
            </w:tcMar>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8177" w:type="dxa"/>
            <w:gridSpan w:val="2"/>
            <w:tcBorders/>
            <w:tcMar>
              <w:top w:w="0" w:type="dxa"/>
              <w:left w:w="0" w:type="dxa"/>
              <w:bottom w:w="0" w:type="dxa"/>
              <w:right w:w="0" w:type="dxa"/>
            </w:tcMar>
            <w:vAlign w:val="center"/>
          </w:tcPr>
          <w:p>
            <w:pPr>
              <w:pStyle w:val="TableContents"/>
              <w:pBdr/>
              <w:bidi w:val="0"/>
              <w:spacing w:before="0" w:after="283"/>
              <w:ind w:left="0" w:right="0" w:hanging="20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Quarterly Report on Form 10</w:t>
        <w:noBreakHyphen/>
        <w:t xml:space="preserve">Q (“Quarterly Report”), “Mereo,” the “Group,” the “Company,” “we,” “us” and “our” refer to Mereo BioPharma Group plc and its consolidated subsidiaries, except where the context otherwise requires.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most recent Annual Report on Form 10-K for the year ended December 31, 2024, filed with the SEC on March 26, 2025 (the "2024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i"/>
      <w:bookmarkEnd w:id="3"/>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4" w:name="item1_financial_statements"/>
      <w:bookmarkEnd w:id="4"/>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90"/>
        <w:gridCol w:w="146"/>
        <w:gridCol w:w="239"/>
        <w:gridCol w:w="955"/>
        <w:gridCol w:w="166"/>
        <w:gridCol w:w="146"/>
        <w:gridCol w:w="234"/>
        <w:gridCol w:w="935"/>
        <w:gridCol w:w="594"/>
      </w:tblGrid>
      <w:tr>
        <w:trPr/>
        <w:tc>
          <w:tcPr>
            <w:tcW w:w="6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Convertible loan notes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£0.003 per share; 795,484,404 shares issued at September 30, 2025 (December 31, 2024: 775,728,034)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539,642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(462,883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MEREO BIOPHARMA GROUP PLC</w:t>
      </w:r>
    </w:p>
    <w:p>
      <w:pPr>
        <w:pStyle w:val="TextBody"/>
        <w:bidi w:val="0"/>
        <w:jc w:val="center"/>
        <w:rPr>
          <w:rFonts w:ascii="Times New Roman" w:hAnsi="Times New Roman"/>
          <w:sz w:val="20"/>
        </w:rPr>
      </w:pPr>
      <w:bookmarkStart w:id="5" w:name="statements_of_comprehensive_loss"/>
      <w:bookmarkEnd w:id="5"/>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4"/>
        <w:gridCol w:w="146"/>
        <w:gridCol w:w="211"/>
        <w:gridCol w:w="1141"/>
        <w:gridCol w:w="166"/>
        <w:gridCol w:w="146"/>
        <w:gridCol w:w="211"/>
        <w:gridCol w:w="1141"/>
        <w:gridCol w:w="166"/>
        <w:gridCol w:w="146"/>
        <w:gridCol w:w="211"/>
        <w:gridCol w:w="1141"/>
        <w:gridCol w:w="166"/>
        <w:gridCol w:w="146"/>
        <w:gridCol w:w="211"/>
        <w:gridCol w:w="1141"/>
        <w:gridCol w:w="411"/>
      </w:tblGrid>
      <w:tr>
        <w:trPr/>
        <w:tc>
          <w:tcPr>
            <w:tcW w:w="3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gain/(loss),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799,947,013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770,146,589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796,018,903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727,808,860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(loss)/income – 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f_cash_flows"/>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987" w:type="dxa"/>
        <w:jc w:val="left"/>
        <w:tblInd w:w="0" w:type="dxa"/>
        <w:tblLayout w:type="fixed"/>
        <w:tblCellMar>
          <w:top w:w="28" w:type="dxa"/>
          <w:left w:w="28" w:type="dxa"/>
          <w:bottom w:w="28" w:type="dxa"/>
          <w:right w:w="28" w:type="dxa"/>
        </w:tblCellMar>
      </w:tblPr>
      <w:tblGrid>
        <w:gridCol w:w="6231"/>
        <w:gridCol w:w="146"/>
        <w:gridCol w:w="287"/>
        <w:gridCol w:w="1001"/>
        <w:gridCol w:w="225"/>
        <w:gridCol w:w="198"/>
        <w:gridCol w:w="287"/>
        <w:gridCol w:w="1001"/>
        <w:gridCol w:w="611"/>
      </w:tblGrid>
      <w:tr>
        <w:trPr/>
        <w:tc>
          <w:tcPr>
            <w:tcW w:w="6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transaction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out-licensing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on issuance of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69,802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48,698</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hanges_in_equity"/>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CHANGES IN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90"/>
        <w:gridCol w:w="146"/>
        <w:gridCol w:w="146"/>
        <w:gridCol w:w="841"/>
        <w:gridCol w:w="146"/>
        <w:gridCol w:w="146"/>
        <w:gridCol w:w="181"/>
        <w:gridCol w:w="436"/>
        <w:gridCol w:w="146"/>
        <w:gridCol w:w="146"/>
        <w:gridCol w:w="146"/>
        <w:gridCol w:w="631"/>
        <w:gridCol w:w="151"/>
        <w:gridCol w:w="146"/>
        <w:gridCol w:w="181"/>
        <w:gridCol w:w="481"/>
        <w:gridCol w:w="151"/>
        <w:gridCol w:w="146"/>
        <w:gridCol w:w="181"/>
        <w:gridCol w:w="586"/>
        <w:gridCol w:w="151"/>
        <w:gridCol w:w="146"/>
        <w:gridCol w:w="242"/>
        <w:gridCol w:w="749"/>
        <w:gridCol w:w="151"/>
        <w:gridCol w:w="146"/>
        <w:gridCol w:w="196"/>
        <w:gridCol w:w="684"/>
        <w:gridCol w:w="151"/>
        <w:gridCol w:w="146"/>
        <w:gridCol w:w="230"/>
        <w:gridCol w:w="710"/>
        <w:gridCol w:w="279"/>
      </w:tblGrid>
      <w:tr>
        <w:trPr/>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b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shareholders’ equity</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775,728,034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539,642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(18,849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(462,883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60,969</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Transaction costs on issuance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convertible loan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17,105,450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5,740</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1,449,610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Transfer between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795,001,444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544,266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(15,290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(472,027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60,081</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(14,616</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795,001,444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3,132</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546,331</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(8,643</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(486,643</w:t>
            </w:r>
          </w:p>
        </w:tc>
        <w:tc>
          <w:tcPr>
            <w:tcW w:w="1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54,177</w:t>
            </w:r>
          </w:p>
        </w:tc>
        <w:tc>
          <w:tcPr>
            <w:tcW w:w="2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(7,024</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1,712</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795,484,404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3,134</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548,041</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(10,910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(493,667</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46,598</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701,217,089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923,400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486,107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(17,485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(419,630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50,537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2,050</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(210,485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701,349,434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486,927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(18,283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(428,581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42,838</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(12,255</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2,088</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performance based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4,014,450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Issuance of shares,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62,656,500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47,000</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Transaction costs on issuance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768,821,274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534,732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(18,278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(440,836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78,650</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7,174</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1,737</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Delivery of shares on vesting of performance based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2,676,305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9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Balance,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773,672,299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536,426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(11,104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(455,837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72,536</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MEREO BIOPHARMA GROUP PLC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bookmarkStart w:id="8" w:name="notes_consolidated_financial_statements"/>
      <w:bookmarkEnd w:id="8"/>
      <w:r>
        <w:rPr>
          <w:rFonts w:ascii="Times New Roman" w:hAnsi="Times New Roman"/>
          <w:b/>
          <w:color w:val="000000"/>
          <w:sz w:val="20"/>
        </w:rPr>
        <w:t>1.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BioPharma Group plc (the “Company” or “Mereo”) is a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public limited company incorporated and domiciled in the U.K., and registered in England, with shares publicly traded on the Nasdaq Capital Market via American Depositary Shares (“ADSs”) under the ticker symbol “MREO”. The Company’s registered office is located at 4th Floor, One Cavendish Place, London, W1G 0QF, United Kingdom.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of the Company and its subsidiaries and other financial information included in this quarterly report on Form 10-Q ("Quarterly Report") are unaudited, have been prepared in accordance with generally accepted accounting principles in the United States of America (“U.S. GAAP”) and are presented in U.S. dollars. All intercompany balances and transactions between the Company and its subsidiaries have been eliminated on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presented in this Quarterly Report should be read in conjunction with the consolidated financial statements and accompanying notes included in the Company’s Annual Report on Form 10-K filed with the SEC on March 26, 2025 (the “2024 Annual Report”). The condensed consolidated balance sheet as of December 31, 2024 was derived from audited consolidated financial statements included in the 2024 Annual Report but does not include all disclosures required by U.S. GAAP. The Company’s significant accounting policies are described in Note 2 to those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September 30, 2025, the results of operations for the three and nine months ended September 30, 2025 and 2024 and cash flows for the nine months ended September 30, 2025 and 2024. The interim results are not necessarily indicative of results to be expected for the full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prepared its condensed consolidated financial statements on the basis that it will continue as a going concern. 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historically been loss making, anticipates that it will continue to incur losses for the foreseeable future, and had an accumulated deficit of $493.7 million as of September 30, 2025.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other product candidates. Although management continues to pursue these plans, there is no assurance that the Company will be successful in obtaining sufficient funding on terms acceptable to the Company to fund continuing operations,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Company had cash and cash equivalents of $48.7 million. The Company expects that its cash and cash equivalents as of September 30, 2025 will be sufficient to fund its operations and capital expenditure requirements for at least twelve months from the date of filing of this Quarterly Report.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There are no estimates and assumptions made in the condensed consolidated financial statements that are considered to be critical.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recent accounting pronouncements, changes in accounting pronouncements or recently adopted accounting guidance other than those previously included in the 2024 Annual Report that are of significance or potential significance to the Company. The Company is continuing to evaluate the impact of the recently issued pronouncements that are effective in future periods and were discussed in its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payable, accrued expenses, deferred consideration, warrant liabilities and the liability component of the convertible loan notes and other financing arrangements. Cash, cash equivalents (except for investments in money market funds), accounts payable and accrued expenses are initially recorded and subsequently measured at cost, which is considered to approximate their fair value due to the short-term nature of such financial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and classified under the appropriate level of the fair value hierarchy:</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4561"/>
        <w:gridCol w:w="146"/>
        <w:gridCol w:w="146"/>
        <w:gridCol w:w="676"/>
        <w:gridCol w:w="146"/>
        <w:gridCol w:w="146"/>
        <w:gridCol w:w="217"/>
        <w:gridCol w:w="518"/>
        <w:gridCol w:w="146"/>
        <w:gridCol w:w="146"/>
        <w:gridCol w:w="146"/>
        <w:gridCol w:w="676"/>
        <w:gridCol w:w="146"/>
        <w:gridCol w:w="146"/>
        <w:gridCol w:w="217"/>
        <w:gridCol w:w="518"/>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(investments in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94" w:type="dxa"/>
        <w:jc w:val="left"/>
        <w:tblInd w:w="0" w:type="dxa"/>
        <w:tblLayout w:type="fixed"/>
        <w:tblCellMar>
          <w:top w:w="28" w:type="dxa"/>
          <w:left w:w="28" w:type="dxa"/>
          <w:bottom w:w="28" w:type="dxa"/>
          <w:right w:w="28" w:type="dxa"/>
        </w:tblCellMar>
      </w:tblPr>
      <w:tblGrid>
        <w:gridCol w:w="1771"/>
        <w:gridCol w:w="146"/>
        <w:gridCol w:w="181"/>
        <w:gridCol w:w="524"/>
        <w:gridCol w:w="146"/>
        <w:gridCol w:w="146"/>
        <w:gridCol w:w="217"/>
        <w:gridCol w:w="518"/>
        <w:gridCol w:w="146"/>
        <w:gridCol w:w="146"/>
        <w:gridCol w:w="188"/>
        <w:gridCol w:w="547"/>
        <w:gridCol w:w="146"/>
        <w:gridCol w:w="146"/>
        <w:gridCol w:w="217"/>
        <w:gridCol w:w="51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values of the investments in money market funds are determined based on the net asset value per share of each fund stated in the fund manager's statement. There were no transfers of instruments between any levels of the fair value hierarchy during the three and nine months ended September 30, 2025 and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Warrant liabilities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September 30, 2025 and December 31, 2024, warrant liabilities solely related to those warrants outstanding to the former lenders of the Company as described in Note 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6915" w:type="dxa"/>
        <w:jc w:val="left"/>
        <w:tblInd w:w="0" w:type="dxa"/>
        <w:tblLayout w:type="fixed"/>
        <w:tblCellMar>
          <w:top w:w="28" w:type="dxa"/>
          <w:left w:w="28" w:type="dxa"/>
          <w:bottom w:w="28" w:type="dxa"/>
          <w:right w:w="28" w:type="dxa"/>
        </w:tblCellMar>
      </w:tblPr>
      <w:tblGrid>
        <w:gridCol w:w="3721"/>
        <w:gridCol w:w="146"/>
        <w:gridCol w:w="351"/>
        <w:gridCol w:w="954"/>
        <w:gridCol w:w="146"/>
        <w:gridCol w:w="146"/>
        <w:gridCol w:w="339"/>
        <w:gridCol w:w="92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5920" w:type="dxa"/>
        <w:jc w:val="left"/>
        <w:tblInd w:w="0" w:type="dxa"/>
        <w:tblLayout w:type="fixed"/>
        <w:tblCellMar>
          <w:top w:w="28" w:type="dxa"/>
          <w:left w:w="28" w:type="dxa"/>
          <w:bottom w:w="28" w:type="dxa"/>
          <w:right w:w="28" w:type="dxa"/>
        </w:tblCellMar>
      </w:tblPr>
      <w:tblGrid>
        <w:gridCol w:w="2686"/>
        <w:gridCol w:w="146"/>
        <w:gridCol w:w="327"/>
        <w:gridCol w:w="978"/>
        <w:gridCol w:w="166"/>
        <w:gridCol w:w="146"/>
        <w:gridCol w:w="339"/>
        <w:gridCol w:w="92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less than $0.1 million for both the three months ended September 30, 2025 and 2024 and $0.1 million for both the nine months ended September 30, 2025 and 2024.</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reversionary lease to extend the term for the original fourth floor lease to be coterminous with the fifth floor, ending in June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lease expense included in the statements of operations and comprehensive loss was $0.2 million and $0.5 million for the three and nine months ended September 30, 2025, respectively and $0.2 million and $0.5 million for the three and nine months ended September 30, 2024, respectively. There were no material variable lease costs.</w:t>
      </w:r>
    </w:p>
    <w:p>
      <w:pPr>
        <w:pStyle w:val="TextBody"/>
        <w:bidi w:val="0"/>
        <w:jc w:val="both"/>
        <w:rPr/>
      </w:pPr>
      <w:r>
        <w:rPr/>
        <w:t> </w:t>
      </w:r>
    </w:p>
    <w:tbl>
      <w:tblPr>
        <w:tblW w:w="7105" w:type="dxa"/>
        <w:jc w:val="left"/>
        <w:tblInd w:w="0" w:type="dxa"/>
        <w:tblLayout w:type="fixed"/>
        <w:tblCellMar>
          <w:top w:w="28" w:type="dxa"/>
          <w:left w:w="28" w:type="dxa"/>
          <w:bottom w:w="28" w:type="dxa"/>
          <w:right w:w="28" w:type="dxa"/>
        </w:tblCellMar>
      </w:tblPr>
      <w:tblGrid>
        <w:gridCol w:w="4876"/>
        <w:gridCol w:w="146"/>
        <w:gridCol w:w="157"/>
        <w:gridCol w:w="502"/>
        <w:gridCol w:w="292"/>
        <w:gridCol w:w="157"/>
        <w:gridCol w:w="157"/>
        <w:gridCol w:w="502"/>
        <w:gridCol w:w="31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7"/>
        <w:gridCol w:w="146"/>
        <w:gridCol w:w="253"/>
        <w:gridCol w:w="505"/>
        <w:gridCol w:w="175"/>
        <w:gridCol w:w="175"/>
        <w:gridCol w:w="253"/>
        <w:gridCol w:w="505"/>
        <w:gridCol w:w="146"/>
        <w:gridCol w:w="146"/>
        <w:gridCol w:w="237"/>
        <w:gridCol w:w="473"/>
        <w:gridCol w:w="163"/>
        <w:gridCol w:w="163"/>
        <w:gridCol w:w="237"/>
        <w:gridCol w:w="473"/>
        <w:gridCol w:w="198"/>
      </w:tblGrid>
      <w:tr>
        <w:trPr/>
        <w:tc>
          <w:tcPr>
            <w:tcW w:w="5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maturities of the Company’s operating lease liabilities as of September 30, 2025:</w:t>
      </w:r>
    </w:p>
    <w:p>
      <w:pPr>
        <w:pStyle w:val="TextBody"/>
        <w:bidi w:val="0"/>
        <w:jc w:val="both"/>
        <w:rPr/>
      </w:pPr>
      <w:r>
        <w:rPr/>
        <w:t> </w:t>
      </w:r>
    </w:p>
    <w:tbl>
      <w:tblPr>
        <w:tblW w:w="10003" w:type="dxa"/>
        <w:jc w:val="left"/>
        <w:tblInd w:w="0" w:type="dxa"/>
        <w:tblLayout w:type="fixed"/>
        <w:tblCellMar>
          <w:top w:w="28" w:type="dxa"/>
          <w:left w:w="28" w:type="dxa"/>
          <w:bottom w:w="28" w:type="dxa"/>
          <w:right w:w="28" w:type="dxa"/>
        </w:tblCellMar>
      </w:tblPr>
      <w:tblGrid>
        <w:gridCol w:w="7231"/>
        <w:gridCol w:w="146"/>
        <w:gridCol w:w="744"/>
        <w:gridCol w:w="1491"/>
        <w:gridCol w:w="39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analysis of the operating lease liabilities for the years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 consist of the following:</w:t>
      </w:r>
    </w:p>
    <w:p>
      <w:pPr>
        <w:pStyle w:val="TextBody"/>
        <w:bidi w:val="0"/>
        <w:jc w:val="left"/>
        <w:rPr/>
      </w:pPr>
      <w:r>
        <w:rPr/>
        <w:t> </w:t>
      </w:r>
    </w:p>
    <w:tbl>
      <w:tblPr>
        <w:tblW w:w="5865" w:type="dxa"/>
        <w:jc w:val="left"/>
        <w:tblInd w:w="0" w:type="dxa"/>
        <w:tblLayout w:type="fixed"/>
        <w:tblCellMar>
          <w:top w:w="28" w:type="dxa"/>
          <w:left w:w="28" w:type="dxa"/>
          <w:bottom w:w="28" w:type="dxa"/>
          <w:right w:w="28" w:type="dxa"/>
        </w:tblCellMar>
      </w:tblPr>
      <w:tblGrid>
        <w:gridCol w:w="2671"/>
        <w:gridCol w:w="146"/>
        <w:gridCol w:w="434"/>
        <w:gridCol w:w="871"/>
        <w:gridCol w:w="146"/>
        <w:gridCol w:w="146"/>
        <w:gridCol w:w="339"/>
        <w:gridCol w:w="92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issuance costs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9.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consist of the following: </w:t>
      </w:r>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3406"/>
        <w:gridCol w:w="146"/>
        <w:gridCol w:w="351"/>
        <w:gridCol w:w="954"/>
        <w:gridCol w:w="146"/>
        <w:gridCol w:w="146"/>
        <w:gridCol w:w="339"/>
        <w:gridCol w:w="92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local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Convertible loan notes and equity classified warrants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Novartis Loan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2020, the Company entered into a convertible equity financing with Novartis Pharma (AG) (“Novartis”), which it amended in February 2023 to extend the maturity date and increase the interest rate, under which Novartis purchased a £3.8 million ($5.0 million) convertible loan note (the “Novartis Loan Note”). Following the 2023 amendment, the Novartis Loan Note was convertible at the discretion of the holder, at a fixed price of £0.265 per ordinary share and bore interest at 9% per annum with a maturity date of February 10,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7, 2025, the Company received a conversion notice and subsequently issued and allotted 17,105,450 ordinary shares (equivalent to 3,421,090 ADSs) on the non-cash conversion of the outstanding principal and accrued interest of the Novartis Loan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net carrying amount of the liability component of the convertible debt instrument was $5.5 million. On conversion, the Company derecognized the carrying value of the Novartis Loan Note of $5.7 million and recognized the issuance of the shares at their par value within ordinary share capital and the excess amount of the conversion price over the par value within additional paid-in capital. In addition, the amount that represented the value of the conversion features of the Novartis Loan Note presented in additional paid-in capital at inception of $3.4 million was transferred to accumulated deficit upon conversion.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no interest expense in relation to the Novartis Loan Note for the three months ended September 30, 2025, and $0.2 million for the nine months ended September 30, 2025, and $0.3 million and $0.9 million for the three and nine months ended September 30, 2024, respectively. The effective interest rate applied to the liability portion of the Novartis Loan Note for the nine months ended September 30, 2025 and the three and nine months ended September 30, 2024 was 27.8%.</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classified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Novartis Loan Note, the Company also issued warrants over 1,449,610 ordinary shares to Novartis which were exercisable until February 2025 at an exercise price of £0.265 per ordinary share (the "2020 Novartis Warrants"). In connection with the amendments to the Novartis Loan Note, in February 2023 the Company issued warrants over a further 2,000,000 ordinary shares (the "2023 Novartis Warrants"). The 2023 Novartis Warrants are exercisable until February 2028 at an exercise price of £0.15 per ordinary share. Both tranches of warrants were recognized separately as equity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7, 2025, Novartis exercised the 2020 Novartis Warrants and the Company subsequently issued and allotted 1,449,610 ordinary shares (equivalent to 289,922 ADSs) upon receipt of $0.5 million in satisfaction of the subscription price of £0.265 per ordinary share. Additional paid-in capital of $0.3 million, representing the surplus of previously recognized amounts exceeding the par value of ordinary shares, was transferred to accumulated deficit.</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Warrant liability</w:t>
      </w:r>
    </w:p>
    <w:p>
      <w:pPr>
        <w:pStyle w:val="TextBody"/>
        <w:bidi w:val="0"/>
        <w:jc w:val="left"/>
        <w:rPr/>
      </w:pPr>
      <w:r>
        <w:rPr/>
        <w:t> </w:t>
      </w:r>
    </w:p>
    <w:tbl>
      <w:tblPr>
        <w:tblW w:w="5457" w:type="dxa"/>
        <w:jc w:val="left"/>
        <w:tblInd w:w="0" w:type="dxa"/>
        <w:tblLayout w:type="fixed"/>
        <w:tblCellMar>
          <w:top w:w="28" w:type="dxa"/>
          <w:left w:w="28" w:type="dxa"/>
          <w:bottom w:w="28" w:type="dxa"/>
          <w:right w:w="28" w:type="dxa"/>
        </w:tblCellMar>
      </w:tblPr>
      <w:tblGrid>
        <w:gridCol w:w="3301"/>
        <w:gridCol w:w="146"/>
        <w:gridCol w:w="215"/>
        <w:gridCol w:w="490"/>
        <w:gridCol w:w="166"/>
        <w:gridCol w:w="146"/>
        <w:gridCol w:w="211"/>
        <w:gridCol w:w="57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the former lenders of the Company have warrants outstanding to purchase a total of 1,243,908 ordinary shares at an exercise price of £2.95 per share, exercisable until August 2027 and a total of 1,243,908 ordinary shares at an exercise price of $0.4144 per share, exercisable until dates between August 2027 and October 2028. These warrants outstanding are equivalent to 0.3% of the issued ordinary share capital of the Company as of September 30, 2025 and 0.3% as of December 31, 2024. There were no warrants classified as liabilities exercised during the three and nine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warrant is estimated using the Black-Scholes option pricing model using the following weighted average assumptions:</w:t>
      </w:r>
    </w:p>
    <w:p>
      <w:pPr>
        <w:pStyle w:val="TextBody"/>
        <w:bidi w:val="0"/>
        <w:spacing w:before="240" w:after="283"/>
        <w:jc w:val="left"/>
        <w:rPr/>
      </w:pPr>
      <w:r>
        <w:rPr/>
        <w:t> </w:t>
      </w:r>
    </w:p>
    <w:tbl>
      <w:tblPr>
        <w:tblW w:w="5620" w:type="dxa"/>
        <w:jc w:val="left"/>
        <w:tblInd w:w="0" w:type="dxa"/>
        <w:tblLayout w:type="fixed"/>
        <w:tblCellMar>
          <w:top w:w="28" w:type="dxa"/>
          <w:left w:w="28" w:type="dxa"/>
          <w:bottom w:w="28" w:type="dxa"/>
          <w:right w:w="28" w:type="dxa"/>
        </w:tblCellMar>
      </w:tblPr>
      <w:tblGrid>
        <w:gridCol w:w="2176"/>
        <w:gridCol w:w="146"/>
        <w:gridCol w:w="310"/>
        <w:gridCol w:w="995"/>
        <w:gridCol w:w="271"/>
        <w:gridCol w:w="146"/>
        <w:gridCol w:w="339"/>
        <w:gridCol w:w="92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ADSs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Shareholders’ Equity</w:t>
      </w:r>
    </w:p>
    <w:p>
      <w:pPr>
        <w:pStyle w:val="TextBody"/>
        <w:bidi w:val="0"/>
        <w:spacing w:before="240" w:after="283"/>
        <w:jc w:val="both"/>
        <w:rPr>
          <w:rFonts w:ascii="Times New Roman" w:hAnsi="Times New Roman"/>
          <w:sz w:val="20"/>
        </w:rPr>
      </w:pPr>
      <w:r>
        <w:rPr>
          <w:rFonts w:ascii="Times New Roman" w:hAnsi="Times New Roman"/>
          <w:b/>
          <w:i/>
          <w:color w:val="000000"/>
          <w:sz w:val="20"/>
        </w:rPr>
        <w:t>Ordinary Shares</w:t>
      </w:r>
      <w:r>
        <w:rPr>
          <w:rFonts w:ascii="Times New Roman" w:hAnsi="Times New Roman"/>
          <w:color w:val="000000"/>
          <w:sz w:val="20"/>
        </w:rPr>
        <w:t xml:space="preserve"> </w:t>
      </w:r>
    </w:p>
    <w:p>
      <w:pPr>
        <w:pStyle w:val="TextBody"/>
        <w:bidi w:val="0"/>
        <w:jc w:val="both"/>
        <w:rPr/>
      </w:pPr>
      <w:r>
        <w:rPr/>
        <w:t> </w:t>
      </w:r>
    </w:p>
    <w:tbl>
      <w:tblPr>
        <w:tblW w:w="6550" w:type="dxa"/>
        <w:jc w:val="left"/>
        <w:tblInd w:w="0" w:type="dxa"/>
        <w:tblLayout w:type="fixed"/>
        <w:tblCellMar>
          <w:top w:w="28" w:type="dxa"/>
          <w:left w:w="28" w:type="dxa"/>
          <w:bottom w:w="28" w:type="dxa"/>
          <w:right w:w="28" w:type="dxa"/>
        </w:tblCellMar>
      </w:tblPr>
      <w:tblGrid>
        <w:gridCol w:w="3336"/>
        <w:gridCol w:w="146"/>
        <w:gridCol w:w="165"/>
        <w:gridCol w:w="1290"/>
        <w:gridCol w:w="146"/>
        <w:gridCol w:w="146"/>
        <w:gridCol w:w="251"/>
        <w:gridCol w:w="679"/>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 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701,217,089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701,349,434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768,821,274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773,672,299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775,728,034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convertible loan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17,105,450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March 31 and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795,001,444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2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795,484,404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issued and allotted 17,105,450 ordinary shares (equivalent to 3,421,090 ADSs) on the non-cash conversion of the outstanding principal and accrued interest of the Novartis Loan Note.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February 2025, the Company issued and allotted 1,449,610 ordinary shares (equivalent to 289,922 ADSs) upon exercise of the 2020 Novartis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nine months ended September 30, 2025, 482,960 and 1,201,310 ordinary shares were issued due to the vesting of RSUs,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13. Revenue and cost of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ReproNovo Partnership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and ReproNovo SA. (“ReproNovo”) entered into a global licensing agreement for the development and commercialization of leflutrozole (the “ReproNovo Licensing Agreement”). Under the terms of the ReproNovo Licensing Agreement, ReproNovo received an exclusive worldwide license to develop and commercialize leflutrozole.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a milestone payment of $0.5 million as revenue in the three months ended June 30, 2025 following confirmation by ReproNovo that the first participant had been included in a Phase 2 trial of leflutrozole. No revenues were recognized during the three months ended September 30, 2025 or either the three and nine months ended September 30,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consequence of the milestone payment becoming receivable, the Company recognized $0.1 million as cost of revenue in the three months ended June 30, 2025 in accordance with the terms of the 2015 asset purchase agreement with Novartis. No cost of revenue was recognized during the three months ended September 30, 2025 or either the three and nine months ended September 30, 2024.</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14. Share 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grants equity awards under the Mereo 2019 Equity Incentive Plan (the “2019 EIP”) and the 2019 Non-Employee Equity Incentive Plan (the “2019 NED EIP”). There are also still outstanding awards under two previous plans, the Mereo BioPharma Group Limited Share Option Plan and the Mereo Share Option Plan (together the “Previous Share Option Plans”), however no further grants are envisioned from these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number of ADSs available for issue under the 2019 EIP and 2019 NED EIP was 14.2 million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expense for share-based compensation arises solely in respect of awards made under these two active plans as follows:</w:t>
      </w:r>
    </w:p>
    <w:p>
      <w:pPr>
        <w:pStyle w:val="TextBody"/>
        <w:bidi w:val="0"/>
        <w:jc w:val="both"/>
        <w:rPr/>
      </w:pPr>
      <w:r>
        <w:rPr/>
        <w:t> </w:t>
      </w:r>
    </w:p>
    <w:tbl>
      <w:tblPr>
        <w:tblW w:w="5647" w:type="dxa"/>
        <w:jc w:val="left"/>
        <w:tblInd w:w="0" w:type="dxa"/>
        <w:tblLayout w:type="fixed"/>
        <w:tblCellMar>
          <w:top w:w="28" w:type="dxa"/>
          <w:left w:w="28" w:type="dxa"/>
          <w:bottom w:w="28" w:type="dxa"/>
          <w:right w:w="28" w:type="dxa"/>
        </w:tblCellMar>
      </w:tblPr>
      <w:tblGrid>
        <w:gridCol w:w="1306"/>
        <w:gridCol w:w="146"/>
        <w:gridCol w:w="211"/>
        <w:gridCol w:w="571"/>
        <w:gridCol w:w="146"/>
        <w:gridCol w:w="146"/>
        <w:gridCol w:w="211"/>
        <w:gridCol w:w="571"/>
        <w:gridCol w:w="146"/>
        <w:gridCol w:w="146"/>
        <w:gridCol w:w="211"/>
        <w:gridCol w:w="571"/>
        <w:gridCol w:w="146"/>
        <w:gridCol w:w="146"/>
        <w:gridCol w:w="211"/>
        <w:gridCol w:w="571"/>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EIP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NED EIP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As of September 30, 2025, the total unrecognized compensation cost related to outstanding share awards was $5.7 million, which the Company expects to recognize over a weighted-average period of 1.6 years</w:t>
      </w:r>
      <w:r>
        <w:rPr>
          <w:rFonts w:ascii="Times New Roman" w:hAnsi="Times New Roman"/>
          <w:i/>
          <w:color w:val="000000"/>
          <w:sz w:val="20"/>
        </w:rPr>
        <w:t>.</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2019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EIP:</w:t>
      </w:r>
    </w:p>
    <w:p>
      <w:pPr>
        <w:pStyle w:val="TextBody"/>
        <w:bidi w:val="0"/>
        <w:spacing w:before="240" w:after="283"/>
        <w:jc w:val="both"/>
        <w:rPr>
          <w:rFonts w:ascii="Times New Roman" w:hAnsi="Times New Roman"/>
          <w:sz w:val="20"/>
        </w:rPr>
      </w:pPr>
      <w:r>
        <w:rPr>
          <w:rFonts w:ascii="Times New Roman" w:hAnsi="Times New Roman"/>
          <w:b/>
          <w:i/>
          <w:color w:val="000000"/>
          <w:sz w:val="20"/>
        </w:rPr>
        <w:t>Market Value Options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2019 EIP for the nine months ended September 30, 2025 is as follows; all outstanding Options are expected to vest: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226" w:type="dxa"/>
        <w:jc w:val="left"/>
        <w:tblInd w:w="0" w:type="dxa"/>
        <w:tblLayout w:type="fixed"/>
        <w:tblCellMar>
          <w:top w:w="28" w:type="dxa"/>
          <w:left w:w="28" w:type="dxa"/>
          <w:bottom w:w="28" w:type="dxa"/>
          <w:right w:w="28" w:type="dxa"/>
        </w:tblCellMar>
      </w:tblPr>
      <w:tblGrid>
        <w:gridCol w:w="1996"/>
        <w:gridCol w:w="146"/>
        <w:gridCol w:w="146"/>
        <w:gridCol w:w="1036"/>
        <w:gridCol w:w="166"/>
        <w:gridCol w:w="146"/>
        <w:gridCol w:w="285"/>
        <w:gridCol w:w="631"/>
        <w:gridCol w:w="146"/>
        <w:gridCol w:w="146"/>
        <w:gridCol w:w="235"/>
        <w:gridCol w:w="756"/>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13,531,607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fair value per share of Options granted during the nine months ended September 30, 2025 and 2024 was $2.41 and $2.61,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contractual life of Options outstanding as of September 30, 2025 and December 31, 2024 was 7.2 years and 7.6 years, respectively. The weighted average contractual life for vested Options as of September 30, 2025 and December 31, 2024 was 6.4 years and 6.8 years,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presented, the aggregate intrinsic value is calculated as the difference between the exercise price of the underlying awards and the quoted market price of the Company’s ADSs for the Options that were in-the-money.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using the following weighted average assumptions:</w:t>
      </w:r>
    </w:p>
    <w:p>
      <w:pPr>
        <w:pStyle w:val="TextBody"/>
        <w:bidi w:val="0"/>
        <w:jc w:val="left"/>
        <w:rPr/>
      </w:pPr>
      <w:r>
        <w:rPr/>
        <w:t> </w:t>
      </w:r>
    </w:p>
    <w:tbl>
      <w:tblPr>
        <w:tblW w:w="4594" w:type="dxa"/>
        <w:jc w:val="left"/>
        <w:tblInd w:w="0" w:type="dxa"/>
        <w:tblLayout w:type="fixed"/>
        <w:tblCellMar>
          <w:top w:w="28" w:type="dxa"/>
          <w:left w:w="28" w:type="dxa"/>
          <w:bottom w:w="28" w:type="dxa"/>
          <w:right w:w="28" w:type="dxa"/>
        </w:tblCellMar>
      </w:tblPr>
      <w:tblGrid>
        <w:gridCol w:w="2176"/>
        <w:gridCol w:w="146"/>
        <w:gridCol w:w="146"/>
        <w:gridCol w:w="676"/>
        <w:gridCol w:w="271"/>
        <w:gridCol w:w="146"/>
        <w:gridCol w:w="146"/>
        <w:gridCol w:w="57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volatility is calculated by reference to the historical volatility of the Company's ADSs for the nine months ended September 30, 2025 and an appropriate peer group of companies for the nine months ended September 30, 2024. The grant date fair value is recognized over the requisite service period using the accelerated graded-vesting attribution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RSU activity and related information under the 2019 EIP for the nine months ended September 30, 2025 is as follows; all outstanding RSUs are unvested and expected to vest:</w:t>
      </w:r>
    </w:p>
    <w:p>
      <w:pPr>
        <w:pStyle w:val="TextBody"/>
        <w:bidi w:val="0"/>
        <w:jc w:val="left"/>
        <w:rPr/>
      </w:pPr>
      <w:r>
        <w:rPr/>
        <w:t> </w:t>
      </w:r>
    </w:p>
    <w:tbl>
      <w:tblPr>
        <w:tblW w:w="4751" w:type="dxa"/>
        <w:jc w:val="left"/>
        <w:tblInd w:w="0" w:type="dxa"/>
        <w:tblLayout w:type="fixed"/>
        <w:tblCellMar>
          <w:top w:w="28" w:type="dxa"/>
          <w:left w:w="28" w:type="dxa"/>
          <w:bottom w:w="28" w:type="dxa"/>
          <w:right w:w="28" w:type="dxa"/>
        </w:tblCellMar>
      </w:tblPr>
      <w:tblGrid>
        <w:gridCol w:w="1981"/>
        <w:gridCol w:w="146"/>
        <w:gridCol w:w="148"/>
        <w:gridCol w:w="857"/>
        <w:gridCol w:w="166"/>
        <w:gridCol w:w="146"/>
        <w:gridCol w:w="285"/>
        <w:gridCol w:w="631"/>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421,867</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September 30, 2025, the weighted average remaining vesting period of RSUs outstanding was 2.1 years. The total fair value of RSUs vested and delivered during the nine months ended September 30, 2025 and 2024 was $0.6 million and $0.8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2019 NED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NED EIP:</w:t>
      </w:r>
    </w:p>
    <w:p>
      <w:pPr>
        <w:pStyle w:val="TextBody"/>
        <w:bidi w:val="0"/>
        <w:spacing w:before="240" w:after="283"/>
        <w:jc w:val="left"/>
        <w:rPr>
          <w:rFonts w:ascii="Times New Roman" w:hAnsi="Times New Roman"/>
          <w:sz w:val="20"/>
        </w:rPr>
      </w:pPr>
      <w:r>
        <w:rPr>
          <w:rFonts w:ascii="Times New Roman" w:hAnsi="Times New Roman"/>
          <w:b/>
          <w:i/>
          <w:color w:val="000000"/>
          <w:sz w:val="20"/>
        </w:rPr>
        <w:t>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2019 NED EIP for the nine months ended September 30, 2025 is as follows; all outstanding Options are expected to vest:</w:t>
      </w:r>
    </w:p>
    <w:p>
      <w:pPr>
        <w:pStyle w:val="TextBody"/>
        <w:bidi w:val="0"/>
        <w:jc w:val="left"/>
        <w:rPr/>
      </w:pPr>
      <w:r>
        <w:rPr/>
        <w:t> </w:t>
      </w:r>
    </w:p>
    <w:tbl>
      <w:tblPr>
        <w:tblW w:w="6086" w:type="dxa"/>
        <w:jc w:val="left"/>
        <w:tblInd w:w="0" w:type="dxa"/>
        <w:tblLayout w:type="fixed"/>
        <w:tblCellMar>
          <w:top w:w="28" w:type="dxa"/>
          <w:left w:w="28" w:type="dxa"/>
          <w:bottom w:w="28" w:type="dxa"/>
          <w:right w:w="28" w:type="dxa"/>
        </w:tblCellMar>
      </w:tblPr>
      <w:tblGrid>
        <w:gridCol w:w="1981"/>
        <w:gridCol w:w="146"/>
        <w:gridCol w:w="146"/>
        <w:gridCol w:w="931"/>
        <w:gridCol w:w="146"/>
        <w:gridCol w:w="146"/>
        <w:gridCol w:w="285"/>
        <w:gridCol w:w="631"/>
        <w:gridCol w:w="146"/>
        <w:gridCol w:w="146"/>
        <w:gridCol w:w="267"/>
        <w:gridCol w:w="724"/>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1,982,087</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fair value per share of Options granted during the nine months ended September 30, 2025 and 2024 was $2.51 and $2.83,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contractual life of Options outstanding as of September 30, 2025 and December 31, 2024 was 7.1 years and 7.5 years, respectively. The weighted average contractual life for vested Options as of September 30, 2025 and December 31, 2024 was 7.1 years and 7.4 years,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presented, the aggregate intrinsic value is calculated as the difference between the exercise price of the underlying awards and the quoted market price of the Company’s ADSs for the Options that were in-the-money.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using the following weighted average assumptions:</w:t>
      </w:r>
    </w:p>
    <w:p>
      <w:pPr>
        <w:pStyle w:val="TextBody"/>
        <w:bidi w:val="0"/>
        <w:jc w:val="left"/>
        <w:rPr/>
      </w:pPr>
      <w:r>
        <w:rPr/>
        <w:t> </w:t>
      </w:r>
    </w:p>
    <w:tbl>
      <w:tblPr>
        <w:tblW w:w="4594" w:type="dxa"/>
        <w:jc w:val="left"/>
        <w:tblInd w:w="0" w:type="dxa"/>
        <w:tblLayout w:type="fixed"/>
        <w:tblCellMar>
          <w:top w:w="28" w:type="dxa"/>
          <w:left w:w="28" w:type="dxa"/>
          <w:bottom w:w="28" w:type="dxa"/>
          <w:right w:w="28" w:type="dxa"/>
        </w:tblCellMar>
      </w:tblPr>
      <w:tblGrid>
        <w:gridCol w:w="2176"/>
        <w:gridCol w:w="146"/>
        <w:gridCol w:w="146"/>
        <w:gridCol w:w="676"/>
        <w:gridCol w:w="271"/>
        <w:gridCol w:w="146"/>
        <w:gridCol w:w="146"/>
        <w:gridCol w:w="57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volatility is calculated by reference to the historical volatility of the Company's ADSs for the nine months ended September 30, 2025 and an appropriate peer group of companies for the nine months ended September 30, 2024. The grant date fair value is recognized over the vesting period using the accelerated graded-vesting attribution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Restricted Stock Units (“DRSUs”)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DRSUs activity and related information under the 2019 NED EIP for the nine months ended September 30, 2025 is as follows; all outstanding DRSUs are expected to vest: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4731" w:type="dxa"/>
        <w:jc w:val="left"/>
        <w:tblInd w:w="0" w:type="dxa"/>
        <w:tblLayout w:type="fixed"/>
        <w:tblCellMar>
          <w:top w:w="28" w:type="dxa"/>
          <w:left w:w="28" w:type="dxa"/>
          <w:bottom w:w="28" w:type="dxa"/>
          <w:right w:w="28" w:type="dxa"/>
        </w:tblCellMar>
      </w:tblPr>
      <w:tblGrid>
        <w:gridCol w:w="1981"/>
        <w:gridCol w:w="146"/>
        <w:gridCol w:w="158"/>
        <w:gridCol w:w="847"/>
        <w:gridCol w:w="146"/>
        <w:gridCol w:w="146"/>
        <w:gridCol w:w="285"/>
        <w:gridCol w:w="631"/>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DRSUs</w:t>
              <w:br/>
              <w:t>(ADSs)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979,608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there were 20,903 DRSUs unvested with a weighted average grant date fair value of $3.87 per DRSU. The total fair value of DRSUs vested during the nine months ended September 30, 2025 and 2024 was $0.3 million and $0.4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DRSU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Previous Share Option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previously granted Options to employees under the Previous Share Options Plans. No awards have been granted under either of these plans following the introduction of the 2019 EIP and the 2019 NED EIP and no further awards are envisioned.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Options activity and related information under the Previous Share Options Plans for the nine months ended September 30, 2025 is as follows; all outstanding Options are vested:</w:t>
      </w:r>
    </w:p>
    <w:p>
      <w:pPr>
        <w:pStyle w:val="TextBody"/>
        <w:bidi w:val="0"/>
        <w:spacing w:before="240" w:after="283"/>
        <w:jc w:val="left"/>
        <w:rPr/>
      </w:pPr>
      <w:r>
        <w:rPr/>
        <w:t> </w:t>
      </w:r>
    </w:p>
    <w:tbl>
      <w:tblPr>
        <w:tblW w:w="6181" w:type="dxa"/>
        <w:jc w:val="left"/>
        <w:tblInd w:w="0" w:type="dxa"/>
        <w:tblLayout w:type="fixed"/>
        <w:tblCellMar>
          <w:top w:w="28" w:type="dxa"/>
          <w:left w:w="28" w:type="dxa"/>
          <w:bottom w:w="28" w:type="dxa"/>
          <w:right w:w="28" w:type="dxa"/>
        </w:tblCellMar>
      </w:tblPr>
      <w:tblGrid>
        <w:gridCol w:w="1996"/>
        <w:gridCol w:w="146"/>
        <w:gridCol w:w="146"/>
        <w:gridCol w:w="991"/>
        <w:gridCol w:w="166"/>
        <w:gridCol w:w="146"/>
        <w:gridCol w:w="247"/>
        <w:gridCol w:w="669"/>
        <w:gridCol w:w="146"/>
        <w:gridCol w:w="146"/>
        <w:gridCol w:w="375"/>
        <w:gridCol w:w="616"/>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contractual life of Options outstanding and vested at September 30, 2025 and December 31, 2024 was 0.8 years and 0.8 years,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loss per share is calculated by dividing the loss attributable to ordinary equity holders of the Company for the period by the weighted average number of ordinary shares outstanding during the period. Diluted loss per share is based on dividing the loss attributable for the period, adjusted for the effect of dilutive ordinary shares, by ordinary share equivalents, which includes the weighted average number of ordinary shares outstanding and the effect of dilutive ordinary share equivalents.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50"/>
        <w:gridCol w:w="1355"/>
        <w:gridCol w:w="166"/>
        <w:gridCol w:w="146"/>
        <w:gridCol w:w="250"/>
        <w:gridCol w:w="1355"/>
        <w:gridCol w:w="166"/>
        <w:gridCol w:w="146"/>
        <w:gridCol w:w="250"/>
        <w:gridCol w:w="1355"/>
        <w:gridCol w:w="166"/>
        <w:gridCol w:w="146"/>
        <w:gridCol w:w="250"/>
        <w:gridCol w:w="1355"/>
        <w:gridCol w:w="218"/>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share and per share</w:t>
              <w:br/>
              <w:t>amounts)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799,947,013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770,146,589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796,018,903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727,808,860</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potentially dilutive securities in the table below have been excluded from the computation of diluted loss per share as the effect for the three and nine months ended September 30, 2025 and 2024 would be to reduce the loss per share. Therefore, the weighted average number of ordinary shares outstanding used to calculate both basic and diluted loss per share is the same.</w:t>
      </w:r>
    </w:p>
    <w:p>
      <w:pPr>
        <w:pStyle w:val="TextBody"/>
        <w:bidi w:val="0"/>
        <w:jc w:val="left"/>
        <w:rPr/>
      </w:pPr>
      <w:r>
        <w:rPr/>
        <w:t> </w:t>
      </w:r>
    </w:p>
    <w:tbl>
      <w:tblPr>
        <w:tblW w:w="5874" w:type="dxa"/>
        <w:jc w:val="left"/>
        <w:tblInd w:w="0" w:type="dxa"/>
        <w:tblLayout w:type="fixed"/>
        <w:tblCellMar>
          <w:top w:w="28" w:type="dxa"/>
          <w:left w:w="28" w:type="dxa"/>
          <w:bottom w:w="28" w:type="dxa"/>
          <w:right w:w="28" w:type="dxa"/>
        </w:tblCellMar>
      </w:tblPr>
      <w:tblGrid>
        <w:gridCol w:w="2881"/>
        <w:gridCol w:w="146"/>
        <w:gridCol w:w="146"/>
        <w:gridCol w:w="1036"/>
        <w:gridCol w:w="146"/>
        <w:gridCol w:w="146"/>
        <w:gridCol w:w="146"/>
        <w:gridCol w:w="103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issuable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80,829,135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77,646,275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loan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16,637,208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classified in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5,051,313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 In accordance with the Articles of Association,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Novartis Asset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2017, the Company entered into an exclusive license and option agreement (“the AstraZeneca License Agreement”) and subscription deed (the “AstraZeneca Subscription Deed”), together (the "Original Agreements") with AstraZeneca AB ("AstraZeneca"). Each of these were amended on November 8, 2024, when the Company entered into an amendment and restatement agreement related to the AstraZeneca License Agreement (the "Amended AstraZeneca License Agreement") and a Deed of Amendment and Restatement related to the AstraZeneca Subscription Deed (the "Amended AstraZeneca Subscription Deed") together (the "Amended AstraZeneca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Original Agreements, the Company obtained from AstraZeneca an exclusive worldwide, sub-licensable license under AstraZeneca’s intellectual property rights relating to alvelestat, with an option to acquire such intellectual property rights following commencement of a pivotal trial and payment of related milestone payments, together with the acquisition of certain related assets. Upon entering into the Original Agreements, the Company made a payment of $3.0 million and issued 490,798 ordinary shares (equivalent to 98,159 ADSs) to AstraZeneca, for an aggregate upfront payment equal to $5.0 million. Upon execution of the Amended AstraZeneca License Agreement, the Company issued 2,044,392 ordinary shares and paid $0.5 million to AstraZeneca in respect of an agreed milestone.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Amended AstraZeneca Agreements, the Company has agreed, in connection with certain further development and regulatory milestones, to make potential future payments both in cash and through the issue of a variable number of additional ADSs to AstraZeneca of up to $114.3 million in the aggregate for products included in the Amended AstraZeneca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ADSs to be issued to satisfy each equity milestone is determined by dividing a monetary amount by a defined subscription price based on the weighted average trading price of the Company's ADSs, and the obligation is presented as a liability under ASC Topic 480, Distinguishing Liabilities from Equity. The Company continues to reassess the fair value of such instruments in each reporting period until the milestones are achieved, if ever, and the issuance of shares occurs. Given the pervasive uncertainty involved in establishing the amounts, timing and likelihood of the future cash flows, including the Company’s ability to secure either a partnership or alternative forms of non-dilutive financing, the possible terms and rate of such a partnership or financing, the clinical and regulatory performance of the product candidate and the lack of comparable recent transactions, the Company has determined the fair value of the equity milestones to be paid in a variable number of shares pursuant to its Amended AstraZeneca License Agreement to be negligible and therefore assigned a nil value to the instrument as of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development and regulatory milestones,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AstraZeneca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Amended AstraZeneca License Agreement upon prior written notice. Either party may terminate the agreement upon prior written notice for the other party’s material breach that remains uncured for a specified period of time or insolvency.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$0.1 million and $0.5 million as of September 30, 2025 and December 31,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and supply agreement with Ultragenyx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the Company entered into a manufacturing and supply agreement with Ultragenyx Pharmaceutical Inc. ("Ultragenyx") under which Ultragenyx is responsible for the manufacture and supply of setrusumab to the Company in its territories. The Company is also required to reimburse Ultragenyx for a portion of the manufacturing process development costs as well as future commercial supply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 a party to litigation or subject to claims incident to the ordinary course of business. The Company was not a party to any material litigation and did not have any material contingency reserves established for any liabilities as of September 30, 2025 and December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Related party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three and nine months ended September 30, 2025 and 2024, there were no reportable related party transactions.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one operating segment focused on the business of developing rare disease therapies. The chief operating decision maker, its Chief Executive Officer, assesses performance for the entity and decides how to allocate resources based on consolidated net loss before income tax, which is reported on the condensed consolidated statements of operations and comprehensive loss. The measure of segment assets is reported on the condensed consolidated balance sheet as total consolidated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chief operating decision maker uses consolidated net loss before income tax and budget-to-actual variances for consolidated net loss before income tax to assess the performance of the operating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certain financial data for the Company’s reportable segment, including significant segment expenses regularly provided to the chief operating decision maker to assess performance of the Company.</w:t>
      </w:r>
    </w:p>
    <w:p>
      <w:pPr>
        <w:pStyle w:val="TextBody"/>
        <w:bidi w:val="0"/>
        <w:jc w:val="left"/>
        <w:rPr/>
      </w:pPr>
      <w:r>
        <w:rPr/>
        <w:t> </w:t>
      </w:r>
    </w:p>
    <w:tbl>
      <w:tblPr>
        <w:tblW w:w="8267" w:type="dxa"/>
        <w:jc w:val="left"/>
        <w:tblInd w:w="0" w:type="dxa"/>
        <w:tblLayout w:type="fixed"/>
        <w:tblCellMar>
          <w:top w:w="28" w:type="dxa"/>
          <w:left w:w="28" w:type="dxa"/>
          <w:bottom w:w="28" w:type="dxa"/>
          <w:right w:w="28" w:type="dxa"/>
        </w:tblCellMar>
      </w:tblPr>
      <w:tblGrid>
        <w:gridCol w:w="3091"/>
        <w:gridCol w:w="146"/>
        <w:gridCol w:w="211"/>
        <w:gridCol w:w="631"/>
        <w:gridCol w:w="166"/>
        <w:gridCol w:w="146"/>
        <w:gridCol w:w="211"/>
        <w:gridCol w:w="736"/>
        <w:gridCol w:w="166"/>
        <w:gridCol w:w="146"/>
        <w:gridCol w:w="211"/>
        <w:gridCol w:w="736"/>
        <w:gridCol w:w="166"/>
        <w:gridCol w:w="146"/>
        <w:gridCol w:w="211"/>
        <w:gridCol w:w="736"/>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recognized by the Company during the three and nine months ended September 30, 2025 was attributable to its operations in the U.K.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segment items consist of interest income, interest expense, change in fair value of warrants, foreign currency transaction gain/(loss), benefit from research and development tax credit and other income. These are disclosed in the condensed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2024, included in our 2024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2024 Annual Report, our actual results could differ materially from the results described in, or implied by, these forward-looking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biopharmaceutical company focused on the development of innovative therapeutics for rare diseases. We have developed a portfolio of late-stage clinical product candidates. Our two rare disease product candidates are setrusumab for the treatment of OI and alvelestat for the treatment of severe alpha-1 antitrypsin deficiency-associated lung disease (AATD-LD). Setrusumab has received orphan designation for OI from the European Commission ("EC") and the U.S. Food and Drug Administration ("FDA"), PRIME designation from the European Medicines Agency ("EMA") and has Breakthrough Therapy designation and rare pediatric disease designation from the FDA. Alvelestat has received orphan designation for AATD from the EC and the FDA, and Fast Track designation for the treatment of AATD-LD from the FDA. We also have an early stage rare disease program, vantictumab, for the treatment of a second bone disease, autosomal dominant osteopetrosis type 2. The global development of vantictumab is being funded and led by our partner, āshibio, Inc. ("āshibio"), and we retain the European commercial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our merger with Mereo BioPharma 5, Inc. (formerly OncoMed Pharmaceuticals, Inc.) in 2019. We have successfully completed large, randomized Phase 2 clinical trials for four of our product candidates and the Phase 1b portion of a Phase 1b/2 for a fifth product candidate.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Mereo’s results of operations for the three months ended September 30,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30"/>
        <w:gridCol w:w="146"/>
        <w:gridCol w:w="273"/>
        <w:gridCol w:w="955"/>
        <w:gridCol w:w="215"/>
        <w:gridCol w:w="189"/>
        <w:gridCol w:w="273"/>
        <w:gridCol w:w="955"/>
        <w:gridCol w:w="166"/>
        <w:gridCol w:w="146"/>
        <w:gridCol w:w="211"/>
        <w:gridCol w:w="631"/>
        <w:gridCol w:w="415"/>
      </w:tblGrid>
      <w:tr>
        <w:trPr/>
        <w:tc>
          <w:tcPr>
            <w:tcW w:w="5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gain/(loss),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(7,024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(9,291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(1,464</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 (“R&amp;D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R&amp;D expenses by product development program for the three months ended September 30, 2025 and 2024.</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2596"/>
        <w:gridCol w:w="146"/>
        <w:gridCol w:w="347"/>
        <w:gridCol w:w="941"/>
        <w:gridCol w:w="240"/>
        <w:gridCol w:w="240"/>
        <w:gridCol w:w="347"/>
        <w:gridCol w:w="941"/>
        <w:gridCol w:w="146"/>
        <w:gridCol w:w="146"/>
        <w:gridCol w:w="152"/>
        <w:gridCol w:w="599"/>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R&amp;D expenses increased by $1.1 million, from $3.2 million in the three months ended September 30, 2024 to $4.3 million in the three months ended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was primarily due to increases of $0.9 million in R&amp;D expenses for setrusumab and $0.5 million for alvelestat, partially offset by a reduction of $0.2 million in R&amp;D expenses for etigilimab.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program expenses for alvelestat was primarily due to activities undertaken in preparation for the Phase 3 study, including drug product and packaging, in the three months ended September 30, 2025.</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$0.2 million, from $6.2 million in the three months ended September 30, 2024 to $6.0 million in the three months ended September 30, 2025. The decrease was primarily due to lower professional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also includes $0.8 million in the three months ended September 30, 2025 of pre-commercial activities to lay the foundation for the potential commercial launch of setrusumab in Europe, if approved, including those to support pricing and reimbursement by HTA authorities and payor decision-makers in Europe.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income of $0.3 million for the nine months ended September 30, 2025 comprised amounts received from āshibio in connection with the out-licensing of vantictumab, which was acquired in connection with the merger between the Company and Mereo BioPharma 5, Inc.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 and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$0.5 million, from $1.0 million in the three months ended September 30, 2024 to $0.5 million in the three months ended September 30, 2025, principally due to a combination of lower interest rates earned and lower average cash and cash equivalents balances in the three months ended September 30, 2025 compared to the three months ended September 30, 2024. These lower balances were the result of having received the net proceeds of $46.2 million from the underwritten registered direct offering in June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decreased by $0.3 million, from $0.4 million in the three months ended September 30, 2024 to less than $0.1 million in the three months ended September 30, 2025. The decrease was principally due to the conversion of convertible loan notes in February 2025, following which the Company had no significant remaining interest-bearing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fair value of warrants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change in fair value of warrants in the three months ended September 30, 2025 was an unrealized gain of $0.2 million, compared to an unrealized loss of $0.1 million in the three months ended September 30, 2024. The unrealized gain in the three months ended September 30, 2025 was primarily due to the impact of decreases in the price of the Company’s ADSs on the value of the warrant liabilities, while the unrealized loss in the three months ended September 30, 2024 was primarily due to increases in the price of ADSs.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transaction gain/(loss),net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foreign exchange gain for the three months ended September 30, 2025 was $1.9 million, compared to a loss of $6.4 million for the three months ended September 30, 2024. This change primarily reflects the impact of a strengthening in the value of U.S. dollars when translating U.S. dollar balances into our functional currency of pound sterling in the three months ended September 30, 2025, compared to a weakening of U.S. dollars in the three months ended September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 from research and development tax credit increased by $0.2 million, from $0.2 million in the three months ended September 30, 2024 to $0.4 million in the three months ended September 30, 2025. This increase reflects a higher level of qualifying expenditure in the three months ended September 30, 2025. The income tax benefit represents eligible cash rebates paid or receivable from the tax authorities in the jurisdictions within which the Company operates for eligible types of research and development activities and associated expenditure.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comprehensive income </w:t>
      </w:r>
      <w:r>
        <w:rPr>
          <w:rFonts w:ascii="Times New Roman" w:hAnsi="Times New Roman"/>
          <w:color w:val="000000"/>
          <w:sz w:val="20"/>
        </w:rPr>
        <w:t xml:space="preserve">– </w:t>
      </w:r>
      <w:r>
        <w:rPr>
          <w:rFonts w:ascii="Times New Roman" w:hAnsi="Times New Roman"/>
          <w:i/>
          <w:color w:val="000000"/>
          <w:sz w:val="20"/>
        </w:rPr>
        <w:t>Foreign currency translation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foreign currency translation adjustment for the three months ended September 30, 2025 was a loss of $2.3 million, compared to a gain of $7.2 million in the three months ended September 30, 2024. This change primarily reflects the impact of a strengthening in the value of U.S. dollars when translating pound sterling functional currency balances into our presentational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currency of U.S. dollars in the three months ended September 30, 2025, compared to a weakening of U.S. dollars in the three months ended September 30,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nine months ended September 30, 2025 and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Mereo’s results of operations for the nine months ended September 30, 2025 and 2024.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3"/>
        <w:gridCol w:w="146"/>
        <w:gridCol w:w="211"/>
        <w:gridCol w:w="736"/>
        <w:gridCol w:w="166"/>
        <w:gridCol w:w="146"/>
        <w:gridCol w:w="211"/>
        <w:gridCol w:w="736"/>
        <w:gridCol w:w="166"/>
        <w:gridCol w:w="146"/>
        <w:gridCol w:w="146"/>
        <w:gridCol w:w="631"/>
        <w:gridCol w:w="411"/>
      </w:tblGrid>
      <w:tr>
        <w:trPr/>
        <w:tc>
          <w:tcPr>
            <w:tcW w:w="6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 Foreign 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of $0.5 million for the nine months ended September 30, 2025 comprised a one-time milestone payment of $0.5 million resulting from the achievement of a clinical milestone on leflutrozole received from ReproNovo pursuant to the ReproNovo Licensing Agreement. No revenue was recognized for the nine months ended September 30,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revenue for the nine months ended September 30, 2025 was $0.1 million and represents amounts paid pursuant to the 2015 asset purchase agreement with Novartis for leflutrozole, under which the Company pays a percentage of proceeds resulting from milestone revenue received, subject to certain deductions and other amounts. No cost of revenue was recognized for the nine months ended September 30, 2024. </w:t>
      </w:r>
    </w:p>
    <w:p>
      <w:pPr>
        <w:pStyle w:val="TextBody"/>
        <w:bidi w:val="0"/>
        <w:spacing w:before="240" w:after="283"/>
        <w:jc w:val="left"/>
        <w:rPr>
          <w:rFonts w:ascii="Times New Roman" w:hAnsi="Times New Roman"/>
          <w:sz w:val="20"/>
        </w:rPr>
      </w:pPr>
      <w:r>
        <w:rPr>
          <w:rFonts w:ascii="Times New Roman" w:hAnsi="Times New Roman"/>
          <w:i/>
          <w:color w:val="000000"/>
          <w:sz w:val="20"/>
        </w:rPr>
        <w:t>R&amp;D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our R&amp;D expenses by product development program for the nine months ended September 30, 2025 and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106" w:type="dxa"/>
        <w:jc w:val="left"/>
        <w:tblInd w:w="0" w:type="dxa"/>
        <w:tblLayout w:type="fixed"/>
        <w:tblCellMar>
          <w:top w:w="28" w:type="dxa"/>
          <w:left w:w="28" w:type="dxa"/>
          <w:bottom w:w="28" w:type="dxa"/>
          <w:right w:w="28" w:type="dxa"/>
        </w:tblCellMar>
      </w:tblPr>
      <w:tblGrid>
        <w:gridCol w:w="2596"/>
        <w:gridCol w:w="146"/>
        <w:gridCol w:w="146"/>
        <w:gridCol w:w="300"/>
        <w:gridCol w:w="962"/>
        <w:gridCol w:w="207"/>
        <w:gridCol w:w="207"/>
        <w:gridCol w:w="300"/>
        <w:gridCol w:w="962"/>
        <w:gridCol w:w="146"/>
        <w:gridCol w:w="146"/>
        <w:gridCol w:w="146"/>
        <w:gridCol w:w="63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R&amp;D expenses increased by $1.5 million, from $12.1 million in the nine months ended September 30, 2024 to $13.6 million in the nine months ended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was primarily due to an increase of $4.4 million in R&amp;D expenses for setrusumab, partially offset by decreases of $2.3 million and $0.6 million in R&amp;D expenses for alvelestat and etigilimab,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increase in program expenses for setrusumab was primarily driven by amounts due under the manufacturing and supply agreement with our partner, Ultragenyx, as well as ongoing activities related to real-world evidence programs and medical affairs activities in Europe. This is in addition to costs we incur in relation to our collaboration with Ultragenyx, who fund the global development of the program, including input into development, regulatory and manufacturing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program expenses for alvelestat was primarily due to the completion of activities undertaken in preparation for the Phase 3 study, including drug formulation and manufacturing, in the nine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$1.2 million, from $20.0 million in the nine months ended September 30, 2024 to $18.8 million in the nine months ended September 30, 2025. The decrease was primarily due to lower professional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also includes $3.2 million in the nine months ended September 30, 2025 of pre-commercial activities to lay the foundation for the potential commercial launch of setrusumab in Europe, if approved, including those to support pricing and reimbursement by HTA authorities and payor decision-makers in Europe.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of $0.3 million for the nine months ended September 30, 2025 comprised amounts received from āshibio in connection with the out-licensing of vantictumab, which was acquired in connection with the merger between the Company and Mereo BioPharma 5, Inc.</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income and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$0.4 million, from $2.2 million in the nine months ended September 30, 2024 to $1.8 million in the nine months ended September 30, 2025, principally due to a combination of lower interest rates earned and lower average cash and cash equivalents balances in the three months ended September 30, 2025 compared to the three months ended September 30, 2024. These lower balances were the result of having received the net proceeds of $46.2 million from the underwritten registered direct offering in June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decreased by $0.8 million, from $1.0 million in the nine months ended September 30, 2024 to $0.2 million in the nine months ended September 30, 2025. The decrease was principally due to the conversion of convertible loan notes in February 2025, following which the Company had no significant remaining interest-bearing liabilities.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fair value of warrants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total change in fair value of warrants in the nine months ended September 30, 2025 was an unrealized gain of $0.5 million, compared to an unrealized loss of $0.6 million in the nine months ended September 30, 2024. The unrealized gain in the nine months ended September 30, 2025 was primarily due to the impact of decreases in the price of the Company’s ADSs on the value of the warrant liabilities, while the unrealized loss in the nine months ended September 30, 2024 was primarily due to increases in the price of ADSs.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transaction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foreign exchange loss for the nine months ended September 30, 2025 was $6.2 million, compared to a loss of $5.8 million for the nine months ended September 30, 2024. This change primarily reflects the impact of a greater weakening in the value of U.S. dollars when translating U.S. dollar balances into our functional currency of pound sterling in the nine months ended September 30, 2025 compared to the nine months ended September 30, 2024.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benefit from research and development tax credit increased by $0.3 million, from $1.1 million in the nine months ended September 30, 2024 to $1.4 million in the nine months ended September 30, 2025. This increase reflects a higher level of qualifying expenditure in the nine months ended September 30, 2025. The income tax benefit represents eligible cash rebates paid or receivable from the tax authorities in the jurisdictions within which the Company operates for eligible types of research and development activities and associated expenditure.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comprehensive income </w:t>
      </w:r>
      <w:r>
        <w:rPr>
          <w:rFonts w:ascii="Times New Roman" w:hAnsi="Times New Roman"/>
          <w:color w:val="000000"/>
          <w:sz w:val="20"/>
        </w:rPr>
        <w:t xml:space="preserve">– </w:t>
      </w:r>
      <w:r>
        <w:rPr>
          <w:rFonts w:ascii="Times New Roman" w:hAnsi="Times New Roman"/>
          <w:i/>
          <w:color w:val="000000"/>
          <w:sz w:val="20"/>
        </w:rPr>
        <w:t>Foreign currency translation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for the nine months ended September 30, 2025 was a gain of $7.9 million, compared to a gain of $6.4 million in the nine months ended September 30, 2024. This change primarily reflects the impact of a greater weakening in the value of U.S. dollars when translating pound sterling functional currency balances into our presentational currency of U.S. dollars in the nine months ended September 30, 2025 compared to the nine months ended September 30, 2024.</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 or other 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$259.0 million, including through the $50.0 million underwritten registered direct offering in June 2024 and the $12.0 million “at-the-market” offering pursuant to our Open Market Sale Agreement with Jefferies LLC in July 2023 (all amounts are gross proceeds before fees and discounts).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received payments under various license and collaboration agreements, including payments 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$50.0 million under the license and collaboration agreement with Ultragenyx for setrusumab in 2021 and a further milestone payment of $9.0 million in 2023;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$4.0 million under the license and collaboration agreement with Feng Biosciences (formerly OncXerna) for navicixizumab in 2020 and a further milestone payment of $2.0 million in 2022;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 million under the global license agreement with ReproNovo for leflutrozole in December 2023 and a further milestone payment of $0.5 million in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further described in our 2024 Annual Report, under “Item 1. Business—Material Agreements—Novartis Agreements” (as updated in Note 16 to the condensed consolidated financial statements included in this Quarterly Report) and “Item 1. Business—Material Agreements—Licensing Agreement with AstraZeneca,” under various agreements with Novartis and AstraZeneca, we have agreed to make milestone payments and pay royalties on potential future commercial sales. The amount, timing, and likelihood of such payments are not known and will remain uncertain for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enter into contracts in the ordinary course of business with CROs, CMOs, and other vendors, including Ultragenyx for the manufacture of setrusumab as described in our 2024 Annual Report in “Item 1. Business—Material Agreements—Agreements with Ultragenyx for Setrusumab”,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$0.1 million and $0.5 million as of September 30, 2025 and December 31, 2024,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the nine months ended September 30, 2025 and 2024</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our cash flows (used in)/provided by operating, investing and financing activities for the nine months ended September 30, 2025 and 2024.</w:t>
      </w:r>
    </w:p>
    <w:p>
      <w:pPr>
        <w:pStyle w:val="TextBody"/>
        <w:bidi w:val="0"/>
        <w:jc w:val="left"/>
        <w:rPr/>
      </w:pPr>
      <w:r>
        <w:rPr/>
        <w:t> </w:t>
      </w:r>
    </w:p>
    <w:tbl>
      <w:tblPr>
        <w:tblW w:w="7452" w:type="dxa"/>
        <w:jc w:val="left"/>
        <w:tblInd w:w="0" w:type="dxa"/>
        <w:tblLayout w:type="fixed"/>
        <w:tblCellMar>
          <w:top w:w="28" w:type="dxa"/>
          <w:left w:w="28" w:type="dxa"/>
          <w:bottom w:w="28" w:type="dxa"/>
          <w:right w:w="28" w:type="dxa"/>
        </w:tblCellMar>
      </w:tblPr>
      <w:tblGrid>
        <w:gridCol w:w="4096"/>
        <w:gridCol w:w="146"/>
        <w:gridCol w:w="287"/>
        <w:gridCol w:w="1001"/>
        <w:gridCol w:w="225"/>
        <w:gridCol w:w="198"/>
        <w:gridCol w:w="287"/>
        <w:gridCol w:w="1001"/>
        <w:gridCol w:w="2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(Decrease)/increase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(21,104</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Net cash used in operating activities for the nine months ended September 30, 2025 was $23.3 million, a decrease of $0.1 million from $23.4 million in the nine months ended September 30, 2024.</w:t>
      </w:r>
      <w:r>
        <w:rPr>
          <w:rFonts w:ascii="Times New Roman" w:hAnsi="Times New Roman"/>
          <w:color w:val="363435"/>
          <w:sz w:val="20"/>
        </w:rPr>
        <w:t xml:space="preserve"> </w:t>
      </w:r>
      <w:r>
        <w:rPr>
          <w:rFonts w:ascii="Times New Roman" w:hAnsi="Times New Roman"/>
          <w:color w:val="000000"/>
          <w:sz w:val="20"/>
        </w:rPr>
        <w:t>This decrease is principally due 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$3.3 million in R&amp;D tax credits in the nine months ended September 30, 2025;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a $0.5 million one-time milestone payment in the nine months ended September 30, 2025 for the achievement of a clinical milestone on leflutrozole in the six months ended June 30, 2025, net of $0.1 million paid to Novartis.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decreases were offset by receipt of $2.0 million from a claim on our Directors and Officers insurance policy to reimburse us for certain legal and professional costs incurred in prior years in the nine months ended September 30, 2024 with no similar amounts recognized in the nine months ended September 30, 2025 and higher net cash operating payments of approximately $1.6 million.</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nine months ended September 30, 2025 was less than $0.1 million, a decrease of $0.7 million from $0.7 million in the nine months ended September 30, 2024. The decrease is principally due to lower payments to acquire intangible assets and proceeds from out-licensing of vantictumab in the nine months ended September 30, 2025.</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nine months ended September 30, 2025 was $0.3 million, a decrease of $45.9 million from $46.2 million in the nine months ended September 30, 2024. The decrease primarily represents the net proceeds of $46.2 million from the underwritten registered direct offering in the nine months ended September 30, 2024 with no similar financing activities in the nine months ended September 30, 2025.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and Capital Expenditure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we had an accumulated deficit of $493.7 million. We expect to continue to report significant operating losses for the foreseeable future as we continue our research and development efforts and seek to obtain regulatory approval of our product candidates and any future product candidates we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costs will increase further if we: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regulatory approvals for any of our product candidates that successfully complete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establish a sales, marketing, and distribution infrastructure and scale-up manufacturing capabilities to commercialize or co-commercialize any product candidates for which we may obtain regulatory approval and chose to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intellectual property portfolio;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further clinical, scientific, operational, financial, legal and management information systems, and personnel, including personnel to support our development, potential commercialization and to support our operations as a U.S. public company listed on Nasdaq;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any delays or encounter any issues from any of the above, including but not limited to failed studies, complex results, safety issues, manufacturing issues, or other regulatory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for our activities related to our ongoing collaboration with Ultragenyx for setrusumab for the treatment of children and adults with OI, including the costs for our preparation for the potential commercialization of setrusumab, if approved, in Europe and the U.K; and potential future costs for the alvelestat program in AATD;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clinical or commercial supplies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including post-marketing studies that could be required by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potential future commercialization activities, including manufacturing, marketing, sales, life cycle management and distribution, for our product candidates that we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amount of revenue, if any, received from commercial sales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competitors and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of our collaborators and partners under the existing agreements on setrusumab, vantictumab, leflutrozole and navicixizumab;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are able to acquire new product candidates or enter into licensing or collaboration arrangements for our product candidates, although we currently have no commitments or agreements to complete any such transactions;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milestone payments under the Amended AstraZeneca Agreements;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liabilities or other assessments and our ability to claim R&amp;D tax credits or other reliefs.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are prepared in accordance with U.S. GAAP. The preparation of these unaudited condensed consolidated financial statements requires us to make estimates and assumptions that affect the reported amounts of assets, liabilities,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significant accounting policies are described under the heading “Management’s Discussion and Analysis of Financial Condition and Results of Operations—Critical Accounting Estimates” in our 2024 Annual Report, which was filed with the SEC on March 26, 2025.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estimates from those described in our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recent accounting pronouncements, changes in accounting pronouncements or recently adopted accounting guidance other than those previously included in the 2024 Annual Report that are of significance or potential significance to the Company. The Company is continuing to evaluate the impact of the recently issued pronouncements that are effective in future periods and were discussed in its 2024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Safe Harbor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the section titled “Information Regarding Forward-Looking Statements” at the beginning of this Quarterly Report.</w:t>
      </w:r>
    </w:p>
    <w:p>
      <w:pPr>
        <w:pStyle w:val="TextBody"/>
        <w:bidi w:val="0"/>
        <w:spacing w:before="240" w:after="283"/>
        <w:jc w:val="left"/>
        <w:rPr>
          <w:rFonts w:ascii="Times New Roman" w:hAnsi="Times New Roman"/>
          <w:sz w:val="20"/>
        </w:rPr>
      </w:pPr>
      <w:bookmarkStart w:id="10" w:name="item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“smaller reporting company” as defined by Item 10 of Regulation S-K, we are not required to provide information required by this Item.</w:t>
      </w:r>
    </w:p>
    <w:p>
      <w:pPr>
        <w:pStyle w:val="TextBody"/>
        <w:bidi w:val="0"/>
        <w:spacing w:before="240" w:after="283"/>
        <w:jc w:val="left"/>
        <w:rPr>
          <w:rFonts w:ascii="Times New Roman" w:hAnsi="Times New Roman"/>
          <w:b/>
          <w:color w:val="000000"/>
          <w:sz w:val="20"/>
        </w:rPr>
      </w:pPr>
      <w:bookmarkStart w:id="11" w:name="item4_controls_and_procedure"/>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September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such evaluation, our Chief Executive Officer and Chief Financial Officer have concluded that our disclosure controls and procedures were effective at September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changes in our internal control over financial reporting (as defined in Rules 13a-15(e) and 15d – 15(e) under the Exchange Act) occurred during the three months ended September 30,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color w:val="000000"/>
          <w:sz w:val="20"/>
        </w:rPr>
      </w:pPr>
      <w:bookmarkStart w:id="12" w:name="part_ii_other_information"/>
      <w:bookmarkEnd w:id="12"/>
      <w:r>
        <w:rPr>
          <w:rFonts w:ascii="Times New Roman" w:hAnsi="Times New Roman"/>
          <w:color w:val="000000"/>
          <w:sz w:val="20"/>
        </w:rPr>
        <w:t>PART II – OTHER INFORMATION</w:t>
      </w:r>
    </w:p>
    <w:p>
      <w:pPr>
        <w:pStyle w:val="TextBody"/>
        <w:bidi w:val="0"/>
        <w:spacing w:before="240" w:after="283"/>
        <w:jc w:val="left"/>
        <w:rPr>
          <w:rFonts w:ascii="Times New Roman" w:hAnsi="Times New Roman"/>
          <w:b/>
          <w:color w:val="000000"/>
          <w:sz w:val="20"/>
        </w:rPr>
      </w:pPr>
      <w:bookmarkStart w:id="13" w:name="item1_legal_proceeding"/>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we were not a party to any material legal proceedings.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4" w:name="item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material changes from the risk factors previously disclosed in the Company’s 2024 Annual Report. </w:t>
      </w:r>
    </w:p>
    <w:p>
      <w:pPr>
        <w:pStyle w:val="TextBody"/>
        <w:bidi w:val="0"/>
        <w:spacing w:before="240" w:after="283"/>
        <w:jc w:val="left"/>
        <w:rPr>
          <w:rFonts w:ascii="Times New Roman" w:hAnsi="Times New Roman"/>
          <w:b/>
          <w:color w:val="000000"/>
          <w:sz w:val="20"/>
        </w:rPr>
      </w:pPr>
      <w:bookmarkStart w:id="15" w:name="item2_unregistered"/>
      <w:bookmarkEnd w:id="15"/>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3_default"/>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7" w:name="item4_mine"/>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period ended September 30, 2025, none of our directors or officers adopted, modified or terminated a “Rule 10b5-1 trading arrangement” or a “non-Rule 10b5-1 trading arrangement” as such terms are defined in Item 408(a) of Regulation S-K.</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either provided with this Quarterly Report on Form 10-Q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146"/>
        <w:gridCol w:w="9225"/>
      </w:tblGrid>
      <w:tr>
        <w:trPr/>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3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2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1_1.htm">
              <w:r>
                <w:rPr>
                  <w:rStyle w:val="InternetLink"/>
                  <w:rFonts w:ascii="Times New Roman" w:hAnsi="Times New Roman"/>
                  <w:color w:val="0000FF"/>
                  <w:sz w:val="20"/>
                  <w:u w:val="single"/>
                </w:rPr>
                <w:t>Certification of Chief Executive Officer pursuant to Rule 13a-14(a) and Rule 15d-14(a) of the Securities Exchange Act of 1934, as adopted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1_2.htm">
              <w:r>
                <w:rPr>
                  <w:rStyle w:val="InternetLink"/>
                  <w:rFonts w:ascii="Times New Roman" w:hAnsi="Times New Roman"/>
                  <w:color w:val="0000FF"/>
                  <w:sz w:val="20"/>
                  <w:u w:val="single"/>
                </w:rPr>
                <w:t>Certification of Chief Financial Officer pursuant to Rule 13a-14(a) and Rule 15d-14(a) of the Securities Exchange Act of 1934, as adopted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mre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Instance Document - the instance document does not appear in the Interactive Data File because its XBRL tags are embedded within the Inline XBRL document.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cover page for the Company's Quarterly Report on Form 10-Q has been formatted in Inline XBRL and contained in Exhibit 101</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 on November 10, 2025.</w:t>
      </w:r>
    </w:p>
    <w:p>
      <w:pPr>
        <w:pStyle w:val="TextBody"/>
        <w:bidi w:val="0"/>
        <w:jc w:val="left"/>
        <w:rPr/>
      </w:pPr>
      <w:r>
        <w:rPr/>
        <w:t> </w:t>
      </w:r>
    </w:p>
    <w:tbl>
      <w:tblPr>
        <w:tblW w:w="5486" w:type="dxa"/>
        <w:jc w:val="left"/>
        <w:tblInd w:w="0" w:type="dxa"/>
        <w:tblLayout w:type="fixed"/>
        <w:tblCellMar>
          <w:top w:w="28" w:type="dxa"/>
          <w:left w:w="28" w:type="dxa"/>
          <w:bottom w:w="28" w:type="dxa"/>
          <w:right w:w="28" w:type="dxa"/>
        </w:tblCellMar>
      </w:tblPr>
      <w:tblGrid>
        <w:gridCol w:w="2350"/>
        <w:gridCol w:w="3136"/>
      </w:tblGrid>
      <w:tr>
        <w:trPr/>
        <w:tc>
          <w:tcPr>
            <w:tcW w:w="2350"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MEREO BIOPHARMA GROUP PLC</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35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Date: November 10, 2025</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Denise Scots-Knight</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235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Date: November 10, 2025</w:t>
            </w:r>
          </w:p>
        </w:tc>
        <w:tc>
          <w:tcPr>
            <w:tcW w:w="3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Christine Fox</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2350" w:type="dxa"/>
            <w:tcBorders/>
            <w:tcMar>
              <w:top w:w="0" w:type="dxa"/>
              <w:left w:w="0" w:type="dxa"/>
              <w:bottom w:w="0" w:type="dxa"/>
              <w:right w:w="0" w:type="dxa"/>
            </w:tcMar>
            <w:vAlign w:val="center"/>
          </w:tcPr>
          <w:p>
            <w:pPr>
              <w:pStyle w:val="TableContents"/>
              <w:bidi w:val="0"/>
              <w:spacing w:before="0" w:after="283"/>
              <w:jc w:val="left"/>
              <w:rPr/>
            </w:pPr>
            <w:r>
              <w:rPr/>
              <w:t> </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both"/>
        <w:rPr/>
      </w:pPr>
      <w:bookmarkStart w:id="21" w:name="mreo-ex31_1.htm"/>
      <w:bookmarkStart w:id="22" w:name="ksmre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b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Denise Scots-Knight, certify that:</w:t>
      </w:r>
    </w:p>
    <w:tbl>
      <w:tblPr>
        <w:tblW w:w="8597" w:type="dxa"/>
        <w:jc w:val="left"/>
        <w:tblInd w:w="0" w:type="dxa"/>
        <w:tblLayout w:type="fixed"/>
        <w:tblCellMar>
          <w:top w:w="28" w:type="dxa"/>
          <w:left w:w="28" w:type="dxa"/>
          <w:bottom w:w="28" w:type="dxa"/>
          <w:right w:w="28" w:type="dxa"/>
        </w:tblCellMar>
      </w:tblPr>
      <w:tblGrid>
        <w:gridCol w:w="271"/>
        <w:gridCol w:w="8326"/>
      </w:tblGrid>
      <w:tr>
        <w:trPr/>
        <w:tc>
          <w:tcPr>
            <w:tcW w:w="27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10, 2025</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both"/>
        <w:rPr/>
      </w:pPr>
      <w:r>
        <w:rPr/>
        <w:t> </w:t>
      </w:r>
    </w:p>
    <w:p>
      <w:pPr>
        <w:pStyle w:val="TextBody"/>
        <w:bidi w:val="0"/>
        <w:spacing w:before="0" w:after="240"/>
        <w:jc w:val="both"/>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3" w:name="mreo-ex31_2.htm"/>
      <w:bookmarkStart w:id="24" w:name="ksmre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Fox, certify that:</w:t>
      </w:r>
    </w:p>
    <w:tbl>
      <w:tblPr>
        <w:tblW w:w="8597" w:type="dxa"/>
        <w:jc w:val="left"/>
        <w:tblInd w:w="0" w:type="dxa"/>
        <w:tblLayout w:type="fixed"/>
        <w:tblCellMar>
          <w:top w:w="28" w:type="dxa"/>
          <w:left w:w="28" w:type="dxa"/>
          <w:bottom w:w="28" w:type="dxa"/>
          <w:right w:w="28" w:type="dxa"/>
        </w:tblCellMar>
      </w:tblPr>
      <w:tblGrid>
        <w:gridCol w:w="271"/>
        <w:gridCol w:w="8326"/>
      </w:tblGrid>
      <w:tr>
        <w:trPr/>
        <w:tc>
          <w:tcPr>
            <w:tcW w:w="271" w:type="dxa"/>
            <w:tcBorders/>
            <w:vAlign w:val="center"/>
          </w:tcPr>
          <w:p>
            <w:pPr>
              <w:pStyle w:val="TableContents"/>
              <w:bidi w:val="0"/>
              <w:spacing w:before="0" w:after="283"/>
              <w:jc w:val="left"/>
              <w:rPr>
                <w:sz w:val="4"/>
                <w:szCs w:val="4"/>
              </w:rPr>
            </w:pPr>
            <w:r>
              <w:rPr>
                <w:sz w:val="4"/>
                <w:szCs w:val="4"/>
              </w:rPr>
            </w:r>
          </w:p>
        </w:tc>
        <w:tc>
          <w:tcPr>
            <w:tcW w:w="83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quarterly report on Form 10-Q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10, 2025</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3"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Christine Fox</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5" w:name="mreo-ex32_1.htm"/>
      <w:bookmarkStart w:id="26" w:name="ksmre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Mereo BioPharma Group plc (the “Company”) on Form 10-Q for the quarterly period ended September 30, 2025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10, 2025</w:t>
      </w:r>
    </w:p>
    <w:tbl>
      <w:tblPr>
        <w:tblW w:w="2863" w:type="dxa"/>
        <w:jc w:val="left"/>
        <w:tblInd w:w="0" w:type="dxa"/>
        <w:tblLayout w:type="fixed"/>
        <w:tblCellMar>
          <w:top w:w="28" w:type="dxa"/>
          <w:left w:w="28" w:type="dxa"/>
          <w:bottom w:w="28" w:type="dxa"/>
          <w:right w:w="28" w:type="dxa"/>
        </w:tblCellMar>
      </w:tblPr>
      <w:tblGrid>
        <w:gridCol w:w="646"/>
        <w:gridCol w:w="146"/>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7" w:name="mreo-ex32_2.htm"/>
      <w:bookmarkStart w:id="28" w:name="ksmreo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Mereo BioPharma Group plc (the “Company”) on Form 10-Q for the quarterly period ended September 30, 2025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10, 2025</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Christine Fox</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14916</Words>
  <Characters>81823</Characters>
  <CharactersWithSpaces>98019</CharactersWithSpaces>
  <Paragraphs>5777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