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Mereo Biopharma Group plc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American Depositary Shares, each representing five 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589492107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8</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589492107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Capital, LLC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4,082,576*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38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20,412,883 Ordinary Shares, the equivalent of 4,082,576 ADS, that Boxer Capital has the right to acquire pursuant to a warrant to purchase Ordinary Shares (the “Boxer Warrant”) issued in connection with the private placement as described in the Issuer’s press release on June 4, 2020 (the “Private Placement”).</w:t>
      </w:r>
    </w:p>
    <w:p>
      <w:pPr>
        <w:spacing w:after="0" w:line="3" w:lineRule="exact"/>
        <w:rPr>
          <w:sz w:val="20"/>
          <w:szCs w:val="20"/>
          <w:color w:val="auto"/>
        </w:rPr>
      </w:pPr>
    </w:p>
    <w:p>
      <w:pPr>
        <w:ind w:left="424" w:right="20" w:hanging="424"/>
        <w:spacing w:after="0" w:line="273"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ectPr>
          <w:pgSz w:w="11900" w:h="16838" w:orient="portrait"/>
          <w:cols w:equalWidth="0" w:num="1">
            <w:col w:w="11024"/>
          </w:cols>
          <w:pgMar w:left="436" w:top="274"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 of 8</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589492107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Asset Management Inc.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Bahamas</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4,082,576*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40"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20,412,883 Ordinary Shares, the equivalent of 4,082,576 ADS, that Boxer Capital has the right to acquire pursuant to the Boxer Warrant.</w:t>
      </w:r>
    </w:p>
    <w:p>
      <w:pPr>
        <w:spacing w:after="0" w:line="1" w:lineRule="exact"/>
        <w:rPr>
          <w:sz w:val="20"/>
          <w:szCs w:val="20"/>
          <w:color w:val="auto"/>
        </w:rPr>
      </w:pPr>
    </w:p>
    <w:p>
      <w:pPr>
        <w:ind w:left="424" w:right="20" w:hanging="424"/>
        <w:spacing w:after="0" w:line="273"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ectPr>
          <w:pgSz w:w="11900" w:h="16838" w:orient="portrait"/>
          <w:cols w:equalWidth="0" w:num="1">
            <w:col w:w="11024"/>
          </w:cols>
          <w:pgMar w:left="436"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 of 8</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589492107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MVA Investors, LLC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518,805*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518,805*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518,805*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2,594,027 Ordinary Shares, the equivalent of 518,805 ADS, that MVA Investors has the right to acquire pursuant to a warrant to</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purchase Ordinary Shares (the “MVA Warrant”) issued in connection with the Private Placement.</w:t>
      </w:r>
    </w:p>
    <w:p>
      <w:pPr>
        <w:spacing w:after="0" w:line="9" w:lineRule="exact"/>
        <w:rPr>
          <w:sz w:val="20"/>
          <w:szCs w:val="20"/>
          <w:color w:val="auto"/>
        </w:rPr>
      </w:pPr>
    </w:p>
    <w:p>
      <w:pPr>
        <w:ind w:left="424" w:right="20" w:hanging="424"/>
        <w:spacing w:after="0" w:line="273"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ectPr>
          <w:pgSz w:w="11900" w:h="16838" w:orient="portrait"/>
          <w:cols w:equalWidth="0" w:num="1">
            <w:col w:w="11024"/>
          </w:cols>
          <w:pgMar w:left="436"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 of 8</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589492107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7"/>
              </w:rPr>
              <w:t>Aaron I. Davis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United States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518,805*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518,805*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518,805*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20" w:hanging="424"/>
        <w:spacing w:after="0" w:line="258"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2,594,027 Ordinary Shares, the equivalent of 518,805 ADS, that MVA Investors has the right to acquire pursuant to a warrant to purchase Ordinary Shares (the “MVA Warrant”) issued in connection with the Private Placement.</w:t>
      </w:r>
    </w:p>
    <w:p>
      <w:pPr>
        <w:spacing w:after="0" w:line="1" w:lineRule="exact"/>
        <w:rPr>
          <w:sz w:val="20"/>
          <w:szCs w:val="20"/>
          <w:color w:val="auto"/>
        </w:rPr>
      </w:pPr>
    </w:p>
    <w:p>
      <w:pPr>
        <w:ind w:left="424" w:right="20" w:hanging="424"/>
        <w:spacing w:after="0" w:line="273"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ectPr>
          <w:pgSz w:w="11900" w:h="16838" w:orient="portrait"/>
          <w:cols w:equalWidth="0" w:num="1">
            <w:col w:w="11024"/>
          </w:cols>
          <w:pgMar w:left="436"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6 of 8</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589492107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Joe Lewis</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4,082,576*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4,082,576*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60" w:hanging="424"/>
        <w:spacing w:after="0" w:line="258"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Comprised of 20,412,883 Ordinary Shares, the equivalent of 4,082,576 ADS, that Boxer Capital has the right to acquire pursuant to the Boxer Warrant.</w:t>
      </w:r>
    </w:p>
    <w:p>
      <w:pPr>
        <w:spacing w:after="0" w:line="1" w:lineRule="exact"/>
        <w:rPr>
          <w:sz w:val="20"/>
          <w:szCs w:val="20"/>
          <w:color w:val="auto"/>
        </w:rPr>
      </w:pPr>
    </w:p>
    <w:p>
      <w:pPr>
        <w:ind w:left="424" w:right="20" w:hanging="424"/>
        <w:spacing w:after="0" w:line="273"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ectPr>
          <w:pgSz w:w="11900" w:h="16838" w:orient="portrait"/>
          <w:cols w:equalWidth="0" w:num="1">
            <w:col w:w="11024"/>
          </w:cols>
          <w:pgMar w:left="436" w:top="274" w:right="439" w:bottom="1440" w:gutter="0" w:footer="0" w:header="0"/>
        </w:sectPr>
      </w:pPr>
    </w:p>
    <w:bookmarkStart w:id="6" w:name="page7"/>
    <w:bookmarkEnd w:id="6"/>
    <w:p>
      <w:pPr>
        <w:ind w:left="10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7 of 8</w:t>
      </w:r>
    </w:p>
    <w:p>
      <w:pPr>
        <w:spacing w:after="0" w:line="18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This Amendment No. 3 (“Amendment No. 3”) amends and supplements the statement on Schedule 13G initially filed on March 2, 2020 (the “Original Filing”) by Boxer Capital, LLC (“Boxer Capital”), Boxer Asset Management Inc. (“Boxer Management”) and Joe Lewis, as amended by Amendment No.1 filed on June 3, 2020 and Amendment No. 2 filed on February 16, 2021. Amendment No. 1 was an original filing for MVA Investors, LLC (“MVA Investors”) and Aaron I. Davis (“Aaron Davis” and, together with Boxer Capital, Boxer Management, Joe Lewis and MVA Investors, the “Reporting Persons”). The Original Filing remains in effect except to the extent that it is amended, restated or superseded by information contained in this Amendment No. 3. Capitalized terms used and not defined in this Amendment No. 3 have the meanings set forth in the Original Filing, as amended.</w:t>
      </w:r>
    </w:p>
    <w:p>
      <w:pPr>
        <w:spacing w:after="0" w:line="30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Boxer Capital, Boxer Management and Joe Lewis beneficially own 20,412,883 Ordinary Shares, the equivalent of 4,082,576 ADS, that Boxer Capital has the right to acquire pursuant to a warrant (the “Boxer Warrant”) issued in connection with the Private Placement. MVA Investors and Aaron Davis beneficially own 2,594,027 Ordinary Shares, the equivalent of 518,805 ADS, that MVA Investors has the right to acquire pursuant to a warrant (the “MVA Warrant”) issued in connection with the Private Placement. The Reporting Persons may be deemed to beneficially own in the aggregate 23,006,910 Ordinary Shares, the equivalent of 4,601,381 ADS.</w:t>
      </w:r>
    </w:p>
    <w:p>
      <w:pPr>
        <w:spacing w:after="0" w:line="18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In the Private Placement, Boxer Capital received a convertible note that is convertible into 1,003,349 Ordinary Shares (the “Boxer Notes”) and MVA Investors received a convertible note that is convertible into 4,184,706 Ordinary Shares (the “MVA Notes”). The conversions of the Boxer Notes and the MVA Notes, as well as the exercises of the Boxer Warrant and the MVA Warrant, are each subject to a beneficial ownership limitation such that no conversion or exercise may occur if it would result in beneficial ownership in excess of 9.99% with respect to the holder and its affiliates.</w:t>
      </w:r>
    </w:p>
    <w:p>
      <w:pPr>
        <w:spacing w:after="0" w:line="15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Boxer Notes and MVA Notes were converted to Ordinary Shares by the Reporting Persons and were subsequently sold during the year ended December 31, 2021.</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Copies of the forms of Boxer Warrant, MVA Warrant, Boxer Note and MVA Note are filed herewith as exhibits and incorporated herein by reference, and any description herein of the Boxer Warrant, MVA Warrant, Boxer Note and MVA Note is qualified in its entirety by reference to the form of warrant or note, as applicable.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The Ordinary Shares beneficially owned by Boxer Capital, Boxer Management and Joe Lewis represent the equivalent of 3.6% of the Issuer’s outstanding ADS. The Ordinary Shares beneficially owned by MVA Investors and Aaron Davis represent the equivalent 0.5% of the Issuer’s outstanding ADS. The number of Ordinary Shares beneficially owned by the Reporting Persons in the aggregate represent the equivalent of 4.1% of the Issuer’s outstanding ADS. All percentages are based on 113,503,434 ADS outstanding, which is the sum of (i) 108,902,053 ADS outstanding as of June 30, 2021, as set forth in the Issuer’s amendment to its registration statement on Form F-3 filed with the SEC on September 27, 2021, (ii) 20,412,883 Ordinary Shares, the equivalent of 4,082,576 ADS, that Boxer Capital has the right to acquire pursuant to the Boxer Warrant and (iii) 2,594,027 Ordinary Shares, the equivalent of 518,805 ADS, that MVA Investors has the right to acquire pursuant to the MVA Warrant.</w:t>
      </w:r>
    </w:p>
    <w:p>
      <w:pPr>
        <w:spacing w:after="0" w:line="58" w:lineRule="exact"/>
        <w:rPr>
          <w:sz w:val="20"/>
          <w:szCs w:val="20"/>
          <w:color w:val="auto"/>
        </w:rPr>
      </w:pPr>
    </w:p>
    <w:p>
      <w:pPr>
        <w:ind w:left="680" w:hanging="24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vote or to direct the vote of any ADS.</w:t>
      </w:r>
    </w:p>
    <w:p>
      <w:pPr>
        <w:sectPr>
          <w:pgSz w:w="11900" w:h="16838" w:orient="portrait"/>
          <w:cols w:equalWidth="0" w:num="1">
            <w:col w:w="11020"/>
          </w:cols>
          <w:pgMar w:left="440" w:top="274"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8 of 8</w:t>
      </w:r>
    </w:p>
    <w:p>
      <w:pPr>
        <w:spacing w:after="0" w:line="158"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jc w:val="both"/>
        <w:ind w:right="380" w:firstLine="1432"/>
        <w:spacing w:after="0" w:line="263" w:lineRule="auto"/>
        <w:rPr>
          <w:sz w:val="20"/>
          <w:szCs w:val="20"/>
          <w:color w:val="auto"/>
        </w:rPr>
      </w:pPr>
      <w:r>
        <w:rPr>
          <w:rFonts w:ascii="Arial" w:cs="Arial" w:eastAsia="Arial" w:hAnsi="Arial"/>
          <w:sz w:val="18"/>
          <w:szCs w:val="18"/>
          <w:color w:val="auto"/>
        </w:rPr>
        <w:t>Boxer Capital, Boxer Management and Joe Lewis have shared power to vote or to direct the vote of the equivalent of 4,082,576 ADS they beneficially own. MVA Investors and Aaron Davis have shared power to vote or to direct the vote of the equivalent of 518,805 ADS they beneficially own.</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None of the Reporting Persons has sole power to dispose or to direct the disposition of any ADS.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right="300" w:firstLine="1432"/>
        <w:spacing w:after="0" w:line="263" w:lineRule="auto"/>
        <w:rPr>
          <w:sz w:val="20"/>
          <w:szCs w:val="20"/>
          <w:color w:val="auto"/>
        </w:rPr>
      </w:pPr>
      <w:r>
        <w:rPr>
          <w:rFonts w:ascii="Arial" w:cs="Arial" w:eastAsia="Arial" w:hAnsi="Arial"/>
          <w:sz w:val="18"/>
          <w:szCs w:val="18"/>
          <w:color w:val="auto"/>
        </w:rPr>
        <w:t>Boxer Capital, Boxer Management and Joe Lewis have shared power to dispose or to direct the disposition of the equivalent of 4,082,576 ADS they beneficially own. MVA Investors and Aaron Davis have shared power to dispose or to direct the disposition of the equivalent of 518,805 ADS they beneficially own.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each Reporting Person:</w:t>
      </w:r>
    </w:p>
    <w:p>
      <w:pPr>
        <w:spacing w:after="0" w:line="225" w:lineRule="exact"/>
        <w:rPr>
          <w:sz w:val="20"/>
          <w:szCs w:val="20"/>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140" w:firstLine="436"/>
        <w:spacing w:after="0" w:line="259"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960" w:right="24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Joint Filing Agreement, dated June 5, 2020, among the Reporting Persons, incorporated herein by reference to Exhibit 1 to the Schedule 13G filed by the Reporting Persons on June 5, 2020.</w:t>
      </w:r>
    </w:p>
    <w:p>
      <w:pPr>
        <w:spacing w:after="0" w:line="76" w:lineRule="exact"/>
        <w:rPr>
          <w:sz w:val="20"/>
          <w:szCs w:val="20"/>
          <w:color w:val="auto"/>
        </w:rPr>
      </w:pPr>
    </w:p>
    <w:p>
      <w:pPr>
        <w:ind w:left="960" w:right="30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Form of Convertible Loan Note Instrument, dated June 3, 2020, relating to Mereo BioPharma Group PLC, incorporated by reference to Exhibit 10.3 to the Form 6-K filed by the Issuer on June 5, 2020.</w:t>
      </w:r>
    </w:p>
    <w:p>
      <w:pPr>
        <w:spacing w:after="0" w:line="76" w:lineRule="exact"/>
        <w:rPr>
          <w:sz w:val="20"/>
          <w:szCs w:val="20"/>
          <w:color w:val="auto"/>
        </w:rPr>
      </w:pPr>
    </w:p>
    <w:p>
      <w:pPr>
        <w:ind w:left="960" w:right="26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Warrant Instrument, dated June 3, 2020, relating to Mereo BioPharma Group PLC, incorporated by reference to Exhibit 10.4 to the Form 6-K filed by the Issuer on June 5, 2020.</w:t>
      </w:r>
    </w:p>
    <w:p>
      <w:pPr>
        <w:sectPr>
          <w:pgSz w:w="11900" w:h="16838" w:orient="portrait"/>
          <w:cols w:equalWidth="0" w:num="1">
            <w:col w:w="11020"/>
          </w:cols>
          <w:pgMar w:left="440" w:top="274" w:right="4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68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885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I. Davis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625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250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Callender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C. Lewis, Individually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68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885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I. Davis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3"/>
    </w:lvl>
    <w:lvl w:ilvl="1">
      <w:lvlJc w:val="left"/>
      <w:lvlText w:val="(%2)"/>
      <w:numFmt w:val="lowerLetter"/>
      <w:start w:val="9"/>
    </w:lvl>
  </w:abstractNum>
  <w:abstractNum w:abstractNumId="14">
    <w:nsid w:val="25E45D32"/>
    <w:multiLevelType w:val="hybridMultilevel"/>
    <w:lvl w:ilvl="0">
      <w:lvlJc w:val="left"/>
      <w:lvlText w:val="(%1)"/>
      <w:numFmt w:val="lowerRoman"/>
      <w:start w:val="2"/>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2"/>
      <w:numFmt w:val="bullet"/>
      <w:start w:val="1"/>
    </w:lvl>
  </w:abstractNum>
  <w:abstractNum w:abstractNumId="18">
    <w:nsid w:val="7C83E45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2022-02-14T23:14:42Z</dcterms:created>
  <dcterms:modified xsi:type="dcterms:W3CDTF">2022-02-14T23:14:42Z</dcterms:modified>
</cp:coreProperties>
</file>