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23,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873"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3" w:lineRule="exact"/>
        <w:rPr>
          <w:sz w:val="24"/>
          <w:szCs w:val="24"/>
          <w:color w:val="auto"/>
        </w:rPr>
      </w:pPr>
    </w:p>
    <w:p>
      <w:pPr>
        <w:sectPr>
          <w:pgSz w:w="11900" w:h="16838" w:orient="portrait"/>
          <w:cols w:equalWidth="0" w:num="2">
            <w:col w:w="7180" w:space="720"/>
            <w:col w:w="2180"/>
          </w:cols>
          <w:pgMar w:left="1440" w:top="873" w:right="37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6760" w:space="720"/>
            <w:col w:w="2600"/>
          </w:cols>
          <w:pgMar w:left="1440" w:top="873" w:right="379" w:bottom="1440" w:gutter="0" w:footer="0" w:header="0"/>
          <w:type w:val="continuous"/>
        </w:sect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One Cavendish Place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+44 33 3023 7300</w:t>
      </w:r>
    </w:p>
    <w:p>
      <w:pPr>
        <w:spacing w:after="0" w:line="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0080"/>
          </w:cols>
          <w:pgMar w:left="1440" w:top="873" w:right="379" w:bottom="1440" w:gutter="0" w:footer="0" w:header="0"/>
          <w:type w:val="continuous"/>
        </w:sectPr>
      </w:pP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BioPharma Group plc 2019 Equity Incentive Plan, as amended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BioPharma Group plc 2019 Non-Employee Equity Incentive Plan, as amended</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No.: +1 302 636 5401</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Copy to: David S. Bakst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1527810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873" w:right="379" w:bottom="1440" w:gutter="0" w:footer="0" w:header="0"/>
          <w:type w:val="continuous"/>
        </w:sectPr>
      </w:pPr>
    </w:p>
    <w:bookmarkStart w:id="1" w:name="page2"/>
    <w:bookmarkEnd w:id="1"/>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5" w:right="4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Mereo BioPharma Group plc (the “Company”) to register 41,191,158 additional ordinary shares, nominal value £0.003 per share (the “Ordinary Shares”) under the Mereo BioPharma Group plc 2019 Equity Incentive Plan, as amended on February 13, 2020 and January 15, 2021, and the Mereo BioPharma Group plc 2019 Non-Employee Equity Incentive Plan, as amended on February 13, 2020 and January 15, 2021 (collectively, the “Plans”) which share a common Ordinary Share pool, consisting of (i) Ordinary Shares for future share grants under the Plans and (ii) Ordinary Shares reserved for issuance upon the vesting of restricted stock units and performance based stock unit awards which may be granted to employees and executives pursuant to and in accordance with the terms of the Plans in connection with their employment and positions with the Company under the Securities Act of 1933, as amended (the “Securities Act”). The number of Ordinary Shares available for issuance under the Plans is subject to increase on January 1 of each year in an amount equal to the lesser of (i) 5.31% of the Company’s issued and outstanding shares and (ii) such number of shares as determined by the plan administrator, in its discretion.</w:t>
      </w:r>
    </w:p>
    <w:p>
      <w:pPr>
        <w:spacing w:after="0" w:line="18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Securities and Exchange Commission (the “SEC”), the information specified by Part I of the Form S-8 has been omitted from this Registration Statement.</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21, 2019, the Company filed with the SEC a Registration Statement on Form S-8 (File No. 333-231636), on February 18, 2020 the Company filed a Registration Statement on Form S-8 (File No. 333-236498), on January 15, 2021 the Company filed a Registration Statement on Form S-8 (File No. 333-252147), on January 13, 2022 the Company filed a Registration Statement on Form S-8 (File No. 333-262151), on January 24, 2023 the Company filed a Registration Statement on Form S-8 (File No. 333-269388) and on January 23, 2024 the Company filed a Registration Statement on Form S-8 (File No. 333-276656) (collectively, the “Prior Registration Statements”) to register a total of 139,188,900 Ordinary Shares issuable under the plans described in those registration statements. The Company is filing this Registration Statement to register an additional 41,191,158 Ordinary Shares, which may be issued pursuant to new and previously issued awards under the Plans. Pursuant to General Instruction E to Form S-8, this S-8 Registration Statement hereby incorporates by reference the contents of the Registration Statements referenced above, except as otherwise updated or modified by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ind w:left="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117" w:lineRule="exact"/>
        <w:rPr>
          <w:sz w:val="20"/>
          <w:szCs w:val="20"/>
          <w:color w:val="auto"/>
        </w:rPr>
      </w:pPr>
    </w:p>
    <w:p>
      <w:pPr>
        <w:ind w:right="360" w:firstLine="877"/>
        <w:spacing w:after="0" w:line="282" w:lineRule="auto"/>
        <w:tabs>
          <w:tab w:leader="none" w:pos="1229" w:val="left"/>
        </w:tabs>
        <w:numPr>
          <w:ilvl w:val="2"/>
          <w:numId w:val="1"/>
        </w:numPr>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The Company’s Annual Report on Form 10-K for the year ended December 31, 2023 (the “2023 Form 10-K”), filed with the SEC on</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March 27, 2024 (File No. 001-38452);</w:t>
        </w:r>
      </w:hyperlink>
    </w:p>
    <w:p>
      <w:pPr>
        <w:spacing w:after="0" w:line="53" w:lineRule="exact"/>
        <w:rPr>
          <w:rFonts w:ascii="Times New Roman" w:cs="Times New Roman" w:eastAsia="Times New Roman" w:hAnsi="Times New Roman"/>
          <w:sz w:val="18"/>
          <w:szCs w:val="18"/>
          <w:u w:val="single" w:color="auto"/>
          <w:color w:val="0000FF"/>
        </w:rPr>
      </w:pPr>
    </w:p>
    <w:p>
      <w:pPr>
        <w:ind w:right="220" w:firstLine="877"/>
        <w:spacing w:after="0" w:line="266" w:lineRule="auto"/>
        <w:tabs>
          <w:tab w:leader="none" w:pos="1229" w:val="left"/>
        </w:tabs>
        <w:numPr>
          <w:ilvl w:val="2"/>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Company’s Quarterly Reports on Form 10-Q for the fiscal quarter ended March 31, 2024, </w:t>
      </w:r>
      <w:hyperlink r:id="rId18">
        <w:r>
          <w:rPr>
            <w:rFonts w:ascii="Times New Roman" w:cs="Times New Roman" w:eastAsia="Times New Roman" w:hAnsi="Times New Roman"/>
            <w:sz w:val="18"/>
            <w:szCs w:val="18"/>
            <w:u w:val="single" w:color="auto"/>
            <w:color w:val="0000FF"/>
          </w:rPr>
          <w:t>filed with the SEC on May 15, 2024</w:t>
        </w:r>
      </w:hyperlink>
      <w:r>
        <w:rPr>
          <w:rFonts w:ascii="Times New Roman" w:cs="Times New Roman" w:eastAsia="Times New Roman" w:hAnsi="Times New Roman"/>
          <w:sz w:val="18"/>
          <w:szCs w:val="18"/>
          <w:color w:val="auto"/>
        </w:rPr>
        <w:t xml:space="preserve">, the </w:t>
      </w:r>
      <w:hyperlink r:id="rId19">
        <w:r>
          <w:rPr>
            <w:rFonts w:ascii="Times New Roman" w:cs="Times New Roman" w:eastAsia="Times New Roman" w:hAnsi="Times New Roman"/>
            <w:sz w:val="18"/>
            <w:szCs w:val="18"/>
            <w:color w:val="auto"/>
          </w:rPr>
          <w:t xml:space="preserve">fiscal quarter ended June 30, 2024, </w:t>
        </w:r>
        <w:r>
          <w:rPr>
            <w:rFonts w:ascii="Times New Roman" w:cs="Times New Roman" w:eastAsia="Times New Roman" w:hAnsi="Times New Roman"/>
            <w:sz w:val="18"/>
            <w:szCs w:val="18"/>
            <w:u w:val="single" w:color="auto"/>
            <w:color w:val="0000FF"/>
          </w:rPr>
          <w:t>filed with the SEC on August 13, 2024</w:t>
        </w:r>
        <w:r>
          <w:rPr>
            <w:rFonts w:ascii="Times New Roman" w:cs="Times New Roman" w:eastAsia="Times New Roman" w:hAnsi="Times New Roman"/>
            <w:sz w:val="18"/>
            <w:szCs w:val="18"/>
            <w:color w:val="auto"/>
          </w:rPr>
          <w:t xml:space="preserve">, and the fiscal quarter ended September 30, 2024, </w:t>
        </w:r>
        <w:r>
          <w:rPr>
            <w:rFonts w:ascii="Times New Roman" w:cs="Times New Roman" w:eastAsia="Times New Roman" w:hAnsi="Times New Roman"/>
            <w:sz w:val="18"/>
            <w:szCs w:val="18"/>
            <w:u w:val="single" w:color="auto"/>
            <w:color w:val="0000FF"/>
          </w:rPr>
          <w:t>filed with the SEC on</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November 12,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FF"/>
        </w:rPr>
      </w:pPr>
    </w:p>
    <w:p>
      <w:pPr>
        <w:ind w:right="220" w:firstLine="757"/>
        <w:spacing w:after="0" w:line="282" w:lineRule="auto"/>
        <w:tabs>
          <w:tab w:leader="none" w:pos="1109" w:val="left"/>
        </w:tabs>
        <w:numPr>
          <w:ilvl w:val="1"/>
          <w:numId w:val="2"/>
        </w:numPr>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FF"/>
          </w:rPr>
          <w:t>April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color w:val="auto"/>
          </w:rPr>
          <w:t xml:space="preserve"> (Item 8.01 only), </w:t>
        </w:r>
        <w:r>
          <w:rPr>
            <w:rFonts w:ascii="Times New Roman" w:cs="Times New Roman" w:eastAsia="Times New Roman" w:hAnsi="Times New Roman"/>
            <w:sz w:val="18"/>
            <w:szCs w:val="18"/>
            <w:u w:val="single" w:color="auto"/>
            <w:color w:val="0000FF"/>
          </w:rPr>
          <w:t>June</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14, 2024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(Item 1.01 only) and</w:t>
        </w:r>
        <w:r>
          <w:rPr>
            <w:rFonts w:ascii="Times New Roman" w:cs="Times New Roman" w:eastAsia="Times New Roman" w:hAnsi="Times New Roman"/>
            <w:sz w:val="18"/>
            <w:szCs w:val="18"/>
            <w:color w:val="0000FF"/>
          </w:rPr>
          <w:t xml:space="preserve"> </w:t>
        </w:r>
      </w:hyperlink>
      <w:hyperlink r:id="rId21">
        <w:r>
          <w:rPr>
            <w:rFonts w:ascii="Times New Roman" w:cs="Times New Roman" w:eastAsia="Times New Roman" w:hAnsi="Times New Roman"/>
            <w:sz w:val="18"/>
            <w:szCs w:val="18"/>
            <w:u w:val="single" w:color="auto"/>
            <w:color w:val="0000FF"/>
          </w:rPr>
          <w:t xml:space="preserve">November 12, 2024 </w:t>
        </w:r>
      </w:hyperlink>
      <w:hyperlink r:id="rId20">
        <w:r>
          <w:rPr>
            <w:rFonts w:ascii="Times New Roman" w:cs="Times New Roman" w:eastAsia="Times New Roman" w:hAnsi="Times New Roman"/>
            <w:sz w:val="18"/>
            <w:szCs w:val="18"/>
            <w:color w:val="000000"/>
          </w:rPr>
          <w:t>(Item 1.01 only); and</w:t>
        </w:r>
      </w:hyperlink>
    </w:p>
    <w:p>
      <w:pPr>
        <w:spacing w:after="0" w:line="53" w:lineRule="exact"/>
        <w:rPr>
          <w:rFonts w:ascii="Times New Roman" w:cs="Times New Roman" w:eastAsia="Times New Roman" w:hAnsi="Times New Roman"/>
          <w:sz w:val="18"/>
          <w:szCs w:val="18"/>
          <w:color w:val="0000FF"/>
        </w:rPr>
      </w:pPr>
    </w:p>
    <w:p>
      <w:pPr>
        <w:jc w:val="both"/>
        <w:ind w:firstLine="368"/>
        <w:spacing w:after="0" w:line="281" w:lineRule="auto"/>
        <w:tabs>
          <w:tab w:leader="none" w:pos="720" w:val="left"/>
        </w:tabs>
        <w:numPr>
          <w:ilvl w:val="0"/>
          <w:numId w:val="3"/>
        </w:numPr>
        <w:rPr>
          <w:rFonts w:ascii="Times New Roman" w:cs="Times New Roman" w:eastAsia="Times New Roman" w:hAnsi="Times New Roman"/>
          <w:sz w:val="17"/>
          <w:szCs w:val="17"/>
          <w:color w:val="000000"/>
        </w:rPr>
      </w:pPr>
      <w:hyperlink r:id="rId22">
        <w:r>
          <w:rPr>
            <w:rFonts w:ascii="Times New Roman" w:cs="Times New Roman" w:eastAsia="Times New Roman" w:hAnsi="Times New Roman"/>
            <w:sz w:val="17"/>
            <w:szCs w:val="17"/>
            <w:color w:val="auto"/>
          </w:rPr>
          <w:t xml:space="preserve">The description of the Company’s Ordinary Shares and ADSs contained in the Company’s registration statement on </w:t>
        </w:r>
        <w:r>
          <w:rPr>
            <w:rFonts w:ascii="Times New Roman" w:cs="Times New Roman" w:eastAsia="Times New Roman" w:hAnsi="Times New Roman"/>
            <w:sz w:val="17"/>
            <w:szCs w:val="17"/>
            <w:u w:val="single" w:color="auto"/>
            <w:color w:val="0000FF"/>
          </w:rPr>
          <w:t>Form 8-A, filed with the</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0000FF"/>
          </w:rPr>
          <w:t>SEC on April 9, 2018 (File No. 001-38452)</w:t>
        </w:r>
        <w:r>
          <w:rPr>
            <w:rFonts w:ascii="Times New Roman" w:cs="Times New Roman" w:eastAsia="Times New Roman" w:hAnsi="Times New Roman"/>
            <w:sz w:val="17"/>
            <w:szCs w:val="17"/>
            <w:color w:val="000000"/>
          </w:rPr>
          <w:t>, as amended on April 15, 2019, May 17, 2022 and December 18, 2023, including any amendment or report</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filed for the purpose of updating such description as updated by </w:t>
      </w:r>
      <w:hyperlink r:id="rId17">
        <w:r>
          <w:rPr>
            <w:rFonts w:ascii="Times New Roman" w:cs="Times New Roman" w:eastAsia="Times New Roman" w:hAnsi="Times New Roman"/>
            <w:sz w:val="17"/>
            <w:szCs w:val="17"/>
            <w:u w:val="single" w:color="auto"/>
            <w:color w:val="0000FF"/>
          </w:rPr>
          <w:t>Exhibit 4.2 to the 2023 Form 10-K</w:t>
        </w:r>
      </w:hyperlink>
      <w:r>
        <w:rPr>
          <w:rFonts w:ascii="Times New Roman" w:cs="Times New Roman" w:eastAsia="Times New Roman" w:hAnsi="Times New Roman"/>
          <w:sz w:val="17"/>
          <w:szCs w:val="17"/>
          <w:color w:val="000000"/>
        </w:rPr>
        <w:t>, including the “Description of Ordinary Shares” and the “Description of American Depositary Shares” contained therein and any amendment or report filed for the purpose of further updating such descriptions.</w:t>
      </w:r>
    </w:p>
    <w:p>
      <w:pPr>
        <w:spacing w:after="0" w:line="164" w:lineRule="exact"/>
        <w:rPr>
          <w:rFonts w:ascii="Times New Roman" w:cs="Times New Roman" w:eastAsia="Times New Roman" w:hAnsi="Times New Roman"/>
          <w:sz w:val="17"/>
          <w:szCs w:val="17"/>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All documents that the Company subsequently files pursuant to Sections 13(a), 13(c), 14 and 15(d) of the Exchange Act prior to the filing of a post-effective amendment to this Registration Statement which indicates that all of the securities offered have been sold or which deregisters all of such securities then remaining unsold,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83" w:lineRule="exact"/>
        <w:rPr>
          <w:rFonts w:ascii="Times New Roman" w:cs="Times New Roman" w:eastAsia="Times New Roman" w:hAnsi="Times New Roman"/>
          <w:sz w:val="17"/>
          <w:szCs w:val="17"/>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7"/>
          <w:szCs w:val="17"/>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Items 2.02 or 7.01 (or corresponding information furnished under item 9.01 or included as an exhibit) of a Current Report on Form 8-K be deemed incorporated herein by reference, unless such Form 8-K expressly provides to the contrary.</w:t>
      </w:r>
    </w:p>
    <w:p>
      <w:pPr>
        <w:spacing w:after="0" w:line="320" w:lineRule="exact"/>
        <w:rPr>
          <w:rFonts w:ascii="Times New Roman" w:cs="Times New Roman" w:eastAsia="Times New Roman" w:hAnsi="Times New Roman"/>
          <w:sz w:val="17"/>
          <w:szCs w:val="17"/>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rFonts w:ascii="Times New Roman" w:cs="Times New Roman" w:eastAsia="Times New Roman" w:hAnsi="Times New Roman"/>
          <w:sz w:val="17"/>
          <w:szCs w:val="17"/>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Under the Company’s Articles of Association,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 and other applicable law.</w:t>
      </w:r>
    </w:p>
    <w:p>
      <w:pPr>
        <w:spacing w:after="0" w:line="176" w:lineRule="exact"/>
        <w:rPr>
          <w:rFonts w:ascii="Times New Roman" w:cs="Times New Roman" w:eastAsia="Times New Roman" w:hAnsi="Times New Roman"/>
          <w:sz w:val="17"/>
          <w:szCs w:val="17"/>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0" w:lineRule="exact"/>
        <w:rPr>
          <w:rFonts w:ascii="Times New Roman" w:cs="Times New Roman" w:eastAsia="Times New Roman" w:hAnsi="Times New Roman"/>
          <w:sz w:val="17"/>
          <w:szCs w:val="17"/>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and executive officers for certain expenses, including attorneys’ fees, costs and expenses, incurred by such directors and executive officers with the prior written consent of the Company in any action or proceeding arising out of their service as a director or executive officer of the Company, or one of its subsidiaries.</w:t>
      </w:r>
    </w:p>
    <w:p>
      <w:pPr>
        <w:spacing w:after="0" w:line="168" w:lineRule="exact"/>
        <w:rPr>
          <w:rFonts w:ascii="Times New Roman" w:cs="Times New Roman" w:eastAsia="Times New Roman" w:hAnsi="Times New Roman"/>
          <w:sz w:val="17"/>
          <w:szCs w:val="17"/>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 w:name="page5"/>
    <w:bookmarkEnd w:id="4"/>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in the “Exhibit Index” are filed as a part of, or incorporated by reference into, this Registration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4"/>
                <w:szCs w:val="14"/>
                <w:color w:val="auto"/>
              </w:rPr>
              <w:t>Description</w:t>
            </w: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New Articles of Association of the Company (incorporated herein by reference to Exhibit 3.1 to the Company’s Form 6-K, filed with the SEC</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on December 18, 2023 (File No. 001-38452))</w:t>
              </w:r>
            </w:hyperlink>
          </w:p>
        </w:tc>
        <w:tc>
          <w:tcPr>
            <w:tcW w:w="6940" w:type="dxa"/>
            <w:vAlign w:val="bottom"/>
            <w:gridSpan w:val="14"/>
          </w:tcPr>
          <w:p>
            <w:pPr>
              <w:spacing w:after="0"/>
              <w:rPr>
                <w:sz w:val="17"/>
                <w:szCs w:val="17"/>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Mereo BioPharma Group plc 2019 Equity Incentive Plan, as amended on February 13, 2020 and January 15, 2021 (incorporated by reference</w:t>
              </w:r>
            </w:hyperlink>
          </w:p>
        </w:tc>
        <w:tc>
          <w:tcPr>
            <w:tcW w:w="4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to Exhibit 99.1 to the Company’s Form S-8 filed with the SEC on January 15, 2021 (File No. 333-252147))</w:t>
              </w:r>
            </w:hyperlink>
          </w:p>
        </w:tc>
        <w:tc>
          <w:tcPr>
            <w:tcW w:w="2480" w:type="dxa"/>
            <w:vAlign w:val="bottom"/>
            <w:gridSpan w:val="7"/>
          </w:tcPr>
          <w:p>
            <w:pPr>
              <w:spacing w:after="0"/>
              <w:rPr>
                <w:sz w:val="17"/>
                <w:szCs w:val="17"/>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Mereo BioPharma Group plc 2019 Non-Employee Equity Incentive Plan, as amended on February 13, 2020 and January 15, 2021</w:t>
              </w:r>
            </w:hyperlink>
          </w:p>
        </w:tc>
        <w:tc>
          <w:tcPr>
            <w:tcW w:w="86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(incorporated by reference to Exhibit 99.2 to the Company’s Form S-8 filed with the SEC on January 15, 2021 (File No. 333-252147))</w:t>
              </w:r>
            </w:hyperlink>
          </w:p>
        </w:tc>
        <w:tc>
          <w:tcPr>
            <w:tcW w:w="560" w:type="dxa"/>
            <w:vAlign w:val="bottom"/>
            <w:gridSpan w:val="5"/>
          </w:tcPr>
          <w:p>
            <w:pPr>
              <w:spacing w:after="0"/>
              <w:rPr>
                <w:sz w:val="17"/>
                <w:szCs w:val="17"/>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Deferred Compensation Plan for Non-Employee Directors, as amended on December 13, 2023 (incorporated by reference to Exhibit 4.3 to</w:t>
              </w:r>
            </w:hyperlink>
          </w:p>
        </w:tc>
        <w:tc>
          <w:tcPr>
            <w:tcW w:w="22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the Company’s S-8 filed with the SEC on January 23, 2024 (File No. 333-276656))</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Form of Restricted Stock Unit Award Agreement under the Plans (incorporated by reference to Exhibit 4.5 to the Company’s Form S-8 filed</w:t>
              </w:r>
            </w:hyperlink>
          </w:p>
        </w:tc>
        <w:tc>
          <w:tcPr>
            <w:tcW w:w="100" w:type="dxa"/>
            <w:vAlign w:val="bottom"/>
            <w:gridSpan w:val="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with the SEC on January 24, 2023 (File No. 333-269388))</w:t>
              </w:r>
            </w:hyperlink>
          </w:p>
        </w:tc>
        <w:tc>
          <w:tcPr>
            <w:tcW w:w="6020" w:type="dxa"/>
            <w:vAlign w:val="bottom"/>
            <w:gridSpan w:val="12"/>
          </w:tcPr>
          <w:p>
            <w:pPr>
              <w:spacing w:after="0"/>
              <w:rPr>
                <w:sz w:val="17"/>
                <w:szCs w:val="17"/>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Opinion of Latham &amp; Watkins (London) LLP, counsel of the Registrant</w:t>
            </w:r>
          </w:p>
        </w:tc>
        <w:tc>
          <w:tcPr>
            <w:tcW w:w="5040" w:type="dxa"/>
            <w:vAlign w:val="bottom"/>
            <w:gridSpan w:val="11"/>
          </w:tcPr>
          <w:p>
            <w:pPr>
              <w:spacing w:after="0"/>
              <w:rPr>
                <w:sz w:val="24"/>
                <w:szCs w:val="24"/>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Latham &amp; Watkins (London) LLP, counsel of the Registrant (included in Exhibit 5.1)</w:t>
            </w:r>
          </w:p>
        </w:tc>
        <w:tc>
          <w:tcPr>
            <w:tcW w:w="3220" w:type="dxa"/>
            <w:vAlign w:val="bottom"/>
            <w:gridSpan w:val="8"/>
          </w:tcPr>
          <w:p>
            <w:pPr>
              <w:spacing w:after="0"/>
              <w:rPr>
                <w:sz w:val="24"/>
                <w:szCs w:val="24"/>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3780" w:type="dxa"/>
            <w:vAlign w:val="bottom"/>
            <w:gridSpan w:val="9"/>
          </w:tcPr>
          <w:p>
            <w:pPr>
              <w:spacing w:after="0"/>
              <w:rPr>
                <w:sz w:val="24"/>
                <w:szCs w:val="24"/>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Powers of Attorney (included in signature page hereto)</w:t>
            </w:r>
          </w:p>
        </w:tc>
        <w:tc>
          <w:tcPr>
            <w:tcW w:w="6260" w:type="dxa"/>
            <w:vAlign w:val="bottom"/>
            <w:gridSpan w:val="13"/>
          </w:tcPr>
          <w:p>
            <w:pPr>
              <w:spacing w:after="0"/>
              <w:rPr>
                <w:sz w:val="24"/>
                <w:szCs w:val="24"/>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9020" w:type="dxa"/>
            <w:vAlign w:val="bottom"/>
            <w:gridSpan w:val="15"/>
          </w:tcPr>
          <w:p>
            <w:pPr>
              <w:spacing w:after="0"/>
              <w:rPr>
                <w:sz w:val="24"/>
                <w:szCs w:val="24"/>
                <w:color w:val="auto"/>
              </w:rPr>
            </w:pPr>
          </w:p>
        </w:tc>
      </w:tr>
    </w:tbl>
    <w:p>
      <w:pPr>
        <w:spacing w:after="0" w:line="9" w:lineRule="exact"/>
        <w:rPr>
          <w:sz w:val="20"/>
          <w:szCs w:val="20"/>
          <w:color w:val="auto"/>
        </w:rPr>
      </w:pPr>
    </w:p>
    <w:p>
      <w:pPr>
        <w:ind w:left="880" w:hanging="805"/>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January 23, 2025.</w:t>
      </w:r>
    </w:p>
    <w:p>
      <w:pPr>
        <w:spacing w:after="0" w:line="200" w:lineRule="exact"/>
        <w:rPr>
          <w:sz w:val="20"/>
          <w:szCs w:val="20"/>
          <w:color w:val="auto"/>
        </w:rPr>
      </w:pP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66"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32"/>
        </w:trPr>
        <w:tc>
          <w:tcPr>
            <w:tcW w:w="6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6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1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right="420" w:firstLine="509"/>
        <w:spacing w:after="0" w:line="288" w:lineRule="auto"/>
        <w:rPr>
          <w:sz w:val="20"/>
          <w:szCs w:val="20"/>
          <w:color w:val="auto"/>
        </w:rPr>
      </w:pPr>
      <w:r>
        <w:rPr>
          <w:rFonts w:ascii="Times New Roman" w:cs="Times New Roman" w:eastAsia="Times New Roman" w:hAnsi="Times New Roman"/>
          <w:sz w:val="18"/>
          <w:szCs w:val="18"/>
          <w:color w:val="auto"/>
        </w:rPr>
        <w:t xml:space="preserve">Pursuant to the requirements of the Securities Act of 1933, as amended, this registration statement has been signed by the following persons on January </w:t>
      </w:r>
      <w:r>
        <w:rPr>
          <w:rFonts w:ascii="Times New Roman" w:cs="Times New Roman" w:eastAsia="Times New Roman" w:hAnsi="Times New Roman"/>
          <w:sz w:val="19"/>
          <w:szCs w:val="19"/>
          <w:color w:val="auto"/>
        </w:rPr>
        <w:t>23</w:t>
      </w:r>
      <w:r>
        <w:rPr>
          <w:rFonts w:ascii="Times New Roman" w:cs="Times New Roman" w:eastAsia="Times New Roman" w:hAnsi="Times New Roman"/>
          <w:sz w:val="18"/>
          <w:szCs w:val="18"/>
          <w:color w:val="auto"/>
        </w:rPr>
        <w:t>, 2025 in the capacities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6"/>
                <w:szCs w:val="16"/>
                <w:color w:val="auto"/>
              </w:rPr>
            </w:pPr>
          </w:p>
        </w:tc>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3"/>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Denise Scots-Knight</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Denise Scots-Knight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Christine Fox</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Christine Fox</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Michael Wyzga</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Michael Wyzga</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Jeremy Bender</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Jeremy Bender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Anders Ekblom</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Anders Ekblom</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Pierre Jacquet</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Pierre Jacquet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Annalisa Jenkins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Deepika Pakianathan</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Deepika Pakianathan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Justin Roberts</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Justin Roberts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Daniel Shames</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Daniel Shames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0" w:type="dxa"/>
            <w:vAlign w:val="bottom"/>
          </w:tcPr>
          <w:p>
            <w:pPr>
              <w:spacing w:after="0"/>
              <w:rPr>
                <w:sz w:val="24"/>
                <w:szCs w:val="24"/>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Marc Yoskowitz</w:t>
            </w:r>
          </w:p>
        </w:tc>
        <w:tc>
          <w:tcPr>
            <w:tcW w:w="3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28"/>
        </w:trPr>
        <w:tc>
          <w:tcPr>
            <w:tcW w:w="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 Yoskowitz</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974"/>
        </w:trPr>
        <w:tc>
          <w:tcPr>
            <w:tcW w:w="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Mereo BioPharma Group plc has signed this registration statement on January 23, 2025.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w w:val="99"/>
              </w:rPr>
              <w:t>Mereo US Holdings, Inc.</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Denise Scots-Knight</w:t>
            </w:r>
          </w:p>
        </w:tc>
        <w:tc>
          <w:tcPr>
            <w:tcW w:w="20" w:type="dxa"/>
            <w:vAlign w:val="bottom"/>
          </w:tcPr>
          <w:p>
            <w:pPr>
              <w:spacing w:after="0"/>
              <w:rPr>
                <w:sz w:val="24"/>
                <w:szCs w:val="24"/>
                <w:color w:val="auto"/>
              </w:rPr>
            </w:pPr>
          </w:p>
        </w:tc>
      </w:tr>
      <w:tr>
        <w:trPr>
          <w:trHeight w:val="277"/>
        </w:trPr>
        <w:tc>
          <w:tcPr>
            <w:tcW w:w="664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w:t>
            </w:r>
          </w:p>
        </w:tc>
        <w:tc>
          <w:tcPr>
            <w:tcW w:w="20" w:type="dxa"/>
            <w:vAlign w:val="bottom"/>
          </w:tcPr>
          <w:p>
            <w:pPr>
              <w:spacing w:after="0"/>
              <w:rPr>
                <w:sz w:val="24"/>
                <w:szCs w:val="24"/>
                <w:color w:val="auto"/>
              </w:rPr>
            </w:pPr>
          </w:p>
        </w:tc>
      </w:tr>
      <w:tr>
        <w:trPr>
          <w:trHeight w:val="270"/>
        </w:trPr>
        <w:tc>
          <w:tcPr>
            <w:tcW w:w="664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3"/>
                <w:szCs w:val="23"/>
                <w:color w:val="auto"/>
              </w:rPr>
            </w:pPr>
          </w:p>
        </w:tc>
      </w:tr>
      <w:tr>
        <w:trPr>
          <w:trHeight w:val="1033"/>
        </w:trPr>
        <w:tc>
          <w:tcPr>
            <w:tcW w:w="6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23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-1511300</wp:posOffset>
            </wp:positionV>
            <wp:extent cx="18859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88595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Mereo BioPharma Group plc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4th Floor</w:t>
      </w:r>
    </w:p>
    <w:p>
      <w:pPr>
        <w:ind w:left="20"/>
        <w:spacing w:after="0"/>
        <w:rPr>
          <w:sz w:val="20"/>
          <w:szCs w:val="20"/>
          <w:color w:val="auto"/>
        </w:rPr>
      </w:pPr>
      <w:r>
        <w:rPr>
          <w:rFonts w:ascii="Times New Roman" w:cs="Times New Roman" w:eastAsia="Times New Roman" w:hAnsi="Times New Roman"/>
          <w:sz w:val="20"/>
          <w:szCs w:val="20"/>
          <w:color w:val="auto"/>
        </w:rPr>
        <w:t>One Cavendish Place</w:t>
      </w:r>
    </w:p>
    <w:p>
      <w:pPr>
        <w:ind w:left="20"/>
        <w:spacing w:after="0"/>
        <w:rPr>
          <w:sz w:val="20"/>
          <w:szCs w:val="20"/>
          <w:color w:val="auto"/>
        </w:rPr>
      </w:pPr>
      <w:r>
        <w:rPr>
          <w:rFonts w:ascii="Times New Roman" w:cs="Times New Roman" w:eastAsia="Times New Roman" w:hAnsi="Times New Roman"/>
          <w:sz w:val="20"/>
          <w:szCs w:val="20"/>
          <w:color w:val="auto"/>
        </w:rPr>
        <w:t>London W1G 0QF</w:t>
      </w:r>
    </w:p>
    <w:p>
      <w:pPr>
        <w:ind w:left="20"/>
        <w:spacing w:after="0"/>
        <w:rPr>
          <w:sz w:val="20"/>
          <w:szCs w:val="20"/>
          <w:color w:val="auto"/>
        </w:rPr>
      </w:pPr>
      <w:r>
        <w:rPr>
          <w:rFonts w:ascii="Times New Roman" w:cs="Times New Roman" w:eastAsia="Times New Roman" w:hAnsi="Times New Roman"/>
          <w:sz w:val="20"/>
          <w:szCs w:val="20"/>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 w:right="3280" w:hanging="1"/>
        <w:spacing w:after="0" w:line="241" w:lineRule="auto"/>
        <w:tabs>
          <w:tab w:leader="none" w:pos="176" w:val="left"/>
        </w:tabs>
        <w:numPr>
          <w:ilvl w:val="0"/>
          <w:numId w:val="5"/>
        </w:numPr>
        <w:rPr>
          <w:rFonts w:ascii="Arial" w:cs="Arial" w:eastAsia="Arial" w:hAnsi="Arial"/>
          <w:sz w:val="12"/>
          <w:szCs w:val="12"/>
          <w:color w:val="auto"/>
        </w:rPr>
      </w:pPr>
      <w:r>
        <w:rPr>
          <w:rFonts w:ascii="Arial" w:cs="Arial" w:eastAsia="Arial" w:hAnsi="Arial"/>
          <w:sz w:val="12"/>
          <w:szCs w:val="12"/>
          <w:color w:val="auto"/>
        </w:rPr>
        <w:t>Bishopsgate London EC2M 3XF United Kingdom</w:t>
      </w:r>
    </w:p>
    <w:p>
      <w:pPr>
        <w:spacing w:after="0" w:line="1" w:lineRule="exact"/>
        <w:rPr>
          <w:rFonts w:ascii="Arial" w:cs="Arial" w:eastAsia="Arial" w:hAnsi="Arial"/>
          <w:sz w:val="12"/>
          <w:szCs w:val="12"/>
          <w:color w:val="auto"/>
        </w:rPr>
      </w:pPr>
    </w:p>
    <w:p>
      <w:pPr>
        <w:ind w:left="1" w:right="1480"/>
        <w:spacing w:after="0" w:line="231" w:lineRule="auto"/>
        <w:rPr>
          <w:rFonts w:ascii="Arial" w:cs="Arial" w:eastAsia="Arial" w:hAnsi="Arial"/>
          <w:sz w:val="12"/>
          <w:szCs w:val="12"/>
          <w:color w:val="auto"/>
        </w:rPr>
      </w:pPr>
      <w:r>
        <w:rPr>
          <w:rFonts w:ascii="Arial" w:cs="Arial" w:eastAsia="Arial" w:hAnsi="Arial"/>
          <w:sz w:val="13"/>
          <w:szCs w:val="13"/>
          <w:color w:val="auto"/>
        </w:rPr>
        <w:t>Tel: +44(0)20.7710.1000 Fax: +44(0)20.7374.4460 www.lw.com</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color w:val="auto"/>
        </w:rPr>
        <w:t>FIRM / AFFILIATE OFFICES</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Milan</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York</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Orange County</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Paris</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Riyadh</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San Diego</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Francisco</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Seoul</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Silicon Valley</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Singapore</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Tel Aviv</w:t>
      </w:r>
    </w:p>
    <w:p>
      <w:pPr>
        <w:spacing w:after="0" w:line="53"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Tokyo</w:t>
      </w:r>
    </w:p>
    <w:p>
      <w:pPr>
        <w:spacing w:after="0" w:line="26" w:lineRule="exact"/>
        <w:rPr>
          <w:sz w:val="20"/>
          <w:szCs w:val="20"/>
          <w:color w:val="auto"/>
        </w:rPr>
      </w:pPr>
    </w:p>
    <w:p>
      <w:pPr>
        <w:ind w:left="1"/>
        <w:spacing w:after="0"/>
        <w:tabs>
          <w:tab w:leader="none" w:pos="122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Washington, D.C.</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3"/>
          <w:szCs w:val="13"/>
          <w:color w:val="auto"/>
        </w:rPr>
        <w:t>Madrid</w:t>
      </w:r>
    </w:p>
    <w:p>
      <w:pPr>
        <w:spacing w:after="0" w:line="1310" w:lineRule="exact"/>
        <w:rPr>
          <w:sz w:val="20"/>
          <w:szCs w:val="20"/>
          <w:color w:val="auto"/>
        </w:rPr>
      </w:pPr>
    </w:p>
    <w:p>
      <w:pPr>
        <w:sectPr>
          <w:pgSz w:w="11900" w:h="16838" w:orient="portrait"/>
          <w:cols w:equalWidth="0" w:num="2">
            <w:col w:w="6159" w:space="720"/>
            <w:col w:w="4361"/>
          </w:cols>
          <w:pgMar w:left="320" w:top="756"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Mereo BioPharma Group plc (the “Company”) – Registration Statement on Form S-8</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acted as English legal advisers to the Company, a public limited company incorporated in England and Wales,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filed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pursuant to the United States Securities Act of 1933, as amended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set out in the Registration Statement, it is proposed that up to 41,191,158 ordinary shares of the Company each having a nominal value of £0.003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may become issuable under the Mereo BioPharma Group plc 2019 Equity Incentive Plan (including the Mereo BioPharma Group plc 2019 Non-Employee Equity Incentive Plan, which is a sub-plan thereof) (the “</w:t>
      </w:r>
      <w:r>
        <w:rPr>
          <w:rFonts w:ascii="Times New Roman" w:cs="Times New Roman" w:eastAsia="Times New Roman" w:hAnsi="Times New Roman"/>
          <w:sz w:val="20"/>
          <w:szCs w:val="20"/>
          <w:b w:val="1"/>
          <w:bCs w:val="1"/>
          <w:color w:val="auto"/>
        </w:rPr>
        <w:t>2019 EIP</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740" w:hanging="732"/>
        <w:spacing w:after="0"/>
        <w:tabs>
          <w:tab w:leader="none" w:pos="7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b w:val="1"/>
          <w:bCs w:val="1"/>
          <w:color w:val="auto"/>
        </w:rPr>
        <w:t>Purpose</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In connection with the Registration Statement, we have been asked to provide an opinion on certain matters, as set out below. We have taken instructions in this regard solely from the Company.</w:t>
      </w:r>
    </w:p>
    <w:p>
      <w:pPr>
        <w:spacing w:after="0" w:line="200" w:lineRule="exact"/>
        <w:rPr>
          <w:sz w:val="20"/>
          <w:szCs w:val="20"/>
          <w:color w:val="auto"/>
        </w:rPr>
      </w:pPr>
    </w:p>
    <w:p>
      <w:pPr>
        <w:spacing w:after="0" w:line="266" w:lineRule="exact"/>
        <w:rPr>
          <w:sz w:val="20"/>
          <w:szCs w:val="20"/>
          <w:color w:val="auto"/>
        </w:rPr>
      </w:pPr>
    </w:p>
    <w:p>
      <w:pPr>
        <w:ind w:right="140"/>
        <w:spacing w:after="0" w:line="245" w:lineRule="auto"/>
        <w:rPr>
          <w:sz w:val="20"/>
          <w:szCs w:val="20"/>
          <w:color w:val="auto"/>
        </w:rPr>
      </w:pPr>
      <w:r>
        <w:rPr>
          <w:rFonts w:ascii="Arial" w:cs="Arial" w:eastAsia="Arial" w:hAnsi="Arial"/>
          <w:sz w:val="11"/>
          <w:szCs w:val="11"/>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Defined terms and headings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this letter:</w:t>
      </w:r>
    </w:p>
    <w:p>
      <w:pPr>
        <w:spacing w:after="0" w:line="189" w:lineRule="exact"/>
        <w:rPr>
          <w:sz w:val="20"/>
          <w:szCs w:val="20"/>
          <w:color w:val="auto"/>
        </w:rPr>
      </w:pPr>
    </w:p>
    <w:p>
      <w:pPr>
        <w:ind w:left="1480" w:hanging="739"/>
        <w:spacing w:after="0" w:line="269" w:lineRule="auto"/>
        <w:tabs>
          <w:tab w:leader="none" w:pos="14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capitalised terms used without definition in this letter or the schedules hereto have the meanings assigned to them in the Registration Statement unless a contrary indication appears; and</w:t>
      </w:r>
    </w:p>
    <w:p>
      <w:pPr>
        <w:spacing w:after="0" w:line="145"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are for ease of reference only and shall not affect interpretation.</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Legal review</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For the purpose of issuing this letter, we have reviewed only the following documents and conducted only the following enquiries and searches:</w:t>
      </w:r>
    </w:p>
    <w:p>
      <w:pPr>
        <w:spacing w:after="0" w:line="146" w:lineRule="exact"/>
        <w:rPr>
          <w:sz w:val="20"/>
          <w:szCs w:val="20"/>
          <w:color w:val="auto"/>
        </w:rPr>
      </w:pPr>
    </w:p>
    <w:p>
      <w:pPr>
        <w:ind w:left="148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online search at Companies House in respect of information available for inspection about the Company conducted on 23 January 2025 at 10:06a.m.;</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online search at the Central Registry of Winding Up Petitions, London on 23 January 2025 at 10:06a.m. with respect to the Company (paragraphs 1.3(a) and 1.3(b) together, the “</w:t>
      </w:r>
      <w:r>
        <w:rPr>
          <w:rFonts w:ascii="Times New Roman" w:cs="Times New Roman" w:eastAsia="Times New Roman" w:hAnsi="Times New Roman"/>
          <w:sz w:val="20"/>
          <w:szCs w:val="20"/>
          <w:b w:val="1"/>
          <w:bCs w:val="1"/>
          <w:color w:val="auto"/>
        </w:rPr>
        <w:t>Searches</w:t>
      </w:r>
      <w:r>
        <w:rPr>
          <w:rFonts w:ascii="Times New Roman" w:cs="Times New Roman" w:eastAsia="Times New Roman" w:hAnsi="Times New Roman"/>
          <w:sz w:val="20"/>
          <w:szCs w:val="20"/>
          <w:color w:val="auto"/>
        </w:rPr>
        <w:t>”);</w:t>
      </w:r>
    </w:p>
    <w:p>
      <w:pPr>
        <w:spacing w:after="0" w:line="128" w:lineRule="exact"/>
        <w:rPr>
          <w:rFonts w:ascii="Times New Roman" w:cs="Times New Roman" w:eastAsia="Times New Roman" w:hAnsi="Times New Roman"/>
          <w:sz w:val="20"/>
          <w:szCs w:val="20"/>
          <w:color w:val="auto"/>
        </w:rPr>
      </w:pPr>
    </w:p>
    <w:p>
      <w:pPr>
        <w:jc w:val="both"/>
        <w:ind w:left="1480" w:hanging="739"/>
        <w:spacing w:after="0" w:line="256"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extracts from the minutes of a meeting of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held on 13 December 2023, at which it was resolved, inter alia, to adopt the current terms of reference for the remuneration committee (“</w:t>
      </w:r>
      <w:r>
        <w:rPr>
          <w:rFonts w:ascii="Times New Roman" w:cs="Times New Roman" w:eastAsia="Times New Roman" w:hAnsi="Times New Roman"/>
          <w:sz w:val="20"/>
          <w:szCs w:val="20"/>
          <w:b w:val="1"/>
          <w:bCs w:val="1"/>
          <w:color w:val="auto"/>
        </w:rPr>
        <w:t>Remuneration Committee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minutes of a meeting of the Board held on 4 April 2019, at which it was resolved, inter alia, to approve the 2019 EIP;</w:t>
      </w:r>
    </w:p>
    <w:p>
      <w:pPr>
        <w:spacing w:after="0" w:line="145"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2019 EIP (as amended on 13 February 2020 and 15 January 2021);</w:t>
      </w:r>
    </w:p>
    <w:p>
      <w:pPr>
        <w:spacing w:after="0" w:line="188"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certificate of incorporation of the Company as a private company dated 10 March 2015 and a copy of the certificate of incorporation on re-registration of the Company as a public company dated 3 June 2016;</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current articles of association of the Company which were adopted pursuant to a special resolution passed on 18 December 2023; and</w:t>
      </w:r>
    </w:p>
    <w:p>
      <w:pPr>
        <w:spacing w:after="0" w:line="145"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draft copy of the Registration Statement as at 22 January 2025 and to be filed with the SEC on or around 23 January 2025.</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b w:val="1"/>
          <w:bCs w:val="1"/>
          <w:color w:val="auto"/>
        </w:rPr>
        <w:t>Applicable law</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161" w:lineRule="exact"/>
        <w:rPr>
          <w:sz w:val="20"/>
          <w:szCs w:val="20"/>
          <w:color w:val="auto"/>
        </w:rPr>
      </w:pPr>
    </w:p>
    <w:p>
      <w:pPr>
        <w:ind w:left="1480" w:hanging="739"/>
        <w:spacing w:after="0" w:line="269" w:lineRule="auto"/>
        <w:tabs>
          <w:tab w:leader="none" w:pos="14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13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in this letter on the laws of any jurisdiction other than England.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b w:val="1"/>
          <w:bCs w:val="1"/>
          <w:color w:val="auto"/>
        </w:rPr>
        <w:t>Assumptions and reservations</w:t>
      </w:r>
    </w:p>
    <w:p>
      <w:pPr>
        <w:spacing w:after="0" w:line="202" w:lineRule="exact"/>
        <w:rPr>
          <w:sz w:val="20"/>
          <w:szCs w:val="20"/>
          <w:color w:val="auto"/>
        </w:rPr>
      </w:pPr>
    </w:p>
    <w:p>
      <w:pPr>
        <w:jc w:val="both"/>
        <w:ind w:left="740"/>
        <w:spacing w:after="0" w:line="250" w:lineRule="auto"/>
        <w:rPr>
          <w:sz w:val="20"/>
          <w:szCs w:val="20"/>
          <w:color w:val="auto"/>
        </w:rPr>
      </w:pPr>
      <w:r>
        <w:rPr>
          <w:rFonts w:ascii="Times New Roman" w:cs="Times New Roman" w:eastAsia="Times New Roman" w:hAnsi="Times New Roman"/>
          <w:sz w:val="20"/>
          <w:szCs w:val="20"/>
          <w:color w:val="auto"/>
        </w:rPr>
        <w:t>The opinion given in this letter is given on the basis of each of the assumptions set out in Schedule 1 (</w:t>
      </w:r>
      <w:r>
        <w:rPr>
          <w:rFonts w:ascii="Times New Roman" w:cs="Times New Roman" w:eastAsia="Times New Roman" w:hAnsi="Times New Roman"/>
          <w:sz w:val="20"/>
          <w:szCs w:val="20"/>
          <w:i w:val="1"/>
          <w:iCs w:val="1"/>
          <w:color w:val="auto"/>
        </w:rPr>
        <w:t>Assumptions</w:t>
      </w:r>
      <w:r>
        <w:rPr>
          <w:rFonts w:ascii="Times New Roman" w:cs="Times New Roman" w:eastAsia="Times New Roman" w:hAnsi="Times New Roman"/>
          <w:sz w:val="20"/>
          <w:szCs w:val="20"/>
          <w:color w:val="auto"/>
        </w:rPr>
        <w:t>) and is subject to each of the reservations set out in Schedule 2 (</w:t>
      </w:r>
      <w:r>
        <w:rPr>
          <w:rFonts w:ascii="Times New Roman" w:cs="Times New Roman" w:eastAsia="Times New Roman" w:hAnsi="Times New Roman"/>
          <w:sz w:val="20"/>
          <w:szCs w:val="20"/>
          <w:i w:val="1"/>
          <w:iCs w:val="1"/>
          <w:color w:val="auto"/>
        </w:rPr>
        <w:t>Reservations</w:t>
      </w:r>
      <w:r>
        <w:rPr>
          <w:rFonts w:ascii="Times New Roman" w:cs="Times New Roman" w:eastAsia="Times New Roman" w:hAnsi="Times New Roman"/>
          <w:sz w:val="20"/>
          <w:szCs w:val="20"/>
          <w:color w:val="auto"/>
        </w:rPr>
        <w:t>) to this letter. The opinion given in this letter is strictly limited to the matters stated in paragraph 2 (</w:t>
      </w:r>
      <w:r>
        <w:rPr>
          <w:rFonts w:ascii="Times New Roman" w:cs="Times New Roman" w:eastAsia="Times New Roman" w:hAnsi="Times New Roman"/>
          <w:sz w:val="20"/>
          <w:szCs w:val="20"/>
          <w:i w:val="1"/>
          <w:iCs w:val="1"/>
          <w:color w:val="auto"/>
        </w:rPr>
        <w:t>Opinion</w:t>
      </w:r>
      <w:r>
        <w:rPr>
          <w:rFonts w:ascii="Times New Roman" w:cs="Times New Roman" w:eastAsia="Times New Roman" w:hAnsi="Times New Roman"/>
          <w:sz w:val="20"/>
          <w:szCs w:val="20"/>
          <w:color w:val="auto"/>
        </w:rPr>
        <w:t>) below and does not extend, and should not be read as extending, by implication or otherwise, to any other matters.</w:t>
      </w:r>
    </w:p>
    <w:p>
      <w:pPr>
        <w:spacing w:after="0" w:line="149" w:lineRule="exact"/>
        <w:rPr>
          <w:sz w:val="20"/>
          <w:szCs w:val="20"/>
          <w:color w:val="auto"/>
        </w:rPr>
      </w:pPr>
    </w:p>
    <w:p>
      <w:pPr>
        <w:ind w:left="740" w:hanging="732"/>
        <w:spacing w:after="0"/>
        <w:tabs>
          <w:tab w:leader="none" w:pos="7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OPINION</w:t>
      </w:r>
    </w:p>
    <w:p>
      <w:pPr>
        <w:spacing w:after="0" w:line="202" w:lineRule="exact"/>
        <w:rPr>
          <w:rFonts w:ascii="Times New Roman" w:cs="Times New Roman" w:eastAsia="Times New Roman" w:hAnsi="Times New Roman"/>
          <w:sz w:val="20"/>
          <w:szCs w:val="20"/>
          <w:b w:val="1"/>
          <w:bCs w:val="1"/>
          <w:color w:val="auto"/>
        </w:rPr>
      </w:pPr>
    </w:p>
    <w:p>
      <w:pPr>
        <w:ind w:left="740"/>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paragraph 1 (</w:t>
      </w:r>
      <w:r>
        <w:rPr>
          <w:rFonts w:ascii="Times New Roman" w:cs="Times New Roman" w:eastAsia="Times New Roman" w:hAnsi="Times New Roman"/>
          <w:sz w:val="20"/>
          <w:szCs w:val="20"/>
          <w:i w:val="1"/>
          <w:iCs w:val="1"/>
          <w:color w:val="auto"/>
        </w:rPr>
        <w:t>Introduction</w:t>
      </w:r>
      <w:r>
        <w:rPr>
          <w:rFonts w:ascii="Times New Roman" w:cs="Times New Roman" w:eastAsia="Times New Roman" w:hAnsi="Times New Roman"/>
          <w:sz w:val="20"/>
          <w:szCs w:val="20"/>
          <w:color w:val="auto"/>
        </w:rPr>
        <w:t>) and the other matters set out in this letter and its Schedules, and subject further to the following:</w:t>
      </w:r>
    </w:p>
    <w:p>
      <w:pPr>
        <w:spacing w:after="0" w:line="142" w:lineRule="exact"/>
        <w:rPr>
          <w:rFonts w:ascii="Times New Roman" w:cs="Times New Roman" w:eastAsia="Times New Roman" w:hAnsi="Times New Roman"/>
          <w:sz w:val="20"/>
          <w:szCs w:val="20"/>
          <w:b w:val="1"/>
          <w:bCs w:val="1"/>
          <w:color w:val="auto"/>
        </w:rPr>
      </w:pPr>
    </w:p>
    <w:p>
      <w:pPr>
        <w:ind w:left="1480" w:hanging="739"/>
        <w:spacing w:after="0" w:line="269"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as finally amended, having become effective under the Securities Act and continuing to be so effective;</w:t>
      </w:r>
    </w:p>
    <w:p>
      <w:pPr>
        <w:spacing w:after="0" w:line="132" w:lineRule="exact"/>
        <w:rPr>
          <w:rFonts w:ascii="Times New Roman" w:cs="Times New Roman" w:eastAsia="Times New Roman" w:hAnsi="Times New Roman"/>
          <w:sz w:val="20"/>
          <w:szCs w:val="20"/>
          <w:color w:val="auto"/>
        </w:rPr>
      </w:pPr>
    </w:p>
    <w:p>
      <w:pPr>
        <w:jc w:val="both"/>
        <w:ind w:left="1480" w:hanging="739"/>
        <w:spacing w:after="0" w:line="259" w:lineRule="auto"/>
        <w:tabs>
          <w:tab w:leader="none" w:pos="148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of the Company in a general meeting or within the Company’s articles of association duly and validly having resolved: (i) as may be required, as an ordinary resolution, or within the Company’s articles of association, to authorise the Board pursuant to section 551 of the Companies Act 2006 (the “</w:t>
      </w:r>
      <w:r>
        <w:rPr>
          <w:rFonts w:ascii="Times New Roman" w:cs="Times New Roman" w:eastAsia="Times New Roman" w:hAnsi="Times New Roman"/>
          <w:sz w:val="19"/>
          <w:szCs w:val="19"/>
          <w:b w:val="1"/>
          <w:bCs w:val="1"/>
          <w:color w:val="auto"/>
        </w:rPr>
        <w:t>Companies Act</w:t>
      </w:r>
      <w:r>
        <w:rPr>
          <w:rFonts w:ascii="Times New Roman" w:cs="Times New Roman" w:eastAsia="Times New Roman" w:hAnsi="Times New Roman"/>
          <w:sz w:val="19"/>
          <w:szCs w:val="19"/>
          <w:color w:val="auto"/>
        </w:rPr>
        <w:t>”) to allot Shares, or to grant rights to subscribe for Shares, pursuant to the 2019 EIP;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58" w:lineRule="exact"/>
        <w:rPr>
          <w:rFonts w:ascii="Times New Roman" w:cs="Times New Roman" w:eastAsia="Times New Roman" w:hAnsi="Times New Roman"/>
          <w:sz w:val="19"/>
          <w:szCs w:val="19"/>
          <w:color w:val="auto"/>
        </w:rPr>
      </w:pPr>
    </w:p>
    <w:p>
      <w:pPr>
        <w:ind w:left="1480" w:hanging="739"/>
        <w:spacing w:after="0" w:line="269"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delegation of authority to the Remuneration Committee having been validly effected (among other things, in accordance with the Company’s articles of association and the 2019 EIP);</w:t>
      </w:r>
    </w:p>
    <w:p>
      <w:pPr>
        <w:spacing w:after="0" w:line="145"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approved the 2019 EIP;</w:t>
      </w:r>
    </w:p>
    <w:p>
      <w:pPr>
        <w:spacing w:after="0" w:line="188"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granted the awards in respect of the Shares under the 2019 EIP;</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resolved to allot and issue the Shares, or grant rights to subscribe for the Shares, at duly convened and quorate meetings of the Board or the Remuneration Committee or by way of duly passed written resolutions of the Board or the Remuneration Committee and such resolutions being in full force and effect and not having been rescinded or amended;</w:t>
      </w:r>
    </w:p>
    <w:p>
      <w:pPr>
        <w:spacing w:after="0" w:line="166" w:lineRule="exact"/>
        <w:rPr>
          <w:rFonts w:ascii="Times New Roman" w:cs="Times New Roman" w:eastAsia="Times New Roman" w:hAnsi="Times New Roman"/>
          <w:sz w:val="20"/>
          <w:szCs w:val="20"/>
          <w:color w:val="auto"/>
        </w:rPr>
      </w:pPr>
    </w:p>
    <w:p>
      <w:pPr>
        <w:jc w:val="both"/>
        <w:ind w:left="1480" w:hanging="739"/>
        <w:spacing w:after="0" w:line="246"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2019 EIP are duly authorised by all necessary corporate action as described in (e) above and duly granted or awarded and exercised in accordance with the requirements of law, the Company’s articles of association and the 2019 EIP (and the agreements and awards duly adopted thereunder and in accordance therewith); and</w:t>
      </w:r>
    </w:p>
    <w:p>
      <w:pPr>
        <w:spacing w:after="0" w:line="157"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valid entries having been made in relation to the allotment and issue of the Shares in the books and registers of the Company,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it is our opinion that, as of today’s date, the Shares, if and when allotted and issued, registered in the name of the recipient in the register of members of the Company and delivered in accordance with the terms and conditions referred to above and/or in the 2019 EIP,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67" w:lineRule="exact"/>
        <w:rPr>
          <w:sz w:val="20"/>
          <w:szCs w:val="20"/>
          <w:color w:val="auto"/>
        </w:rPr>
      </w:pPr>
    </w:p>
    <w:p>
      <w:pPr>
        <w:ind w:left="740" w:hanging="732"/>
        <w:spacing w:after="0"/>
        <w:tabs>
          <w:tab w:leader="none" w:pos="74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EXTENT OF OPINION</w:t>
      </w:r>
    </w:p>
    <w:p>
      <w:pPr>
        <w:spacing w:after="0" w:line="192" w:lineRule="exact"/>
        <w:rPr>
          <w:rFonts w:ascii="Times New Roman" w:cs="Times New Roman" w:eastAsia="Times New Roman" w:hAnsi="Times New Roman"/>
          <w:sz w:val="20"/>
          <w:szCs w:val="20"/>
          <w:b w:val="1"/>
          <w:bCs w:val="1"/>
          <w:color w:val="auto"/>
        </w:rPr>
      </w:pPr>
    </w:p>
    <w:p>
      <w:pPr>
        <w:ind w:left="7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express no opinion as to any agreement, instrument or other document other than as specified in this letter or as to any liability to tax which may arise or be suffered as a result of or in connection with the transactions contemplated by the 2019 EIP.</w:t>
      </w:r>
    </w:p>
    <w:p>
      <w:pPr>
        <w:spacing w:after="0" w:line="145"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2"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RELIANCE AND DISCLOSURE</w:t>
      </w:r>
    </w:p>
    <w:p>
      <w:pPr>
        <w:spacing w:after="0" w:line="192" w:lineRule="exact"/>
        <w:rPr>
          <w:rFonts w:ascii="Times New Roman" w:cs="Times New Roman" w:eastAsia="Times New Roman" w:hAnsi="Times New Roman"/>
          <w:sz w:val="20"/>
          <w:szCs w:val="20"/>
          <w:b w:val="1"/>
          <w:bCs w:val="1"/>
          <w:color w:val="auto"/>
        </w:rPr>
      </w:pPr>
    </w:p>
    <w:p>
      <w:pPr>
        <w:jc w:val="both"/>
        <w:ind w:left="7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61"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LATHAM &amp; WATKINS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LATHAM &amp; WATKINS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23 January 2025</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4480"/>
        <w:spacing w:after="0"/>
        <w:rPr>
          <w:sz w:val="20"/>
          <w:szCs w:val="20"/>
          <w:color w:val="auto"/>
        </w:rPr>
      </w:pPr>
      <w:r>
        <w:rPr>
          <w:rFonts w:ascii="Times New Roman" w:cs="Times New Roman" w:eastAsia="Times New Roman" w:hAnsi="Times New Roman"/>
          <w:sz w:val="19"/>
          <w:szCs w:val="19"/>
          <w:b w:val="1"/>
          <w:bCs w:val="1"/>
          <w:color w:val="auto"/>
        </w:rPr>
        <w:t>SCHEDULE 1</w:t>
      </w:r>
    </w:p>
    <w:p>
      <w:pPr>
        <w:spacing w:after="0" w:line="119" w:lineRule="exact"/>
        <w:rPr>
          <w:sz w:val="20"/>
          <w:szCs w:val="20"/>
          <w:color w:val="auto"/>
        </w:rPr>
      </w:pPr>
    </w:p>
    <w:p>
      <w:pPr>
        <w:sectPr>
          <w:pgSz w:w="11900" w:h="16838" w:orient="portrait"/>
          <w:cols w:equalWidth="0" w:num="2">
            <w:col w:w="4800" w:space="720"/>
            <w:col w:w="5720"/>
          </w:cols>
          <w:pgMar w:left="320" w:top="77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9"/>
          <w:szCs w:val="19"/>
          <w:b w:val="1"/>
          <w:bCs w:val="1"/>
          <w:color w:val="auto"/>
        </w:rPr>
        <w:t>II.</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Times New Roman" w:cs="Times New Roman" w:eastAsia="Times New Roman" w:hAnsi="Times New Roman"/>
          <w:sz w:val="19"/>
          <w:szCs w:val="19"/>
          <w:b w:val="1"/>
          <w:bCs w:val="1"/>
          <w:color w:val="auto"/>
        </w:rPr>
        <w:t>ASSUMPTIONS</w:t>
      </w:r>
    </w:p>
    <w:p>
      <w:pPr>
        <w:spacing w:after="0" w:line="43" w:lineRule="exact"/>
        <w:rPr>
          <w:sz w:val="20"/>
          <w:szCs w:val="20"/>
          <w:color w:val="auto"/>
        </w:rPr>
      </w:pPr>
    </w:p>
    <w:p>
      <w:pPr>
        <w:sectPr>
          <w:pgSz w:w="11900" w:h="16838" w:orient="portrait"/>
          <w:cols w:equalWidth="0" w:num="2">
            <w:col w:w="4700" w:space="720"/>
            <w:col w:w="5820"/>
          </w:cols>
          <w:pgMar w:left="320" w:top="7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opinion in this letter has been given on the basis of the following assumptions:</w:t>
      </w:r>
    </w:p>
    <w:p>
      <w:pPr>
        <w:spacing w:after="0" w:line="174" w:lineRule="exact"/>
        <w:rPr>
          <w:sz w:val="20"/>
          <w:szCs w:val="20"/>
          <w:color w:val="auto"/>
        </w:rPr>
      </w:pPr>
    </w:p>
    <w:p>
      <w:pPr>
        <w:jc w:val="both"/>
        <w:ind w:left="2560" w:right="60" w:hanging="516"/>
        <w:spacing w:after="0" w:line="254"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6" w:lineRule="exact"/>
        <w:rPr>
          <w:rFonts w:ascii="Times New Roman" w:cs="Times New Roman" w:eastAsia="Times New Roman" w:hAnsi="Times New Roman"/>
          <w:sz w:val="20"/>
          <w:szCs w:val="20"/>
          <w:color w:val="auto"/>
        </w:rPr>
      </w:pPr>
    </w:p>
    <w:p>
      <w:pPr>
        <w:ind w:left="2560" w:right="240" w:hanging="516"/>
        <w:spacing w:after="0" w:line="269"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the case of a document signed electronically, the person signing it intended to sign and be bound by the document;</w:t>
      </w:r>
    </w:p>
    <w:p>
      <w:pPr>
        <w:spacing w:after="0" w:line="51" w:lineRule="exact"/>
        <w:rPr>
          <w:rFonts w:ascii="Times New Roman" w:cs="Times New Roman" w:eastAsia="Times New Roman" w:hAnsi="Times New Roman"/>
          <w:sz w:val="20"/>
          <w:szCs w:val="20"/>
          <w:color w:val="auto"/>
        </w:rPr>
      </w:pPr>
    </w:p>
    <w:p>
      <w:pPr>
        <w:ind w:left="2560" w:right="580" w:hanging="516"/>
        <w:spacing w:after="0" w:line="269"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where a document has been examined by us in draft or specimen form, it will be or has been duly executed in the form of that draft or specimen;</w:t>
      </w:r>
    </w:p>
    <w:p>
      <w:pPr>
        <w:spacing w:after="0" w:line="51" w:lineRule="exact"/>
        <w:rPr>
          <w:rFonts w:ascii="Times New Roman" w:cs="Times New Roman" w:eastAsia="Times New Roman" w:hAnsi="Times New Roman"/>
          <w:sz w:val="20"/>
          <w:szCs w:val="20"/>
          <w:color w:val="auto"/>
        </w:rPr>
      </w:pPr>
    </w:p>
    <w:p>
      <w:pPr>
        <w:ind w:left="2560" w:right="20" w:hanging="516"/>
        <w:spacing w:after="0" w:line="249"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articles of association of the Company referred to in paragraph 1.3(g)of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20"/>
          <w:szCs w:val="20"/>
          <w:b w:val="1"/>
          <w:bCs w:val="1"/>
          <w:color w:val="auto"/>
        </w:rPr>
        <w:t>Allotment Date</w:t>
      </w:r>
      <w:r>
        <w:rPr>
          <w:rFonts w:ascii="Times New Roman" w:cs="Times New Roman" w:eastAsia="Times New Roman" w:hAnsi="Times New Roman"/>
          <w:sz w:val="20"/>
          <w:szCs w:val="20"/>
          <w:color w:val="auto"/>
        </w:rPr>
        <w:t>”);</w:t>
      </w:r>
    </w:p>
    <w:p>
      <w:pPr>
        <w:spacing w:after="0" w:line="71" w:lineRule="exact"/>
        <w:rPr>
          <w:rFonts w:ascii="Times New Roman" w:cs="Times New Roman" w:eastAsia="Times New Roman" w:hAnsi="Times New Roman"/>
          <w:sz w:val="20"/>
          <w:szCs w:val="20"/>
          <w:color w:val="auto"/>
        </w:rPr>
      </w:pPr>
    </w:p>
    <w:p>
      <w:pPr>
        <w:ind w:left="2560" w:right="40" w:hanging="516"/>
        <w:spacing w:after="0" w:line="269"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2019 EIP was validly adopted and remains in full force and effect and no alteration has been made or will be made to it prior to an Allotment Date;</w:t>
      </w:r>
    </w:p>
    <w:p>
      <w:pPr>
        <w:spacing w:after="0" w:line="51" w:lineRule="exact"/>
        <w:rPr>
          <w:rFonts w:ascii="Times New Roman" w:cs="Times New Roman" w:eastAsia="Times New Roman" w:hAnsi="Times New Roman"/>
          <w:sz w:val="20"/>
          <w:szCs w:val="20"/>
          <w:color w:val="auto"/>
        </w:rPr>
      </w:pPr>
    </w:p>
    <w:p>
      <w:pPr>
        <w:ind w:left="2560" w:right="20" w:hanging="516"/>
        <w:spacing w:after="0" w:line="249"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71" w:lineRule="exact"/>
        <w:rPr>
          <w:rFonts w:ascii="Times New Roman" w:cs="Times New Roman" w:eastAsia="Times New Roman" w:hAnsi="Times New Roman"/>
          <w:sz w:val="20"/>
          <w:szCs w:val="20"/>
          <w:color w:val="auto"/>
        </w:rPr>
      </w:pPr>
    </w:p>
    <w:p>
      <w:pPr>
        <w:ind w:left="2560" w:hanging="516"/>
        <w:spacing w:after="0" w:line="243"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proceedings and resolutions described in the minutes of the meetings of the Board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77" w:lineRule="exact"/>
        <w:rPr>
          <w:rFonts w:ascii="Times New Roman" w:cs="Times New Roman" w:eastAsia="Times New Roman" w:hAnsi="Times New Roman"/>
          <w:sz w:val="20"/>
          <w:szCs w:val="20"/>
          <w:color w:val="auto"/>
        </w:rPr>
      </w:pPr>
    </w:p>
    <w:p>
      <w:pPr>
        <w:ind w:left="2560" w:hanging="516"/>
        <w:spacing w:after="0" w:line="244" w:lineRule="auto"/>
        <w:tabs>
          <w:tab w:leader="none" w:pos="2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resolutions of the shareholders of the Company provided to us in connection with the giving of this opinion and as referred to at paragraph 2(b)of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560" w:right="100" w:hanging="516"/>
        <w:spacing w:after="0" w:line="246"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76" w:lineRule="exact"/>
        <w:rPr>
          <w:rFonts w:ascii="Times New Roman" w:cs="Times New Roman" w:eastAsia="Times New Roman" w:hAnsi="Times New Roman"/>
          <w:sz w:val="20"/>
          <w:szCs w:val="20"/>
          <w:color w:val="auto"/>
        </w:rPr>
      </w:pPr>
    </w:p>
    <w:p>
      <w:pPr>
        <w:ind w:left="2560" w:right="20" w:hanging="516"/>
        <w:spacing w:after="0" w:line="246"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relation to any allotment and issue of any Shares by the Company pursuant to the 2019 EIP, the recipient will have become entitled to such Shares under the terms of the 2019 EIP and such Shares will, where applicable, be fully vested each in accordance with the terms of the 2019 EIP and such recipient has or will have complied with all other requirements of the 2019 EIP in connection with the allotment and issue of such Shares;</w:t>
      </w:r>
    </w:p>
    <w:p>
      <w:pPr>
        <w:spacing w:after="0" w:line="76" w:lineRule="exact"/>
        <w:rPr>
          <w:rFonts w:ascii="Times New Roman" w:cs="Times New Roman" w:eastAsia="Times New Roman" w:hAnsi="Times New Roman"/>
          <w:sz w:val="20"/>
          <w:szCs w:val="20"/>
          <w:color w:val="auto"/>
        </w:rPr>
      </w:pPr>
    </w:p>
    <w:p>
      <w:pPr>
        <w:ind w:left="2560" w:right="180" w:hanging="516"/>
        <w:spacing w:after="0" w:line="249"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awards have been made under the terms of the 2019 EIP, that the terms of all awards have not materially deviated from the terms set out in the 2019 EIP and that any Shares will be allotted and issued in accordance with the terms set out in the 2019 EIP and in accordance with the Company’s articles of association;</w:t>
      </w:r>
    </w:p>
    <w:p>
      <w:pPr>
        <w:spacing w:after="0" w:line="71" w:lineRule="exact"/>
        <w:rPr>
          <w:rFonts w:ascii="Times New Roman" w:cs="Times New Roman" w:eastAsia="Times New Roman" w:hAnsi="Times New Roman"/>
          <w:sz w:val="20"/>
          <w:szCs w:val="20"/>
          <w:color w:val="auto"/>
        </w:rPr>
      </w:pPr>
    </w:p>
    <w:p>
      <w:pPr>
        <w:ind w:left="2560" w:hanging="516"/>
        <w:spacing w:after="0" w:line="243"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81" w:lineRule="exact"/>
        <w:rPr>
          <w:rFonts w:ascii="Times New Roman" w:cs="Times New Roman" w:eastAsia="Times New Roman" w:hAnsi="Times New Roman"/>
          <w:sz w:val="20"/>
          <w:szCs w:val="20"/>
          <w:color w:val="auto"/>
        </w:rPr>
      </w:pPr>
    </w:p>
    <w:p>
      <w:pPr>
        <w:ind w:left="2560" w:right="280" w:hanging="516"/>
        <w:spacing w:after="0" w:line="254"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relation to the allotment and issue of Shares pursuant to the 2019 EIP or otherwise to an employee benefit trust, that such Shares will be allotted and issued in accordance with the terms of the 2019 EIP, the Company’s articles of association and the requirements of all applicable laws;</w:t>
      </w:r>
    </w:p>
    <w:p>
      <w:pPr>
        <w:spacing w:after="0" w:line="66" w:lineRule="exact"/>
        <w:rPr>
          <w:rFonts w:ascii="Times New Roman" w:cs="Times New Roman" w:eastAsia="Times New Roman" w:hAnsi="Times New Roman"/>
          <w:sz w:val="20"/>
          <w:szCs w:val="20"/>
          <w:color w:val="auto"/>
        </w:rPr>
      </w:pPr>
    </w:p>
    <w:p>
      <w:pPr>
        <w:ind w:left="2560" w:right="40" w:hanging="516"/>
        <w:spacing w:after="0" w:line="269"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Shares shall be allotted or issued, or are or shall be committed to be allotted or issued, at a discount to their nominal value (whether in sterling or equivalent in any other currency);</w:t>
      </w:r>
    </w:p>
    <w:p>
      <w:pPr>
        <w:spacing w:after="0" w:line="51" w:lineRule="exact"/>
        <w:rPr>
          <w:rFonts w:ascii="Times New Roman" w:cs="Times New Roman" w:eastAsia="Times New Roman" w:hAnsi="Times New Roman"/>
          <w:sz w:val="20"/>
          <w:szCs w:val="20"/>
          <w:color w:val="auto"/>
        </w:rPr>
      </w:pPr>
    </w:p>
    <w:p>
      <w:pPr>
        <w:ind w:left="2560" w:right="40" w:hanging="516"/>
        <w:spacing w:after="0" w:line="245" w:lineRule="auto"/>
        <w:tabs>
          <w:tab w:leader="none" w:pos="25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20"/>
          <w:szCs w:val="20"/>
          <w:b w:val="1"/>
          <w:bCs w:val="1"/>
          <w:color w:val="auto"/>
        </w:rPr>
        <w:t>FSMA</w:t>
      </w:r>
      <w:r>
        <w:rPr>
          <w:rFonts w:ascii="Times New Roman" w:cs="Times New Roman" w:eastAsia="Times New Roman" w:hAnsi="Times New Roman"/>
          <w:sz w:val="20"/>
          <w:szCs w:val="20"/>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560" w:right="640" w:hanging="516"/>
        <w:spacing w:after="0" w:line="269" w:lineRule="auto"/>
        <w:tabs>
          <w:tab w:leader="none" w:pos="25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issuing and allotting and granting rights to acquire Shares and administering the 2019 EIP, the Company is not carrying on a regulated activity for the purposes of section 19 of FSMA;</w:t>
      </w:r>
    </w:p>
    <w:p>
      <w:pPr>
        <w:spacing w:after="0" w:line="51" w:lineRule="exact"/>
        <w:rPr>
          <w:rFonts w:ascii="Times New Roman" w:cs="Times New Roman" w:eastAsia="Times New Roman" w:hAnsi="Times New Roman"/>
          <w:sz w:val="20"/>
          <w:szCs w:val="20"/>
          <w:color w:val="auto"/>
        </w:rPr>
      </w:pPr>
    </w:p>
    <w:p>
      <w:pPr>
        <w:ind w:left="2560" w:right="220" w:hanging="516"/>
        <w:spacing w:after="0" w:line="274" w:lineRule="auto"/>
        <w:tabs>
          <w:tab w:leader="none" w:pos="25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has complied and will comply with all applicable anti-terrorism, anti-money laundering, sanctions and human rights laws and regulations and that each allotment and issue of Shares and grant of rights to acquire Shares pursuant to the 2019 EIP will be consistent with all such laws and regulations;</w:t>
      </w:r>
    </w:p>
    <w:p>
      <w:pPr>
        <w:spacing w:after="0" w:line="48" w:lineRule="exact"/>
        <w:rPr>
          <w:rFonts w:ascii="Times New Roman" w:cs="Times New Roman" w:eastAsia="Times New Roman" w:hAnsi="Times New Roman"/>
          <w:sz w:val="19"/>
          <w:szCs w:val="19"/>
          <w:color w:val="auto"/>
        </w:rPr>
      </w:pPr>
    </w:p>
    <w:p>
      <w:pPr>
        <w:ind w:left="2560" w:hanging="516"/>
        <w:spacing w:after="0" w:line="246" w:lineRule="auto"/>
        <w:tabs>
          <w:tab w:leader="none" w:pos="25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2019 EIP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2019 EIP, and the allotment and issue of the Shares, will promote the success of the Company for the benefit of its members as a whole; and</w:t>
      </w:r>
    </w:p>
    <w:p>
      <w:pPr>
        <w:spacing w:after="0" w:line="76" w:lineRule="exact"/>
        <w:rPr>
          <w:rFonts w:ascii="Times New Roman" w:cs="Times New Roman" w:eastAsia="Times New Roman" w:hAnsi="Times New Roman"/>
          <w:sz w:val="20"/>
          <w:szCs w:val="20"/>
          <w:color w:val="auto"/>
        </w:rPr>
      </w:pPr>
    </w:p>
    <w:p>
      <w:pPr>
        <w:ind w:left="2560" w:hanging="516"/>
        <w:spacing w:after="0" w:line="242" w:lineRule="auto"/>
        <w:tabs>
          <w:tab w:leader="none" w:pos="25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Company has not taken any corporate or other action nor have any steps been taken or legal proceedings been started against the Company for the liquidation, administration, winding-up,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III.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IV.</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V.</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VI.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VII.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VIII.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IX.</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XII.</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XIII.</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23 January 2025</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XIV.</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XV.</w:t>
      </w:r>
    </w:p>
    <w:p>
      <w:pPr>
        <w:sectPr>
          <w:pgSz w:w="11900" w:h="16838" w:orient="portrait"/>
          <w:cols w:equalWidth="0" w:num="1">
            <w:col w:w="11200"/>
          </w:cols>
          <w:pgMar w:left="320" w:top="770" w:right="379" w:bottom="1440" w:gutter="0" w:footer="0" w:header="0"/>
        </w:sectPr>
      </w:pP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XVI.</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9"/>
          <w:szCs w:val="19"/>
          <w:b w:val="1"/>
          <w:bCs w:val="1"/>
          <w:color w:val="auto"/>
        </w:rPr>
        <w:t>SCHEDULE 2</w:t>
      </w:r>
    </w:p>
    <w:p>
      <w:pPr>
        <w:spacing w:after="0" w:line="119" w:lineRule="exact"/>
        <w:rPr>
          <w:sz w:val="20"/>
          <w:szCs w:val="20"/>
          <w:color w:val="auto"/>
        </w:rPr>
      </w:pPr>
    </w:p>
    <w:p>
      <w:pPr>
        <w:sectPr>
          <w:pgSz w:w="11900" w:h="16838" w:orient="portrait"/>
          <w:cols w:equalWidth="0" w:num="2">
            <w:col w:w="4800" w:space="720"/>
            <w:col w:w="5680"/>
          </w:cols>
          <w:pgMar w:left="320" w:top="770" w:right="37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20"/>
          <w:szCs w:val="20"/>
          <w:b w:val="1"/>
          <w:bCs w:val="1"/>
          <w:color w:val="auto"/>
        </w:rPr>
        <w:t>XVII.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opinion in this letter is subject to the following reservations: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RESERVATIONS</w:t>
      </w:r>
    </w:p>
    <w:p>
      <w:pPr>
        <w:spacing w:after="0" w:line="447" w:lineRule="exact"/>
        <w:rPr>
          <w:sz w:val="20"/>
          <w:szCs w:val="20"/>
          <w:color w:val="auto"/>
        </w:rPr>
      </w:pPr>
    </w:p>
    <w:p>
      <w:pPr>
        <w:sectPr>
          <w:pgSz w:w="11900" w:h="16838" w:orient="portrait"/>
          <w:cols w:equalWidth="0" w:num="2">
            <w:col w:w="5120" w:space="240"/>
            <w:col w:w="5840"/>
          </w:cols>
          <w:pgMar w:left="320" w:top="770" w:right="379" w:bottom="1440" w:gutter="0" w:footer="0" w:header="0"/>
          <w:type w:val="continuous"/>
        </w:sectPr>
      </w:pPr>
    </w:p>
    <w:p>
      <w:pPr>
        <w:ind w:left="2560" w:right="240" w:hanging="516"/>
        <w:spacing w:after="0" w:line="249" w:lineRule="auto"/>
        <w:tabs>
          <w:tab w:leader="none" w:pos="25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7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b)</w:t>
      </w:r>
    </w:p>
    <w:p>
      <w:pPr>
        <w:spacing w:after="0" w:line="112" w:lineRule="exact"/>
        <w:rPr>
          <w:sz w:val="20"/>
          <w:szCs w:val="20"/>
          <w:color w:val="auto"/>
        </w:rPr>
      </w:pPr>
    </w:p>
    <w:p>
      <w:pPr>
        <w:ind w:left="2560" w:right="680" w:hanging="516"/>
        <w:spacing w:after="0" w:line="282" w:lineRule="auto"/>
        <w:tabs>
          <w:tab w:leader="none" w:pos="2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51" w:lineRule="exact"/>
        <w:rPr>
          <w:rFonts w:ascii="Times New Roman" w:cs="Times New Roman" w:eastAsia="Times New Roman" w:hAnsi="Times New Roman"/>
          <w:sz w:val="18"/>
          <w:szCs w:val="18"/>
          <w:color w:val="auto"/>
        </w:rPr>
      </w:pPr>
    </w:p>
    <w:p>
      <w:pPr>
        <w:ind w:left="2560" w:right="60" w:hanging="516"/>
        <w:spacing w:after="0" w:line="267" w:lineRule="auto"/>
        <w:tabs>
          <w:tab w:leader="none" w:pos="2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exercising jurisdiction in relation to insolvency</w:t>
      </w:r>
      <w:r>
        <w:rPr>
          <w:rFonts w:ascii="Times New Roman" w:cs="Times New Roman" w:eastAsia="Times New Roman" w:hAnsi="Times New Roman"/>
          <w:sz w:val="18"/>
          <w:szCs w:val="18"/>
          <w:color w:val="auto"/>
        </w:rPr>
        <w:t>) to assist the courts having the corresponding jurisdiction in any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Kingdom or any relevant country or territory;</w:t>
      </w:r>
    </w:p>
    <w:p>
      <w:pPr>
        <w:spacing w:after="0" w:line="63" w:lineRule="exact"/>
        <w:rPr>
          <w:sz w:val="20"/>
          <w:szCs w:val="20"/>
          <w:color w:val="auto"/>
        </w:rPr>
      </w:pPr>
    </w:p>
    <w:p>
      <w:pPr>
        <w:ind w:left="2560" w:hanging="516"/>
        <w:spacing w:after="0"/>
        <w:tabs>
          <w:tab w:leader="none" w:pos="25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as to matters of fact;</w:t>
      </w:r>
    </w:p>
    <w:p>
      <w:pPr>
        <w:spacing w:after="0" w:line="107" w:lineRule="exact"/>
        <w:rPr>
          <w:rFonts w:ascii="Times New Roman" w:cs="Times New Roman" w:eastAsia="Times New Roman" w:hAnsi="Times New Roman"/>
          <w:sz w:val="20"/>
          <w:szCs w:val="20"/>
          <w:color w:val="auto"/>
        </w:rPr>
      </w:pPr>
    </w:p>
    <w:p>
      <w:pPr>
        <w:ind w:left="2560" w:right="40" w:hanging="516"/>
        <w:spacing w:after="0" w:line="254" w:lineRule="auto"/>
        <w:tabs>
          <w:tab w:leader="none" w:pos="25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on the compliance of the 2019 EIP, or the compliance of any award made under the 2019 EIP, with the rules or regulations of the NASDAQ Stock Market LLC or the rules or regulations of any other securities exchange that are applicable to the Company;</w:t>
      </w:r>
    </w:p>
    <w:p>
      <w:pPr>
        <w:spacing w:after="0" w:line="66" w:lineRule="exact"/>
        <w:rPr>
          <w:rFonts w:ascii="Times New Roman" w:cs="Times New Roman" w:eastAsia="Times New Roman" w:hAnsi="Times New Roman"/>
          <w:sz w:val="20"/>
          <w:szCs w:val="20"/>
          <w:color w:val="auto"/>
        </w:rPr>
      </w:pPr>
    </w:p>
    <w:p>
      <w:pPr>
        <w:ind w:left="2560" w:right="40" w:hanging="516"/>
        <w:spacing w:after="0" w:line="243" w:lineRule="auto"/>
        <w:tabs>
          <w:tab w:leader="none" w:pos="25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in relation to the legality, enforceability or validity of the 2019 EIP or any award agreement entered into pursuant to it. In particular, but without prejudice to the generality of the foregoing, we have assumed that the Shares to be allotted under the 2019 EIP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81" w:lineRule="exact"/>
        <w:rPr>
          <w:rFonts w:ascii="Times New Roman" w:cs="Times New Roman" w:eastAsia="Times New Roman" w:hAnsi="Times New Roman"/>
          <w:sz w:val="20"/>
          <w:szCs w:val="20"/>
          <w:color w:val="auto"/>
        </w:rPr>
      </w:pPr>
    </w:p>
    <w:p>
      <w:pPr>
        <w:ind w:left="2560" w:hanging="516"/>
        <w:spacing w:after="0" w:line="249" w:lineRule="auto"/>
        <w:tabs>
          <w:tab w:leader="none" w:pos="25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award under the 2019 EIP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71" w:lineRule="exact"/>
        <w:rPr>
          <w:rFonts w:ascii="Times New Roman" w:cs="Times New Roman" w:eastAsia="Times New Roman" w:hAnsi="Times New Roman"/>
          <w:sz w:val="20"/>
          <w:szCs w:val="20"/>
          <w:color w:val="auto"/>
        </w:rPr>
      </w:pPr>
    </w:p>
    <w:p>
      <w:pPr>
        <w:ind w:left="2560" w:right="180" w:hanging="516"/>
        <w:spacing w:after="0" w:line="269" w:lineRule="auto"/>
        <w:tabs>
          <w:tab w:leader="none" w:pos="25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should be understood that we have not been responsible for investigating or verifying the accuracy of the facts, including statements of foreign law, or the</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0"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23 January 2025</w:t>
      </w:r>
    </w:p>
    <w:p>
      <w:pPr>
        <w:spacing w:after="0"/>
        <w:rPr>
          <w:sz w:val="20"/>
          <w:szCs w:val="20"/>
          <w:color w:val="auto"/>
        </w:rPr>
      </w:pPr>
      <w:r>
        <w:rPr>
          <w:rFonts w:ascii="Arial" w:cs="Arial" w:eastAsia="Arial" w:hAnsi="Arial"/>
          <w:sz w:val="13"/>
          <w:szCs w:val="13"/>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45845" cy="77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045845" cy="774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560"/>
        <w:spacing w:after="0" w:line="269" w:lineRule="auto"/>
        <w:rPr>
          <w:sz w:val="20"/>
          <w:szCs w:val="20"/>
          <w:color w:val="auto"/>
        </w:rPr>
      </w:pPr>
      <w:r>
        <w:rPr>
          <w:rFonts w:ascii="Times New Roman" w:cs="Times New Roman" w:eastAsia="Times New Roman" w:hAnsi="Times New Roman"/>
          <w:sz w:val="20"/>
          <w:szCs w:val="20"/>
          <w:color w:val="auto"/>
        </w:rPr>
        <w:t>reasonableness of any statements of opinion, contained in the Registration Statement, or that no material facts have been omitted from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767" w:right="7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139"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We hereby consent to the incorporation by reference in this Registration Statement on Form S-8 of Mereo BioPharma Group plc of our report dated March 27, 2024 relating to the financial statements, which appears in Mereo BioPharma Group plc's Annual Report on Form 10-K for the year ended December 31, 2023.</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Reading, United Kingdom</w:t>
      </w:r>
    </w:p>
    <w:p>
      <w:pPr>
        <w:spacing w:after="0"/>
        <w:rPr>
          <w:sz w:val="20"/>
          <w:szCs w:val="20"/>
          <w:color w:val="auto"/>
        </w:rPr>
      </w:pPr>
      <w:r>
        <w:rPr>
          <w:rFonts w:ascii="Times New Roman" w:cs="Times New Roman" w:eastAsia="Times New Roman" w:hAnsi="Times New Roman"/>
          <w:sz w:val="22"/>
          <w:szCs w:val="22"/>
          <w:color w:val="auto"/>
        </w:rPr>
        <w:t>January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Tables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w:t>
      </w:r>
      <w:r>
        <w:rPr>
          <w:rFonts w:ascii="Times New Roman" w:cs="Times New Roman" w:eastAsia="Times New Roman" w:hAnsi="Times New Roman"/>
          <w:sz w:val="18"/>
          <w:szCs w:val="18"/>
          <w:color w:val="auto"/>
        </w:rPr>
        <w:t xml:space="preserve">ly </w:t>
      </w:r>
      <w:r>
        <w:rPr>
          <w:rFonts w:ascii="Times New Roman" w:cs="Times New Roman" w:eastAsia="Times New Roman" w:hAnsi="Times New Roman"/>
          <w:sz w:val="18"/>
          <w:szCs w:val="18"/>
          <w:u w:val="single" w:color="auto"/>
          <w:color w:val="auto"/>
        </w:rPr>
        <w:t>Registered and Carry Forward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040" w:type="dxa"/>
            <w:vAlign w:val="bottom"/>
            <w:tcBorders>
              <w:top w:val="single" w:sz="8" w:color="auto"/>
              <w:left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6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spacing w:after="0"/>
              <w:rPr>
                <w:sz w:val="20"/>
                <w:szCs w:val="20"/>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Security Class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Type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Registered (2)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(4)</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Registration Fee</w:t>
            </w:r>
          </w:p>
        </w:tc>
      </w:tr>
      <w:tr>
        <w:trPr>
          <w:trHeight w:val="5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r>
      <w:tr>
        <w:trPr>
          <w:trHeight w:val="201"/>
        </w:trPr>
        <w:tc>
          <w:tcPr>
            <w:tcW w:w="1040" w:type="dxa"/>
            <w:vAlign w:val="bottom"/>
            <w:tcBorders>
              <w:left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Equity</w:t>
            </w:r>
          </w:p>
        </w:tc>
        <w:tc>
          <w:tcPr>
            <w:tcW w:w="1480" w:type="dxa"/>
            <w:vAlign w:val="bottom"/>
            <w:tcBorders>
              <w:right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color w:val="auto"/>
              </w:rPr>
              <w:t>Ordinary shares,</w:t>
            </w:r>
          </w:p>
        </w:tc>
        <w:tc>
          <w:tcPr>
            <w:tcW w:w="12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nominal value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£0.003 per share</w:t>
            </w:r>
          </w:p>
        </w:tc>
        <w:tc>
          <w:tcPr>
            <w:tcW w:w="12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and Rule</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$ 153.10 per</w:t>
            </w:r>
          </w:p>
        </w:tc>
        <w:tc>
          <w:tcPr>
            <w:tcW w:w="1660" w:type="dxa"/>
            <w:vAlign w:val="bottom"/>
            <w:tcBorders>
              <w:right w:val="single" w:sz="8" w:color="auto"/>
            </w:tcBorders>
          </w:tcPr>
          <w:p>
            <w:pPr>
              <w:spacing w:after="0"/>
              <w:rPr>
                <w:sz w:val="18"/>
                <w:szCs w:val="18"/>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41,191,158 (3)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$0.58</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$23,890,871.64</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$3,657.69</w:t>
            </w: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$23,890,871.64</w:t>
            </w: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$3,657.69</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Total Fee Offsets</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8"/>
              </w:rPr>
              <w:t>Net Fee Due</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$3,657.69</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60" w:hanging="452"/>
        <w:spacing w:after="0" w:line="261"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333-249338 and 333-258824).</w:t>
      </w:r>
    </w:p>
    <w:p>
      <w:pPr>
        <w:spacing w:after="0" w:line="71"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is deemed to cover an indeterminate number of additional Ordinary Shares that may be offered or issued pursuant to the Plans to prevent dilution resulting from any share dividend, share split or other similar transaction.</w:t>
      </w:r>
    </w:p>
    <w:p>
      <w:pPr>
        <w:spacing w:after="0" w:line="67" w:lineRule="exact"/>
        <w:rPr>
          <w:rFonts w:ascii="Times New Roman" w:cs="Times New Roman" w:eastAsia="Times New Roman" w:hAnsi="Times New Roman"/>
          <w:sz w:val="18"/>
          <w:szCs w:val="18"/>
          <w:color w:val="auto"/>
        </w:rPr>
      </w:pPr>
    </w:p>
    <w:p>
      <w:pPr>
        <w:ind w:left="460" w:hanging="452"/>
        <w:spacing w:after="0" w:line="261"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Ordinary Shares issuable pursuant to the Mereo BioPharma Group plc 2019 Equity Incentive Plan, as amended on February 13, 2020 and January 15, 2021, and the Mereo BioPharma Group plc 2019 Non-Employee Equity Incentive Plan, as amended on February 13, 2020 and January 15, 2021 (collectively, the “Plans”), and (ii) Ordinary Shares issuable upon vesting of restricted stock units and performance awards granted to employees and executives pursuant to and in accordance with the Plans.</w:t>
      </w:r>
    </w:p>
    <w:p>
      <w:pPr>
        <w:spacing w:after="0" w:line="71" w:lineRule="exact"/>
        <w:rPr>
          <w:rFonts w:ascii="Times New Roman" w:cs="Times New Roman" w:eastAsia="Times New Roman" w:hAnsi="Times New Roman"/>
          <w:sz w:val="18"/>
          <w:szCs w:val="18"/>
          <w:color w:val="auto"/>
        </w:rPr>
      </w:pPr>
    </w:p>
    <w:p>
      <w:pPr>
        <w:ind w:left="460" w:hanging="45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 $2.87, the average high and low sale price of the ADSs on the Nasdaq Capital Market on January 17, 2025 divided by five to reflect the Ordinary Share to ADS ratio.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DOCVARIABLE #DNDocID \* MERGEFORMAT 777265735.1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
    <w:nsid w:val="4DB127F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
    <w:nsid w:val="216231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9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2"/>
    </w:lvl>
    <w:lvl w:ilvl="1">
      <w:lvlJc w:val="left"/>
      <w:lvlText w:val="(%2)"/>
      <w:numFmt w:val="lowerLetter"/>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9"/>
    </w:lvl>
  </w:abstractNum>
  <w:abstractNum w:abstractNumId="13">
    <w:nsid w:val="6B68079A"/>
    <w:multiLevelType w:val="hybridMultilevel"/>
    <w:lvl w:ilvl="0">
      <w:lvlJc w:val="left"/>
      <w:lvlText w:val="%1)"/>
      <w:numFmt w:val="lowerLetter"/>
      <w:start w:val="16"/>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3"/>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png"/><Relationship Id="rId35" Type="http://schemas.openxmlformats.org/officeDocument/2006/relationships/image" Target="media/image18.jpe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png"/><Relationship Id="rId39" Type="http://schemas.openxmlformats.org/officeDocument/2006/relationships/image" Target="media/image22.jpeg"/><Relationship Id="rId40" Type="http://schemas.openxmlformats.org/officeDocument/2006/relationships/image" Target="media/image23.png"/><Relationship Id="rId41" Type="http://schemas.openxmlformats.org/officeDocument/2006/relationships/image" Target="media/image24.jpeg"/><Relationship Id="rId42" Type="http://schemas.openxmlformats.org/officeDocument/2006/relationships/image" Target="media/image25.png"/><Relationship Id="rId43" Type="http://schemas.openxmlformats.org/officeDocument/2006/relationships/image" Target="media/image26.jpeg"/><Relationship Id="rId44" Type="http://schemas.openxmlformats.org/officeDocument/2006/relationships/image" Target="media/image27.png"/><Relationship Id="rId45" Type="http://schemas.openxmlformats.org/officeDocument/2006/relationships/image" Target="media/image28.jpeg"/><Relationship Id="rId46" Type="http://schemas.openxmlformats.org/officeDocument/2006/relationships/image" Target="media/image29.png"/><Relationship Id="rId47" Type="http://schemas.openxmlformats.org/officeDocument/2006/relationships/image" Target="media/image30.jpeg"/><Relationship Id="rId48" Type="http://schemas.openxmlformats.org/officeDocument/2006/relationships/image" Target="media/image31.png"/><Relationship Id="rId49" Type="http://schemas.openxmlformats.org/officeDocument/2006/relationships/image" Target="media/image32.jpe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17" Type="http://schemas.openxmlformats.org/officeDocument/2006/relationships/hyperlink" Target="https://www.sec.gov/ix?doc=/Archives/edgar/data/1719714/000095017024037348/mreo-20231231.htm" TargetMode="External"/><Relationship Id="rId18" Type="http://schemas.openxmlformats.org/officeDocument/2006/relationships/hyperlink" Target="https://www.sec.gov/ix?doc=/Archives/edgar/data/1719714/000095017024060497/mreo-20240331.htm" TargetMode="External"/><Relationship Id="rId19" Type="http://schemas.openxmlformats.org/officeDocument/2006/relationships/hyperlink" Target="https://www.sec.gov/ix?doc=/Archives/edgar/data/1719714/000095017024124637/mreo-20240930.htm" TargetMode="External"/><Relationship Id="rId20" Type="http://schemas.openxmlformats.org/officeDocument/2006/relationships/hyperlink" Target="https://www.sec.gov/ix?doc=/Archives/edgar/data/0001719714/000119312524161662/d828399d8k.htm" TargetMode="External"/><Relationship Id="rId21" Type="http://schemas.openxmlformats.org/officeDocument/2006/relationships/hyperlink" Target="https://www.sec.gov/ix?doc=/Archives/edgar/data/1719714/000095017024124598/mreo-20241108.htm" TargetMode="External"/><Relationship Id="rId22" Type="http://schemas.openxmlformats.org/officeDocument/2006/relationships/hyperlink" Target="https://www.sec.gov/Archives/edgar/data/1719714/000119312518111700/d566514d8a12b.htm" TargetMode="External"/><Relationship Id="rId24" Type="http://schemas.openxmlformats.org/officeDocument/2006/relationships/hyperlink" Target="https://www.sec.gov/Archives/edgar/data/1719714/000119312523297624/d677335dex31.htm" TargetMode="External"/><Relationship Id="rId25" Type="http://schemas.openxmlformats.org/officeDocument/2006/relationships/hyperlink" Target="https://www.sec.gov/Archives/edgar/data/1719714/000119312521010098/d35302dex991.htm" TargetMode="External"/><Relationship Id="rId26" Type="http://schemas.openxmlformats.org/officeDocument/2006/relationships/hyperlink" Target="https://www.sec.gov/Archives/edgar/data/1719714/000119312524012995/d735625dex43.htm" TargetMode="External"/><Relationship Id="rId27" Type="http://schemas.openxmlformats.org/officeDocument/2006/relationships/hyperlink" Target="https://www.sec.gov/Archives/edgar/data/1719714/000119312523014256/d421215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2025-01-23T15:13:50Z</dcterms:created>
  <dcterms:modified xsi:type="dcterms:W3CDTF">2025-01-23T15:13:50Z</dcterms:modified>
</cp:coreProperties>
</file>