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280" w:val="left"/>
        </w:tabs>
        <w:rPr>
          <w:sz w:val="20"/>
          <w:szCs w:val="20"/>
          <w:color w:val="auto"/>
        </w:rPr>
      </w:pPr>
      <w:r>
        <w:rPr>
          <w:rFonts w:ascii="Arial" w:cs="Arial" w:eastAsia="Arial" w:hAnsi="Arial"/>
          <w:sz w:val="18"/>
          <w:szCs w:val="18"/>
          <w:b w:val="1"/>
          <w:bCs w:val="1"/>
          <w:color w:val="auto"/>
        </w:rPr>
        <w:t>As filed with the Securities and Exchange Commission on August 13, 2021</w:t>
      </w:r>
      <w:r>
        <w:rPr>
          <w:sz w:val="20"/>
          <w:szCs w:val="20"/>
          <w:color w:val="auto"/>
        </w:rPr>
        <w:tab/>
      </w: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2960"/>
        <w:spacing w:after="0"/>
        <w:rPr>
          <w:sz w:val="20"/>
          <w:szCs w:val="20"/>
          <w:color w:val="auto"/>
        </w:rPr>
      </w:pPr>
      <w:r>
        <w:rPr>
          <w:rFonts w:ascii="Arial" w:cs="Arial" w:eastAsia="Arial" w:hAnsi="Arial"/>
          <w:sz w:val="32"/>
          <w:szCs w:val="32"/>
          <w:b w:val="1"/>
          <w:bCs w:val="1"/>
          <w:color w:val="auto"/>
        </w:rPr>
        <w:t>MEREO BIOPHARMA GROUP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480"/>
        <w:spacing w:after="0" w:line="205" w:lineRule="auto"/>
        <w:rPr>
          <w:sz w:val="20"/>
          <w:szCs w:val="20"/>
          <w:color w:val="auto"/>
        </w:rPr>
      </w:pPr>
      <w:r>
        <w:rPr>
          <w:rFonts w:ascii="Arial" w:cs="Arial" w:eastAsia="Arial" w:hAnsi="Arial"/>
          <w:sz w:val="18"/>
          <w:szCs w:val="18"/>
          <w:b w:val="1"/>
          <w:bCs w:val="1"/>
          <w:color w:val="auto"/>
        </w:rPr>
        <w:t>10 East 40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0"/>
              </w:rPr>
              <w:t>David S. Bakst, Esq.</w:t>
            </w:r>
          </w:p>
        </w:tc>
        <w:tc>
          <w:tcPr>
            <w:tcW w:w="1660" w:type="dxa"/>
            <w:vAlign w:val="bottom"/>
          </w:tcPr>
          <w:p>
            <w:pPr>
              <w:spacing w:after="0"/>
              <w:rPr>
                <w:sz w:val="18"/>
                <w:szCs w:val="18"/>
                <w:color w:val="auto"/>
              </w:rPr>
            </w:pPr>
          </w:p>
        </w:tc>
        <w:tc>
          <w:tcPr>
            <w:tcW w:w="416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2"/>
              </w:rPr>
              <w:t>Herman H. Raspé, Esq.</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6"/>
              </w:rPr>
              <w:t>Mayer Brown LLP</w:t>
            </w:r>
          </w:p>
        </w:tc>
        <w:tc>
          <w:tcPr>
            <w:tcW w:w="1660" w:type="dxa"/>
            <w:vAlign w:val="bottom"/>
          </w:tcPr>
          <w:p>
            <w:pPr>
              <w:spacing w:after="0"/>
              <w:rPr>
                <w:sz w:val="18"/>
                <w:szCs w:val="18"/>
                <w:color w:val="auto"/>
              </w:rPr>
            </w:pPr>
          </w:p>
        </w:tc>
        <w:tc>
          <w:tcPr>
            <w:tcW w:w="416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88"/>
              </w:rPr>
              <w:t>1221 Avenue of the Americas</w:t>
            </w:r>
          </w:p>
        </w:tc>
        <w:tc>
          <w:tcPr>
            <w:tcW w:w="1660" w:type="dxa"/>
            <w:vAlign w:val="bottom"/>
          </w:tcPr>
          <w:p>
            <w:pPr>
              <w:spacing w:after="0"/>
              <w:rPr>
                <w:sz w:val="18"/>
                <w:szCs w:val="18"/>
                <w:color w:val="auto"/>
              </w:rPr>
            </w:pPr>
          </w:p>
        </w:tc>
        <w:tc>
          <w:tcPr>
            <w:tcW w:w="416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88"/>
              </w:rPr>
              <w:t>1133 Avenue of the Americas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2"/>
              </w:rPr>
              <w:t>New York, New York 10020-1001</w:t>
            </w:r>
          </w:p>
        </w:tc>
        <w:tc>
          <w:tcPr>
            <w:tcW w:w="1660" w:type="dxa"/>
            <w:vAlign w:val="bottom"/>
          </w:tcPr>
          <w:p>
            <w:pPr>
              <w:spacing w:after="0"/>
              <w:rPr>
                <w:sz w:val="18"/>
                <w:szCs w:val="18"/>
                <w:color w:val="auto"/>
              </w:rPr>
            </w:pPr>
          </w:p>
        </w:tc>
        <w:tc>
          <w:tcPr>
            <w:tcW w:w="416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1"/>
              </w:rPr>
              <w:t>New York, New York 10036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6"/>
          </w:tcPr>
          <w:p>
            <w:pPr>
              <w:jc w:val="center"/>
              <w:ind w:left="1470"/>
              <w:spacing w:after="0"/>
              <w:rPr>
                <w:sz w:val="20"/>
                <w:szCs w:val="20"/>
                <w:color w:val="auto"/>
              </w:rPr>
            </w:pPr>
            <w:r>
              <w:rPr>
                <w:rFonts w:ascii="Arial" w:cs="Arial" w:eastAsia="Arial" w:hAnsi="Arial"/>
                <w:sz w:val="18"/>
                <w:szCs w:val="18"/>
                <w:b w:val="1"/>
                <w:bCs w:val="1"/>
                <w:color w:val="auto"/>
                <w:w w:val="90"/>
              </w:rPr>
              <w:t>(212) 506-2551</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(212) 336-2301</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40" w:type="dxa"/>
            <w:vAlign w:val="bottom"/>
            <w:gridSpan w:val="8"/>
          </w:tcPr>
          <w:p>
            <w:pPr>
              <w:jc w:val="center"/>
              <w:ind w:right="290"/>
              <w:spacing w:after="0"/>
              <w:rPr>
                <w:sz w:val="20"/>
                <w:szCs w:val="20"/>
                <w:color w:val="auto"/>
              </w:rPr>
            </w:pPr>
            <w:r>
              <w:rPr>
                <w:rFonts w:ascii="Arial" w:cs="Arial" w:eastAsia="Arial" w:hAnsi="Arial"/>
                <w:sz w:val="18"/>
                <w:szCs w:val="18"/>
                <w:color w:val="auto"/>
                <w:w w:val="91"/>
              </w:rPr>
              <w:t>It is proposed that this filing become effective under Rule 466:</w:t>
            </w:r>
          </w:p>
        </w:tc>
        <w:tc>
          <w:tcPr>
            <w:tcW w:w="4160" w:type="dxa"/>
            <w:vAlign w:val="bottom"/>
            <w:gridSpan w:val="4"/>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60" w:type="dxa"/>
            <w:vAlign w:val="bottom"/>
            <w:gridSpan w:val="4"/>
          </w:tcPr>
          <w:p>
            <w:pPr>
              <w:jc w:val="right"/>
              <w:ind w:right="1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00" w:type="dxa"/>
            <w:vAlign w:val="bottom"/>
            <w:gridSpan w:val="12"/>
          </w:tcPr>
          <w:p>
            <w:pPr>
              <w:jc w:val="right"/>
              <w:ind w:right="1500"/>
              <w:spacing w:after="0" w:line="207" w:lineRule="exact"/>
              <w:rPr>
                <w:sz w:val="20"/>
                <w:szCs w:val="20"/>
                <w:color w:val="auto"/>
              </w:rPr>
            </w:pPr>
            <w:r>
              <w:rPr>
                <w:rFonts w:ascii="Arial" w:cs="Arial" w:eastAsia="Arial" w:hAnsi="Arial"/>
                <w:sz w:val="18"/>
                <w:szCs w:val="18"/>
                <w:color w:val="auto"/>
                <w:w w:val="93"/>
              </w:rPr>
              <w:t xml:space="preserve">If a separate registration statement has been filed to register the deposited shares, check the following box: </w:t>
            </w:r>
            <w:r>
              <w:rPr>
                <w:rFonts w:ascii="MS PGothic" w:cs="MS PGothic" w:eastAsia="MS PGothic" w:hAnsi="MS PGothic"/>
                <w:sz w:val="18"/>
                <w:szCs w:val="18"/>
                <w:color w:val="auto"/>
                <w:w w:val="93"/>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3220" w:type="dxa"/>
            <w:vAlign w:val="bottom"/>
            <w:tcBorders>
              <w:right w:val="single" w:sz="8" w:color="auto"/>
            </w:tcBorders>
            <w:gridSpan w:val="5"/>
          </w:tcPr>
          <w:p>
            <w:pPr>
              <w:jc w:val="center"/>
              <w:ind w:right="440"/>
              <w:spacing w:after="0" w:line="195" w:lineRule="exact"/>
              <w:rPr>
                <w:sz w:val="20"/>
                <w:szCs w:val="20"/>
                <w:color w:val="auto"/>
              </w:rPr>
            </w:pPr>
            <w:r>
              <w:rPr>
                <w:rFonts w:ascii="Arial" w:cs="Arial" w:eastAsia="Arial" w:hAnsi="Arial"/>
                <w:sz w:val="18"/>
                <w:szCs w:val="18"/>
                <w:color w:val="auto"/>
                <w:w w:val="92"/>
              </w:rPr>
              <w:t>Title of Each Class of</w:t>
            </w:r>
          </w:p>
        </w:tc>
        <w:tc>
          <w:tcPr>
            <w:tcW w:w="240" w:type="dxa"/>
            <w:vAlign w:val="bottom"/>
          </w:tcPr>
          <w:p>
            <w:pPr>
              <w:spacing w:after="0"/>
              <w:rPr>
                <w:sz w:val="16"/>
                <w:szCs w:val="16"/>
                <w:color w:val="auto"/>
              </w:rPr>
            </w:pPr>
          </w:p>
        </w:tc>
        <w:tc>
          <w:tcPr>
            <w:tcW w:w="166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3"/>
              </w:rPr>
              <w:t>Amount to be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0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1"/>
              </w:rPr>
              <w:t>Proposed Maximum</w:t>
            </w:r>
          </w:p>
        </w:tc>
        <w:tc>
          <w:tcPr>
            <w:tcW w:w="340" w:type="dxa"/>
            <w:vAlign w:val="bottom"/>
          </w:tcPr>
          <w:p>
            <w:pPr>
              <w:spacing w:after="0"/>
              <w:rPr>
                <w:sz w:val="16"/>
                <w:szCs w:val="16"/>
                <w:color w:val="auto"/>
              </w:rPr>
            </w:pPr>
          </w:p>
        </w:tc>
        <w:tc>
          <w:tcPr>
            <w:tcW w:w="154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220" w:type="dxa"/>
            <w:vAlign w:val="bottom"/>
            <w:tcBorders>
              <w:right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9"/>
              </w:rPr>
              <w:t>Securities to be Registered</w:t>
            </w:r>
          </w:p>
        </w:tc>
        <w:tc>
          <w:tcPr>
            <w:tcW w:w="240" w:type="dxa"/>
            <w:vAlign w:val="bottom"/>
          </w:tcPr>
          <w:p>
            <w:pPr>
              <w:spacing w:after="0"/>
              <w:rPr>
                <w:sz w:val="18"/>
                <w:szCs w:val="18"/>
                <w:color w:val="auto"/>
              </w:rPr>
            </w:pPr>
          </w:p>
        </w:tc>
        <w:tc>
          <w:tcPr>
            <w:tcW w:w="16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Registered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Price Per</w:t>
            </w:r>
          </w:p>
        </w:tc>
        <w:tc>
          <w:tcPr>
            <w:tcW w:w="1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Aggregate Offering</w:t>
            </w:r>
          </w:p>
        </w:tc>
        <w:tc>
          <w:tcPr>
            <w:tcW w:w="34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8"/>
              </w:rPr>
              <w:t>Price**</w:t>
            </w: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rPr>
              <w:t>American Depositary Shares (ADS(s)), each</w:t>
            </w:r>
          </w:p>
        </w:tc>
        <w:tc>
          <w:tcPr>
            <w:tcW w:w="24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ADS representing the right to receive five (5)</w:t>
            </w:r>
          </w:p>
        </w:tc>
        <w:tc>
          <w:tcPr>
            <w:tcW w:w="240" w:type="dxa"/>
            <w:vAlign w:val="bottom"/>
          </w:tcPr>
          <w:p>
            <w:pPr>
              <w:spacing w:after="0"/>
              <w:rPr>
                <w:sz w:val="19"/>
                <w:szCs w:val="19"/>
                <w:color w:val="auto"/>
              </w:rPr>
            </w:pPr>
          </w:p>
        </w:tc>
        <w:tc>
          <w:tcPr>
            <w:tcW w:w="16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89"/>
              </w:rPr>
              <w:t>100,000,000 ADSs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9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0"/>
              </w:rPr>
              <w:t>$5,000,000</w:t>
            </w:r>
          </w:p>
        </w:tc>
        <w:tc>
          <w:tcPr>
            <w:tcW w:w="340" w:type="dxa"/>
            <w:vAlign w:val="bottom"/>
          </w:tcPr>
          <w:p>
            <w:pPr>
              <w:spacing w:after="0"/>
              <w:rPr>
                <w:sz w:val="19"/>
                <w:szCs w:val="19"/>
                <w:color w:val="auto"/>
              </w:rPr>
            </w:pPr>
          </w:p>
        </w:tc>
        <w:tc>
          <w:tcPr>
            <w:tcW w:w="1540" w:type="dxa"/>
            <w:vAlign w:val="bottom"/>
            <w:vMerge w:val="restart"/>
          </w:tcPr>
          <w:p>
            <w:pPr>
              <w:jc w:val="center"/>
              <w:ind w:right="270"/>
              <w:spacing w:after="0"/>
              <w:rPr>
                <w:sz w:val="20"/>
                <w:szCs w:val="20"/>
                <w:color w:val="auto"/>
              </w:rPr>
            </w:pPr>
            <w:r>
              <w:rPr>
                <w:rFonts w:ascii="Arial" w:cs="Arial" w:eastAsia="Arial" w:hAnsi="Arial"/>
                <w:sz w:val="18"/>
                <w:szCs w:val="18"/>
                <w:color w:val="auto"/>
                <w:w w:val="89"/>
              </w:rPr>
              <w:t>$545.50</w:t>
            </w:r>
          </w:p>
        </w:tc>
        <w:tc>
          <w:tcPr>
            <w:tcW w:w="0" w:type="dxa"/>
            <w:vAlign w:val="bottom"/>
          </w:tcPr>
          <w:p>
            <w:pPr>
              <w:spacing w:after="0"/>
              <w:rPr>
                <w:sz w:val="1"/>
                <w:szCs w:val="1"/>
                <w:color w:val="auto"/>
              </w:rPr>
            </w:pPr>
          </w:p>
        </w:tc>
      </w:tr>
      <w:tr>
        <w:trPr>
          <w:trHeight w:val="122"/>
        </w:trPr>
        <w:tc>
          <w:tcPr>
            <w:tcW w:w="36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3"/>
              </w:rPr>
              <w:t>Ordinary Shares of Mereo BioPharma Group plc</w:t>
            </w:r>
          </w:p>
        </w:tc>
        <w:tc>
          <w:tcPr>
            <w:tcW w:w="240" w:type="dxa"/>
            <w:vAlign w:val="bottom"/>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tcBorders>
              <w:right w:val="single" w:sz="8" w:color="auto"/>
            </w:tcBorders>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6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(the “Company”)</w:t>
            </w:r>
          </w:p>
        </w:tc>
        <w:tc>
          <w:tcPr>
            <w:tcW w:w="24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ind w:left="320" w:right="240" w:hanging="312"/>
        <w:spacing w:after="0" w:line="260"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72" w:right="339" w:bottom="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(ix)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6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at 100 F Street, N.E., Washington D.C. 20549.</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379"/>
        <w:spacing w:after="0" w:line="342" w:lineRule="auto"/>
        <w:rPr>
          <w:sz w:val="20"/>
          <w:szCs w:val="20"/>
          <w:color w:val="auto"/>
        </w:rPr>
      </w:pPr>
      <w:r>
        <w:rPr>
          <w:rFonts w:ascii="Arial" w:cs="Arial" w:eastAsia="Arial" w:hAnsi="Arial"/>
          <w:sz w:val="16"/>
          <w:szCs w:val="16"/>
          <w:color w:val="auto"/>
        </w:rPr>
        <w:t>The Prospectus consists of the form of American Depositary Receipt included as Exhibit A to the Deposit Agreement filed as Exhibit (a) to this Registration Statement on Form F-6 and is incorporated herein by reference.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right="32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Deposit Agreement, dated as of April 23, 2019, by and among Mereo BioPharma Group 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At-the-Market Letter Agreement, dated as of October 6, 2020, by and between the Company and the Depositary. – Filed herewith as Exhibit (b).</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Filed herewith as Exhibit (e).</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right="40" w:firstLine="8"/>
        <w:spacing w:after="0" w:line="260"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and incorporated by reference to the Registration Statement on Form F-6 (Reg. No.: 333-249338) with the Commission on October 6, 2020</w:t>
      </w:r>
    </w:p>
    <w:p>
      <w:pPr>
        <w:spacing w:after="0" w:line="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ind w:left="1300" w:right="6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to be created by the Deposit Agreement, by and among Mereo BioPharma Group plc,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2021.</w:t>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Depositary Share representing the right to receive Ordinary Shares of Mereo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BioPharma Group plc.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 Teitelbaum</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Brian M. Teitelbaum</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Mereo BioPharma Group plc certifies that it has reasonable grounds to believe that all the requirements for filing on Form F-6 are met and has duly caused this Registration Statement on Form F-6 to be signed on its behalf by the undersigned thereunto duly authorized, in London, United Kingdom, on August 13, 2021.</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 Ph.D.</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Denise Scots-Knight, Ph.D.</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each of Denise</w:t>
      </w:r>
      <w:r>
        <w:rPr>
          <w:rFonts w:ascii="Arial" w:cs="Arial" w:eastAsia="Arial" w:hAnsi="Arial"/>
          <w:sz w:val="16"/>
          <w:szCs w:val="16"/>
          <w:b w:val="1"/>
          <w:bCs w:val="1"/>
          <w:color w:val="auto"/>
        </w:rPr>
        <w:t xml:space="preserve"> </w:t>
      </w:r>
      <w:r>
        <w:rPr>
          <w:rFonts w:ascii="Arial" w:cs="Arial" w:eastAsia="Arial" w:hAnsi="Arial"/>
          <w:sz w:val="16"/>
          <w:szCs w:val="16"/>
          <w:color w:val="auto"/>
        </w:rPr>
        <w:t>Scots-Knight, Ph.D. and Christine Fox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August 13,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Signature</w:t>
            </w:r>
          </w:p>
        </w:tc>
        <w:tc>
          <w:tcPr>
            <w:tcW w:w="20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0" w:type="dxa"/>
            <w:vAlign w:val="bottom"/>
            <w:gridSpan w:val="2"/>
          </w:tcPr>
          <w:p>
            <w:pPr>
              <w:jc w:val="center"/>
              <w:ind w:right="1680"/>
              <w:spacing w:after="0"/>
              <w:rPr>
                <w:sz w:val="20"/>
                <w:szCs w:val="20"/>
                <w:color w:val="auto"/>
              </w:rPr>
            </w:pPr>
            <w:r>
              <w:rPr>
                <w:rFonts w:ascii="Arial" w:cs="Arial" w:eastAsia="Arial" w:hAnsi="Arial"/>
                <w:sz w:val="18"/>
                <w:szCs w:val="18"/>
                <w:color w:val="auto"/>
                <w:w w:val="93"/>
              </w:rPr>
              <w:t>Title</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Denise Scots-Knight, Ph.D.</w:t>
            </w:r>
          </w:p>
        </w:tc>
        <w:tc>
          <w:tcPr>
            <w:tcW w:w="5380" w:type="dxa"/>
            <w:vAlign w:val="bottom"/>
            <w:gridSpan w:val="3"/>
          </w:tcPr>
          <w:p>
            <w:pPr>
              <w:jc w:val="center"/>
              <w:ind w:left="1610"/>
              <w:spacing w:after="0"/>
              <w:rPr>
                <w:sz w:val="20"/>
                <w:szCs w:val="20"/>
                <w:color w:val="auto"/>
              </w:rPr>
            </w:pPr>
            <w:r>
              <w:rPr>
                <w:rFonts w:ascii="Arial" w:cs="Arial" w:eastAsia="Arial" w:hAnsi="Arial"/>
                <w:sz w:val="18"/>
                <w:szCs w:val="18"/>
                <w:color w:val="auto"/>
                <w:w w:val="92"/>
              </w:rPr>
              <w:t>Chief Executive Officer and Member of the Board</w:t>
            </w:r>
          </w:p>
        </w:tc>
        <w:tc>
          <w:tcPr>
            <w:tcW w:w="0" w:type="dxa"/>
            <w:vAlign w:val="bottom"/>
          </w:tcPr>
          <w:p>
            <w:pPr>
              <w:spacing w:after="0"/>
              <w:rPr>
                <w:sz w:val="1"/>
                <w:szCs w:val="1"/>
                <w:color w:val="auto"/>
              </w:rPr>
            </w:pP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Denise Scots-Knight, Ph.D.</w:t>
            </w:r>
          </w:p>
        </w:tc>
        <w:tc>
          <w:tcPr>
            <w:tcW w:w="538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18"/>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Christine Fox</w:t>
            </w:r>
          </w:p>
        </w:tc>
        <w:tc>
          <w:tcPr>
            <w:tcW w:w="5380" w:type="dxa"/>
            <w:vAlign w:val="bottom"/>
            <w:gridSpan w:val="3"/>
          </w:tcPr>
          <w:p>
            <w:pPr>
              <w:jc w:val="center"/>
              <w:ind w:left="1610"/>
              <w:spacing w:after="0"/>
              <w:rPr>
                <w:sz w:val="20"/>
                <w:szCs w:val="20"/>
                <w:color w:val="auto"/>
              </w:rPr>
            </w:pPr>
            <w:r>
              <w:rPr>
                <w:rFonts w:ascii="Arial" w:cs="Arial" w:eastAsia="Arial" w:hAnsi="Arial"/>
                <w:sz w:val="18"/>
                <w:szCs w:val="18"/>
                <w:color w:val="auto"/>
                <w:w w:val="94"/>
              </w:rPr>
              <w:t>Chief Financial Officer, Principal Financial Officer</w:t>
            </w:r>
          </w:p>
        </w:tc>
        <w:tc>
          <w:tcPr>
            <w:tcW w:w="0" w:type="dxa"/>
            <w:vAlign w:val="bottom"/>
          </w:tcPr>
          <w:p>
            <w:pPr>
              <w:spacing w:after="0"/>
              <w:rPr>
                <w:sz w:val="1"/>
                <w:szCs w:val="1"/>
                <w:color w:val="auto"/>
              </w:rPr>
            </w:pP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Christine Fox</w:t>
            </w:r>
          </w:p>
        </w:tc>
        <w:tc>
          <w:tcPr>
            <w:tcW w:w="5380" w:type="dxa"/>
            <w:vAlign w:val="bottom"/>
            <w:gridSpan w:val="3"/>
          </w:tcPr>
          <w:p>
            <w:pPr>
              <w:jc w:val="center"/>
              <w:ind w:left="1610"/>
              <w:spacing w:after="0"/>
              <w:rPr>
                <w:sz w:val="20"/>
                <w:szCs w:val="20"/>
                <w:color w:val="auto"/>
              </w:rPr>
            </w:pPr>
            <w:r>
              <w:rPr>
                <w:rFonts w:ascii="Arial" w:cs="Arial" w:eastAsia="Arial" w:hAnsi="Arial"/>
                <w:sz w:val="18"/>
                <w:szCs w:val="18"/>
                <w:color w:val="auto"/>
                <w:w w:val="93"/>
              </w:rPr>
              <w:t>and Principal Accounting Officer</w:t>
            </w:r>
          </w:p>
        </w:tc>
        <w:tc>
          <w:tcPr>
            <w:tcW w:w="0" w:type="dxa"/>
            <w:vAlign w:val="bottom"/>
          </w:tcPr>
          <w:p>
            <w:pPr>
              <w:spacing w:after="0"/>
              <w:rPr>
                <w:sz w:val="1"/>
                <w:szCs w:val="1"/>
                <w:color w:val="auto"/>
              </w:rPr>
            </w:pPr>
          </w:p>
        </w:tc>
      </w:tr>
      <w:tr>
        <w:trPr>
          <w:trHeight w:val="418"/>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Peter Fellner</w:t>
            </w:r>
          </w:p>
        </w:tc>
        <w:tc>
          <w:tcPr>
            <w:tcW w:w="5380" w:type="dxa"/>
            <w:vAlign w:val="bottom"/>
            <w:gridSpan w:val="3"/>
            <w:vMerge w:val="restart"/>
          </w:tcPr>
          <w:p>
            <w:pPr>
              <w:jc w:val="center"/>
              <w:ind w:left="1590"/>
              <w:spacing w:after="0"/>
              <w:rPr>
                <w:sz w:val="20"/>
                <w:szCs w:val="20"/>
                <w:color w:val="auto"/>
              </w:rPr>
            </w:pPr>
            <w:r>
              <w:rPr>
                <w:rFonts w:ascii="Arial" w:cs="Arial" w:eastAsia="Arial" w:hAnsi="Arial"/>
                <w:sz w:val="18"/>
                <w:szCs w:val="18"/>
                <w:color w:val="auto"/>
                <w:w w:val="91"/>
              </w:rPr>
              <w:t>Chairman of the Board</w:t>
            </w:r>
          </w:p>
        </w:tc>
        <w:tc>
          <w:tcPr>
            <w:tcW w:w="0" w:type="dxa"/>
            <w:vAlign w:val="bottom"/>
          </w:tcPr>
          <w:p>
            <w:pPr>
              <w:spacing w:after="0"/>
              <w:rPr>
                <w:sz w:val="1"/>
                <w:szCs w:val="1"/>
                <w:color w:val="auto"/>
              </w:rPr>
            </w:pPr>
          </w:p>
        </w:tc>
      </w:tr>
      <w:tr>
        <w:trPr>
          <w:trHeight w:val="88"/>
        </w:trPr>
        <w:tc>
          <w:tcPr>
            <w:tcW w:w="4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Peter Fellner, Ph.D.</w:t>
            </w:r>
          </w:p>
        </w:tc>
        <w:tc>
          <w:tcPr>
            <w:tcW w:w="5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740" w:type="dxa"/>
            <w:vAlign w:val="bottom"/>
            <w:gridSpan w:val="3"/>
            <w:vMerge w:val="continue"/>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Peter Bains</w:t>
            </w:r>
          </w:p>
        </w:tc>
        <w:tc>
          <w:tcPr>
            <w:tcW w:w="538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2"/>
              </w:rPr>
              <w:t>Member of the Board</w:t>
            </w:r>
          </w:p>
        </w:tc>
        <w:tc>
          <w:tcPr>
            <w:tcW w:w="0" w:type="dxa"/>
            <w:vAlign w:val="bottom"/>
          </w:tcPr>
          <w:p>
            <w:pPr>
              <w:spacing w:after="0"/>
              <w:rPr>
                <w:sz w:val="1"/>
                <w:szCs w:val="1"/>
                <w:color w:val="auto"/>
              </w:rPr>
            </w:pPr>
          </w:p>
        </w:tc>
      </w:tr>
      <w:tr>
        <w:trPr>
          <w:trHeight w:val="88"/>
        </w:trPr>
        <w:tc>
          <w:tcPr>
            <w:tcW w:w="4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Peter Bains</w:t>
            </w:r>
          </w:p>
        </w:tc>
        <w:tc>
          <w:tcPr>
            <w:tcW w:w="5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740" w:type="dxa"/>
            <w:vAlign w:val="bottom"/>
            <w:gridSpan w:val="3"/>
            <w:vMerge w:val="continue"/>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Jeremy Bender</w:t>
            </w:r>
          </w:p>
        </w:tc>
        <w:tc>
          <w:tcPr>
            <w:tcW w:w="538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2"/>
              </w:rPr>
              <w:t>Member of the Board</w:t>
            </w:r>
          </w:p>
        </w:tc>
        <w:tc>
          <w:tcPr>
            <w:tcW w:w="0" w:type="dxa"/>
            <w:vAlign w:val="bottom"/>
          </w:tcPr>
          <w:p>
            <w:pPr>
              <w:spacing w:after="0"/>
              <w:rPr>
                <w:sz w:val="1"/>
                <w:szCs w:val="1"/>
                <w:color w:val="auto"/>
              </w:rPr>
            </w:pPr>
          </w:p>
        </w:tc>
      </w:tr>
      <w:tr>
        <w:trPr>
          <w:trHeight w:val="88"/>
        </w:trPr>
        <w:tc>
          <w:tcPr>
            <w:tcW w:w="4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Jeremy Bender, Ph.D.</w:t>
            </w:r>
          </w:p>
        </w:tc>
        <w:tc>
          <w:tcPr>
            <w:tcW w:w="5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740" w:type="dxa"/>
            <w:vAlign w:val="bottom"/>
            <w:gridSpan w:val="3"/>
            <w:vMerge w:val="continue"/>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jc w:val="center"/>
        <w:ind w:right="1120"/>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 Anders Ekblom,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3000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Anders Ekblom, M.D., Ph.D.</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Kunal Kashyap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0003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Kunal Kashyap</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/s/Deepika R. Pakianathan,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30003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Deepika R. Pakianathan, Ph.D.</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 Brian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000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Brian Schwartz</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3000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Michael Wyzga</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8"/>
          <w:szCs w:val="18"/>
          <w:u w:val="single" w:color="auto"/>
          <w:color w:val="auto"/>
        </w:rPr>
        <w:t>Title</w:t>
      </w:r>
    </w:p>
    <w:p>
      <w:pPr>
        <w:spacing w:after="0" w:line="333"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Deputy Chair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620" w:space="720"/>
            <w:col w:w="4679"/>
          </w:cols>
          <w:pgMar w:left="1440" w:top="368"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SIGNATURE OF AUTHORIZED U.S. REPRESENTATIVE OF REGISTRANT</w:t>
      </w:r>
    </w:p>
    <w:p>
      <w:pPr>
        <w:spacing w:after="0" w:line="229"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August 13, 2021.</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Mereo US Holdings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 Ph.D.</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Denise Scots-Knight, Ph.D.</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(b)</w:t>
            </w:r>
          </w:p>
        </w:tc>
        <w:tc>
          <w:tcPr>
            <w:tcW w:w="2780" w:type="dxa"/>
            <w:vAlign w:val="bottom"/>
            <w:gridSpan w:val="3"/>
          </w:tcPr>
          <w:p>
            <w:pPr>
              <w:spacing w:after="0"/>
              <w:rPr>
                <w:sz w:val="20"/>
                <w:szCs w:val="20"/>
                <w:color w:val="auto"/>
              </w:rPr>
            </w:pPr>
            <w:r>
              <w:rPr>
                <w:rFonts w:ascii="Arial" w:cs="Arial" w:eastAsia="Arial" w:hAnsi="Arial"/>
                <w:sz w:val="18"/>
                <w:szCs w:val="18"/>
                <w:color w:val="auto"/>
              </w:rPr>
              <w:t>At-the-Market Letter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(e)</w:t>
            </w:r>
          </w:p>
        </w:tc>
        <w:tc>
          <w:tcPr>
            <w:tcW w:w="2780" w:type="dxa"/>
            <w:vAlign w:val="bottom"/>
            <w:gridSpan w:val="3"/>
          </w:tcPr>
          <w:p>
            <w:pPr>
              <w:spacing w:after="0"/>
              <w:rPr>
                <w:sz w:val="20"/>
                <w:szCs w:val="20"/>
                <w:color w:val="auto"/>
              </w:rPr>
            </w:pPr>
            <w:r>
              <w:rPr>
                <w:rFonts w:ascii="Arial" w:cs="Arial" w:eastAsia="Arial" w:hAnsi="Arial"/>
                <w:sz w:val="18"/>
                <w:szCs w:val="18"/>
                <w:color w:val="auto"/>
              </w:rPr>
              <w:t>Certificate under Rule 466</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324"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t>Exhibit (b)</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October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Ryan Everett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Program ADSs (CUSIP No.: 589492107)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Reference is hereby made to the Deposit Agreement, dated as of April 23, 2019, as amended and supplemented from time to time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Agreement</w:t>
      </w:r>
      <w:r>
        <w:rPr>
          <w:rFonts w:ascii="Arial" w:cs="Arial" w:eastAsia="Arial" w:hAnsi="Arial"/>
          <w:sz w:val="17"/>
          <w:szCs w:val="17"/>
          <w:color w:val="auto"/>
        </w:rPr>
        <w:t>”), by and among Mereo BioPharma Group plc, a public limited company incorporated under the laws of England and Wales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Citibank, N.A., a national banking association organized and existing under the laws of the United States of America, as Depositary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w:t>
      </w:r>
      <w:r>
        <w:rPr>
          <w:rFonts w:ascii="Arial" w:cs="Arial" w:eastAsia="Arial" w:hAnsi="Arial"/>
          <w:sz w:val="16"/>
          <w:szCs w:val="16"/>
          <w:color w:val="auto"/>
        </w:rPr>
        <w:t>”), and all Holders and Beneficial Owners of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issued thereunder. All capitalized terms used, but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otherwise defined herein, shall have the meaning assigned thereto in the Deposit Agreement.</w:t>
      </w:r>
    </w:p>
    <w:p>
      <w:pPr>
        <w:spacing w:after="0" w:line="21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The Company has, upon the terms set forth in the Sales Agreement, dated October 6, 2020 (the “</w:t>
      </w:r>
      <w:r>
        <w:rPr>
          <w:rFonts w:ascii="Arial" w:cs="Arial" w:eastAsia="Arial" w:hAnsi="Arial"/>
          <w:sz w:val="17"/>
          <w:szCs w:val="17"/>
          <w:u w:val="single" w:color="auto"/>
          <w:color w:val="auto"/>
        </w:rPr>
        <w:t>Sales Agreement</w:t>
      </w:r>
      <w:r>
        <w:rPr>
          <w:rFonts w:ascii="Arial" w:cs="Arial" w:eastAsia="Arial" w:hAnsi="Arial"/>
          <w:sz w:val="17"/>
          <w:szCs w:val="17"/>
          <w:color w:val="auto"/>
        </w:rPr>
        <w:t>”), between the Company and SVB Leerink LLC (“</w:t>
      </w:r>
      <w:r>
        <w:rPr>
          <w:rFonts w:ascii="Arial" w:cs="Arial" w:eastAsia="Arial" w:hAnsi="Arial"/>
          <w:sz w:val="17"/>
          <w:szCs w:val="17"/>
          <w:u w:val="single" w:color="auto"/>
          <w:color w:val="auto"/>
        </w:rPr>
        <w:t>SVB</w:t>
      </w:r>
      <w:r>
        <w:rPr>
          <w:rFonts w:ascii="Arial" w:cs="Arial" w:eastAsia="Arial" w:hAnsi="Arial"/>
          <w:sz w:val="17"/>
          <w:szCs w:val="17"/>
          <w:color w:val="auto"/>
        </w:rPr>
        <w:t>”), agreed to issue and sell through SVB, acting as agent and/or principal, ADSs (the “</w:t>
      </w:r>
      <w:r>
        <w:rPr>
          <w:rFonts w:ascii="Arial" w:cs="Arial" w:eastAsia="Arial" w:hAnsi="Arial"/>
          <w:sz w:val="17"/>
          <w:szCs w:val="17"/>
          <w:u w:val="single" w:color="auto"/>
          <w:color w:val="auto"/>
        </w:rPr>
        <w:t>Program ADSs</w:t>
      </w:r>
      <w:r>
        <w:rPr>
          <w:rFonts w:ascii="Arial" w:cs="Arial" w:eastAsia="Arial" w:hAnsi="Arial"/>
          <w:sz w:val="17"/>
          <w:szCs w:val="17"/>
          <w:color w:val="auto"/>
        </w:rPr>
        <w:t>”), each Program ADS representing five (5) fully paid Shares, with such Program ADSs having an aggregate offering price of up to US$50,000,000 (the “</w:t>
      </w:r>
      <w:r>
        <w:rPr>
          <w:rFonts w:ascii="Arial" w:cs="Arial" w:eastAsia="Arial" w:hAnsi="Arial"/>
          <w:sz w:val="17"/>
          <w:szCs w:val="17"/>
          <w:u w:val="single" w:color="auto"/>
          <w:color w:val="auto"/>
        </w:rPr>
        <w:t>Program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Offer</w:t>
      </w:r>
      <w:r>
        <w:rPr>
          <w:rFonts w:ascii="Arial" w:cs="Arial" w:eastAsia="Arial" w:hAnsi="Arial"/>
          <w:sz w:val="17"/>
          <w:szCs w:val="17"/>
          <w:color w:val="auto"/>
        </w:rPr>
        <w:t>”). The Program Offer of Program ADSs through SVB will be made pursuant to a shelf registration statement on Form F-3 (Reg. No.: 333-249341)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on October 6, 2020, in accordance with the provisions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rules and regulations thereunder, which Registration Statement includes (i) a base prospectus, relating to certain securities to be offered from time to time by the Company, and (ii) a prospectus supplement, specifically relating to the Program ADSs.</w:t>
      </w:r>
    </w:p>
    <w:p>
      <w:pPr>
        <w:spacing w:after="0" w:line="17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Following the deposit from time to time of Shares by the Company in accordance with the Deposit Agreement and as contemplated in the Sales Agreement, each Program ADS will be issuable at the instruction, and deliverable at the direction, of SVB and the Company in accordance with the terms and conditions of the Sales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Letter Agreement</w:t>
      </w:r>
      <w:r>
        <w:rPr>
          <w:rFonts w:ascii="Arial" w:cs="Arial" w:eastAsia="Arial" w:hAnsi="Arial"/>
          <w:sz w:val="18"/>
          <w:szCs w:val="18"/>
          <w:color w:val="auto"/>
        </w:rPr>
        <w:t>”) will confirm our understanding and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ind w:firstLine="1304"/>
        <w:spacing w:after="0" w:line="289" w:lineRule="auto"/>
        <w:tabs>
          <w:tab w:leader="none" w:pos="224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Deposit of Shares</w:t>
      </w:r>
      <w:r>
        <w:rPr>
          <w:rFonts w:ascii="Arial" w:cs="Arial" w:eastAsia="Arial" w:hAnsi="Arial"/>
          <w:sz w:val="16"/>
          <w:szCs w:val="16"/>
          <w:color w:val="auto"/>
        </w:rPr>
        <w:t>. The Company and the Depositary hereby agree that the Shares underlying the Program ADSs, to be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upon the sale of Program ADSs (each, a “</w:t>
      </w:r>
      <w:r>
        <w:rPr>
          <w:rFonts w:ascii="Arial" w:cs="Arial" w:eastAsia="Arial" w:hAnsi="Arial"/>
          <w:sz w:val="16"/>
          <w:szCs w:val="16"/>
          <w:u w:val="single" w:color="auto"/>
          <w:color w:val="auto"/>
        </w:rPr>
        <w:t>Program Sale</w:t>
      </w:r>
      <w:r>
        <w:rPr>
          <w:rFonts w:ascii="Arial" w:cs="Arial" w:eastAsia="Arial" w:hAnsi="Arial"/>
          <w:sz w:val="16"/>
          <w:szCs w:val="16"/>
          <w:color w:val="auto"/>
        </w:rPr>
        <w:t xml:space="preserve">”) following delivery of a Placement Notice, as such term is defined in the Sales Agreement, shall be deposited by, or on behalf of, the Company with the Custodian under the Deposit Agreement, in accordance with the terms hereof and thereof. The Company hereby confirms that at the time of delivery to the Custodian (x) the Shares to be deposited with the Custodian upon a Program Sale of Program ADSs (i) will have been duly authorized and will be validly issued, fully paid and non-assessable, (ii)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and will be fully fungible with the Shares then on deposit with the Custodian under the Deposit Agreement, (iii) will be legally issued to, and deposited with, the Custodian and will not be stripped of any rights or entitlements by the Company prior to or upon deposit with the Custodian, (iv) will be free and clear of any lien, encumbrance, security interest, charge, mortgage or adverse claim, including, without limitation, any claim related to liabilities arising from the imposition of stamp duty taxes or stamp duty reserve tax, and (y) there will be no pre-emptive rights (and any similar rights) with respect to the Shares to be deposited with the Custodian upon a Program Sale that have not been waived, disapplied or exercised or otherwise lapsed.</w:t>
      </w:r>
    </w:p>
    <w:p>
      <w:pPr>
        <w:spacing w:after="0" w:line="160" w:lineRule="exact"/>
        <w:rPr>
          <w:rFonts w:ascii="Arial" w:cs="Arial" w:eastAsia="Arial" w:hAnsi="Arial"/>
          <w:sz w:val="16"/>
          <w:szCs w:val="16"/>
          <w:color w:val="auto"/>
        </w:rPr>
      </w:pPr>
    </w:p>
    <w:p>
      <w:pPr>
        <w:ind w:firstLine="1304"/>
        <w:spacing w:after="0" w:line="272" w:lineRule="auto"/>
        <w:tabs>
          <w:tab w:leader="none" w:pos="2240"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and Delivery of Program ADSs upon a Program Sale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instructs the Depositary to issue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deliver Program ADSs against the deposit of Shares by or on behalf of the Company upon the execution of a Program Sale, subject to compliance with the terms and conditions of the Deposit Agreement and this Letter Agreement, including without limitation, the receipt by the Custodian or on behalf of the Depositary of the applicable Shares and receipt, by the Depositary, of the corresponding fees. The Depositary hereby agrees to issue Program ADSs representing the right to receive such Shares in accordance with the Deposit Agreement upon receipt of (i) the opinions referred to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Letter Agreement at each of the times of delivery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Letter Agreement, (ii) confirmation of deposit of the applicable Shares by, or on behalf of, the Company, and (iii) the corresponding fees referred to in Section 6 of this Letter Agreement, and (iv) a Program Issuance and Delivery Instruction for each Program Sale,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4"/>
        <w:spacing w:after="0" w:line="291" w:lineRule="auto"/>
        <w:tabs>
          <w:tab w:leader="none" w:pos="224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represents and warrants to the Depositary that (i)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Sales Agreement provide that the Program ADSs, when issued and delivered against payment therefor, will be freely transferable by SVB and the initial purchasers thereof; and there are no legal restrictions on subsequent transfers of the Program ADSs under the laws of England or the United States, (ii) it will cause the Shares underlying the Program ADSs deliverable upon a Program Sale to be deposited with the Custodian or on behalf of the Depositary and shall authorize and instruct, together with SVB, the Depositary to issue the Program ADSs in accordance with the Deposit Agreement and the terms of this Letter Agreement, and (iii) no stamp duty taxes (including any stamp duty reserve taxes) are applicable to, or payable in connection with, the initial issuance of the Shares by the Company or the initial deposit of the Shares by or on behalf of the Company with the Custodian or on behalf of the Depositary, in each case, against the issuance and delivery of Program ADSs from time to time as contemplated in this Letter Agreement.</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6" w:name="page17"/>
    <w:bookmarkEnd w:id="16"/>
    <w:p>
      <w:pPr>
        <w:ind w:firstLine="1304"/>
        <w:spacing w:after="0" w:line="284" w:lineRule="auto"/>
        <w:tabs>
          <w:tab w:leader="none" w:pos="2240"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Opinions</w:t>
      </w:r>
      <w:r>
        <w:rPr>
          <w:rFonts w:ascii="Arial" w:cs="Arial" w:eastAsia="Arial" w:hAnsi="Arial"/>
          <w:sz w:val="16"/>
          <w:szCs w:val="16"/>
          <w:b w:val="1"/>
          <w:bCs w:val="1"/>
          <w:color w:val="auto"/>
        </w:rPr>
        <w:t xml:space="preserve">. </w:t>
      </w:r>
      <w:r>
        <w:rPr>
          <w:rFonts w:ascii="Arial" w:cs="Arial" w:eastAsia="Arial" w:hAnsi="Arial"/>
          <w:sz w:val="16"/>
          <w:szCs w:val="16"/>
          <w:color w:val="auto"/>
        </w:rPr>
        <w:t>In furtherance of the foregoing, the Company shall, (i) at the time of execution of this Letter Agreement,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with (x) an opinion of its English counsel (its “</w:t>
      </w:r>
      <w:r>
        <w:rPr>
          <w:rFonts w:ascii="Arial" w:cs="Arial" w:eastAsia="Arial" w:hAnsi="Arial"/>
          <w:sz w:val="16"/>
          <w:szCs w:val="16"/>
          <w:u w:val="single" w:color="auto"/>
          <w:color w:val="auto"/>
        </w:rPr>
        <w:t>English Counsel</w:t>
      </w:r>
      <w:r>
        <w:rPr>
          <w:rFonts w:ascii="Arial" w:cs="Arial" w:eastAsia="Arial" w:hAnsi="Arial"/>
          <w:sz w:val="16"/>
          <w:szCs w:val="16"/>
          <w:color w:val="auto"/>
        </w:rPr>
        <w:t>”) to the Depositary which addresses, among other things, that subject to customary and appropriate assumptions and qualifications, (a) the Company has taken all necessary corporate action to authorise the execution and delivery of, and the exercise of its rights and performance of its obligations under, this Letter Agreement, and the Company has duly executed this Letter Agreement, and (b) based on counsel's review of those laws and regulations which are normally applicable to transactions of the type contemplated by this Letter Agreement, the execution and delivery of this Letter Agreement by the Company does not and will not conflict with, result in any breach of or constitute a default under any present law or regulation having the force of law in England and Wales applicable to it; (y) an opinion of its U.S. counsel (its “</w:t>
      </w:r>
      <w:r>
        <w:rPr>
          <w:rFonts w:ascii="Arial" w:cs="Arial" w:eastAsia="Arial" w:hAnsi="Arial"/>
          <w:sz w:val="16"/>
          <w:szCs w:val="16"/>
          <w:u w:val="single" w:color="auto"/>
          <w:color w:val="auto"/>
        </w:rPr>
        <w:t>U.S. Counsel</w:t>
      </w:r>
      <w:r>
        <w:rPr>
          <w:rFonts w:ascii="Arial" w:cs="Arial" w:eastAsia="Arial" w:hAnsi="Arial"/>
          <w:sz w:val="16"/>
          <w:szCs w:val="16"/>
          <w:color w:val="auto"/>
        </w:rPr>
        <w:t xml:space="preserve">”) to the Depositary which addresses, among other things, that subject to customary and appropriate assumptions and qualifications and assuming its due authorization, execution and delivery, this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(z) a certificate signed by the corporate secretary of the Company certifying that this Letter Agreement has been executed and unconditionally delivered by a director for and on behalf of the Company; and (ii) concurrently with each Program Sale, (x) an opinion of its English Counsel to the Depositary which addresses, among other things, that subject to customary and appropriate assumptions and qualifications, (a) no consent, licence, approval, authorisation, order, registration or filing is required by the Company from or with any court or governmental authority or body in England in connection with the issuance and deposit of the Shares issuable upon that Program Sale (other than the filings to be undertaken by the Company with Companies House in connection with any allotment of Shares) or the exercise by the Company of its rights or the performance of its obligations under this Letter Agreement, and (b) when the Shares underlying the Program ADSs deliverable upon that Program Sale are issued and allotted in accordance with the terms of this Letter Agreement, the directors of the Company will have been duly and validly authorised to allot such Shares and, upon receipt by the Company of the issue and sale proceeds of such Shares and the name of the holder of the Shares being entered in the register of members of the Company, such Shares will be validly issued, fully paid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other issued ordinary shares of £0.003 each in the capital of the Company then held by the Custodian on behalf of the Depositary and underlying the ADSs then outstanding; and (y) an opinion of its U.S. Counsel to the Depositary which addresses, among other things, that subject to customary and appropriate assumptions and qualifications, (a) the Program ADSs to be issued in such Program Sale are duly registered on the Registration Statement in compliance with the Securities Act, and (b) at the time of delivery of each such opinion, the Registration Statement will be effective under the Securities Act, no stop order suspending the effectiveness of the Registration Statement will have been issued and no proceeding for that purpose will have been initiated or to the knowledge of such counsel threatened.</w:t>
      </w:r>
    </w:p>
    <w:p>
      <w:pPr>
        <w:spacing w:after="0" w:line="387" w:lineRule="exact"/>
        <w:rPr>
          <w:rFonts w:ascii="Arial" w:cs="Arial" w:eastAsia="Arial" w:hAnsi="Arial"/>
          <w:sz w:val="16"/>
          <w:szCs w:val="16"/>
          <w:color w:val="auto"/>
        </w:rPr>
      </w:pPr>
    </w:p>
    <w:p>
      <w:pPr>
        <w:ind w:right="40" w:firstLine="1304"/>
        <w:spacing w:after="0" w:line="272" w:lineRule="auto"/>
        <w:tabs>
          <w:tab w:leader="none" w:pos="2240"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stamp duty (including any UK Stamp Duty Reserve Tax (“</w:t>
      </w:r>
      <w:r>
        <w:rPr>
          <w:rFonts w:ascii="Arial" w:cs="Arial" w:eastAsia="Arial" w:hAnsi="Arial"/>
          <w:sz w:val="17"/>
          <w:szCs w:val="17"/>
          <w:u w:val="single" w:color="auto"/>
          <w:color w:val="auto"/>
        </w:rPr>
        <w:t>SDRT</w:t>
      </w:r>
      <w:r>
        <w:rPr>
          <w:rFonts w:ascii="Arial" w:cs="Arial" w:eastAsia="Arial" w:hAnsi="Arial"/>
          <w:sz w:val="17"/>
          <w:szCs w:val="17"/>
          <w:color w:val="auto"/>
        </w:rPr>
        <w:t>”)) is applicable to, or</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on, the issuance and deposit of Shares or issuance of Program ADSs in connection with a Program Sale, the Company hereby indemnifies the Depositary and the Custodian for, and holds the Depositary and the Custodian harmless against, (to the extent such indemnification and hold harmless does not constitute an unlawful provision of financial assistance for the purpose of the acquisition of its Shares under the Companies Act 2006), all losses, liabilities, taxes, charges or expenses (including reasonable legal fees and disbursements), penalties and taxes incurred by the Depositary and/or by the Custodian or to which the Depositary and/or the Custodian may become subject to and arising directly or indirectly from the failure by any person to pay (or discharge) any applicable stamp duty, SDRT, or any other similar duty or tax on the issuance and deposit of Shares or issuance of Program ADSs, in connection with any Program Sale.</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ind w:right="40" w:firstLine="1304"/>
        <w:spacing w:after="0" w:line="312"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Depositary Fees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agree that the Company shall pay the Depositary a depositary fee of up</w:t>
      </w:r>
      <w:r>
        <w:rPr>
          <w:rFonts w:ascii="Arial" w:cs="Arial" w:eastAsia="Arial" w:hAnsi="Arial"/>
          <w:sz w:val="17"/>
          <w:szCs w:val="17"/>
          <w:b w:val="1"/>
          <w:bCs w:val="1"/>
          <w:color w:val="auto"/>
        </w:rPr>
        <w:t xml:space="preserve"> </w:t>
      </w:r>
      <w:r>
        <w:rPr>
          <w:rFonts w:ascii="Arial" w:cs="Arial" w:eastAsia="Arial" w:hAnsi="Arial"/>
          <w:sz w:val="17"/>
          <w:szCs w:val="17"/>
          <w:color w:val="auto"/>
        </w:rPr>
        <w:t>to US$0.05 per Program ADS issued in connection with a Program Sale and such other fees as are prescribed in the Deposit Agreement.</w:t>
      </w:r>
    </w:p>
    <w:p>
      <w:pPr>
        <w:spacing w:after="0" w:line="139" w:lineRule="exact"/>
        <w:rPr>
          <w:rFonts w:ascii="Arial" w:cs="Arial" w:eastAsia="Arial" w:hAnsi="Arial"/>
          <w:sz w:val="17"/>
          <w:szCs w:val="17"/>
          <w:color w:val="auto"/>
        </w:rPr>
      </w:pPr>
    </w:p>
    <w:p>
      <w:pPr>
        <w:jc w:val="both"/>
        <w:ind w:right="20" w:firstLine="1304"/>
        <w:spacing w:after="0" w:line="261"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Shares and Program ADSs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the Deposit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deliver to the Depositary or the Custodian in connection with the issuance of Program ADSs upon a Program Sale, and the Depositary shall not be required to accept, under any circumstances (a) any fraction of a Share, nor (b) a number of Shares which upon application of the ADS-to-Share ratio would give rise to a fraction of a Program ADS.</w:t>
      </w:r>
    </w:p>
    <w:p>
      <w:pPr>
        <w:spacing w:after="0" w:line="179" w:lineRule="exact"/>
        <w:rPr>
          <w:rFonts w:ascii="Arial" w:cs="Arial" w:eastAsia="Arial" w:hAnsi="Arial"/>
          <w:sz w:val="18"/>
          <w:szCs w:val="18"/>
          <w:color w:val="auto"/>
        </w:rPr>
      </w:pPr>
    </w:p>
    <w:p>
      <w:pPr>
        <w:jc w:val="both"/>
        <w:ind w:right="40" w:firstLine="1304"/>
        <w:spacing w:after="0" w:line="266"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F-6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and the Company hereto confirm that a signed conformed copy of this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filed as an exhibit to the next Registration Statement on Form F-6 (or next amendment to any existing Registration Statement on Form F-6 currently on file) that may be filed in respect of the ADSs.</w:t>
      </w:r>
    </w:p>
    <w:p>
      <w:pPr>
        <w:spacing w:after="0" w:line="175" w:lineRule="exact"/>
        <w:rPr>
          <w:rFonts w:ascii="Arial" w:cs="Arial" w:eastAsia="Arial" w:hAnsi="Arial"/>
          <w:sz w:val="18"/>
          <w:szCs w:val="18"/>
          <w:color w:val="auto"/>
        </w:rPr>
      </w:pPr>
    </w:p>
    <w:p>
      <w:pPr>
        <w:ind w:left="2240" w:hanging="936"/>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1304"/>
        <w:spacing w:after="0" w:line="263" w:lineRule="auto"/>
        <w:tabs>
          <w:tab w:leader="none" w:pos="180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Company hereby acknowledges and agrees that its indemnification obligations contained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of the Deposit Agreement shall, to the extent not unlawful, apply to all of the terms, conditions, obligations and performances under this Letter Agreement as if they were set forth in the Deposit Agreement.</w:t>
      </w:r>
    </w:p>
    <w:p>
      <w:pPr>
        <w:spacing w:after="0" w:line="183" w:lineRule="exact"/>
        <w:rPr>
          <w:rFonts w:ascii="Arial" w:cs="Arial" w:eastAsia="Arial" w:hAnsi="Arial"/>
          <w:sz w:val="18"/>
          <w:szCs w:val="18"/>
          <w:color w:val="auto"/>
        </w:rPr>
      </w:pPr>
    </w:p>
    <w:p>
      <w:pPr>
        <w:ind w:right="400" w:firstLine="1304"/>
        <w:spacing w:after="0" w:line="263" w:lineRule="auto"/>
        <w:tabs>
          <w:tab w:leader="none" w:pos="18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Letter Agreement and to effectuate the purpose and intent hereof.</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Letter Agreement shall be interpreted and all rights hereunder and the provisions hereof shall be governed by the laws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New York.</w:t>
      </w:r>
    </w:p>
    <w:p>
      <w:pPr>
        <w:spacing w:after="0" w:line="210" w:lineRule="exact"/>
        <w:rPr>
          <w:rFonts w:ascii="Arial" w:cs="Arial" w:eastAsia="Arial" w:hAnsi="Arial"/>
          <w:sz w:val="16"/>
          <w:szCs w:val="16"/>
          <w:color w:val="auto"/>
        </w:rPr>
      </w:pPr>
    </w:p>
    <w:p>
      <w:pPr>
        <w:ind w:left="1820" w:hanging="516"/>
        <w:spacing w:after="0"/>
        <w:tabs>
          <w:tab w:leader="none" w:pos="1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Letter Agreement shall be binding upon the parties hereto, and their respective legal successors and permanent assigns.</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Letter Agreement may not be modified or amended except by a writing signed by both parties hereto.</w:t>
      </w:r>
    </w:p>
    <w:p>
      <w:pPr>
        <w:spacing w:after="0" w:line="225" w:lineRule="exact"/>
        <w:rPr>
          <w:rFonts w:ascii="Arial" w:cs="Arial" w:eastAsia="Arial" w:hAnsi="Arial"/>
          <w:sz w:val="18"/>
          <w:szCs w:val="18"/>
          <w:color w:val="auto"/>
        </w:rPr>
      </w:pPr>
    </w:p>
    <w:p>
      <w:pPr>
        <w:ind w:right="120" w:firstLine="1304"/>
        <w:spacing w:after="0" w:line="277" w:lineRule="auto"/>
        <w:tabs>
          <w:tab w:leader="none" w:pos="17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Letter Agreement may be executed in counterparts, each of which shall be deemed to be an original, and all of which, taken together, shall constitute one and the same instrument.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Company and the Depositary have caused this Letter Agreement to be executed and delivered on their behalf by their respective officers thereunto duly authorized as of the date set forth above.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Denise Scots-Knight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Denise Scots-Knight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CEO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Keith Galfo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Keith Galfo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Agreement, dated as of October 6,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MEREO BIOPHARMA GROUP PLC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CITIBANK, N.A.</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Program Issuance and Delivery Instruction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Mr. Brian M. Teitelbaum (brian.m.teitelbaum@citi.com)</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Mr. Keith Galfo (keith.galfo@citi.com)</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Mr. Leslie Deluca (leslie.deluca@citi.com)</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DR Broker Services (drbrokerservices@citi.com)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UK Custody Settlements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Custody Team (UKsettlements@citi.com)</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Fax: +353-1-6220997 (for instructions)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Fax: +353-1-6220999 (for enquiries)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Mereo BioPharma Group plc (CUSIP No.: 589492107)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Reference is hereby made to the Deposit Agreement, dated as of April 23, 2019, as amended and supplemented from time to time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Agreement</w:t>
      </w:r>
      <w:r>
        <w:rPr>
          <w:rFonts w:ascii="Arial" w:cs="Arial" w:eastAsia="Arial" w:hAnsi="Arial"/>
          <w:sz w:val="17"/>
          <w:szCs w:val="17"/>
          <w:color w:val="auto"/>
        </w:rPr>
        <w:t>”), by and among Mereo BioPharma Group plc, a public limited company incorporated under the laws of England and Wales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Citibank, N.A., a national banking association organized and existing under the laws of the United States of America, as Depositary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w:t>
      </w:r>
      <w:r>
        <w:rPr>
          <w:rFonts w:ascii="Arial" w:cs="Arial" w:eastAsia="Arial" w:hAnsi="Arial"/>
          <w:sz w:val="16"/>
          <w:szCs w:val="16"/>
          <w:color w:val="auto"/>
        </w:rPr>
        <w:t>”), and all Holders and Beneficial Owners of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issued thereunder, and (ii) the Letter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October 6, 2020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 by and between the Company and the Depositary. Capitalized terms used but not defined herein shall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meanings given to them in the Deposit Agreement, or, in the event so noted herein, in the Letter Agreement.</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0" w:name="page21"/>
    <w:bookmarkEnd w:id="20"/>
    <w:p>
      <w:pPr>
        <w:ind w:right="140" w:firstLine="1296"/>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as supplemented by the Letter Agreement and promptly following the Depositary’s receipt of confirmation from the Custodian that the Custodian has received a deposit of the number of Shares specified below from, or on behalf of, the Company in connection with a Program Sale, SVB and the Company hereby jointly instruct the Depositary, and the Depositary hereby agrees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 to promptly accept for deposit the number of Shares and issue the number of Program ADSs in each case as specified below:</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3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Shares deposited in connection with Program Sale(s):</w:t>
            </w:r>
          </w:p>
        </w:tc>
        <w:tc>
          <w:tcPr>
            <w:tcW w:w="4920" w:type="dxa"/>
            <w:vAlign w:val="bottom"/>
            <w:tcBorders>
              <w:top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____________ Shares</w:t>
            </w:r>
          </w:p>
        </w:tc>
        <w:tc>
          <w:tcPr>
            <w:tcW w:w="0" w:type="dxa"/>
            <w:vAlign w:val="bottom"/>
          </w:tcPr>
          <w:p>
            <w:pPr>
              <w:spacing w:after="0"/>
              <w:rPr>
                <w:sz w:val="1"/>
                <w:szCs w:val="1"/>
                <w:color w:val="auto"/>
              </w:rPr>
            </w:pPr>
          </w:p>
        </w:tc>
      </w:tr>
      <w:tr>
        <w:trPr>
          <w:trHeight w:val="216"/>
        </w:trPr>
        <w:tc>
          <w:tcPr>
            <w:tcW w:w="6320" w:type="dxa"/>
            <w:vAlign w:val="bottom"/>
            <w:tcBorders>
              <w:left w:val="single" w:sz="8" w:color="auto"/>
              <w:right w:val="single" w:sz="8" w:color="auto"/>
            </w:tcBorders>
          </w:tcPr>
          <w:p>
            <w:pPr>
              <w:spacing w:after="0"/>
              <w:rPr>
                <w:sz w:val="18"/>
                <w:szCs w:val="18"/>
                <w:color w:val="auto"/>
              </w:rPr>
            </w:pPr>
          </w:p>
        </w:tc>
        <w:tc>
          <w:tcPr>
            <w:tcW w:w="49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Program ADSs (CUSIP No.: 589492107; each Program ADS</w:t>
            </w:r>
          </w:p>
        </w:tc>
        <w:tc>
          <w:tcPr>
            <w:tcW w:w="100" w:type="dxa"/>
            <w:vAlign w:val="bottom"/>
          </w:tcPr>
          <w:p>
            <w:pPr>
              <w:spacing w:after="0"/>
              <w:rPr>
                <w:sz w:val="22"/>
                <w:szCs w:val="22"/>
                <w:color w:val="auto"/>
              </w:rPr>
            </w:pPr>
          </w:p>
        </w:tc>
        <w:tc>
          <w:tcPr>
            <w:tcW w:w="4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representing five (5) Shares) to be issued in connection with Program Sale(s):</w:t>
            </w:r>
          </w:p>
        </w:tc>
        <w:tc>
          <w:tcPr>
            <w:tcW w:w="4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____________ Program ADSs</w:t>
            </w:r>
          </w:p>
        </w:tc>
        <w:tc>
          <w:tcPr>
            <w:tcW w:w="0" w:type="dxa"/>
            <w:vAlign w:val="bottom"/>
          </w:tcPr>
          <w:p>
            <w:pPr>
              <w:spacing w:after="0"/>
              <w:rPr>
                <w:sz w:val="1"/>
                <w:szCs w:val="1"/>
                <w:color w:val="auto"/>
              </w:rPr>
            </w:pPr>
          </w:p>
        </w:tc>
      </w:tr>
      <w:tr>
        <w:trPr>
          <w:trHeight w:val="216"/>
        </w:trPr>
        <w:tc>
          <w:tcPr>
            <w:tcW w:w="6320" w:type="dxa"/>
            <w:vAlign w:val="bottom"/>
            <w:tcBorders>
              <w:left w:val="single" w:sz="8" w:color="auto"/>
              <w:right w:val="single" w:sz="8" w:color="auto"/>
            </w:tcBorders>
          </w:tcPr>
          <w:p>
            <w:pPr>
              <w:spacing w:after="0"/>
              <w:rPr>
                <w:sz w:val="18"/>
                <w:szCs w:val="18"/>
                <w:color w:val="auto"/>
              </w:rPr>
            </w:pPr>
          </w:p>
        </w:tc>
        <w:tc>
          <w:tcPr>
            <w:tcW w:w="49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Price per Program ADS sold in the Program Sale(s):</w:t>
            </w:r>
          </w:p>
        </w:tc>
        <w:tc>
          <w:tcPr>
            <w:tcW w:w="49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____________</w:t>
            </w: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6320" w:type="dxa"/>
            <w:vAlign w:val="bottom"/>
          </w:tcPr>
          <w:p>
            <w:pPr>
              <w:ind w:left="1300"/>
              <w:spacing w:after="0"/>
              <w:rPr>
                <w:sz w:val="20"/>
                <w:szCs w:val="20"/>
                <w:color w:val="auto"/>
              </w:rPr>
            </w:pPr>
            <w:r>
              <w:rPr>
                <w:rFonts w:ascii="Arial" w:cs="Arial" w:eastAsia="Arial" w:hAnsi="Arial"/>
                <w:sz w:val="18"/>
                <w:szCs w:val="18"/>
                <w:color w:val="auto"/>
              </w:rPr>
              <w:t>and (ii) to promptly deliver such Program ADSs, as follows:</w:t>
            </w: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Name of DTC Participant to which the Program ADSs are to be delivered:</w:t>
            </w:r>
          </w:p>
        </w:tc>
        <w:tc>
          <w:tcPr>
            <w:tcW w:w="10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SVB Leerink LLC</w:t>
            </w:r>
          </w:p>
        </w:tc>
        <w:tc>
          <w:tcPr>
            <w:tcW w:w="0" w:type="dxa"/>
            <w:vAlign w:val="bottom"/>
          </w:tcPr>
          <w:p>
            <w:pPr>
              <w:spacing w:after="0"/>
              <w:rPr>
                <w:sz w:val="1"/>
                <w:szCs w:val="1"/>
                <w:color w:val="auto"/>
              </w:rPr>
            </w:pPr>
          </w:p>
        </w:tc>
      </w:tr>
      <w:tr>
        <w:trPr>
          <w:trHeight w:val="216"/>
        </w:trPr>
        <w:tc>
          <w:tcPr>
            <w:tcW w:w="6320" w:type="dxa"/>
            <w:vAlign w:val="bottom"/>
            <w:tcBorders>
              <w:lef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DTC Participant Account No.:</w:t>
            </w:r>
          </w:p>
        </w:tc>
        <w:tc>
          <w:tcPr>
            <w:tcW w:w="10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6"/>
              </w:rPr>
              <w:t>Account No. for recipient of Program ADSs at DTC Participant (f/b/o information):</w:t>
            </w:r>
          </w:p>
        </w:tc>
        <w:tc>
          <w:tcPr>
            <w:tcW w:w="10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6320" w:type="dxa"/>
            <w:vAlign w:val="bottom"/>
            <w:tcBorders>
              <w:lef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5"/>
              </w:rPr>
              <w:t>Name on whose behalf the above number of Program ADSs are to be issued and</w:t>
            </w:r>
          </w:p>
        </w:tc>
        <w:tc>
          <w:tcPr>
            <w:tcW w:w="10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delivered:</w:t>
            </w:r>
          </w:p>
        </w:tc>
        <w:tc>
          <w:tcPr>
            <w:tcW w:w="1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Contact person at DTC Participant:</w:t>
            </w:r>
          </w:p>
        </w:tc>
        <w:tc>
          <w:tcPr>
            <w:tcW w:w="10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Daytime telephone number of contact person at DTC Participant:</w:t>
            </w:r>
          </w:p>
        </w:tc>
        <w:tc>
          <w:tcPr>
            <w:tcW w:w="10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6320" w:type="dxa"/>
            <w:vAlign w:val="bottom"/>
            <w:tcBorders>
              <w:lef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3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4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The Company hereby (i) confirms that no stamp duty taxes (including any stamp duty reserve taxes) are applicable to, or payable in connection with, the initial issuance of the Shares or the initial deposit of the Shares by the Company with the Custodian against issuance of the Program ADSs, and (ii) certifies that (A) the Registration Statement (as defined in the Letter Agreement) is effective under the Securities Act and (B) no stop order suspending the effectiveness of the Registration Statement has been issued and no proceedings for such purpose have been instituted or are pending or, to the best knowledge of the Company, are contemplated or threatened by the Securities and Exchange Commission.</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1" w:name="page22"/>
    <w:bookmarkEnd w:id="21"/>
    <w:p>
      <w:pPr>
        <w:ind w:right="40" w:firstLine="1296"/>
        <w:spacing w:after="0" w:line="273" w:lineRule="auto"/>
        <w:rPr>
          <w:sz w:val="20"/>
          <w:szCs w:val="20"/>
          <w:color w:val="auto"/>
        </w:rPr>
      </w:pPr>
      <w:r>
        <w:rPr>
          <w:rFonts w:ascii="Arial" w:cs="Arial" w:eastAsia="Arial" w:hAnsi="Arial"/>
          <w:sz w:val="17"/>
          <w:szCs w:val="17"/>
          <w:color w:val="auto"/>
        </w:rPr>
        <w:t>To the extent it is not unlawful for the Company to do so under the applicable laws of England and Wales (as contemplated in the Letter Agreement), the Company hereby indemnifies the Depositary and the Custodian for, and holds the Depositary and the Custodian harmless against, all claims, losses, damages, costs and expenses (including reasonable legal fees and disbursements), penalties and taxes incurred by the Depositary and/or by the Custodian or to which the Depositary and/or the Custodian may become subject to and arising directly or indirectly from the failure by any person to pay (or discharge) any applicable stamp duty, stamp duty reserve tax, or any other similar duty or tax in connection with the initial issuance and deposit of the Shares and the issuance and delivery of the corresponding Program ADSs.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SVB LEERINK LLC</w:t>
            </w:r>
          </w:p>
        </w:tc>
        <w:tc>
          <w:tcPr>
            <w:tcW w:w="7400" w:type="dxa"/>
            <w:vAlign w:val="bottom"/>
          </w:tcPr>
          <w:p>
            <w:pPr>
              <w:ind w:left="1780"/>
              <w:spacing w:after="0"/>
              <w:rPr>
                <w:sz w:val="20"/>
                <w:szCs w:val="20"/>
                <w:color w:val="auto"/>
              </w:rPr>
            </w:pPr>
            <w:r>
              <w:rPr>
                <w:rFonts w:ascii="Arial" w:cs="Arial" w:eastAsia="Arial" w:hAnsi="Arial"/>
                <w:sz w:val="18"/>
                <w:szCs w:val="18"/>
                <w:color w:val="auto"/>
              </w:rPr>
              <w:t>MEREO BIOPHARMA GROUP PLC</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By: _____________________</w:t>
            </w:r>
          </w:p>
        </w:tc>
        <w:tc>
          <w:tcPr>
            <w:tcW w:w="7400" w:type="dxa"/>
            <w:vAlign w:val="bottom"/>
          </w:tcPr>
          <w:p>
            <w:pPr>
              <w:ind w:left="1780"/>
              <w:spacing w:after="0"/>
              <w:rPr>
                <w:sz w:val="20"/>
                <w:szCs w:val="20"/>
                <w:color w:val="auto"/>
              </w:rPr>
            </w:pPr>
            <w:r>
              <w:rPr>
                <w:rFonts w:ascii="Arial" w:cs="Arial" w:eastAsia="Arial" w:hAnsi="Arial"/>
                <w:sz w:val="18"/>
                <w:szCs w:val="18"/>
                <w:color w:val="auto"/>
              </w:rPr>
              <w:t>By: _____________________</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Name:</w:t>
            </w:r>
          </w:p>
        </w:tc>
        <w:tc>
          <w:tcPr>
            <w:tcW w:w="7400" w:type="dxa"/>
            <w:vAlign w:val="bottom"/>
          </w:tcPr>
          <w:p>
            <w:pPr>
              <w:ind w:left="1780"/>
              <w:spacing w:after="0"/>
              <w:rPr>
                <w:sz w:val="20"/>
                <w:szCs w:val="20"/>
                <w:color w:val="auto"/>
              </w:rPr>
            </w:pPr>
            <w:r>
              <w:rPr>
                <w:rFonts w:ascii="Arial" w:cs="Arial" w:eastAsia="Arial" w:hAnsi="Arial"/>
                <w:sz w:val="18"/>
                <w:szCs w:val="18"/>
                <w:color w:val="auto"/>
              </w:rPr>
              <w:t>Name:</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Title:</w:t>
            </w:r>
          </w:p>
        </w:tc>
        <w:tc>
          <w:tcPr>
            <w:tcW w:w="7400" w:type="dxa"/>
            <w:vAlign w:val="bottom"/>
          </w:tcPr>
          <w:p>
            <w:pPr>
              <w:ind w:left="1780"/>
              <w:spacing w:after="0"/>
              <w:rPr>
                <w:sz w:val="20"/>
                <w:szCs w:val="20"/>
                <w:color w:val="auto"/>
              </w:rPr>
            </w:pPr>
            <w:r>
              <w:rPr>
                <w:rFonts w:ascii="Arial" w:cs="Arial" w:eastAsia="Arial" w:hAnsi="Arial"/>
                <w:sz w:val="18"/>
                <w:szCs w:val="18"/>
                <w:color w:val="auto"/>
              </w:rPr>
              <w:t>Title:</w:t>
            </w:r>
          </w:p>
        </w:tc>
      </w:tr>
      <w:tr>
        <w:trPr>
          <w:trHeight w:val="655"/>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240"/>
          </w:cols>
          <w:pgMar w:left="320" w:top="7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5040630" cy="677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406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6"/>
        <w:spacing w:after="0" w:line="290" w:lineRule="auto"/>
        <w:rPr>
          <w:sz w:val="20"/>
          <w:szCs w:val="20"/>
          <w:color w:val="auto"/>
        </w:rPr>
      </w:pPr>
      <w:r>
        <w:rPr>
          <w:rFonts w:ascii="Arial" w:cs="Arial" w:eastAsia="Arial" w:hAnsi="Arial"/>
          <w:sz w:val="16"/>
          <w:szCs w:val="16"/>
          <w:color w:val="auto"/>
        </w:rPr>
        <w:t>We refer to the Registration Statement on Form F-6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by the legal entity created by the Deposit Agreement, dated as of April 23, 2019 (as hereinafter defined) for the purpose of registering under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100,000,000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to be issued under the Deposit Agreement, by and among Citibank, N.A., as Depositary, Mereo BioPharma Group plc, a public limited company incorporated under the laws of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and all Holders and Beneficial Owners (each as defined in the Deposit Agreement and hereinafter used as so defined) of ADSs issued thereunder, a copy of which is being filed as Exhibit (a) to the Registration Statement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Each ADS will represent, subject to the terms and conditions of the Deposit Agreement, the laws of England and Wales and, if applicable, the American Depositary Receipt (“</w:t>
      </w:r>
      <w:r>
        <w:rPr>
          <w:rFonts w:ascii="Arial" w:cs="Arial" w:eastAsia="Arial" w:hAnsi="Arial"/>
          <w:sz w:val="16"/>
          <w:szCs w:val="16"/>
          <w:u w:val="single" w:color="auto"/>
          <w:color w:val="auto"/>
        </w:rPr>
        <w:t>ADR</w:t>
      </w:r>
      <w:r>
        <w:rPr>
          <w:rFonts w:ascii="Arial" w:cs="Arial" w:eastAsia="Arial" w:hAnsi="Arial"/>
          <w:sz w:val="16"/>
          <w:szCs w:val="16"/>
          <w:color w:val="auto"/>
        </w:rPr>
        <w:t>”) evidencing such ADS, the right to receive five (5) ordinary shares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6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have been declared effective by the SEC,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firstLine="1296"/>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jc w:val="both"/>
        <w:ind w:left="6320"/>
        <w:spacing w:after="0"/>
        <w:tabs>
          <w:tab w:leader="none" w:pos="6800" w:val="left"/>
        </w:tabs>
        <w:rPr>
          <w:sz w:val="20"/>
          <w:szCs w:val="20"/>
          <w:color w:val="auto"/>
        </w:rPr>
      </w:pPr>
      <w:r>
        <w:rPr>
          <w:rFonts w:ascii="Arial" w:cs="Arial" w:eastAsia="Arial" w:hAnsi="Arial"/>
          <w:sz w:val="18"/>
          <w:szCs w:val="18"/>
          <w:color w:val="auto"/>
        </w:rPr>
        <w:t>By:</w:t>
        <w:tab/>
        <w:t>/s/ Jean-Claude Lanza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A Member of the Firm</w:t>
      </w:r>
    </w:p>
    <w:p>
      <w:pPr>
        <w:sectPr>
          <w:pgSz w:w="11900" w:h="16838" w:orient="portrait"/>
          <w:cols w:equalWidth="0" w:num="1">
            <w:col w:w="11080"/>
          </w:cols>
          <w:pgMar w:left="320" w:top="706" w:right="49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Citibank, N.A., represents and certifies the following:</w:t>
      </w:r>
    </w:p>
    <w:p>
      <w:pPr>
        <w:spacing w:after="0" w:line="225" w:lineRule="exact"/>
        <w:rPr>
          <w:sz w:val="20"/>
          <w:szCs w:val="20"/>
          <w:color w:val="auto"/>
        </w:rPr>
      </w:pPr>
    </w:p>
    <w:p>
      <w:pPr>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it previously had filed a registration statement on Form F-6 (Registration No. 333-249338), which the U.S. Securities and Exchange Commission declared effective, with terms of deposit identical to the terms of deposit of this Form F-6 Registration Statement; and</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CITIBANK, N.A., as Depositary</w:t>
      </w:r>
    </w:p>
    <w:p>
      <w:pPr>
        <w:spacing w:after="0" w:line="225"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tab/>
        <w:t>/s/ Brian M. Teitelbaum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Brian M. Teitelbaum</w:t>
      </w:r>
    </w:p>
    <w:p>
      <w:pPr>
        <w:spacing w:after="0" w:line="23"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sectPr>
      <w:pgSz w:w="11900" w:h="16838" w:orient="portrait"/>
      <w:cols w:equalWidth="0" w:num="1">
        <w:col w:w="11180"/>
      </w:cols>
      <w:pgMar w:left="320" w:top="3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2021-08-13T16:38:39Z</dcterms:created>
  <dcterms:modified xsi:type="dcterms:W3CDTF">2021-08-13T16:38:39Z</dcterms:modified>
</cp:coreProperties>
</file>