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448310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3" w:lineRule="exact"/>
        <w:rPr>
          <w:sz w:val="24"/>
          <w:szCs w:val="24"/>
          <w:color w:val="auto"/>
        </w:rPr>
      </w:pPr>
    </w:p>
    <w:p>
      <w:pPr>
        <w:ind w:left="3140" w:right="700" w:hanging="3136"/>
        <w:spacing w:after="0" w:line="298" w:lineRule="auto"/>
        <w:tabs>
          <w:tab w:leader="none" w:pos="3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8" w:lineRule="exact"/>
        <w:rPr>
          <w:sz w:val="24"/>
          <w:szCs w:val="24"/>
          <w:color w:val="auto"/>
        </w:rPr>
      </w:pPr>
    </w:p>
    <w:p>
      <w:pPr>
        <w:ind w:left="300" w:hanging="296"/>
        <w:spacing w:after="0"/>
        <w:tabs>
          <w:tab w:leader="none" w:pos="3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9720"/>
          </w:cols>
          <w:pgMar w:left="1080" w:top="225" w:right="1099" w:bottom="1440" w:gutter="0" w:footer="0" w:header="0"/>
        </w:sectPr>
      </w:pPr>
    </w:p>
    <w:p>
      <w:pPr>
        <w:spacing w:after="0" w:line="7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Commission File Number 001-38452</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37" w:lineRule="exact"/>
        <w:rPr>
          <w:sz w:val="24"/>
          <w:szCs w:val="24"/>
          <w:color w:val="auto"/>
        </w:rPr>
      </w:pPr>
    </w:p>
    <w:p>
      <w:pPr>
        <w:sectPr>
          <w:pgSz w:w="11900" w:h="16838" w:orient="portrait"/>
          <w:cols w:equalWidth="0" w:num="2">
            <w:col w:w="6200" w:space="180"/>
            <w:col w:w="3340"/>
          </w:cols>
          <w:pgMar w:left="1080" w:top="225" w:right="10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5"/>
          <w:szCs w:val="25"/>
          <w:b w:val="1"/>
          <w:bCs w:val="1"/>
          <w:color w:val="auto"/>
        </w:rPr>
        <w:t>MEREO BIOPHARMA GROUP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spacing w:after="0"/>
              <w:rPr>
                <w:sz w:val="15"/>
                <w:szCs w:val="15"/>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93"/>
        </w:trPr>
        <w:tc>
          <w:tcPr>
            <w:tcW w:w="4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230"/>
        </w:trPr>
        <w:tc>
          <w:tcPr>
            <w:tcW w:w="4760" w:type="dxa"/>
            <w:vAlign w:val="bottom"/>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9"/>
              </w:rPr>
              <w:t>One Cavendish Place, 4</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Floor</w:t>
            </w:r>
          </w:p>
        </w:tc>
        <w:tc>
          <w:tcPr>
            <w:tcW w:w="22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203"/>
        </w:trPr>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London, W1G 0QF</w:t>
            </w:r>
          </w:p>
        </w:tc>
        <w:tc>
          <w:tcPr>
            <w:tcW w:w="22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12"/>
        </w:trPr>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4960" w:type="dxa"/>
            <w:vAlign w:val="bottom"/>
            <w:gridSpan w:val="2"/>
          </w:tcPr>
          <w:p>
            <w:pPr>
              <w:jc w:val="right"/>
              <w:ind w:right="1705"/>
              <w:spacing w:after="0"/>
              <w:rPr>
                <w:sz w:val="20"/>
                <w:szCs w:val="20"/>
                <w:color w:val="auto"/>
              </w:rPr>
            </w:pPr>
            <w:r>
              <w:rPr>
                <w:rFonts w:ascii="Times New Roman" w:cs="Times New Roman" w:eastAsia="Times New Roman" w:hAnsi="Times New Roman"/>
                <w:sz w:val="16"/>
                <w:szCs w:val="16"/>
                <w:b w:val="1"/>
                <w:bCs w:val="1"/>
                <w:color w:val="auto"/>
              </w:rPr>
              <w:t>+44-333-023-7300</w:t>
            </w:r>
          </w:p>
        </w:tc>
      </w:tr>
      <w:tr>
        <w:trPr>
          <w:trHeight w:val="227"/>
        </w:trPr>
        <w:tc>
          <w:tcPr>
            <w:tcW w:w="4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0" w:type="dxa"/>
            <w:vAlign w:val="bottom"/>
          </w:tcPr>
          <w:p>
            <w:pPr>
              <w:spacing w:after="0"/>
              <w:rPr>
                <w:sz w:val="19"/>
                <w:szCs w:val="19"/>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r>
    </w:tbl>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9"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376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8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American Depositary Shares, each representing five</w:t>
            </w:r>
          </w:p>
        </w:tc>
        <w:tc>
          <w:tcPr>
            <w:tcW w:w="206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9"/>
              </w:rPr>
              <w:t>MREO</w:t>
            </w:r>
          </w:p>
        </w:tc>
        <w:tc>
          <w:tcPr>
            <w:tcW w:w="3180" w:type="dxa"/>
            <w:vAlign w:val="bottom"/>
          </w:tcPr>
          <w:p>
            <w:pPr>
              <w:jc w:val="center"/>
              <w:ind w:left="382"/>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760" w:type="dxa"/>
            <w:vAlign w:val="bottom"/>
          </w:tcPr>
          <w:p>
            <w:pPr>
              <w:jc w:val="center"/>
              <w:ind w:right="241"/>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2060" w:type="dxa"/>
            <w:vAlign w:val="bottom"/>
          </w:tcPr>
          <w:p>
            <w:pPr>
              <w:spacing w:after="0"/>
              <w:rPr>
                <w:sz w:val="21"/>
                <w:szCs w:val="21"/>
                <w:color w:val="auto"/>
              </w:rPr>
            </w:pPr>
          </w:p>
        </w:tc>
        <w:tc>
          <w:tcPr>
            <w:tcW w:w="3180" w:type="dxa"/>
            <w:vAlign w:val="bottom"/>
          </w:tcPr>
          <w:p>
            <w:pPr>
              <w:jc w:val="center"/>
              <w:ind w:left="422"/>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5" w:lineRule="exact"/>
        <w:rPr>
          <w:sz w:val="24"/>
          <w:szCs w:val="24"/>
          <w:color w:val="auto"/>
        </w:rPr>
      </w:pPr>
    </w:p>
    <w:p>
      <w:pPr>
        <w:ind w:right="120" w:firstLine="4"/>
        <w:spacing w:after="0" w:line="259" w:lineRule="auto"/>
        <w:tabs>
          <w:tab w:leader="none" w:pos="1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 trading, but only in connection with the registration of American Depositary Shares representing such Ordinary Shares pursuant to the requirements of the U.S. 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30" w:lineRule="exact"/>
        <w:rPr>
          <w:sz w:val="24"/>
          <w:szCs w:val="24"/>
          <w:color w:val="auto"/>
        </w:rPr>
      </w:pPr>
    </w:p>
    <w:p>
      <w:pPr>
        <w:jc w:val="both"/>
        <w:ind w:right="1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26" w:lineRule="exact"/>
        <w:rPr>
          <w:sz w:val="24"/>
          <w:szCs w:val="24"/>
          <w:color w:val="auto"/>
        </w:rPr>
      </w:pPr>
    </w:p>
    <w:p>
      <w:pPr>
        <w:ind w:right="24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99" w:lineRule="exact"/>
        <w:rPr>
          <w:sz w:val="24"/>
          <w:szCs w:val="24"/>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w:t>
            </w:r>
          </w:p>
        </w:tc>
        <w:tc>
          <w:tcPr>
            <w:tcW w:w="24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w:t>
            </w:r>
          </w:p>
        </w:tc>
        <w:tc>
          <w:tcPr>
            <w:tcW w:w="2500" w:type="dxa"/>
            <w:vAlign w:val="bottom"/>
          </w:tcPr>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tc>
      </w:tr>
      <w:tr>
        <w:trPr>
          <w:trHeight w:val="222"/>
        </w:trPr>
        <w:tc>
          <w:tcPr>
            <w:tcW w:w="2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w:t>
            </w:r>
          </w:p>
        </w:tc>
      </w:tr>
    </w:tbl>
    <w:p>
      <w:pPr>
        <w:spacing w:after="0" w:line="21"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7"/>
          <w:szCs w:val="17"/>
          <w:b w:val="1"/>
          <w:bCs w:val="1"/>
          <w:color w:val="auto"/>
        </w:rPr>
        <w:t></w:t>
      </w:r>
    </w:p>
    <w:p>
      <w:pPr>
        <w:spacing w:after="0" w:line="13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Wingdings" w:cs="Wingdings" w:eastAsia="Wingdings" w:hAnsi="Wingdings"/>
          <w:sz w:val="17"/>
          <w:szCs w:val="17"/>
          <w:b w:val="1"/>
          <w:bCs w:val="1"/>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May 12, 2025 the number of outstanding ordinary shares, par value £0.003 per share, of the registrant was 795,001,444.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819785</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52705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69850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9"/>
        </w:trPr>
        <w:tc>
          <w:tcPr>
            <w:tcW w:w="780" w:type="dxa"/>
            <w:vAlign w:val="bottom"/>
          </w:tcPr>
          <w:p>
            <w:pPr>
              <w:spacing w:after="0"/>
              <w:rPr>
                <w:sz w:val="17"/>
                <w:szCs w:val="17"/>
                <w:color w:val="auto"/>
              </w:rPr>
            </w:pPr>
          </w:p>
        </w:tc>
        <w:tc>
          <w:tcPr>
            <w:tcW w:w="1060" w:type="dxa"/>
            <w:vAlign w:val="bottom"/>
            <w:gridSpan w:val="4"/>
          </w:tcPr>
          <w:p>
            <w:pPr>
              <w:spacing w:after="0" w:line="199" w:lineRule="exact"/>
              <w:rPr>
                <w:sz w:val="20"/>
                <w:szCs w:val="20"/>
                <w:color w:val="auto"/>
              </w:rPr>
            </w:pPr>
            <w:r>
              <w:rPr>
                <w:rFonts w:ascii="Times New Roman" w:cs="Times New Roman" w:eastAsia="Times New Roman" w:hAnsi="Times New Roman"/>
                <w:sz w:val="18"/>
                <w:szCs w:val="18"/>
                <w:color w:val="0000FF"/>
              </w:rPr>
              <w:t>PART I</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960" w:type="dxa"/>
            <w:vAlign w:val="bottom"/>
            <w:tcBorders>
              <w:left w:val="single" w:sz="8" w:color="0000FF"/>
            </w:tcBorders>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Item1.</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27</w:t>
            </w:r>
          </w:p>
        </w:tc>
      </w:tr>
      <w:tr>
        <w:trPr>
          <w:trHeight w:val="1215"/>
        </w:trPr>
        <w:tc>
          <w:tcPr>
            <w:tcW w:w="78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8" w:lineRule="exact"/>
        <w:rPr>
          <w:sz w:val="20"/>
          <w:szCs w:val="20"/>
          <w:color w:val="auto"/>
        </w:rPr>
      </w:pPr>
    </w:p>
    <w:p>
      <w:pPr>
        <w:ind w:right="520" w:firstLine="749"/>
        <w:spacing w:after="0" w:line="245" w:lineRule="exact"/>
        <w:rPr>
          <w:sz w:val="20"/>
          <w:szCs w:val="20"/>
          <w:color w:val="auto"/>
        </w:rPr>
      </w:pPr>
      <w:r>
        <w:rPr>
          <w:rFonts w:ascii="Times New Roman" w:cs="Times New Roman" w:eastAsia="Times New Roman" w:hAnsi="Times New Roman"/>
          <w:sz w:val="18"/>
          <w:szCs w:val="18"/>
          <w:color w:val="auto"/>
        </w:rPr>
        <w:t>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(“Quarterly Report”), “Mereo,” the “Group,” the “Company,” “we,” “us” and “our” refer to Mereo BioPharma Group plc and its consolidated subsidiaries, except where the context otherwise requires.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“believe,” “may,” “will,” “estimate,” “continue,” “anticipate,” “intend,” “expect” or the negative of these words or other comparable terminology.</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of our most recent Annual Report on Form 10-K for the year ended December 31, 2024, filed with the SEC on March 26, 2025 (the "2024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6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62,483</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69,802</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2,175</w:t>
            </w:r>
          </w:p>
        </w:tc>
      </w:tr>
      <w:tr>
        <w:trPr>
          <w:trHeight w:val="216"/>
        </w:trPr>
        <w:tc>
          <w:tcPr>
            <w:tcW w:w="62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1,897</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2,786</w:t>
            </w:r>
          </w:p>
        </w:tc>
      </w:tr>
      <w:tr>
        <w:trPr>
          <w:trHeight w:val="209"/>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66,899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74,763</w:t>
            </w:r>
          </w:p>
        </w:tc>
      </w:tr>
      <w:tr>
        <w:trPr>
          <w:trHeight w:val="216"/>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6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60" w:type="dxa"/>
            <w:vAlign w:val="bottom"/>
            <w:gridSpan w:val="2"/>
          </w:tcPr>
          <w:p>
            <w:pPr>
              <w:jc w:val="right"/>
              <w:ind w:right="139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68,322</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76,390</w:t>
            </w: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6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2,924</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4,071</w:t>
            </w:r>
          </w:p>
        </w:tc>
      </w:tr>
      <w:tr>
        <w:trPr>
          <w:trHeight w:val="216"/>
        </w:trPr>
        <w:tc>
          <w:tcPr>
            <w:tcW w:w="6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5,535</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2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1,095</w:t>
            </w:r>
          </w:p>
        </w:tc>
      </w:tr>
      <w:tr>
        <w:trPr>
          <w:trHeight w:val="210"/>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13,848</w:t>
            </w:r>
          </w:p>
        </w:tc>
      </w:tr>
      <w:tr>
        <w:trPr>
          <w:trHeight w:val="216"/>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6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60" w:type="dxa"/>
            <w:vAlign w:val="bottom"/>
            <w:gridSpan w:val="2"/>
          </w:tcPr>
          <w:p>
            <w:pPr>
              <w:jc w:val="right"/>
              <w:ind w:right="139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8,241</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15,421</w:t>
            </w: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26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15)</w:t>
            </w:r>
          </w:p>
        </w:tc>
        <w:tc>
          <w:tcPr>
            <w:tcW w:w="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r>
      <w:tr>
        <w:trPr>
          <w:trHeight w:val="432"/>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8"/>
        </w:trPr>
        <w:tc>
          <w:tcPr>
            <w:tcW w:w="62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795,001,444 shares issued at March</w:t>
            </w:r>
          </w:p>
        </w:tc>
        <w:tc>
          <w:tcPr>
            <w:tcW w:w="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r>
      <w:tr>
        <w:trPr>
          <w:trHeight w:val="234"/>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31, 2025 (December 31, 2024: 775,728,034).</w:t>
            </w:r>
          </w:p>
        </w:tc>
        <w:tc>
          <w:tcPr>
            <w:tcW w:w="156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3,132</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3,059</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544,266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539,642</w:t>
            </w:r>
          </w:p>
        </w:tc>
      </w:tr>
      <w:tr>
        <w:trPr>
          <w:trHeight w:val="216"/>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(462,883)</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w:t>
            </w:r>
          </w:p>
        </w:tc>
      </w:tr>
      <w:tr>
        <w:trPr>
          <w:trHeight w:val="210"/>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60,081</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60,969</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560" w:type="dxa"/>
            <w:vAlign w:val="bottom"/>
            <w:gridSpan w:val="2"/>
          </w:tcPr>
          <w:p>
            <w:pPr>
              <w:jc w:val="right"/>
              <w:ind w:right="139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68,322</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76,390</w:t>
            </w: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-3968115</wp:posOffset>
            </wp:positionV>
            <wp:extent cx="162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-3411220</wp:posOffset>
            </wp:positionV>
            <wp:extent cx="162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-2142490</wp:posOffset>
            </wp:positionV>
            <wp:extent cx="162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-1585595</wp:posOffset>
            </wp:positionV>
            <wp:extent cx="1625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162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9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(5,906)</w:t>
            </w: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4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5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784,279,387</w:t>
            </w:r>
          </w:p>
        </w:tc>
        <w:tc>
          <w:tcPr>
            <w:tcW w:w="2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1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700,263,490</w:t>
            </w:r>
          </w:p>
        </w:tc>
      </w:tr>
      <w:tr>
        <w:trPr>
          <w:trHeight w:val="412"/>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income/(loss) – Foreign currency translation adjustments, net of tax</w:t>
            </w: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3,559</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w:t>
            </w:r>
          </w:p>
        </w:tc>
      </w:tr>
      <w:tr>
        <w:trPr>
          <w:trHeight w:val="20"/>
        </w:trPr>
        <w:tc>
          <w:tcPr>
            <w:tcW w:w="6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-2451100</wp:posOffset>
            </wp:positionV>
            <wp:extent cx="128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-1054100</wp:posOffset>
            </wp:positionV>
            <wp:extent cx="1289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-1036320</wp:posOffset>
            </wp:positionV>
            <wp:extent cx="128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-607695</wp:posOffset>
            </wp:positionV>
            <wp:extent cx="1289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-591185</wp:posOffset>
            </wp:positionV>
            <wp:extent cx="1289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1289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2,050</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transaction loss/(gain)</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1,939</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(8,329)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(7,991)</w:t>
            </w: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on issuance of ordinary shares</w:t>
            </w:r>
          </w:p>
        </w:tc>
        <w:tc>
          <w:tcPr>
            <w:tcW w:w="1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69,802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57,421</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March 31,</w:t>
            </w:r>
          </w:p>
        </w:tc>
        <w:tc>
          <w:tcPr>
            <w:tcW w:w="216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62,483</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48,660</w:t>
            </w:r>
          </w:p>
        </w:tc>
      </w:tr>
      <w:tr>
        <w:trPr>
          <w:trHeight w:val="413"/>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1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-436245</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-419100</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460" w:type="dxa"/>
            <w:vAlign w:val="bottom"/>
            <w:gridSpan w:val="3"/>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00" w:type="dxa"/>
            <w:vAlign w:val="bottom"/>
          </w:tcPr>
          <w:p>
            <w:pPr>
              <w:spacing w:after="0"/>
              <w:rPr>
                <w:sz w:val="11"/>
                <w:szCs w:val="11"/>
                <w:color w:val="auto"/>
              </w:rPr>
            </w:pPr>
          </w:p>
        </w:tc>
        <w:tc>
          <w:tcPr>
            <w:tcW w:w="1380" w:type="dxa"/>
            <w:vAlign w:val="bottom"/>
            <w:gridSpan w:val="4"/>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7"/>
        </w:trPr>
        <w:tc>
          <w:tcPr>
            <w:tcW w:w="3420" w:type="dxa"/>
            <w:vAlign w:val="bottom"/>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80" w:type="dxa"/>
            <w:vAlign w:val="bottom"/>
          </w:tcPr>
          <w:p>
            <w:pPr>
              <w:spacing w:after="0"/>
              <w:rPr>
                <w:sz w:val="12"/>
                <w:szCs w:val="12"/>
                <w:color w:val="auto"/>
              </w:rPr>
            </w:pPr>
          </w:p>
        </w:tc>
        <w:tc>
          <w:tcPr>
            <w:tcW w:w="900" w:type="dxa"/>
            <w:vAlign w:val="bottom"/>
            <w:gridSpan w:val="2"/>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8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1"/>
                <w:szCs w:val="11"/>
                <w:color w:val="auto"/>
              </w:rPr>
            </w:pPr>
          </w:p>
        </w:tc>
        <w:tc>
          <w:tcPr>
            <w:tcW w:w="76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w w:val="94"/>
              </w:rPr>
              <w:t>Cost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(loss)/income</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28"/>
        </w:trPr>
        <w:tc>
          <w:tcPr>
            <w:tcW w:w="34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8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775,728,034</w:t>
            </w:r>
          </w:p>
        </w:tc>
        <w:tc>
          <w:tcPr>
            <w:tcW w:w="580" w:type="dxa"/>
            <w:vAlign w:val="bottom"/>
            <w:gridSpan w:val="2"/>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$ 3,059</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539,642</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(18,849)</w:t>
            </w:r>
          </w:p>
        </w:tc>
        <w:tc>
          <w:tcPr>
            <w:tcW w:w="240" w:type="dxa"/>
            <w:vAlign w:val="bottom"/>
            <w:gridSpan w:val="2"/>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(462,883)</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60,969</w:t>
            </w: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(12,887)</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8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3,559</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3,559</w:t>
            </w: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8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2,278</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8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718,350</w:t>
            </w:r>
          </w:p>
        </w:tc>
        <w:tc>
          <w:tcPr>
            <w:tcW w:w="58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Transaction costs on issuance of shares</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Conversion of convertible loan notes</w:t>
            </w:r>
          </w:p>
        </w:tc>
        <w:tc>
          <w:tcPr>
            <w:tcW w:w="8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17,105,450</w:t>
            </w:r>
          </w:p>
        </w:tc>
        <w:tc>
          <w:tcPr>
            <w:tcW w:w="58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5,676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5,740</w:t>
            </w: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warrants</w:t>
            </w:r>
          </w:p>
        </w:tc>
        <w:tc>
          <w:tcPr>
            <w:tcW w:w="8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1,449,610</w:t>
            </w:r>
          </w:p>
        </w:tc>
        <w:tc>
          <w:tcPr>
            <w:tcW w:w="5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487</w:t>
            </w:r>
          </w:p>
        </w:tc>
        <w:tc>
          <w:tcPr>
            <w:tcW w:w="0" w:type="dxa"/>
            <w:vAlign w:val="bottom"/>
          </w:tcPr>
          <w:p>
            <w:pPr>
              <w:spacing w:after="0"/>
              <w:rPr>
                <w:sz w:val="1"/>
                <w:szCs w:val="1"/>
                <w:color w:val="auto"/>
              </w:rPr>
            </w:pPr>
          </w:p>
        </w:tc>
      </w:tr>
      <w:tr>
        <w:trPr>
          <w:trHeight w:val="135"/>
        </w:trPr>
        <w:tc>
          <w:tcPr>
            <w:tcW w:w="342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Transfer between reserves</w:t>
            </w:r>
          </w:p>
        </w:tc>
        <w:tc>
          <w:tcPr>
            <w:tcW w:w="8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(3,743)</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3,743</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4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March 31, 2025</w:t>
            </w:r>
          </w:p>
        </w:tc>
        <w:tc>
          <w:tcPr>
            <w:tcW w:w="8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795,001,444</w:t>
            </w:r>
          </w:p>
        </w:tc>
        <w:tc>
          <w:tcPr>
            <w:tcW w:w="5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$ 3,132</w:t>
            </w:r>
          </w:p>
        </w:tc>
        <w:tc>
          <w:tcPr>
            <w:tcW w:w="100" w:type="dxa"/>
            <w:vAlign w:val="bottom"/>
          </w:tcPr>
          <w:p>
            <w:pPr>
              <w:spacing w:after="0"/>
              <w:rPr>
                <w:sz w:val="11"/>
                <w:szCs w:val="11"/>
                <w:color w:val="auto"/>
              </w:rPr>
            </w:pPr>
          </w:p>
        </w:tc>
        <w:tc>
          <w:tcPr>
            <w:tcW w:w="7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544,266</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(15,290)</w:t>
            </w:r>
          </w:p>
        </w:tc>
        <w:tc>
          <w:tcPr>
            <w:tcW w:w="24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(472,027)</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60,081</w:t>
            </w: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8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701,217,089</w:t>
            </w:r>
          </w:p>
        </w:tc>
        <w:tc>
          <w:tcPr>
            <w:tcW w:w="58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$ 2,775</w:t>
            </w:r>
          </w:p>
        </w:tc>
        <w:tc>
          <w:tcPr>
            <w:tcW w:w="86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923,400</w:t>
            </w:r>
          </w:p>
        </w:tc>
        <w:tc>
          <w:tcPr>
            <w:tcW w:w="1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(1,230)</w:t>
            </w:r>
          </w:p>
        </w:tc>
        <w:tc>
          <w:tcPr>
            <w:tcW w:w="20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486,107</w:t>
            </w:r>
          </w:p>
        </w:tc>
        <w:tc>
          <w:tcPr>
            <w:tcW w:w="1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(17,485)</w:t>
            </w:r>
          </w:p>
        </w:tc>
        <w:tc>
          <w:tcPr>
            <w:tcW w:w="24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(419,630)</w:t>
            </w:r>
          </w:p>
        </w:tc>
        <w:tc>
          <w:tcPr>
            <w:tcW w:w="1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50,537</w:t>
            </w: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(8,951)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(8,951)</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8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(798)</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(798)</w:t>
            </w: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8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2,050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2,050</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share options</w:t>
            </w:r>
          </w:p>
        </w:tc>
        <w:tc>
          <w:tcPr>
            <w:tcW w:w="8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132,345</w:t>
            </w: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(210,485)</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88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(712,915)</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950</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(950)</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4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March 31, 2024</w:t>
            </w:r>
          </w:p>
        </w:tc>
        <w:tc>
          <w:tcPr>
            <w:tcW w:w="8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701,349,434</w:t>
            </w:r>
          </w:p>
        </w:tc>
        <w:tc>
          <w:tcPr>
            <w:tcW w:w="580" w:type="dxa"/>
            <w:vAlign w:val="bottom"/>
            <w:gridSpan w:val="2"/>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$ 2,775</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486,927</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(18,283)</w:t>
            </w:r>
          </w:p>
        </w:tc>
        <w:tc>
          <w:tcPr>
            <w:tcW w:w="240" w:type="dxa"/>
            <w:vAlign w:val="bottom"/>
            <w:gridSpan w:val="2"/>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(428,581)</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42,838</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-805180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-805180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-805180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-805180</wp:posOffset>
            </wp:positionV>
            <wp:extent cx="59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-805180</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-805180</wp:posOffset>
            </wp:positionV>
            <wp:extent cx="59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-805180</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Mereo BioPharma Group plc (the “Company” or “Mereo”) is a United Kingdom (“U.K.”) based biopharmaceutical company focused on the development of innovative therapeutics for rare diseases. The Company has developed a portfolio of late-stage clinical product candidates, and its two rare disease product candidates are setrusumab for the treatment of osteogenesis imperfecta (“OI”) and alvelestat primarily for the treatment of severe alpha-1 antitrypsin deficiency-associated lung disease (“AATD-LD”).</w:t>
      </w:r>
    </w:p>
    <w:p>
      <w:pPr>
        <w:spacing w:after="0" w:line="180"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is a public limited company incorporated and domiciled in the U.K., and registered in England, with shares publicly traded on the Nasdaq Capital Market via American Depositary Shares (“ADSs”) under the ticker symbol “MREO”. The Company’s registered office is located at Fourth Floor, 1 Cavendish Place, London, W1G 0QF,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and its subsidiaries and other financial information included in this quarterly report on Form 10-Q ("Quarterly Report") are unaudited, have been prepared in accordance with generally accepted accounting principles in the United States of America (“U.S. GAAP”) and are presented in U.S. dollars. All intercompany accounts and transactions between the Company and its subsidiaries have been eliminated on consolidation.</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March 26, 2025 (the “2024 Annual Report”). The condensed consolidated balance sheet as of December 31, 2024 was derived from audited consolidated financial statements included in the 2024 Annual Report but does not include all disclosures required by U.S. GAAP. The Company’s significant accounting policies are described in Note 2 to those consolidated financial statements.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However, these interim financial statements include all adjustments which are, in the opinion of management, necessary to fairly state the Company's financial position as of March 31, 2025, the results of operations for the three months ended March 31, 2025 and 2024 and cash flows for the three months ended March 31, 2025 and 2024. The interim results are not necessarily indicative of results to be expected for the full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 has prepared its condensed consolidated financial statements on the basis that it will continue as a going concern. 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88"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Company has historically been loss making, anticipates that it will continue to incur losses for the foreseeable future, and had an accumulated deficit of $472.0 million as of March 31, 2025.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oncology product candidates. Although management continues to pursue these plans, there is no assurance that the Company will be successful in obtaining sufficient funding on terms acceptable to the Company to fund continuing operations, if at all.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cash and cash equivalents of $62.5 million. T</w:t>
      </w:r>
      <w:r>
        <w:rPr>
          <w:rFonts w:ascii="Times New Roman" w:cs="Times New Roman" w:eastAsia="Times New Roman" w:hAnsi="Times New Roman"/>
          <w:sz w:val="18"/>
          <w:szCs w:val="18"/>
          <w:color w:val="2B333D"/>
        </w:rPr>
        <w:t>he Company expects that its cash and cash equivalents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333D"/>
        </w:rPr>
        <w:t>of March 31, 2025 will be sufficient to fund its operations and capital expenditure requirements for at least twelve months from the date of filing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There are no estimates and assumptions made in the consolidated financial statements that are considered to be critical. Estimates are periodically reviewed in light of changes in circumstances, facts and experience. Changes in estimates are recorded in the period in which they become known.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recent accounting pronouncements, changes in accounting pronouncements or recently adopted accounting guidance other than those previously included in the 2024 Annual Report that are of significance or potential significance to the Company. The Company is continuing to evaluate the impact of the recently issued pronouncements that are effective in future periods that were discussed in its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payable, certain accrued expenses, contingent consideration, warrant liabilities and the liability component of the convertible loan notes and other financing arrangements. Cash, cash equivalents, accounts payable and accrued expenses are initially recorded and subsequently measured at cost, which is considered to approximate their fair value due to the short-term nature of such financial instruments.</w:t>
      </w:r>
    </w:p>
    <w:p>
      <w:pPr>
        <w:spacing w:after="0" w:line="180"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and classified under the appropriate level of the fair value hierarchy: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87"/>
        </w:trPr>
        <w:tc>
          <w:tcPr>
            <w:tcW w:w="5760" w:type="dxa"/>
            <w:vAlign w:val="bottom"/>
          </w:tcPr>
          <w:p>
            <w:pPr>
              <w:spacing w:after="0"/>
              <w:rPr>
                <w:sz w:val="16"/>
                <w:szCs w:val="16"/>
                <w:color w:val="auto"/>
              </w:rPr>
            </w:pPr>
          </w:p>
        </w:tc>
        <w:tc>
          <w:tcPr>
            <w:tcW w:w="880" w:type="dxa"/>
            <w:vAlign w:val="bottom"/>
          </w:tcPr>
          <w:p>
            <w:pPr>
              <w:jc w:val="center"/>
              <w:ind w:left="2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Pr>
          <w:p>
            <w:pPr>
              <w:ind w:left="86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tcPr>
          <w:p>
            <w:pPr>
              <w:ind w:left="7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560" w:type="dxa"/>
            <w:vAlign w:val="bottom"/>
          </w:tcPr>
          <w:p>
            <w:pPr>
              <w:spacing w:after="0"/>
              <w:rPr>
                <w:sz w:val="16"/>
                <w:szCs w:val="16"/>
                <w:color w:val="auto"/>
              </w:rPr>
            </w:pPr>
          </w:p>
        </w:tc>
        <w:tc>
          <w:tcPr>
            <w:tcW w:w="12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6640" w:type="dxa"/>
            <w:vAlign w:val="bottom"/>
            <w:gridSpan w:val="2"/>
          </w:tcPr>
          <w:p>
            <w:pPr>
              <w:jc w:val="center"/>
              <w:ind w:left="59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($'000)</w:t>
            </w:r>
          </w:p>
        </w:tc>
        <w:tc>
          <w:tcPr>
            <w:tcW w:w="560" w:type="dxa"/>
            <w:vAlign w:val="bottom"/>
          </w:tcPr>
          <w:p>
            <w:pPr>
              <w:spacing w:after="0"/>
              <w:rPr>
                <w:sz w:val="20"/>
                <w:szCs w:val="20"/>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419</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419</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441"/>
        </w:trPr>
        <w:tc>
          <w:tcPr>
            <w:tcW w:w="57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880" w:type="dxa"/>
            <w:vAlign w:val="bottom"/>
          </w:tcPr>
          <w:p>
            <w:pPr>
              <w:jc w:val="center"/>
              <w:ind w:left="2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Pr>
          <w:p>
            <w:pPr>
              <w:ind w:left="86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tcPr>
          <w:p>
            <w:pPr>
              <w:ind w:left="7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560" w:type="dxa"/>
            <w:vAlign w:val="bottom"/>
          </w:tcPr>
          <w:p>
            <w:pPr>
              <w:spacing w:after="0"/>
              <w:rPr>
                <w:sz w:val="16"/>
                <w:szCs w:val="16"/>
                <w:color w:val="auto"/>
              </w:rPr>
            </w:pPr>
          </w:p>
        </w:tc>
        <w:tc>
          <w:tcPr>
            <w:tcW w:w="12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6640" w:type="dxa"/>
            <w:vAlign w:val="bottom"/>
            <w:gridSpan w:val="2"/>
          </w:tcPr>
          <w:p>
            <w:pPr>
              <w:jc w:val="center"/>
              <w:ind w:left="59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($'000)</w:t>
            </w:r>
          </w:p>
        </w:tc>
        <w:tc>
          <w:tcPr>
            <w:tcW w:w="560" w:type="dxa"/>
            <w:vAlign w:val="bottom"/>
          </w:tcPr>
          <w:p>
            <w:pPr>
              <w:spacing w:after="0"/>
              <w:rPr>
                <w:sz w:val="20"/>
                <w:szCs w:val="20"/>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821</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821</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of instruments between any levels of the fair value hierarchy during the three months ended March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54"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warrant liabilities solely related to those warrants outstanding to the former lenders of the Company as described in Note 11.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1"/>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3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general and administrative expenses</w:t>
            </w:r>
          </w:p>
        </w:tc>
        <w:tc>
          <w:tcPr>
            <w:tcW w:w="3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8"/>
                <w:szCs w:val="18"/>
                <w:color w:val="auto"/>
              </w:rPr>
            </w:pPr>
          </w:p>
        </w:tc>
        <w:tc>
          <w:tcPr>
            <w:tcW w:w="16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3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-2305685</wp:posOffset>
            </wp:positionV>
            <wp:extent cx="85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-453390</wp:posOffset>
            </wp:positionV>
            <wp:extent cx="120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120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less than $0.1 million for both the three months ended March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August 2015, the Company entered into a lease agreement under which it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revisionary lease to extend the term for the original fourth floor lease to be coterminous with the fifth floor, ending in June 2026.</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total lease expense included in the statements of operations and comprehensive loss was $0.2 million for both the three months ended March 31, 2025 and 2024. There were no material variable lease costs.</w:t>
      </w:r>
    </w:p>
    <w:p>
      <w:pPr>
        <w:spacing w:after="0" w:line="158"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0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1000" w:type="dxa"/>
            <w:vAlign w:val="bottom"/>
            <w:tcBorders>
              <w:bottom w:val="single" w:sz="8" w:color="auto"/>
            </w:tcBorders>
          </w:tcPr>
          <w:p>
            <w:pPr>
              <w:spacing w:after="0"/>
              <w:rPr>
                <w:sz w:val="20"/>
                <w:szCs w:val="20"/>
                <w:color w:val="auto"/>
              </w:rPr>
            </w:pPr>
          </w:p>
        </w:tc>
      </w:tr>
      <w:tr>
        <w:trPr>
          <w:trHeight w:val="209"/>
        </w:trPr>
        <w:tc>
          <w:tcPr>
            <w:tcW w:w="5360" w:type="dxa"/>
            <w:vAlign w:val="bottom"/>
          </w:tcPr>
          <w:p>
            <w:pPr>
              <w:spacing w:after="0"/>
              <w:rPr>
                <w:sz w:val="18"/>
                <w:szCs w:val="18"/>
                <w:color w:val="auto"/>
              </w:rPr>
            </w:pPr>
          </w:p>
        </w:tc>
        <w:tc>
          <w:tcPr>
            <w:tcW w:w="14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contractual lease term (years)</w:t>
            </w:r>
          </w:p>
        </w:tc>
        <w:tc>
          <w:tcPr>
            <w:tcW w:w="14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4"/>
              </w:rPr>
              <w:t>10.0%</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8"/>
              </w:rPr>
              <w:t>10.0%</w:t>
            </w:r>
          </w:p>
        </w:tc>
      </w:tr>
    </w:tbl>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maturities of the Company’s operating lease liabilities as of March 31, 2025:</w:t>
      </w:r>
    </w:p>
    <w:p>
      <w:pPr>
        <w:sectPr>
          <w:pgSz w:w="11900" w:h="16838" w:orient="portrait"/>
          <w:cols w:equalWidth="0" w:num="1">
            <w:col w:w="11200"/>
          </w:cols>
          <w:pgMar w:left="320" w:top="108" w:right="3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38"/>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3"/>
              </w:rPr>
              <w:t>2025</w:t>
            </w:r>
          </w:p>
        </w:tc>
        <w:tc>
          <w:tcPr>
            <w:tcW w:w="4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20" w:type="dxa"/>
            <w:vAlign w:val="bottom"/>
            <w:gridSpan w:val="4"/>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Maturity analysis of the operating lease liabilities for the years ending December</w:t>
            </w:r>
          </w:p>
        </w:tc>
        <w:tc>
          <w:tcPr>
            <w:tcW w:w="54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238"/>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right w:val="single" w:sz="8" w:color="CFF0FC"/>
            </w:tcBorders>
            <w:shd w:val="clear" w:color="auto" w:fill="CFF0FC"/>
          </w:tcPr>
          <w:p>
            <w:pPr>
              <w:spacing w:after="0"/>
              <w:rPr>
                <w:sz w:val="18"/>
                <w:szCs w:val="18"/>
                <w:color w:val="auto"/>
              </w:rPr>
            </w:pPr>
          </w:p>
        </w:tc>
        <w:tc>
          <w:tcPr>
            <w:tcW w:w="140" w:type="dxa"/>
            <w:vAlign w:val="bottom"/>
            <w:tcBorders>
              <w:bottom w:val="single" w:sz="8" w:color="auto"/>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5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jc w:val="right"/>
              <w:ind w:right="269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right w:val="single" w:sz="8" w:color="CFF0FC"/>
            </w:tcBorders>
            <w:shd w:val="clear" w:color="auto" w:fill="CFF0FC"/>
          </w:tcPr>
          <w:p>
            <w:pPr>
              <w:spacing w:after="0"/>
              <w:rPr>
                <w:sz w:val="18"/>
                <w:szCs w:val="18"/>
                <w:color w:val="auto"/>
              </w:rPr>
            </w:pPr>
          </w:p>
        </w:tc>
        <w:tc>
          <w:tcPr>
            <w:tcW w:w="140" w:type="dxa"/>
            <w:vAlign w:val="bottom"/>
            <w:tcBorders>
              <w:bottom w:val="single" w:sz="8" w:color="auto"/>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5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Lease liability – current</w:t>
            </w:r>
          </w:p>
        </w:tc>
        <w:tc>
          <w:tcPr>
            <w:tcW w:w="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40" w:type="dxa"/>
            <w:vAlign w:val="bottom"/>
            <w:tcBorders>
              <w:right w:val="single" w:sz="8" w:color="CFF0FC"/>
            </w:tcBorders>
            <w:shd w:val="clear" w:color="auto" w:fill="CFF0FC"/>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747</w:t>
            </w:r>
          </w:p>
        </w:tc>
        <w:tc>
          <w:tcPr>
            <w:tcW w:w="56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441"/>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Other current liabilities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66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1140" w:type="dxa"/>
            <w:vAlign w:val="bottom"/>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Social security and other taxes</w:t>
            </w:r>
          </w:p>
        </w:tc>
        <w:tc>
          <w:tcPr>
            <w:tcW w:w="1480" w:type="dxa"/>
            <w:vAlign w:val="bottom"/>
            <w:gridSpan w:val="3"/>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11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consideration liability</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1140" w:type="dxa"/>
            <w:vAlign w:val="bottom"/>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issuance costs payable</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1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1140" w:type="dxa"/>
            <w:vAlign w:val="bottom"/>
          </w:tcPr>
          <w:p>
            <w:pPr>
              <w:spacing w:after="0"/>
              <w:rPr>
                <w:sz w:val="19"/>
                <w:szCs w:val="19"/>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gridSpan w:val="3"/>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894</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1,095</w:t>
            </w: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49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6640" w:type="dxa"/>
            <w:vAlign w:val="bottom"/>
            <w:gridSpan w:val="3"/>
          </w:tcPr>
          <w:p>
            <w:pPr>
              <w:jc w:val="right"/>
              <w:ind w:right="269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($'000)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1140" w:type="dxa"/>
            <w:vAlign w:val="bottom"/>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68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948</w:t>
            </w:r>
          </w:p>
        </w:tc>
      </w:tr>
      <w:tr>
        <w:trPr>
          <w:trHeight w:val="216"/>
        </w:trPr>
        <w:tc>
          <w:tcPr>
            <w:tcW w:w="11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legal fees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140" w:type="dxa"/>
            <w:vAlign w:val="bottom"/>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2,001</w:t>
            </w:r>
          </w:p>
        </w:tc>
      </w:tr>
      <w:tr>
        <w:trPr>
          <w:trHeight w:val="216"/>
        </w:trPr>
        <w:tc>
          <w:tcPr>
            <w:tcW w:w="11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audit fees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1140" w:type="dxa"/>
            <w:vAlign w:val="bottom"/>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1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local taxes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1140" w:type="dxa"/>
            <w:vAlign w:val="bottom"/>
          </w:tcPr>
          <w:p>
            <w:pPr>
              <w:spacing w:after="0"/>
              <w:rPr>
                <w:sz w:val="18"/>
                <w:szCs w:val="18"/>
                <w:color w:val="auto"/>
              </w:rPr>
            </w:pPr>
          </w:p>
        </w:tc>
        <w:tc>
          <w:tcPr>
            <w:tcW w:w="55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r>
      <w:tr>
        <w:trPr>
          <w:trHeight w:val="210"/>
        </w:trPr>
        <w:tc>
          <w:tcPr>
            <w:tcW w:w="11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4,071</w:t>
            </w: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-2287905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-2270760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loan notes and equity classified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Loan Note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February 10, 2020, the Company entered into a convertible equity financing with Novartis Pharma (AG) (“Novartis”), which it amended in February 2023 to extend the maturity date and increase the interest rate, under which Novartis purchased a £3.8 million ($5.0 million) convertible loan note (the “Novartis Loan Note”). Following the 2023 amendment, the Novartis Loan Note was convertible at the discretion of the holder, at a fixed price of £0.265 per ordinary share and bore interest at 9% per annum with a maturity date of February 10, 2025.</w:t>
      </w:r>
    </w:p>
    <w:p>
      <w:pPr>
        <w:spacing w:after="0" w:line="180"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In addition, the Company also issued warrants over 1,449,610 ordinary shares to Novartis which were exercisable until February 2025 at an exercise price of £0.265 per ordinary share (the "2020 Novartis Warrants"). In connection with the amendments</w:t>
      </w:r>
    </w:p>
    <w:p>
      <w:pPr>
        <w:sectPr>
          <w:pgSz w:w="11900" w:h="16838" w:orient="portrait"/>
          <w:cols w:equalWidth="0" w:num="1">
            <w:col w:w="11220"/>
          </w:cols>
          <w:pgMar w:left="320" w:top="117" w:right="35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to the Novartis Loan Note, in February 2023 the Company issued warrants over a further 2,000,000 ordinary shares (the "2023 Novartis Warrants"). The 2023 Novartis Warrants are exercisable until February 2028 at an exercise price of £0.265 per ordinary share. Both tranches of warrants were recognized separately as equity instruments.</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On February 7, 2025, the Company received a conversion notice and subsequently issued and allotted 17,105,450 ordinary shares (equivalent to 3,421,090 ADSs) on the non-cash conversion of the outstanding principal and accrued interest of the Novartis Loan Note.</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2024, the net carrying amount of the liability component of the convertible debt instrument was $5.5 million. On conversion, the Company derecognized the carrying value of the Novartis Loan Note of $5.7 million and recognized the issuance of the shares at their par value within ordinary share capital and the excess amount of the conversion price over the par value within additional paid-in capital. In addition, the amount that represented the value of the conversion features of the Novartis Loan Note presented in additional paid-in capital at inception of $3.4 million was transferred to accumulated deficit upon conversion.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recognized interest expense of $0.2 million and $0.3 million in relation to the Novartis Loan Note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respectively. The effective interest rate applied to the liability portion of the Novartis Loan Note in both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was 27.8%.</w:t>
      </w:r>
    </w:p>
    <w:p>
      <w:pPr>
        <w:spacing w:after="0" w:line="20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addition, on February 7, 2025, Novartis exercised the 2020 Novartis Warrants and the Company subsequently issued and allotted 1,449,610 ordinary shares (equivalent to 289,922 ADSs) upon receipt of $0.5 million in satisfaction of the subscription price of £0.265 per ordinary share. Additional paid-in capital of $0.3 million, representing the surplus of previously recognized amounts exceeding the par value of ordinary shares, was transferred to accumulated deficit.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 liability</w:t>
      </w:r>
    </w:p>
    <w:p>
      <w:pPr>
        <w:spacing w:after="0" w:line="225"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19685</wp:posOffset>
            </wp:positionV>
            <wp:extent cx="1783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7740"/>
        <w:spacing w:after="0"/>
        <w:tabs>
          <w:tab w:leader="none" w:pos="92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3" w:lineRule="exact"/>
        <w:rPr>
          <w:sz w:val="20"/>
          <w:szCs w:val="20"/>
          <w:color w:val="auto"/>
        </w:rPr>
      </w:pPr>
    </w:p>
    <w:p>
      <w:pPr>
        <w:ind w:left="7660"/>
        <w:spacing w:after="0"/>
        <w:tabs>
          <w:tab w:leader="none" w:pos="9120" w:val="left"/>
        </w:tabs>
        <w:rPr>
          <w:sz w:val="20"/>
          <w:szCs w:val="20"/>
          <w:color w:val="auto"/>
        </w:rPr>
      </w:pPr>
      <w:r>
        <w:rPr>
          <w:rFonts w:ascii="Times New Roman" w:cs="Times New Roman" w:eastAsia="Times New Roman" w:hAnsi="Times New Roman"/>
          <w:sz w:val="18"/>
          <w:szCs w:val="18"/>
          <w:b w:val="1"/>
          <w:bCs w:val="1"/>
          <w:color w:val="auto"/>
        </w:rPr>
        <w:t>($'000)</w:t>
      </w:r>
      <w:r>
        <w:rPr>
          <w:sz w:val="20"/>
          <w:szCs w:val="20"/>
          <w:color w:val="auto"/>
        </w:rPr>
        <w:tab/>
      </w:r>
      <w:r>
        <w:rPr>
          <w:rFonts w:ascii="Times New Roman" w:cs="Times New Roman" w:eastAsia="Times New Roman" w:hAnsi="Times New Roman"/>
          <w:sz w:val="17"/>
          <w:szCs w:val="17"/>
          <w:b w:val="1"/>
          <w:bCs w:val="1"/>
          <w:color w:val="auto"/>
        </w:rPr>
        <w:t>($'000)</w:t>
      </w:r>
    </w:p>
    <w:p>
      <w:pPr>
        <w:spacing w:after="0" w:line="1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w:t>
            </w:r>
          </w:p>
        </w:tc>
        <w:tc>
          <w:tcPr>
            <w:tcW w:w="5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c>
          <w:tcPr>
            <w:tcW w:w="6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-170815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of March 31, 2025, the former lenders of the Company have warrants outstanding to purchase a total of 1,243,908 ordinary shares at an exercise price of £2.95 per share, exercisable until August 2027 and a total of 1,243,908 ordinary shares at an exercise price of $0.4144 per share, exercisable until dates between August 2027 and October 2028. These warrants outstanding are equivalent to 0.3% of the issued ordinary share capital of the Company as of March 31, 2025 and 0.4% as of December 31, 2024. There were no warrants exercised during either the three months ended March 31, 2025 or 2024.</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each warrant is estimated using the Black-Scholes option pricing model using the following weighted average assumptions:</w:t>
      </w:r>
    </w:p>
    <w:p>
      <w:pPr>
        <w:spacing w:after="0" w:line="200" w:lineRule="exact"/>
        <w:rPr>
          <w:sz w:val="20"/>
          <w:szCs w:val="20"/>
          <w:color w:val="auto"/>
        </w:rPr>
      </w:pPr>
    </w:p>
    <w:p>
      <w:pPr>
        <w:spacing w:after="0" w:line="237" w:lineRule="exact"/>
        <w:rPr>
          <w:sz w:val="20"/>
          <w:szCs w:val="20"/>
          <w:color w:val="auto"/>
        </w:rPr>
      </w:pPr>
    </w:p>
    <w:tbl>
      <w:tblPr>
        <w:tblLayout w:type="fixed"/>
        <w:tblInd w:w="102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r>
      <w:tr>
        <w:trPr>
          <w:trHeight w:val="238"/>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9"/>
        </w:trPr>
        <w:tc>
          <w:tcPr>
            <w:tcW w:w="20" w:type="dxa"/>
            <w:vAlign w:val="bottom"/>
          </w:tcPr>
          <w:p>
            <w:pPr>
              <w:spacing w:after="0"/>
              <w:rPr>
                <w:sz w:val="18"/>
                <w:szCs w:val="18"/>
                <w:color w:val="auto"/>
              </w:rPr>
            </w:pPr>
          </w:p>
        </w:tc>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701,217,089</w:t>
            </w:r>
          </w:p>
        </w:tc>
        <w:tc>
          <w:tcPr>
            <w:tcW w:w="3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r>
      <w:tr>
        <w:trPr>
          <w:trHeight w:val="216"/>
        </w:trPr>
        <w:tc>
          <w:tcPr>
            <w:tcW w:w="20" w:type="dxa"/>
            <w:vAlign w:val="bottom"/>
          </w:tcPr>
          <w:p>
            <w:pPr>
              <w:spacing w:after="0"/>
              <w:rPr>
                <w:sz w:val="18"/>
                <w:szCs w:val="18"/>
                <w:color w:val="auto"/>
              </w:rPr>
            </w:pPr>
          </w:p>
        </w:tc>
        <w:tc>
          <w:tcPr>
            <w:tcW w:w="5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132,345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March 31, 2024</w:t>
            </w:r>
          </w:p>
        </w:tc>
        <w:tc>
          <w:tcPr>
            <w:tcW w:w="100" w:type="dxa"/>
            <w:vAlign w:val="bottom"/>
          </w:tcPr>
          <w:p>
            <w:pPr>
              <w:spacing w:after="0"/>
              <w:rPr>
                <w:sz w:val="21"/>
                <w:szCs w:val="21"/>
                <w:color w:val="auto"/>
              </w:rPr>
            </w:pPr>
          </w:p>
        </w:tc>
        <w:tc>
          <w:tcPr>
            <w:tcW w:w="1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701,349,434</w:t>
            </w:r>
          </w:p>
        </w:tc>
        <w:tc>
          <w:tcPr>
            <w:tcW w:w="140" w:type="dxa"/>
            <w:vAlign w:val="bottom"/>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r>
      <w:tr>
        <w:trPr>
          <w:trHeight w:val="413"/>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775,728,034</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3,059</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Vesting of RSUs</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718,350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5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Conversion of convertible loan notes</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17,105,450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 of warrants</w:t>
            </w:r>
          </w:p>
        </w:tc>
        <w:tc>
          <w:tcPr>
            <w:tcW w:w="1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1,449,610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March 31, 2025</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795,001,444</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3,132</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-170815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February 2025, the Company issued and allotted 17,105,450 ordinary shares (equivalent to 3,421,090 ADSs) on the non-cash conversion of the outstanding principal and accrued interest of the Novartis Loan Note.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2025, the Company issued and allotted 1,449,610 ordinary shares (equivalent to 289,922 ADSs) upon exercise of the 2020 Novartis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three months ended March 31, 2025, 718,350 ordinary shares were issued due to the vesting of RSUs.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based compensation</w:t>
      </w:r>
    </w:p>
    <w:p>
      <w:pPr>
        <w:spacing w:after="0" w:line="225"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The Company currently grants equity awards under the Mereo 2019 Equity Incentive Plan (the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2019 EIP</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the 2019 Non-Employee Equity Incentive Plan (the “2019 NED EIP”). There are also still outstanding awards under two previous plans, the Mereo BioPharma Group Limited Share Option Plan and the Mereo Share Option Plan (together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Previous Share Option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however no further grants are envisioned.</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ADSs available for issue under the 2019 EIP and 2019 NED EIP was 9.0 million as of March 31, 2025.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expense for share-based compensation arises solely in respect of awards made under these two active plans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r>
      <w:tr>
        <w:trPr>
          <w:trHeight w:val="210"/>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EIP</w:t>
            </w:r>
          </w:p>
        </w:tc>
        <w:tc>
          <w:tcPr>
            <w:tcW w:w="2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1,654</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2019 NED EIP</w:t>
            </w:r>
          </w:p>
        </w:tc>
        <w:tc>
          <w:tcPr>
            <w:tcW w:w="2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r>
      <w:tr>
        <w:trPr>
          <w:trHeight w:val="22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compensation cost related to outstanding share awards was $9.8 million, which the Company expects to recognize over a weighted-average period of 1.7 years</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Value Options (“Options”)</w:t>
      </w:r>
    </w:p>
    <w:p>
      <w:pPr>
        <w:spacing w:after="0" w:line="229" w:lineRule="exact"/>
        <w:rPr>
          <w:sz w:val="20"/>
          <w:szCs w:val="20"/>
          <w:color w:val="auto"/>
        </w:rPr>
      </w:pPr>
    </w:p>
    <w:p>
      <w:pPr>
        <w:ind w:right="380" w:firstLine="794"/>
        <w:spacing w:after="0" w:line="282" w:lineRule="auto"/>
        <w:rPr>
          <w:sz w:val="20"/>
          <w:szCs w:val="20"/>
          <w:color w:val="auto"/>
        </w:rPr>
      </w:pPr>
      <w:r>
        <w:rPr>
          <w:rFonts w:ascii="Times New Roman" w:cs="Times New Roman" w:eastAsia="Times New Roman" w:hAnsi="Times New Roman"/>
          <w:sz w:val="18"/>
          <w:szCs w:val="18"/>
          <w:color w:val="auto"/>
        </w:rPr>
        <w:t>A summary of the Company’s Option activity and related information under the 2019 EIP for the three months ended March 31, 2025 is as follows; all outstanding Options are expected to vest: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09"/>
        </w:trPr>
        <w:tc>
          <w:tcPr>
            <w:tcW w:w="5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 December 31, 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11,271,023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15,578</w:t>
            </w: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2,333,100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 March 31, 2025</w:t>
            </w: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13,602,658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6,960</w:t>
            </w: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2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6,924,589</w:t>
            </w:r>
          </w:p>
        </w:tc>
        <w:tc>
          <w:tcPr>
            <w:tcW w:w="2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2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4,099</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-316230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-316230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fair value per share of Options vesting during the three months ended March 31, 2025 and 2024 was $2.17 and $1.43, respectively.</w:t>
      </w:r>
    </w:p>
    <w:p>
      <w:pPr>
        <w:spacing w:after="0" w:line="162"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as of March 31, 2025 and December 31, 2024 was 7.8 years and 7.6 years, respectively. The weighted average contractual life for vested Options was both 6.8 years as of March 31, 2025 and December 31, 2024.</w:t>
      </w:r>
    </w:p>
    <w:p>
      <w:pPr>
        <w:spacing w:after="0" w:line="16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18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4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c>
          <w:tcPr>
            <w:tcW w:w="1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expected volatility assumption is calculated by reference to the historical volatility of the Company's ADSs for the three months ended March 31, 2025 and an appropriate peer group of companies for the three months ended March 31, 2024. The grant date fair value is recognized over the requisite service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 summary of the Company’s RSU activity and related information under the 2019 EIP is as follows; all outstanding RSUs are expected to vest:</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1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614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38"/>
        </w:trPr>
        <w:tc>
          <w:tcPr>
            <w:tcW w:w="6140" w:type="dxa"/>
            <w:vAlign w:val="bottom"/>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(ADSs)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Value ($)</w:t>
            </w: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441,247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265,080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(143,670)</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210"/>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 March 31, 2025</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562,657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0"/>
        </w:trPr>
        <w:tc>
          <w:tcPr>
            <w:tcW w:w="6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March 31, 2025, the weighted average remaining period of RSUs outstanding was 2.5 years.</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quoted market price of the Company’s ADSs. The fair value of each RSU was calculated by reference to the value of the shares awarded. The grant date fair value is recognized over the vesting period using the accelerated graded-vesting attribution method.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NED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NED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Option activity and related information under the 2019 NED EIP for the three months ended March 31, 2025 is as follows; all outstanding Options are expected to vest:</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0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90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1,542,087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2,123</w:t>
            </w:r>
          </w:p>
        </w:tc>
      </w:tr>
      <w:tr>
        <w:trPr>
          <w:trHeight w:val="216"/>
        </w:trPr>
        <w:tc>
          <w:tcPr>
            <w:tcW w:w="59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440,000</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March 31, 2025</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1,982,087</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978</w:t>
            </w:r>
          </w:p>
        </w:tc>
      </w:tr>
      <w:tr>
        <w:trPr>
          <w:trHeight w:val="215"/>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1,578,759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-173990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-156845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-319405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-173990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-156845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-319405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6"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fair value per share of Options vesting during the three months ended March 31, 2025 and 2024 was $2.44 and $1.42, respectively.</w:t>
      </w:r>
    </w:p>
    <w:p>
      <w:pPr>
        <w:spacing w:after="0" w:line="162" w:lineRule="exact"/>
        <w:rPr>
          <w:sz w:val="20"/>
          <w:szCs w:val="20"/>
          <w:color w:val="auto"/>
        </w:rPr>
      </w:pPr>
    </w:p>
    <w:p>
      <w:pPr>
        <w:ind w:right="60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as of March 31, 2025 and December 31, 2024 was 7.3 years and 7.5 years, respectively. The weighted average contractual life for vested Options as of March 31, 2025 and December 31, 2024 was 7.8 years and 7.4 years, respectively.</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96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602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r>
      <w:tr>
        <w:trPr>
          <w:trHeight w:val="210"/>
        </w:trPr>
        <w:tc>
          <w:tcPr>
            <w:tcW w:w="6020" w:type="dxa"/>
            <w:vAlign w:val="bottom"/>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expected volatility assumption is calculated by reference to the historical volatility of the Company's ADSs for the three months ended March 31, 2025 and an appropriate peer group of companies for the three months ended March 31, 2024.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Restricted Stock Units (“DRSUs”)</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DRSU activity and related information under the 2019 NED EIP for the three months ended March 31, 2025 is as follows; all outstanding DRSUs are expected to vest: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14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614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DRSUs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38"/>
        </w:trPr>
        <w:tc>
          <w:tcPr>
            <w:tcW w:w="614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Value ($)</w:t>
            </w: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855,375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1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124,233</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March 31, 2025</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979,608</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15"/>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872,655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-173990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-156845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-319405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quoted market price of the Company’s ADSs. The fair value of each DRSU was calculated by reference to the value of the shares awarded.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Share Option Plans</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Mereo previously granted Options to employees under the Previous Share Options Plans. No awards have been granted under either of these plans following the introduction of the 2019 EIP and the 2019 NED EIP, no further awards are envisioned.</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options over 1,419,867 ADSs were outstanding and fully vested with a weighted average exercise price per option of $9.24 and aggregate intrinsic value of $0.</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and vested at March 31, 2025 and December 31, 2024 was 0.5 years and 0.8 years,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Loss per share</w:t>
      </w:r>
    </w:p>
    <w:p>
      <w:pPr>
        <w:spacing w:after="0" w:line="22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by dividing the loss attributable to ordinary equity holders of the Company for the period by the weighted average number of ordinary shares outstanding. Diluted loss per share is based on dividing the loss attributable for the period, adjusted for the effect of dilutive ordinary shares, by ordinary share equivalents, which includes the weighted average number of ordinary shares outstanding and the effect of dilutive ordinary share equivalents.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0"/>
        </w:trPr>
        <w:tc>
          <w:tcPr>
            <w:tcW w:w="7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187"/>
        </w:trPr>
        <w:tc>
          <w:tcPr>
            <w:tcW w:w="7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($'000, except share</w:t>
            </w:r>
          </w:p>
        </w:tc>
        <w:tc>
          <w:tcPr>
            <w:tcW w:w="180" w:type="dxa"/>
            <w:vAlign w:val="bottom"/>
          </w:tcPr>
          <w:p>
            <w:pPr>
              <w:spacing w:after="0"/>
              <w:rPr>
                <w:sz w:val="16"/>
                <w:szCs w:val="16"/>
                <w:color w:val="auto"/>
              </w:rPr>
            </w:pPr>
          </w:p>
        </w:tc>
        <w:tc>
          <w:tcPr>
            <w:tcW w:w="166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($'000, except share</w:t>
            </w:r>
          </w:p>
        </w:tc>
      </w:tr>
      <w:tr>
        <w:trPr>
          <w:trHeight w:val="216"/>
        </w:trPr>
        <w:tc>
          <w:tcPr>
            <w:tcW w:w="7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and per share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and per share</w:t>
            </w:r>
          </w:p>
        </w:tc>
      </w:tr>
      <w:tr>
        <w:trPr>
          <w:trHeight w:val="238"/>
        </w:trPr>
        <w:tc>
          <w:tcPr>
            <w:tcW w:w="7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amounts)</w:t>
            </w: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0"/>
        </w:trPr>
        <w:tc>
          <w:tcPr>
            <w:tcW w:w="72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7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7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 basic and diluted</w:t>
            </w:r>
          </w:p>
        </w:tc>
        <w:tc>
          <w:tcPr>
            <w:tcW w:w="5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784,279,387</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700,263,490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-333375</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have been excluded from the computation of diluted net loss per share as the effect for the three months ended March 31, 2025 and 2024 would be to reduce the net loss per share. Therefore, the weighted average number of ordinary shares outstanding used to calculate both basic and diluted net loss per share is the same.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356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680" w:type="dxa"/>
            <w:vAlign w:val="bottom"/>
          </w:tcPr>
          <w:p>
            <w:pPr>
              <w:spacing w:after="0"/>
              <w:rPr>
                <w:sz w:val="20"/>
                <w:szCs w:val="20"/>
                <w:color w:val="auto"/>
              </w:rPr>
            </w:pPr>
          </w:p>
        </w:tc>
        <w:tc>
          <w:tcPr>
            <w:tcW w:w="228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spacing w:after="0"/>
              <w:rPr>
                <w:sz w:val="20"/>
                <w:szCs w:val="20"/>
                <w:color w:val="auto"/>
              </w:rPr>
            </w:pPr>
          </w:p>
        </w:tc>
      </w:tr>
      <w:tr>
        <w:trPr>
          <w:trHeight w:val="209"/>
        </w:trPr>
        <w:tc>
          <w:tcPr>
            <w:tcW w:w="7680" w:type="dxa"/>
            <w:vAlign w:val="bottom"/>
          </w:tcPr>
          <w:p>
            <w:pPr>
              <w:spacing w:after="0"/>
              <w:rPr>
                <w:sz w:val="18"/>
                <w:szCs w:val="18"/>
                <w:color w:val="auto"/>
              </w:rPr>
            </w:pPr>
          </w:p>
        </w:tc>
        <w:tc>
          <w:tcPr>
            <w:tcW w:w="17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92,734,385</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88,532,810</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15,983,094</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2,487,816</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2,487,816</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Warrants classified in equity</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3,551,699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5,001,313</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right="20" w:firstLine="749"/>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However, the Company may record charges in the future as a result of these indemnification obligations. In accordance with the Articles of Association in force on March 31, 2025,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may enable it to recover a portion of any amounts paid for future potential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Asset Purchase Agreements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issued to Novartis loan notes and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spacing w:after="0" w:line="176" w:lineRule="exact"/>
        <w:rPr>
          <w:sz w:val="20"/>
          <w:szCs w:val="20"/>
          <w:color w:val="auto"/>
        </w:rPr>
      </w:pPr>
    </w:p>
    <w:p>
      <w:pPr>
        <w:jc w:val="both"/>
        <w:ind w:right="280" w:firstLine="749"/>
        <w:spacing w:after="0" w:line="261" w:lineRule="auto"/>
        <w:rPr>
          <w:sz w:val="20"/>
          <w:szCs w:val="20"/>
          <w:color w:val="auto"/>
        </w:rPr>
      </w:pPr>
      <w:r>
        <w:rPr>
          <w:rFonts w:ascii="Times New Roman" w:cs="Times New Roman" w:eastAsia="Times New Roman" w:hAnsi="Times New Roman"/>
          <w:sz w:val="18"/>
          <w:szCs w:val="18"/>
          <w:color w:val="auto"/>
        </w:rPr>
        <w:t>The Company further agreed that in the event it transfers, licenses, assigns or leases all or substantially all of its assets, it will pay Novartis a percentage of the proceeds of such transaction.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AstraZeneca</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October 2017, the Company entered into an exclusive license and option agreement (“the AstraZeneca License Agreement”) and subscription deed (the “AstraZeneca Subscription Deed”), together (the "Original Agreements") with AstraZeneca AB ("AstraZeneca"). Each of these were amended on November 8, 2024, when the Company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Original Agreements, the Company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the Company made a payment of $3.0 million and issued 490,798 ordinary shares (equivalent to 98,159 ADSs) to AstraZeneca, for an aggregate upfront payment equal to $5.0 million. Upon execution of the Amended AstraZeneca License Agreement, the Company issued 2,044,392 ordinary shares and paid $0.5 million to AstraZeneca in respect of an agreed milestone.</w:t>
      </w:r>
    </w:p>
    <w:p>
      <w:pPr>
        <w:spacing w:after="0" w:line="187" w:lineRule="exact"/>
        <w:rPr>
          <w:sz w:val="20"/>
          <w:szCs w:val="20"/>
          <w:color w:val="auto"/>
        </w:rPr>
      </w:pPr>
    </w:p>
    <w:p>
      <w:pPr>
        <w:ind w:right="80" w:firstLine="794"/>
        <w:spacing w:after="0" w:line="266" w:lineRule="auto"/>
        <w:rPr>
          <w:sz w:val="20"/>
          <w:szCs w:val="20"/>
          <w:color w:val="auto"/>
        </w:rPr>
      </w:pPr>
      <w:r>
        <w:rPr>
          <w:rFonts w:ascii="Times New Roman" w:cs="Times New Roman" w:eastAsia="Times New Roman" w:hAnsi="Times New Roman"/>
          <w:sz w:val="18"/>
          <w:szCs w:val="18"/>
          <w:color w:val="auto"/>
        </w:rPr>
        <w:t>Under the terms of the Amended AstraZeneca Agreements, the Company has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w:t>
      </w:r>
    </w:p>
    <w:p>
      <w:pPr>
        <w:spacing w:after="0" w:line="17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number of ADSs to be issued to satisfy each equity milestone is determined by dividing a monetary amount by a defined subscription price based on the weighted average trading price of the Company's ADSs and the obligation is presented as a liability under ASC Topic 480, Distinguishing Liabilities from Equity. The Company continues to reassess the fair value of such instruments each reporting period until the milestones are achieved, if ever, and the issuance of shares occurs. Given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 the Company has determined the fair value of the equity milestones to be paid in a variable number of shares pursuant to its Amended AstraZeneca License Agreement to be negligible and therefore assigned a nil value to the instrument as of March 31, 2025.</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794"/>
        <w:spacing w:after="0" w:line="255" w:lineRule="auto"/>
        <w:rPr>
          <w:sz w:val="20"/>
          <w:szCs w:val="20"/>
          <w:color w:val="auto"/>
        </w:rPr>
      </w:pPr>
      <w:r>
        <w:rPr>
          <w:rFonts w:ascii="Times New Roman" w:cs="Times New Roman" w:eastAsia="Times New Roman" w:hAnsi="Times New Roman"/>
          <w:sz w:val="18"/>
          <w:szCs w:val="18"/>
          <w:color w:val="auto"/>
        </w:rPr>
        <w:t>In addition to the development and regulatory milestones,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Amended AstraZeneca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AstraZeneca License Agreement upon prior written notice. Either party may terminate the agreement upon prior written notice for the other party’s material breach that remains uncured for a specified period of time or insolvency.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manufacturing organizations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manufacturing commitments with CMOs of $0.3 million and $0.5 million as of March 31, 2025 and December 31,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 agreement with Ultragenyx</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December 2024, the Company entered into a manufacturing and supply agreement with Ultragenyx under which Ultragenyx is responsible for the manufacture and supply of setrusumab to the Company in its territories. The Company is also required to reimburse Ultragenyx for a portion of the manufacturing process development costs as well as future commercial supply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subject to claims incident to the ordinary course of business. The Company was not a party to any material litigation and did not have any material contingency reserves established for any liabilities as of March 31,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three months ended March 31, 2025 and 2024, there were no reportable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has one operating segment focused on the business of developing rare disease therapies. The chief operating decision maker, its Chief Executive Officer, assesses performance for the entity and decides how to allocate resources based on consolidated net loss, which is reported on the consolidated statements of operations and comprehensive loss. The measure of segment assets is reported on the condensed consolidated balance sheet as total consolidated assets.</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consolidated net loss and budget-to-actual variances for consolidated net loss to assess the performance of the operating segment.</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financial data for the Company’s reportable segment, including significant segment expenses regularly provided to the chief operating decision maker to assess performance of the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Setrusumab (BPS-804/UX143)</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Alvelestat (MPH-966)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Etigilimab (MPH-313)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949</w:t>
            </w: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(12,887)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(8,951)</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-170815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firstLine="749"/>
        <w:spacing w:after="0" w:line="312" w:lineRule="auto"/>
        <w:rPr>
          <w:sz w:val="20"/>
          <w:szCs w:val="20"/>
          <w:color w:val="auto"/>
        </w:rPr>
      </w:pPr>
      <w:r>
        <w:rPr>
          <w:rFonts w:ascii="Times New Roman" w:cs="Times New Roman" w:eastAsia="Times New Roman" w:hAnsi="Times New Roman"/>
          <w:sz w:val="17"/>
          <w:szCs w:val="17"/>
          <w:color w:val="auto"/>
        </w:rPr>
        <w:t>Other segment items consist of interest income, interest expense, change in fair value of warrants, foreign currency transaction loss/(gain), and benefit from research and development tax credit. These are disclosed in the condensed consolidated statements of operations and comprehensive loss.</w:t>
      </w:r>
    </w:p>
    <w:p>
      <w:pPr>
        <w:spacing w:after="0" w:line="1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80" w:firstLine="843"/>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and the audited consolidated financial statements and notes thereto and management’s discussion and analysis of financial condition and results of operations for the year ended December 31, 2024, included in our 2024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our 2024 Annual Report, our actual results could differ materially from the results described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OI and alvelestat for the treatment of severe alpha-1 antitrypsin deficiency-associated lung disease (AATD-LD). Setrusumab has received orphan designation for OI from the European Commission ("EC") and the U.S. Food and Drug Administration ("FDA"), PRIME designation from the European Medicines Agency ("EMA") and has Breakthrough Therapy designation and rare pediatric disease designation from the FDA. Alvelestat has received orphan designation for AATD from the EC and the FDA, and Fast Track designation for the treatment of AATD-LD from the FDA.</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our merger with OncoMed Pharmaceuticals Inc in 2019. We have successfully completed large, randomized Phase 2 clinical trials for four of our product candidates and the Phase 1b portion of a Phase 1b/2 for a fifth product candidate.</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2025 and 2024</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86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The following table sets forth Mereo’s results of operations for the three months ended March 31, 2025 and 2024.</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7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4"/>
                <w:szCs w:val="24"/>
                <w:color w:val="auto"/>
              </w:rPr>
            </w:pPr>
          </w:p>
        </w:tc>
        <w:tc>
          <w:tcPr>
            <w:tcW w:w="13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3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5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 Foreign currency translation adjustments,</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vMerge w:val="restart"/>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vMerge w:val="restart"/>
          </w:tcPr>
          <w:p>
            <w:pPr>
              <w:spacing w:after="0"/>
              <w:rPr>
                <w:sz w:val="17"/>
                <w:szCs w:val="17"/>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-1833880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-1833880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three months ended March 31, 2025 and 2024.</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0"/>
                <w:szCs w:val="20"/>
                <w:color w:val="auto"/>
              </w:rPr>
            </w:pPr>
          </w:p>
        </w:tc>
        <w:tc>
          <w:tcPr>
            <w:tcW w:w="13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3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Setrusumab (BPS-804/UX143)</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2,244</w:t>
            </w:r>
          </w:p>
        </w:tc>
        <w:tc>
          <w:tcPr>
            <w:tcW w:w="1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Alvelestat (MPH-966)</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1,365</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Etigilimab (MPH-313)</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Total R&amp;D expenses decreased by $0.1 million, from $4.0 million in the three months ended March 31, 2024 to $3.9 million in the three months ended March 31, 2025.</w:t>
      </w:r>
    </w:p>
    <w:p>
      <w:pPr>
        <w:spacing w:after="0" w:line="162"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The decrease was primarily due to decreases of $1.2 million and $0.1 million in R&amp;D expenses for alvelestat and etigilimab, offset by an increase of $1.3 million in R&amp;D expenses for setrusumab.</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decrease in program expenses for alvelestat was primarily due to undertaking reduced drug formulation and manufacturing activities in preparation for the Phase 3 study in the three months ended March 31, 2025, compared to the three months ended March 31, 2024.</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increase in program expenses for setrusumab was primarily driven by amounts due under the manufacturing and supply agreement with our partner, Ultragenyx, ongoing activities related to real-world evidence programs and medical affairs activities in Europe and input into development, regulatory and manufacturing plans with Ultragenyx, who fund the global development of the program pursuant to our license and collaboration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$1.4 million, from $5.9 million in the three months ended March 31, 2024 to $7.3 million in the three months ended March 31, 2025. The increase was primarily due to the recognition of a $1.7 million reduction in expenses in the three months ended March 31, 2024 for amounts received from our depository to reimburse certain expenses incurred by us in respect of our ADR program, partially offset by a net decrease in employee-related expenses and professional fees. A reimbursement in respect of our ADR program is anticipated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Interest income increased by less than $0.1 million, from $0.6 million in the three months ended March 31, 2024 to $0.7 million in the three months ended March 31, 2025, principally due to a higher cash and cash equivalents balance as a result of receiving the net proceeds of $46.2 million from the underwritten registered direct offering in June 2024, offset by lower interest rates earned.</w:t>
      </w:r>
    </w:p>
    <w:p>
      <w:pPr>
        <w:spacing w:after="0" w:line="176"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Interest expense decreased by $0.1 million, from $0.3 million in the three months ended March 31, 2024 to $0.2 million in the three months ended March 31, 2025. The decrease was principally due to the conversion of convertible loan notes in February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fair value of warrants</w:t>
      </w:r>
    </w:p>
    <w:p>
      <w:pPr>
        <w:spacing w:after="0" w:line="227"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total change in fair value of warrants for the three months ended March 31, 2025 was an unrealized gain of $0.4 million, compared to an unrealized loss of $0.4 million in the three months ended March 31, 2024. The unrealized gain in the three months ended March 31, 2025 was primarily due to the impact of a decrease in the price of the Company’s ADSs on the value of the warrant liabilities, whereas in the three months ended March 31, 2024, the unrealized loss was primarily due to an increase in the ADS price in the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(loss)/gain</w:t>
      </w:r>
    </w:p>
    <w:p>
      <w:pPr>
        <w:spacing w:after="0" w:line="22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net foreign exchange loss for the three months ended March 31, 2025 was $2.8 million, compared to a gain of $0.6 million for the three months ended March 31, 2024. This change primarily reflects (i) the impact of a weakening in the value of U.S. dollars when translating U.S. dollar balances into our functional currency of pound sterling in the three months ended March 31, 2025, compared to a strengthening of U.S. dollars in the three months ended March 31, 2024, and (ii) higher U.S. dollar balances following the underwritten registered direct offering in June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research and development tax credit</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benefit from research and development tax credit decreased by $0.3 million, from $0.5 million in the three months ended March 31, 2024 to $0.2 million in the three months ended March 31, 2025. This decrease reflects a combination of a lower level of qualifying expenditure in the three months ended March 31, 2025 and a reduction in the proportion of qualifying expenditure that can be reclaimed under the scheme rules. The income tax benefit represents eligible cash rebates paid or receivable from the tax authorities in the jurisdictions within which we operate for eligible types of research and development activities and associated expenditure.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adjustment for the three months ended March 31, 2025 was a gain of $3.6 million, compared to a loss of $0.8 million in the three months ended March 31, 2024. This change primarily reflects the impact of a greater weakening in the value of U.S. dollars when translating U.S. dollar balances into our functional currency of pound sterling in the three months ended March 31, 2025, compared to a lesser weakening of U.S. dollars in the three months ended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Under the current business plan and cash flow forecasts, and in consideration of our ongoing research and development efforts and our general corporate funding requirements, we anticipate that our current on-hand cash resources will extend into 2027. However, we will need additional external funding to complete our development plans and potentially commercialize selected rare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disease products. We plan to fund our operations through cash on hand and a combination of non-dilutive funding sources, public or private equity or debt financing or other sources.</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$259.0 million, including through the $50.0 million underwritten registered direct offering in June 2024 and the $12.0 million “at-the-market” offering pursuant to our Open Market Sale Agreement with Jefferies LLC in July 2023 (all amounts are gross proceeds before fees and discounts).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also received payments under various license and collaboration agreements, including payments of:</w:t>
      </w:r>
    </w:p>
    <w:p>
      <w:pPr>
        <w:spacing w:after="0" w:line="225" w:lineRule="exact"/>
        <w:rPr>
          <w:sz w:val="20"/>
          <w:szCs w:val="20"/>
          <w:color w:val="auto"/>
        </w:rPr>
      </w:pPr>
    </w:p>
    <w:p>
      <w:pPr>
        <w:ind w:left="760" w:right="2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under the license and collaboration agreement with Ultragenyx for setrusumab in 2021 and a further milestone payment of $9.0 million in July 2023;</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under the license and collaboration agreement with Feng Biosciences (formerly OncXerna) for navicixizumab in 2020 and a further milestone payment of $2.0 million in 2022;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under the global license agreement with ReproNovo for leflutrozole in December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further described in our 2024 Annual Report, under “Item 1. Business—Material Agreements—Novartis Agreements” (as updated in Note 16 to the condensed consolidated financial statements included in this Quarterly Report) and “Item 1. Business—Material Agreements—Licensing Agreement with AstraZeneca,” under various agreements with Novartis and AstraZeneca, we have agreed to make milestone payments and pay royalties on potential future commercial sales. The amount, timing, and likelihood of such payments are not known and will remain uncertain for the foreseeable future.</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addition, we enter into contracts in the ordinary course of business with CROs, CMOs, and other vendors, including Ultragenyx for the manufacture of setrusumab as described in our 2024 Annual Report in “Item 1. Business—Material Agreements—Agreements with Ultragenyx for Setrusumab”,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$0.3 million and $0.5 million as of March 31, 2025 and December 31,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flows (used in) from operating, investing and financing activities for the three months ended March 31, 2025 and 2024.</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jc w:val="right"/>
        <w:ind w:right="172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Decrease in cash and cash equivalents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Three Months Ended March</w:t>
      </w:r>
    </w:p>
    <w:p>
      <w:pPr>
        <w:spacing w:after="0" w:line="43"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5715</wp:posOffset>
            </wp:positionV>
            <wp:extent cx="15855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ind w:left="30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14605</wp:posOffset>
            </wp:positionV>
            <wp:extent cx="15855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($'000)</w:t>
      </w:r>
      <w:r>
        <w:rPr>
          <w:sz w:val="20"/>
          <w:szCs w:val="20"/>
          <w:color w:val="auto"/>
        </w:rPr>
        <w:tab/>
      </w:r>
      <w:r>
        <w:rPr>
          <w:rFonts w:ascii="Times New Roman" w:cs="Times New Roman" w:eastAsia="Times New Roman" w:hAnsi="Times New Roman"/>
          <w:sz w:val="17"/>
          <w:szCs w:val="17"/>
          <w:b w:val="1"/>
          <w:bCs w:val="1"/>
          <w:color w:val="auto"/>
        </w:rPr>
        <w:t>($'000)</w:t>
      </w:r>
    </w:p>
    <w:p>
      <w:pPr>
        <w:spacing w:after="0" w:line="23" w:lineRule="exact"/>
        <w:rPr>
          <w:sz w:val="20"/>
          <w:szCs w:val="20"/>
          <w:color w:val="auto"/>
        </w:rPr>
      </w:pPr>
    </w:p>
    <w:p>
      <w:pPr>
        <w:jc w:val="both"/>
        <w:ind w:left="580"/>
        <w:spacing w:after="0"/>
        <w:tabs>
          <w:tab w:leader="none" w:pos="1860" w:val="left"/>
        </w:tabs>
        <w:rPr>
          <w:sz w:val="20"/>
          <w:szCs w:val="20"/>
          <w:color w:val="auto"/>
        </w:rPr>
      </w:pPr>
      <w:r>
        <w:rPr>
          <w:rFonts w:ascii="Times New Roman" w:cs="Times New Roman" w:eastAsia="Times New Roman" w:hAnsi="Times New Roman"/>
          <w:sz w:val="18"/>
          <w:szCs w:val="18"/>
          <w:color w:val="auto"/>
        </w:rPr>
        <w:t>(8,329)</w:t>
      </w:r>
      <w:r>
        <w:rPr>
          <w:sz w:val="20"/>
          <w:szCs w:val="20"/>
          <w:color w:val="auto"/>
        </w:rPr>
        <w:tab/>
      </w:r>
      <w:r>
        <w:rPr>
          <w:rFonts w:ascii="Times New Roman" w:cs="Times New Roman" w:eastAsia="Times New Roman" w:hAnsi="Times New Roman"/>
          <w:sz w:val="18"/>
          <w:szCs w:val="18"/>
          <w:color w:val="auto"/>
        </w:rPr>
        <w:t>(7,991)</w:t>
      </w:r>
    </w:p>
    <w:p>
      <w:pPr>
        <w:spacing w:after="0" w:line="9" w:lineRule="exact"/>
        <w:rPr>
          <w:sz w:val="20"/>
          <w:szCs w:val="20"/>
          <w:color w:val="auto"/>
        </w:rPr>
      </w:pPr>
    </w:p>
    <w:p>
      <w:pPr>
        <w:ind w:left="2020" w:hanging="1301"/>
        <w:spacing w:after="0"/>
        <w:tabs>
          <w:tab w:leader="none" w:pos="2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w:t>
      </w:r>
    </w:p>
    <w:p>
      <w:pPr>
        <w:spacing w:after="0" w:line="20" w:lineRule="exact"/>
        <w:rPr>
          <w:rFonts w:ascii="Times New Roman" w:cs="Times New Roman" w:eastAsia="Times New Roman" w:hAnsi="Times New Roman"/>
          <w:sz w:val="17"/>
          <w:szCs w:val="17"/>
          <w:color w:val="auto"/>
        </w:rPr>
      </w:pP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422—</w:t>
      </w:r>
    </w:p>
    <w:p>
      <w:pPr>
        <w:spacing w:after="0" w:line="9" w:lineRule="exact"/>
        <w:rPr>
          <w:rFonts w:ascii="Times New Roman" w:cs="Times New Roman" w:eastAsia="Times New Roman" w:hAnsi="Times New Roman"/>
          <w:sz w:val="17"/>
          <w:szCs w:val="17"/>
          <w:color w:val="auto"/>
        </w:rPr>
      </w:pP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908(70)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5715</wp:posOffset>
            </wp:positionV>
            <wp:extent cx="1585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jc w:val="both"/>
        <w:ind w:left="580"/>
        <w:spacing w:after="0"/>
        <w:tabs>
          <w:tab w:leader="none" w:pos="1860" w:val="left"/>
        </w:tabs>
        <w:rPr>
          <w:sz w:val="20"/>
          <w:szCs w:val="20"/>
          <w:color w:val="auto"/>
        </w:rPr>
      </w:pPr>
      <w:r>
        <w:rPr>
          <w:rFonts w:ascii="Times New Roman" w:cs="Times New Roman" w:eastAsia="Times New Roman" w:hAnsi="Times New Roman"/>
          <w:sz w:val="18"/>
          <w:szCs w:val="18"/>
          <w:color w:val="auto"/>
        </w:rPr>
        <w:t>(7,319)</w:t>
      </w:r>
      <w:r>
        <w:rPr>
          <w:sz w:val="20"/>
          <w:szCs w:val="20"/>
          <w:color w:val="auto"/>
        </w:rPr>
        <w:tab/>
      </w:r>
      <w:r>
        <w:rPr>
          <w:rFonts w:ascii="Times New Roman" w:cs="Times New Roman" w:eastAsia="Times New Roman" w:hAnsi="Times New Roman"/>
          <w:sz w:val="18"/>
          <w:szCs w:val="18"/>
          <w:color w:val="auto"/>
        </w:rPr>
        <w:t>(8,761)</w:t>
      </w:r>
    </w:p>
    <w:p>
      <w:pPr>
        <w:spacing w:after="0" w:line="692" w:lineRule="exact"/>
        <w:rPr>
          <w:sz w:val="20"/>
          <w:szCs w:val="20"/>
          <w:color w:val="auto"/>
        </w:rPr>
      </w:pPr>
    </w:p>
    <w:p>
      <w:pPr>
        <w:sectPr>
          <w:pgSz w:w="11900" w:h="16838" w:orient="portrait"/>
          <w:cols w:equalWidth="0" w:num="2">
            <w:col w:w="6420" w:space="720"/>
            <w:col w:w="4060"/>
          </w:cols>
          <w:pgMar w:left="320" w:top="117" w:right="379" w:bottom="1440" w:gutter="0" w:footer="0" w:header="0"/>
          <w:type w:val="continuous"/>
        </w:sectPr>
      </w:pPr>
    </w:p>
    <w:p>
      <w:pPr>
        <w:spacing w:after="0" w:line="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 xml:space="preserve">Net cash used in operating activities for the three months ended March 31, 2025 was $8.3 million, an increase of $0.3 million from $8.0 million in the three months ended March 31, 2024. </w:t>
      </w:r>
      <w:r>
        <w:rPr>
          <w:rFonts w:ascii="Times New Roman" w:cs="Times New Roman" w:eastAsia="Times New Roman" w:hAnsi="Times New Roman"/>
          <w:sz w:val="18"/>
          <w:szCs w:val="18"/>
          <w:color w:val="363435"/>
        </w:rPr>
        <w:t>This increase is primarily due to</w:t>
      </w:r>
      <w:r>
        <w:rPr>
          <w:rFonts w:ascii="Times New Roman" w:cs="Times New Roman" w:eastAsia="Times New Roman" w:hAnsi="Times New Roman"/>
          <w:sz w:val="18"/>
          <w:szCs w:val="18"/>
          <w:color w:val="auto"/>
        </w:rPr>
        <w:t xml:space="preserve"> receipt of $1.7 million from our depository to reimburse certain expenses incurred by us in respect of our ADR program and receipt of $2.0 million from a claim on our Directors and Officers insurance policy to reimburse us for certain legal and professional costs incurred in prior years in the three months ended March 31, 2024 with no similar amounts recognized in the three months ended March 31, 2025. These increases were</w:t>
      </w:r>
    </w:p>
    <w:p>
      <w:pPr>
        <w:sectPr>
          <w:pgSz w:w="11900" w:h="16838" w:orient="portrait"/>
          <w:cols w:equalWidth="0" w:num="1">
            <w:col w:w="11200"/>
          </w:cols>
          <w:pgMar w:left="320" w:top="117" w:right="379" w:bottom="1440" w:gutter="0" w:footer="0" w:header="0"/>
          <w:type w:val="continuous"/>
        </w:sectPr>
      </w:pP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partially offset by </w:t>
      </w:r>
      <w:r>
        <w:rPr>
          <w:rFonts w:ascii="Times New Roman" w:cs="Times New Roman" w:eastAsia="Times New Roman" w:hAnsi="Times New Roman"/>
          <w:sz w:val="18"/>
          <w:szCs w:val="18"/>
          <w:color w:val="363435"/>
        </w:rPr>
        <w:t>approximately $2.3 million in lower cash operating expenses and</w:t>
      </w:r>
      <w:r>
        <w:rPr>
          <w:rFonts w:ascii="Times New Roman" w:cs="Times New Roman" w:eastAsia="Times New Roman" w:hAnsi="Times New Roman"/>
          <w:sz w:val="18"/>
          <w:szCs w:val="18"/>
          <w:color w:val="auto"/>
        </w:rPr>
        <w:t xml:space="preserve"> receipt of $1.1 million in R&amp;D tax credits in the three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$0.3 million, a decrease of $0.4 million from $0.7 million in the three months ended March 31, 2024. The decrease is principally due to lower payments to acquire intangible assets in the three months ended March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three months ended March 31, 2025 was $0.4 million, compared to net cash provided by financing activities of less than $0.1 million in the three months ended March 31, 2024. </w:t>
      </w:r>
      <w:r>
        <w:rPr>
          <w:rFonts w:ascii="Times New Roman" w:cs="Times New Roman" w:eastAsia="Times New Roman" w:hAnsi="Times New Roman"/>
          <w:sz w:val="18"/>
          <w:szCs w:val="18"/>
          <w:color w:val="363435"/>
        </w:rPr>
        <w:t>The increase principally represents</w:t>
      </w:r>
      <w:r>
        <w:rPr>
          <w:rFonts w:ascii="Times New Roman" w:cs="Times New Roman" w:eastAsia="Times New Roman" w:hAnsi="Times New Roman"/>
          <w:sz w:val="18"/>
          <w:szCs w:val="18"/>
          <w:color w:val="auto"/>
        </w:rPr>
        <w:t xml:space="preserve"> the $0.5 million received upon exercise of the 2020 Novartis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2025, we had an accumulated deficit of $472.0 million. We expect to continue to report significant operating losses for the foreseeable future as we continue our research and development efforts and seek to obtain regulatory approval of our product candidates and any future product we develop.</w:t>
      </w:r>
    </w:p>
    <w:p>
      <w:pPr>
        <w:spacing w:after="0" w:line="176"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costs will increase further if we:</w:t>
      </w:r>
    </w:p>
    <w:p>
      <w:pPr>
        <w:spacing w:after="0" w:line="225"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intellectual property portfolio;</w:t>
      </w:r>
    </w:p>
    <w:p>
      <w:pPr>
        <w:spacing w:after="0" w:line="22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further clinical, scientific, operational, financial, legal and management information systems, and personnel, including personnel to support our development, potential commercialization and to support our operations as a U.S. public company listed on Nasdaq; or</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currently committed clinical trials, operating expenses and capital expenditure requirements into 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ind w:left="760" w:right="14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our activities related to our ongoing collaboration with Ultragenyx for setrusumab for the treatment of children and adults with OI, including the costs for our preparation for the potential commercialization of setrusumab, if approved, in Europe and the U.K; and potential future costs for the alvelestat program in AATD;</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clinical or commercial supplies of our product candidates;</w:t>
      </w:r>
    </w:p>
    <w:p>
      <w:pPr>
        <w:sectPr>
          <w:pgSz w:w="11900" w:h="16838" w:orient="portrait"/>
          <w:cols w:equalWidth="0" w:num="1">
            <w:col w:w="11220"/>
          </w:cols>
          <w:pgMar w:left="320" w:top="117"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right="58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including post-marketing studies that could be required by regulatory authorities;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life cycle management and distribution, for our product candidates that we commercialize directly;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our product candidates;</w:t>
      </w:r>
    </w:p>
    <w:p>
      <w:pPr>
        <w:spacing w:after="0" w:line="22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collaborators and partners under the existing agreements on setrusumab, navicixizumab and, leflutrozole;</w:t>
      </w:r>
    </w:p>
    <w:p>
      <w:pPr>
        <w:spacing w:after="0" w:line="225"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the Amended AstraZeneca Agreements;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or other assessments and our ability to claim R&amp;D tax credits or other reliefs.</w:t>
      </w:r>
    </w:p>
    <w:p>
      <w:pPr>
        <w:spacing w:after="0" w:line="225"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unaudited condensed consolidated financial statements. We believe that there are no estimates and assumptions made in our unaudited condensed consolidated financial statements that rise to this level. Our significant accounting policies are described under the heading “Management’s Discussion and Analysis of Financial Condition and Results of Operations—Critical Accounting</w:t>
      </w:r>
    </w:p>
    <w:p>
      <w:pPr>
        <w:sectPr>
          <w:pgSz w:w="11900" w:h="16838" w:orient="portrait"/>
          <w:cols w:equalWidth="0" w:num="1">
            <w:col w:w="11220"/>
          </w:cols>
          <w:pgMar w:left="320" w:top="117" w:right="3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Estimates” in our 2024 Annual Report, which was filed with the SEC on March 26, 2025.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estimates from those described in our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the section titled “Information Regarding Forward-Looking Statements” at the beginning of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 15(e) and 15d 15(e)) under the Securities and Exchange Act of 1934, as amended (“Exchange Act”)) as of March 31, 2025.</w:t>
      </w:r>
    </w:p>
    <w:p>
      <w:pPr>
        <w:spacing w:after="0" w:line="17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Based on such evaluation, our Chief Executive Officer and Chief Financial Officer have concluded that our disclosure controls and procedures were effective at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13a-15(e) and 15d – 15(e) under the Exchange Act) occurred during the three months ended March 31, 2025 that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2025, we were not a party to any material legal proceedings.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2025, none of our directors or officers adopted, modified or terminated a “Rule 10b5-1 trading arrangement” or a “non-Rule 10b5-1 trading arrangement” as such terms are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exhibits are either provided with this Quarterly Report on Form 10-Q or are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of 1934, as adopted</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Exchange Act of 1934, as adopted</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 of</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90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 of</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90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900" w:type="dxa"/>
            <w:vAlign w:val="bottom"/>
            <w:gridSpan w:val="4"/>
          </w:tcPr>
          <w:p>
            <w:pPr>
              <w:spacing w:after="0" w:line="20" w:lineRule="exact"/>
              <w:rPr>
                <w:sz w:val="1"/>
                <w:szCs w:val="1"/>
                <w:color w:val="auto"/>
              </w:rPr>
            </w:pPr>
          </w:p>
        </w:tc>
      </w:tr>
      <w:tr>
        <w:trPr>
          <w:trHeight w:val="42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for the Company's Quarterly Report on Form 10-Q has been formatted in Inline XBRL and contained in Exhibit 101</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May 13, 2025.</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MEREO BIOPHARMA GROUP PLC</w:t>
      </w:r>
    </w:p>
    <w:p>
      <w:pPr>
        <w:sectPr>
          <w:pgSz w:w="11900" w:h="16838" w:orient="portrait"/>
          <w:cols w:equalWidth="0" w:num="1">
            <w:col w:w="11040"/>
          </w:cols>
          <w:pgMar w:left="320" w:top="117" w:right="5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13,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Denise Scots-Knight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Fox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ectPr>
          <w:pgSz w:w="11900" w:h="16838" w:orient="portrait"/>
          <w:cols w:equalWidth="0" w:num="2">
            <w:col w:w="4900" w:space="720"/>
            <w:col w:w="5420"/>
          </w:cols>
          <w:pgMar w:left="320" w:top="117" w:right="539" w:bottom="1440" w:gutter="0" w:footer="0" w:header="0"/>
          <w:type w:val="continuous"/>
        </w:sect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type w:val="continuous"/>
        </w:sectPr>
      </w:pPr>
    </w:p>
    <w:bookmarkStart w:id="29" w:name="page30"/>
    <w:bookmarkEnd w:id="29"/>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Denise Scots-Knight, certify that:</w:t>
      </w:r>
    </w:p>
    <w:p>
      <w:pPr>
        <w:spacing w:after="0" w:line="13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 (the “Company”);</w:t>
      </w:r>
    </w:p>
    <w:p>
      <w:pPr>
        <w:spacing w:after="0" w:line="130"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60" w:right="28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320" w:hanging="55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20" w:right="480" w:hanging="55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5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quarterly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40" w:hanging="452"/>
        <w:spacing w:after="0" w:line="312" w:lineRule="auto"/>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45" w:lineRule="exact"/>
        <w:rPr>
          <w:rFonts w:ascii="Times New Roman" w:cs="Times New Roman" w:eastAsia="Times New Roman" w:hAnsi="Times New Roman"/>
          <w:sz w:val="17"/>
          <w:szCs w:val="17"/>
          <w:color w:val="auto"/>
        </w:rPr>
      </w:pPr>
    </w:p>
    <w:p>
      <w:pPr>
        <w:ind w:left="1020" w:right="740" w:hanging="55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00" w:hanging="55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00" w:lineRule="exact"/>
        <w:rPr>
          <w:sz w:val="20"/>
          <w:szCs w:val="20"/>
          <w:color w:val="auto"/>
        </w:rPr>
      </w:pPr>
    </w:p>
    <w:p>
      <w:pPr>
        <w:spacing w:after="0" w:line="29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00" w:type="dxa"/>
            <w:vAlign w:val="bottom"/>
          </w:tcPr>
          <w:p>
            <w:pPr>
              <w:spacing w:after="0"/>
              <w:rPr>
                <w:sz w:val="17"/>
                <w:szCs w:val="17"/>
                <w:color w:val="auto"/>
              </w:rPr>
            </w:pPr>
          </w:p>
        </w:tc>
        <w:tc>
          <w:tcPr>
            <w:tcW w:w="7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Borders>
              <w:top w:val="single" w:sz="8" w:color="auto"/>
            </w:tcBorders>
          </w:tcPr>
          <w:p>
            <w:pPr>
              <w:ind w:left="300"/>
              <w:spacing w:after="0" w:line="205" w:lineRule="exact"/>
              <w:rPr>
                <w:sz w:val="20"/>
                <w:szCs w:val="20"/>
                <w:color w:val="auto"/>
              </w:rPr>
            </w:pPr>
            <w:r>
              <w:rPr>
                <w:rFonts w:ascii="Times New Roman" w:cs="Times New Roman" w:eastAsia="Times New Roman" w:hAnsi="Times New Roman"/>
                <w:sz w:val="18"/>
                <w:szCs w:val="18"/>
                <w:color w:val="auto"/>
              </w:rPr>
              <w:t>Denise Scots-Knight</w:t>
            </w:r>
          </w:p>
        </w:tc>
      </w:tr>
      <w:tr>
        <w:trPr>
          <w:trHeight w:val="234"/>
        </w:trPr>
        <w:tc>
          <w:tcPr>
            <w:tcW w:w="630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45"/>
        </w:trPr>
        <w:tc>
          <w:tcPr>
            <w:tcW w:w="6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Christine Fox, certify that:</w:t>
      </w:r>
    </w:p>
    <w:p>
      <w:pPr>
        <w:spacing w:after="0" w:line="131"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 (the “Company”);</w:t>
      </w:r>
    </w:p>
    <w:p>
      <w:pPr>
        <w:spacing w:after="0" w:line="130"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60" w:right="28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320" w:hanging="55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20" w:right="480" w:hanging="55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5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quarterly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40" w:hanging="452"/>
        <w:spacing w:after="0" w:line="312" w:lineRule="auto"/>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45" w:lineRule="exact"/>
        <w:rPr>
          <w:rFonts w:ascii="Times New Roman" w:cs="Times New Roman" w:eastAsia="Times New Roman" w:hAnsi="Times New Roman"/>
          <w:sz w:val="17"/>
          <w:szCs w:val="17"/>
          <w:color w:val="auto"/>
        </w:rPr>
      </w:pPr>
    </w:p>
    <w:p>
      <w:pPr>
        <w:ind w:left="1020" w:right="740" w:hanging="55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00" w:hanging="55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00" w:lineRule="exact"/>
        <w:rPr>
          <w:sz w:val="20"/>
          <w:szCs w:val="20"/>
          <w:color w:val="auto"/>
        </w:rPr>
      </w:pPr>
    </w:p>
    <w:p>
      <w:pPr>
        <w:spacing w:after="0" w:line="29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Christine Fox</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9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460"/>
              <w:spacing w:after="0" w:line="205" w:lineRule="exact"/>
              <w:rPr>
                <w:sz w:val="20"/>
                <w:szCs w:val="20"/>
                <w:color w:val="auto"/>
              </w:rPr>
            </w:pPr>
            <w:r>
              <w:rPr>
                <w:rFonts w:ascii="Times New Roman" w:cs="Times New Roman" w:eastAsia="Times New Roman" w:hAnsi="Times New Roman"/>
                <w:sz w:val="18"/>
                <w:szCs w:val="18"/>
                <w:color w:val="auto"/>
              </w:rPr>
              <w:t>Christine Fox</w:t>
            </w:r>
          </w:p>
        </w:tc>
      </w:tr>
      <w:tr>
        <w:trPr>
          <w:trHeight w:val="234"/>
        </w:trPr>
        <w:tc>
          <w:tcPr>
            <w:tcW w:w="596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59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(the “Company”) on Form 10-Q for the quarterly period ended March 31, 2025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13,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Denise Scots-Knight</w:t>
            </w:r>
          </w:p>
        </w:tc>
      </w:tr>
      <w:tr>
        <w:trPr>
          <w:trHeight w:val="205"/>
        </w:trPr>
        <w:tc>
          <w:tcPr>
            <w:tcW w:w="1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8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Denise Scots-Knight</w:t>
            </w:r>
          </w:p>
        </w:tc>
        <w:tc>
          <w:tcPr>
            <w:tcW w:w="4280" w:type="dxa"/>
            <w:vAlign w:val="bottom"/>
          </w:tcPr>
          <w:p>
            <w:pPr>
              <w:spacing w:after="0"/>
              <w:rPr>
                <w:sz w:val="17"/>
                <w:szCs w:val="17"/>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2"/>
        </w:trPr>
        <w:tc>
          <w:tcPr>
            <w:tcW w:w="11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(the “Company”) on Form 10-Q for the quarterly period ended March 31, 2025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13,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Christine Fox</w:t>
            </w:r>
          </w:p>
        </w:tc>
      </w:tr>
      <w:tr>
        <w:trPr>
          <w:trHeight w:val="205"/>
        </w:trPr>
        <w:tc>
          <w:tcPr>
            <w:tcW w:w="1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Christine Fox</w:t>
            </w:r>
          </w:p>
        </w:tc>
        <w:tc>
          <w:tcPr>
            <w:tcW w:w="4500" w:type="dxa"/>
            <w:vAlign w:val="bottom"/>
          </w:tcPr>
          <w:p>
            <w:pPr>
              <w:spacing w:after="0"/>
              <w:rPr>
                <w:sz w:val="17"/>
                <w:szCs w:val="17"/>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13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320"/>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2025-05-13T07:13:06Z</dcterms:created>
  <dcterms:modified xsi:type="dcterms:W3CDTF">2025-05-13T07:13:06Z</dcterms:modified>
</cp:coreProperties>
</file>