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May,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MEREO BIOPHARMA GROUP PLC</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Mereo BioPharma Regains Compliance with Nasdaq Minimum Bid Price Requirement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8, 2023, Mereo BioPharma Group plc (the “Company”) announced that it received confirmation from the Nasdaq Stock Market</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LLC (“Nasdaq”) that it had regained compliance with the minimum bid price requirement under Nasdaq Listing Rules for continued Nasdaq listing, and is now compliant with applicable listing standards for continued Nasdaq listing. To regain compliance with Nasdaq Listing Rules, the Company was required to maintain a minimum closing bid price of $1.00 or more per American Depositary Share (“ADS”) for at least 10 consecutive trading days, which was achieved on May 5, 2023.</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previously announced, on November 2, 2022, the Company reported that it had received notification from Nasdaq on November 1, 2022 that, for the previous thirty consecutive business days, the bid price for the Company’s ADSs had closed below the minimum $1.00 per share requirement for continued listing. On May 8, 2023, the Company received notification from the Nasdaq Listings Qualifications Department that the ADSs had, for the last 10 consecutive business days, a closing bid price at $1.00 per share or greater, and accordingly had regained compliance with Nasdaq Listing Rules. On May 8, 2023 the Company issued a press release on its regaining compliance with Nasdaq minimum bid price requirement, a copy of which is attached as exhibit 99.1 hereto and incorporated by reference herein.</w:t>
      </w:r>
    </w:p>
    <w:p>
      <w:pPr>
        <w:spacing w:after="0" w:line="17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contents of this Report on Form 6-K are incorporated by reference into the Company’s Registration Statement on Form F-3 (File No. 333-258495) and its Registration Statements on Form S-8 (File Numbers 333-269388, 333-231636, 333-236498, 333-252147 and 333-262151).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May 8, 2023</w:t>
      </w:r>
    </w:p>
    <w:p>
      <w:pPr>
        <w:sectPr>
          <w:pgSz w:w="11900" w:h="16838" w:orient="portrait"/>
          <w:cols w:equalWidth="0" w:num="1">
            <w:col w:w="10960"/>
          </w:cols>
          <w:pgMar w:left="440" w:top="270"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Regains Compliance with Nasdaq Minimum Bid Price Requirement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London, May 8, 2023 </w:t>
      </w:r>
      <w:r>
        <w:rPr>
          <w:rFonts w:ascii="Arial" w:cs="Arial" w:eastAsia="Arial" w:hAnsi="Arial"/>
          <w:sz w:val="17"/>
          <w:szCs w:val="17"/>
          <w:color w:val="auto"/>
        </w:rPr>
        <w:t>- Mereo BioPharma Group plc (NASDAQ: MREO) (“Mereo” or the “Company”), a clinical-stage biopharmaceutical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focused on rare diseases, today announced that it received written confirmation from the Nasdaq Stock Market LLC (“Nasdaq”) that it had regained compliance with the minimum bid price requirement under the Nasdaq Listing Rules for continued Nasdaq listing, and is now compliant with applicable listing standards for continued Nasdaq listing. To regain compliance with the applicable Nasdaq Listing Rule, the Company was required to maintain a minimum closing bid price of $1.00 or more for at least 10 consecutive trading days, which was achieved on May 5, 2023.</w:t>
      </w:r>
    </w:p>
    <w:p>
      <w:pPr>
        <w:spacing w:after="0" w:line="17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previously announced, on November 2, 2022, the Company reported that it had received notification from Nasdaq on November 1, 2022, that, for the previous thirty consecutive business days, the bid price for the Company’s American Depositary Shares (the “ADSs”) had closed below the minimum $1.00 per share requirement for continued listing. On May 8, 2023, the Company received written notification from the Nasdaq Listings Qualifications Department that the ADSs had, for the last 10 consecutive business days, a closing bid price at $1.00 per share or greater, and accordingly had regained compliance with the applicable Nasdaq Listing Rule.</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 xml:space="preserve">About Mereo BioPharma </w:t>
      </w:r>
      <w:r>
        <w:rPr>
          <w:rFonts w:ascii="Arial" w:cs="Arial" w:eastAsia="Arial" w:hAnsi="Arial"/>
          <w:sz w:val="16"/>
          <w:szCs w:val="16"/>
          <w:color w:val="auto"/>
        </w:rPr>
        <w:t>Mereo BioPharma is a biopharmaceutical company focused on the development of innovative therapeutics for rare diseases.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developed a robust portfolio of clinical stage product candidates. The Company has two rare disease product candidates, setrusumab for the treatment of osteogenesis imperfecta (OI) and alvelestat for the treatment of severe alpha-1-antitrypsin deficiency-associated lung disease (AATD-LD) and Bronchiolitis Obliterans Syndrome (BOS). The Company’s partner, Ultragenyx Pharmaceutical, Inc., has initiated a pivotal Phase 2/3 pediatric study in young adults (5-25 years old) for setrusumab in OI and expects to initiate a study in pediatric patients (&lt;5 years old) in the first half of 2023. The partnership with Ultragenyx includes potential milestone payments of up to $254 million and royalties to Mereo on commercial sales in Ultragenyx territories. Mereo has retained EU and UK commercial rights and will pay Ultragenyx royalties on commercial sales in those territories. Alvelestat has received U.S. Orphan Drug Designation for the treatment of AATD, Fast Track designation from the FDA, and positive data were reported from a Phase 2 proof-of-concept study in North America, Europe and the UK. In addition to the rare disease programs, Mereo has two oncology product candidates in clinical development. Etigilimab (anti-TIGIT) has completed enrollment in a Phase 1b/2 basket study evaluating its safety and efficacy in combination with an anti-PD-1 in a range of tumor types including three rare tumors and three gynecological carcinomas— cervical, ovarian, and endometrial; Navicixizumab, for the treatment of late line ovarian cancer, has completed a Phase 1 study and has been partnered with OncXerna Therapeutics, Inc. in a global licensing agreement that includes payments of up to $300 million in milestones and royalties.</w:t>
      </w:r>
    </w:p>
    <w:p>
      <w:pPr>
        <w:spacing w:after="0" w:line="16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color w:val="auto"/>
        </w:rPr>
        <w:t xml:space="preserve">Forward-Looking Statements </w:t>
      </w:r>
      <w:r>
        <w:rPr>
          <w:rFonts w:ascii="Arial" w:cs="Arial" w:eastAsia="Arial" w:hAnsi="Arial"/>
          <w:sz w:val="17"/>
          <w:szCs w:val="17"/>
          <w:color w:val="auto"/>
        </w:rPr>
        <w:t>This press release contains “forward-looking statements.” All statements other than statements of historical fact</w:t>
      </w:r>
      <w:r>
        <w:rPr>
          <w:rFonts w:ascii="Arial" w:cs="Arial" w:eastAsia="Arial" w:hAnsi="Arial"/>
          <w:sz w:val="17"/>
          <w:szCs w:val="17"/>
          <w:b w:val="1"/>
          <w:bCs w:val="1"/>
          <w:color w:val="auto"/>
        </w:rPr>
        <w:t xml:space="preserve"> </w:t>
      </w:r>
      <w:r>
        <w:rPr>
          <w:rFonts w:ascii="Arial" w:cs="Arial" w:eastAsia="Arial" w:hAnsi="Arial"/>
          <w:sz w:val="17"/>
          <w:szCs w:val="17"/>
          <w:color w:val="auto"/>
        </w:rPr>
        <w:t>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w:t>
      </w:r>
    </w:p>
    <w:p>
      <w:pPr>
        <w:sectPr>
          <w:pgSz w:w="11900" w:h="16838" w:orient="portrait"/>
          <w:cols w:equalWidth="0" w:num="1">
            <w:col w:w="11020"/>
          </w:cols>
          <w:pgMar w:left="440" w:top="121" w:right="439" w:bottom="1440" w:gutter="0" w:footer="0" w:header="0"/>
        </w:sectPr>
      </w:pPr>
    </w:p>
    <w:bookmarkStart w:id="4" w:name="page5"/>
    <w:bookmarkEnd w:id="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can be no assurance that future developments affecting the Company will be those that it anticipates. 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4"/>
        </w:trPr>
        <w:tc>
          <w:tcPr>
            <w:tcW w:w="486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1180" w:type="dxa"/>
            <w:vAlign w:val="bottom"/>
            <w:gridSpan w:val="2"/>
          </w:tcPr>
          <w:p>
            <w:pPr>
              <w:ind w:left="880"/>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324"/>
        </w:trPr>
        <w:tc>
          <w:tcPr>
            <w:tcW w:w="486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486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486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1180" w:type="dxa"/>
            <w:vAlign w:val="bottom"/>
            <w:gridSpan w:val="2"/>
          </w:tcPr>
          <w:p>
            <w:pPr>
              <w:ind w:left="880"/>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646 930 4406</w:t>
            </w:r>
          </w:p>
        </w:tc>
      </w:tr>
      <w:tr>
        <w:trPr>
          <w:trHeight w:val="324"/>
        </w:trPr>
        <w:tc>
          <w:tcPr>
            <w:tcW w:w="4860" w:type="dxa"/>
            <w:vAlign w:val="bottom"/>
          </w:tcPr>
          <w:p>
            <w:pPr>
              <w:spacing w:after="0"/>
              <w:rPr>
                <w:sz w:val="20"/>
                <w:szCs w:val="20"/>
                <w:color w:val="auto"/>
              </w:rPr>
            </w:pPr>
            <w:r>
              <w:rPr>
                <w:rFonts w:ascii="Arial" w:cs="Arial" w:eastAsia="Arial" w:hAnsi="Arial"/>
                <w:sz w:val="18"/>
                <w:szCs w:val="18"/>
                <w:color w:val="auto"/>
              </w:rPr>
              <w:t>Lee Roth</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3"/>
        </w:trPr>
        <w:tc>
          <w:tcPr>
            <w:tcW w:w="486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3260" w:type="dxa"/>
            <w:vAlign w:val="bottom"/>
            <w:gridSpan w:val="3"/>
          </w:tcPr>
          <w:p>
            <w:pPr>
              <w:ind w:left="880"/>
              <w:spacing w:after="0"/>
              <w:rPr>
                <w:sz w:val="20"/>
                <w:szCs w:val="20"/>
                <w:color w:val="auto"/>
              </w:rPr>
            </w:pPr>
            <w:r>
              <w:rPr>
                <w:rFonts w:ascii="Arial" w:cs="Arial" w:eastAsia="Arial" w:hAnsi="Arial"/>
                <w:sz w:val="18"/>
                <w:szCs w:val="18"/>
                <w:color w:val="auto"/>
                <w:w w:val="88"/>
              </w:rPr>
              <w:t>investors@mereobiopharma.com</w:t>
            </w:r>
          </w:p>
        </w:tc>
      </w:tr>
      <w:tr>
        <w:trPr>
          <w:trHeight w:val="385"/>
        </w:trPr>
        <w:tc>
          <w:tcPr>
            <w:tcW w:w="486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2023-05-08T15:25:05Z</dcterms:created>
  <dcterms:modified xsi:type="dcterms:W3CDTF">2023-05-08T15:25:05Z</dcterms:modified>
</cp:coreProperties>
</file>