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162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162040"/>
                    </a:xfrm>
                    <a:prstGeom prst="rect">
                      <a:avLst/>
                    </a:prstGeom>
                    <a:noFill/>
                  </pic:spPr>
                </pic:pic>
              </a:graphicData>
            </a:graphic>
          </wp:anchor>
        </w:drawing>
      </w:r>
    </w:p>
    <w:p>
      <w:pPr>
        <w:sectPr>
          <w:pgSz w:w="11900" w:h="16884"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Jacquet Pierre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Mereo Biopharma Group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MREO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84"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57"/>
        <w:spacing w:after="0" w:line="275" w:lineRule="auto"/>
        <w:rPr>
          <w:sz w:val="20"/>
          <w:szCs w:val="20"/>
          <w:color w:val="auto"/>
        </w:rPr>
      </w:pPr>
      <w:r>
        <w:rPr>
          <w:rFonts w:ascii="Times New Roman" w:cs="Times New Roman" w:eastAsia="Times New Roman" w:hAnsi="Times New Roman"/>
          <w:sz w:val="20"/>
          <w:szCs w:val="20"/>
          <w:color w:val="0000FF"/>
        </w:rPr>
        <w:t>C/O MEREO BIOPHARMA GROUP PLC</w:t>
      </w:r>
    </w:p>
    <w:p>
      <w:pPr>
        <w:spacing w:after="0" w:line="13"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4TH FLOOR, ONE CAVENDISH PLACE</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LONDON</w:t>
        <w:tab/>
        <w:t>X0</w:t>
      </w:r>
      <w:r>
        <w:rPr>
          <w:sz w:val="20"/>
          <w:szCs w:val="20"/>
          <w:color w:val="auto"/>
        </w:rPr>
        <w:tab/>
      </w:r>
      <w:r>
        <w:rPr>
          <w:rFonts w:ascii="Times New Roman" w:cs="Times New Roman" w:eastAsia="Times New Roman" w:hAnsi="Times New Roman"/>
          <w:sz w:val="18"/>
          <w:szCs w:val="18"/>
          <w:color w:val="0000FF"/>
        </w:rPr>
        <w:t>W1G 0QF</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34" w:lineRule="exact"/>
        <w:rPr>
          <w:sz w:val="24"/>
          <w:szCs w:val="24"/>
          <w:color w:val="auto"/>
        </w:rPr>
      </w:pPr>
    </w:p>
    <w:p>
      <w:pPr>
        <w:sectPr>
          <w:pgSz w:w="11900" w:h="16884" w:orient="portrait"/>
          <w:cols w:equalWidth="0" w:num="3">
            <w:col w:w="4277" w:space="720"/>
            <w:col w:w="3003" w:space="269"/>
            <w:col w:w="2671"/>
          </w:cols>
          <w:pgMar w:left="480" w:top="230" w:right="479" w:bottom="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6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60"/>
        </w:trPr>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02/01/2032</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American Depositary</w:t>
            </w:r>
          </w:p>
        </w:tc>
        <w:tc>
          <w:tcPr>
            <w:tcW w:w="72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55,000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1.31</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6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186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0"/>
              </w:rPr>
              <w:t>Shares</w:t>
            </w:r>
            <w:r>
              <w:rPr>
                <w:rFonts w:ascii="Times New Roman" w:cs="Times New Roman" w:eastAsia="Times New Roman" w:hAnsi="Times New Roman"/>
                <w:sz w:val="25"/>
                <w:szCs w:val="25"/>
                <w:color w:val="008000"/>
                <w:w w:val="90"/>
                <w:vertAlign w:val="superscript"/>
              </w:rPr>
              <w:t>(1)</w:t>
            </w:r>
          </w:p>
        </w:tc>
        <w:tc>
          <w:tcPr>
            <w:tcW w:w="72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146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02/01/2032</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American Depositary</w:t>
            </w:r>
          </w:p>
        </w:tc>
        <w:tc>
          <w:tcPr>
            <w:tcW w:w="72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33,393</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1.31</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6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186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0"/>
              </w:rPr>
              <w:t>Shares</w:t>
            </w:r>
            <w:r>
              <w:rPr>
                <w:rFonts w:ascii="Times New Roman" w:cs="Times New Roman" w:eastAsia="Times New Roman" w:hAnsi="Times New Roman"/>
                <w:sz w:val="25"/>
                <w:szCs w:val="25"/>
                <w:color w:val="008000"/>
                <w:w w:val="90"/>
                <w:vertAlign w:val="superscript"/>
              </w:rPr>
              <w:t>(1)</w:t>
            </w:r>
          </w:p>
        </w:tc>
        <w:tc>
          <w:tcPr>
            <w:tcW w:w="72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146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02/01/2033</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American Depositary</w:t>
            </w:r>
          </w:p>
        </w:tc>
        <w:tc>
          <w:tcPr>
            <w:tcW w:w="72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55,000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0.94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6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186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0"/>
              </w:rPr>
              <w:t>Shares</w:t>
            </w:r>
            <w:r>
              <w:rPr>
                <w:rFonts w:ascii="Times New Roman" w:cs="Times New Roman" w:eastAsia="Times New Roman" w:hAnsi="Times New Roman"/>
                <w:sz w:val="25"/>
                <w:szCs w:val="25"/>
                <w:color w:val="008000"/>
                <w:w w:val="90"/>
                <w:vertAlign w:val="superscript"/>
              </w:rPr>
              <w:t>(1)</w:t>
            </w:r>
          </w:p>
        </w:tc>
        <w:tc>
          <w:tcPr>
            <w:tcW w:w="72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146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Deferred Restricted Stock Units</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American Depositary</w:t>
            </w:r>
          </w:p>
        </w:tc>
        <w:tc>
          <w:tcPr>
            <w:tcW w:w="72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93,781</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0"/>
              </w:rPr>
              <w:t>Shares</w:t>
            </w:r>
            <w:r>
              <w:rPr>
                <w:rFonts w:ascii="Times New Roman" w:cs="Times New Roman" w:eastAsia="Times New Roman" w:hAnsi="Times New Roman"/>
                <w:sz w:val="25"/>
                <w:szCs w:val="25"/>
                <w:color w:val="008000"/>
                <w:w w:val="90"/>
                <w:vertAlign w:val="superscript"/>
              </w:rPr>
              <w:t>(1)</w:t>
            </w: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3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("ADS") represents five ordinary shares, nominal value GBP 0.003 per ordinary share, of the Issuer.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award is fully vested and exercisable.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Vests in substantially equal monthly installments over a one year period from the February 1, 2023 grant date.</w:t>
      </w:r>
    </w:p>
    <w:p>
      <w:pPr>
        <w:spacing w:after="0" w:line="52" w:lineRule="exact"/>
        <w:rPr>
          <w:rFonts w:ascii="Times New Roman" w:cs="Times New Roman" w:eastAsia="Times New Roman" w:hAnsi="Times New Roman"/>
          <w:sz w:val="15"/>
          <w:szCs w:val="15"/>
          <w:color w:val="008000"/>
        </w:rPr>
      </w:pPr>
    </w:p>
    <w:p>
      <w:pPr>
        <w:ind w:left="40" w:right="30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deferred restricted stock unit ("DRSU") was granted to non-executive directors who elected to receive DRSUs in the form of ADSs in lieu of annual cash compensation. DRSUs vest in substantially equal monthly installments over the plan year following the grant date. Payment of DRSUs in ADSs will generally be made 180 days following separation of service.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Christine Fox, by power</w:t>
            </w:r>
          </w:p>
        </w:tc>
        <w:tc>
          <w:tcPr>
            <w:tcW w:w="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01/02/2024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84" w:orient="portrait"/>
          <w:cols w:equalWidth="0" w:num="1">
            <w:col w:w="10940"/>
          </w:cols>
          <w:pgMar w:left="480" w:top="230" w:right="479" w:bottom="0" w:gutter="0" w:footer="0" w:header="0"/>
          <w:type w:val="continuous"/>
        </w:sectPr>
      </w:pPr>
    </w:p>
    <w:bookmarkStart w:id="1" w:name="page2"/>
    <w:bookmarkEnd w:id="1"/>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959" w:firstLine="936"/>
        <w:spacing w:after="0" w:line="260" w:lineRule="auto"/>
        <w:rPr>
          <w:sz w:val="20"/>
          <w:szCs w:val="20"/>
          <w:color w:val="auto"/>
        </w:rPr>
      </w:pPr>
      <w:r>
        <w:rPr>
          <w:rFonts w:ascii="Courier New" w:cs="Courier New" w:eastAsia="Courier New" w:hAnsi="Courier New"/>
          <w:sz w:val="20"/>
          <w:szCs w:val="20"/>
          <w:color w:val="auto"/>
        </w:rPr>
        <w:t>With respect to holdings of and transactions in securities issued by Mereo BioPharma Group plc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03" w:lineRule="exact"/>
        <w:rPr>
          <w:sz w:val="20"/>
          <w:szCs w:val="20"/>
          <w:color w:val="auto"/>
        </w:rPr>
      </w:pPr>
    </w:p>
    <w:p>
      <w:pPr>
        <w:ind w:left="1880" w:right="1079" w:hanging="944"/>
        <w:spacing w:after="0" w:line="252"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10" w:lineRule="exact"/>
        <w:rPr>
          <w:rFonts w:ascii="Courier New" w:cs="Courier New" w:eastAsia="Courier New" w:hAnsi="Courier New"/>
          <w:sz w:val="20"/>
          <w:szCs w:val="20"/>
          <w:color w:val="auto"/>
        </w:rPr>
      </w:pPr>
    </w:p>
    <w:p>
      <w:pPr>
        <w:ind w:left="1880" w:right="959" w:hanging="944"/>
        <w:spacing w:after="0" w:line="293"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 of the Securities Exchange Act of 1934, as amended, and the rules thereunder;</w:t>
      </w:r>
    </w:p>
    <w:p>
      <w:pPr>
        <w:spacing w:after="0" w:line="70" w:lineRule="exact"/>
        <w:rPr>
          <w:rFonts w:ascii="Courier New" w:cs="Courier New" w:eastAsia="Courier New" w:hAnsi="Courier New"/>
          <w:sz w:val="20"/>
          <w:szCs w:val="20"/>
          <w:color w:val="auto"/>
        </w:rPr>
      </w:pPr>
    </w:p>
    <w:p>
      <w:pPr>
        <w:ind w:left="1880" w:right="1199" w:hanging="944"/>
        <w:spacing w:after="0" w:line="260"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03" w:lineRule="exact"/>
        <w:rPr>
          <w:rFonts w:ascii="Courier New" w:cs="Courier New" w:eastAsia="Courier New" w:hAnsi="Courier New"/>
          <w:sz w:val="20"/>
          <w:szCs w:val="20"/>
          <w:color w:val="auto"/>
        </w:rPr>
      </w:pPr>
    </w:p>
    <w:p>
      <w:pPr>
        <w:ind w:left="1880" w:right="959" w:hanging="944"/>
        <w:spacing w:after="0" w:line="252"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0" w:lineRule="exact"/>
        <w:rPr>
          <w:sz w:val="20"/>
          <w:szCs w:val="20"/>
          <w:color w:val="auto"/>
        </w:rPr>
      </w:pPr>
    </w:p>
    <w:p>
      <w:pPr>
        <w:ind w:right="959" w:firstLine="936"/>
        <w:spacing w:after="0" w:line="252"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10" w:lineRule="exact"/>
        <w:rPr>
          <w:sz w:val="20"/>
          <w:szCs w:val="20"/>
          <w:color w:val="auto"/>
        </w:rPr>
      </w:pPr>
    </w:p>
    <w:p>
      <w:pPr>
        <w:ind w:right="959" w:firstLine="936"/>
        <w:spacing w:after="0" w:line="314" w:lineRule="auto"/>
        <w:rPr>
          <w:sz w:val="20"/>
          <w:szCs w:val="20"/>
          <w:color w:val="auto"/>
        </w:rPr>
      </w:pPr>
      <w:r>
        <w:rPr>
          <w:rFonts w:ascii="Courier New" w:cs="Courier New" w:eastAsia="Courier New" w:hAnsi="Courier New"/>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58" w:lineRule="exact"/>
        <w:rPr>
          <w:sz w:val="20"/>
          <w:szCs w:val="20"/>
          <w:color w:val="auto"/>
        </w:rPr>
      </w:pPr>
    </w:p>
    <w:p>
      <w:pPr>
        <w:ind w:right="1079" w:firstLine="936"/>
        <w:spacing w:after="0" w:line="302"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Mereo BioPharma Group plc, unless earlier revoked by the undersigned in a signed writing delivered to the foregoing attorneys-in-fact.</w:t>
      </w:r>
    </w:p>
    <w:p>
      <w:pPr>
        <w:spacing w:after="0" w:line="68" w:lineRule="exact"/>
        <w:rPr>
          <w:sz w:val="20"/>
          <w:szCs w:val="20"/>
          <w:color w:val="auto"/>
        </w:rPr>
      </w:pPr>
    </w:p>
    <w:p>
      <w:pPr>
        <w:ind w:right="959" w:firstLine="936"/>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2nd day of January, 2024.</w:t>
      </w:r>
    </w:p>
    <w:p>
      <w:pPr>
        <w:spacing w:after="0" w:line="1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Pierre Jacquet</w:t>
      </w:r>
    </w:p>
    <w:p>
      <w:pPr>
        <w:spacing w:after="0" w:line="35" w:lineRule="exact"/>
        <w:rPr>
          <w:sz w:val="20"/>
          <w:szCs w:val="20"/>
          <w:color w:val="auto"/>
        </w:rPr>
      </w:pPr>
    </w:p>
    <w:p>
      <w:pPr>
        <w:ind w:left="1400"/>
        <w:spacing w:after="0"/>
        <w:rPr>
          <w:sz w:val="20"/>
          <w:szCs w:val="20"/>
          <w:color w:val="auto"/>
        </w:rPr>
      </w:pPr>
      <w:r>
        <w:rPr>
          <w:rFonts w:ascii="Courier New" w:cs="Courier New" w:eastAsia="Courier New" w:hAnsi="Courier New"/>
          <w:sz w:val="20"/>
          <w:szCs w:val="20"/>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Pierre Jacquet</w:t>
      </w:r>
    </w:p>
    <w:p>
      <w:pPr>
        <w:spacing w:after="0" w:line="35" w:lineRule="exact"/>
        <w:rPr>
          <w:sz w:val="20"/>
          <w:szCs w:val="20"/>
          <w:color w:val="auto"/>
        </w:rPr>
      </w:pPr>
    </w:p>
    <w:p>
      <w:pPr>
        <w:ind w:left="1400"/>
        <w:spacing w:after="0"/>
        <w:rPr>
          <w:sz w:val="20"/>
          <w:szCs w:val="20"/>
          <w:color w:val="auto"/>
        </w:rPr>
      </w:pPr>
      <w:r>
        <w:rPr>
          <w:rFonts w:ascii="Courier New" w:cs="Courier New" w:eastAsia="Courier New" w:hAnsi="Courier New"/>
          <w:sz w:val="20"/>
          <w:szCs w:val="20"/>
          <w:color w:val="auto"/>
        </w:rPr>
        <w:t>-------------------------------</w:t>
      </w:r>
    </w:p>
    <w:p>
      <w:pPr>
        <w:sectPr>
          <w:pgSz w:w="11900" w:h="16838" w:orient="portrait"/>
          <w:cols w:equalWidth="0" w:num="1">
            <w:col w:w="9979"/>
          </w:cols>
          <w:pgMar w:left="480" w:top="106" w:right="1440" w:bottom="0" w:gutter="0" w:footer="0" w:header="0"/>
        </w:sectPr>
      </w:pPr>
    </w:p>
    <w:p>
      <w:pPr>
        <w:spacing w:after="0" w:line="200" w:lineRule="exact"/>
        <w:rPr>
          <w:sz w:val="20"/>
          <w:szCs w:val="20"/>
          <w:color w:val="auto"/>
        </w:rPr>
      </w:pPr>
    </w:p>
    <w:p>
      <w:pPr>
        <w:spacing w:after="0" w:line="213" w:lineRule="exact"/>
        <w:rPr>
          <w:sz w:val="20"/>
          <w:szCs w:val="20"/>
          <w:color w:val="auto"/>
        </w:rPr>
      </w:pPr>
    </w:p>
    <w:p>
      <w:pPr>
        <w:ind w:left="3740"/>
        <w:spacing w:after="0"/>
        <w:rPr>
          <w:sz w:val="20"/>
          <w:szCs w:val="20"/>
          <w:color w:val="auto"/>
        </w:rPr>
      </w:pPr>
      <w:r>
        <w:rPr>
          <w:rFonts w:ascii="Courier New" w:cs="Courier New" w:eastAsia="Courier New" w:hAnsi="Courier New"/>
          <w:sz w:val="18"/>
          <w:szCs w:val="18"/>
          <w:color w:val="auto"/>
        </w:rPr>
        <w:t>Schedule A</w:t>
      </w:r>
    </w:p>
    <w:p>
      <w:pPr>
        <w:sectPr>
          <w:pgSz w:w="11900" w:h="16838" w:orient="portrait"/>
          <w:cols w:equalWidth="0" w:num="1">
            <w:col w:w="9979"/>
          </w:cols>
          <w:pgMar w:left="480" w:top="106" w:right="1440" w:bottom="0" w:gutter="0" w:footer="0" w:header="0"/>
          <w:type w:val="continuous"/>
        </w:sectPr>
      </w:pPr>
    </w:p>
    <w:bookmarkStart w:id="2" w:name="page3"/>
    <w:bookmarkEnd w:id="2"/>
    <w:p>
      <w:pPr>
        <w:ind w:right="2019" w:firstLine="936"/>
        <w:spacing w:after="0" w:line="348"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Charles Sermon</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Christine Fox</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83451" TargetMode="External"/><Relationship Id="rId11"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2024-01-02T15:18:47Z</dcterms:created>
  <dcterms:modified xsi:type="dcterms:W3CDTF">2024-01-02T15:18:47Z</dcterms:modified>
</cp:coreProperties>
</file>