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8-A/A</w:t>
      </w:r>
    </w:p>
    <w:p>
      <w:pPr>
        <w:spacing w:after="0" w:line="30"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Amendment No. 2</w:t>
      </w:r>
    </w:p>
    <w:p>
      <w:pPr>
        <w:jc w:val="center"/>
        <w:ind w:right="-3"/>
        <w:spacing w:after="0" w:line="230" w:lineRule="auto"/>
        <w:rPr>
          <w:sz w:val="20"/>
          <w:szCs w:val="20"/>
          <w:color w:val="auto"/>
        </w:rPr>
      </w:pPr>
      <w:r>
        <w:rPr>
          <w:rFonts w:ascii="Times New Roman" w:cs="Times New Roman" w:eastAsia="Times New Roman" w:hAnsi="Times New Roman"/>
          <w:sz w:val="22"/>
          <w:szCs w:val="22"/>
          <w:b w:val="1"/>
          <w:bCs w:val="1"/>
          <w:color w:val="auto"/>
        </w:rPr>
        <w:t>to</w:t>
      </w:r>
    </w:p>
    <w:p>
      <w:pPr>
        <w:spacing w:after="0" w:line="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Form 8-A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23" w:lineRule="exact"/>
        <w:rPr>
          <w:sz w:val="24"/>
          <w:szCs w:val="24"/>
          <w:color w:val="auto"/>
        </w:rPr>
      </w:pPr>
    </w:p>
    <w:p>
      <w:pPr>
        <w:jc w:val="center"/>
        <w:ind w:right="16"/>
        <w:spacing w:after="0" w:line="246" w:lineRule="auto"/>
        <w:rPr>
          <w:sz w:val="20"/>
          <w:szCs w:val="20"/>
          <w:color w:val="auto"/>
        </w:rPr>
      </w:pPr>
      <w:r>
        <w:rPr>
          <w:rFonts w:ascii="Times New Roman" w:cs="Times New Roman" w:eastAsia="Times New Roman" w:hAnsi="Times New Roman"/>
          <w:sz w:val="22"/>
          <w:szCs w:val="22"/>
          <w:b w:val="1"/>
          <w:bCs w:val="1"/>
          <w:color w:val="auto"/>
        </w:rPr>
        <w:t>FOR REGISTRATION OF CERTAIN CLASSES OF SECURITIES PURSUANT TO SECTION 12(b) OR 12(g)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220345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MEREO BIOPHARMA GROUP PLC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1364" w:type="dxa"/>
        <w:tblCellMar>
          <w:top w:w="0" w:type="dxa"/>
          <w:left w:w="0" w:type="dxa"/>
          <w:bottom w:w="0" w:type="dxa"/>
          <w:right w:w="0" w:type="dxa"/>
        </w:tblCellMar>
      </w:tblPr>
      <w:tr>
        <w:trPr>
          <w:trHeight w:val="214"/>
        </w:trPr>
        <w:tc>
          <w:tcPr>
            <w:tcW w:w="4620" w:type="dxa"/>
            <w:vAlign w:val="bottom"/>
          </w:tcPr>
          <w:p>
            <w:pPr>
              <w:jc w:val="center"/>
              <w:ind w:right="1699"/>
              <w:spacing w:after="0"/>
              <w:rPr>
                <w:sz w:val="20"/>
                <w:szCs w:val="20"/>
                <w:color w:val="auto"/>
              </w:rPr>
            </w:pPr>
            <w:r>
              <w:rPr>
                <w:rFonts w:ascii="Times New Roman" w:cs="Times New Roman" w:eastAsia="Times New Roman" w:hAnsi="Times New Roman"/>
                <w:sz w:val="18"/>
                <w:szCs w:val="18"/>
                <w:b w:val="1"/>
                <w:bCs w:val="1"/>
                <w:color w:val="auto"/>
                <w:w w:val="98"/>
              </w:rPr>
              <w:t>England and Wales</w:t>
            </w:r>
          </w:p>
        </w:tc>
        <w:tc>
          <w:tcPr>
            <w:tcW w:w="2940" w:type="dxa"/>
            <w:vAlign w:val="bottom"/>
          </w:tcPr>
          <w:p>
            <w:pPr>
              <w:jc w:val="center"/>
              <w:ind w:left="1701"/>
              <w:spacing w:after="0"/>
              <w:rPr>
                <w:sz w:val="20"/>
                <w:szCs w:val="20"/>
                <w:color w:val="auto"/>
              </w:rPr>
            </w:pPr>
            <w:r>
              <w:rPr>
                <w:rFonts w:ascii="Times New Roman" w:cs="Times New Roman" w:eastAsia="Times New Roman" w:hAnsi="Times New Roman"/>
                <w:sz w:val="18"/>
                <w:szCs w:val="18"/>
                <w:b w:val="1"/>
                <w:bCs w:val="1"/>
                <w:color w:val="auto"/>
              </w:rPr>
              <w:t>Not Applicable</w:t>
            </w:r>
          </w:p>
        </w:tc>
      </w:tr>
      <w:tr>
        <w:trPr>
          <w:trHeight w:val="149"/>
        </w:trPr>
        <w:tc>
          <w:tcPr>
            <w:tcW w:w="4620" w:type="dxa"/>
            <w:vAlign w:val="bottom"/>
          </w:tcPr>
          <w:p>
            <w:pPr>
              <w:jc w:val="center"/>
              <w:ind w:right="169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2940" w:type="dxa"/>
            <w:vAlign w:val="bottom"/>
          </w:tcPr>
          <w:p>
            <w:pPr>
              <w:jc w:val="center"/>
              <w:ind w:left="170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4620" w:type="dxa"/>
            <w:vAlign w:val="bottom"/>
          </w:tcPr>
          <w:p>
            <w:pPr>
              <w:jc w:val="center"/>
              <w:ind w:right="1699"/>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2940" w:type="dxa"/>
            <w:vAlign w:val="bottom"/>
          </w:tcPr>
          <w:p>
            <w:pPr>
              <w:jc w:val="center"/>
              <w:ind w:left="170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93"/>
        </w:trPr>
        <w:tc>
          <w:tcPr>
            <w:tcW w:w="4620" w:type="dxa"/>
            <w:vAlign w:val="bottom"/>
          </w:tcPr>
          <w:p>
            <w:pPr>
              <w:jc w:val="center"/>
              <w:ind w:right="1699"/>
              <w:spacing w:after="0"/>
              <w:rPr>
                <w:sz w:val="20"/>
                <w:szCs w:val="20"/>
                <w:color w:val="auto"/>
              </w:rPr>
            </w:pPr>
            <w:r>
              <w:rPr>
                <w:rFonts w:ascii="Times New Roman" w:cs="Times New Roman" w:eastAsia="Times New Roman" w:hAnsi="Times New Roman"/>
                <w:sz w:val="18"/>
                <w:szCs w:val="18"/>
                <w:b w:val="1"/>
                <w:bCs w:val="1"/>
                <w:color w:val="auto"/>
                <w:w w:val="99"/>
              </w:rPr>
              <w:t>4</w:t>
            </w:r>
            <w:r>
              <w:rPr>
                <w:rFonts w:ascii="Times New Roman" w:cs="Times New Roman" w:eastAsia="Times New Roman" w:hAnsi="Times New Roman"/>
                <w:sz w:val="15"/>
                <w:szCs w:val="15"/>
                <w:b w:val="1"/>
                <w:bCs w:val="1"/>
                <w:color w:val="auto"/>
                <w:w w:val="99"/>
              </w:rPr>
              <w:t>th</w:t>
            </w:r>
            <w:r>
              <w:rPr>
                <w:rFonts w:ascii="Times New Roman" w:cs="Times New Roman" w:eastAsia="Times New Roman" w:hAnsi="Times New Roman"/>
                <w:sz w:val="18"/>
                <w:szCs w:val="18"/>
                <w:b w:val="1"/>
                <w:bCs w:val="1"/>
                <w:color w:val="auto"/>
                <w:w w:val="99"/>
              </w:rPr>
              <w:t xml:space="preserve"> Floor, One Cavendish Place,</w:t>
            </w:r>
          </w:p>
        </w:tc>
        <w:tc>
          <w:tcPr>
            <w:tcW w:w="2940" w:type="dxa"/>
            <w:vAlign w:val="bottom"/>
          </w:tcPr>
          <w:p>
            <w:pPr>
              <w:spacing w:after="0"/>
              <w:rPr>
                <w:sz w:val="24"/>
                <w:szCs w:val="24"/>
                <w:color w:val="auto"/>
              </w:rPr>
            </w:pPr>
          </w:p>
        </w:tc>
      </w:tr>
      <w:tr>
        <w:trPr>
          <w:trHeight w:val="227"/>
        </w:trPr>
        <w:tc>
          <w:tcPr>
            <w:tcW w:w="4620" w:type="dxa"/>
            <w:vAlign w:val="bottom"/>
          </w:tcPr>
          <w:p>
            <w:pPr>
              <w:jc w:val="center"/>
              <w:ind w:right="1699"/>
              <w:spacing w:after="0"/>
              <w:rPr>
                <w:sz w:val="20"/>
                <w:szCs w:val="20"/>
                <w:color w:val="auto"/>
              </w:rPr>
            </w:pPr>
            <w:r>
              <w:rPr>
                <w:rFonts w:ascii="Times New Roman" w:cs="Times New Roman" w:eastAsia="Times New Roman" w:hAnsi="Times New Roman"/>
                <w:sz w:val="18"/>
                <w:szCs w:val="18"/>
                <w:b w:val="1"/>
                <w:bCs w:val="1"/>
                <w:color w:val="auto"/>
                <w:w w:val="99"/>
              </w:rPr>
              <w:t>London, W1G 0QF, United Kingdom</w:t>
            </w:r>
          </w:p>
        </w:tc>
        <w:tc>
          <w:tcPr>
            <w:tcW w:w="2940" w:type="dxa"/>
            <w:vAlign w:val="bottom"/>
          </w:tcPr>
          <w:p>
            <w:pPr>
              <w:jc w:val="center"/>
              <w:ind w:left="1701"/>
              <w:spacing w:after="0"/>
              <w:rPr>
                <w:sz w:val="20"/>
                <w:szCs w:val="20"/>
                <w:color w:val="auto"/>
              </w:rPr>
            </w:pPr>
            <w:r>
              <w:rPr>
                <w:rFonts w:ascii="Times New Roman" w:cs="Times New Roman" w:eastAsia="Times New Roman" w:hAnsi="Times New Roman"/>
                <w:sz w:val="18"/>
                <w:szCs w:val="18"/>
                <w:b w:val="1"/>
                <w:bCs w:val="1"/>
                <w:color w:val="auto"/>
              </w:rPr>
              <w:t>Not Applicable</w:t>
            </w:r>
          </w:p>
        </w:tc>
      </w:tr>
      <w:tr>
        <w:trPr>
          <w:trHeight w:val="190"/>
        </w:trPr>
        <w:tc>
          <w:tcPr>
            <w:tcW w:w="4620" w:type="dxa"/>
            <w:vAlign w:val="bottom"/>
          </w:tcPr>
          <w:p>
            <w:pPr>
              <w:jc w:val="center"/>
              <w:ind w:right="171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940" w:type="dxa"/>
            <w:vAlign w:val="bottom"/>
          </w:tcPr>
          <w:p>
            <w:pPr>
              <w:jc w:val="center"/>
              <w:ind w:left="170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39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Securities to be registered pursuant to Section 12(b) of the Act:</w:t>
      </w:r>
    </w:p>
    <w:p>
      <w:pPr>
        <w:spacing w:after="0" w:line="237"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56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Title for each class</w:t>
            </w:r>
          </w:p>
        </w:tc>
        <w:tc>
          <w:tcPr>
            <w:tcW w:w="5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w:t>
            </w:r>
          </w:p>
        </w:tc>
      </w:tr>
      <w:tr>
        <w:trPr>
          <w:trHeight w:val="187"/>
        </w:trPr>
        <w:tc>
          <w:tcPr>
            <w:tcW w:w="56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to be so registered</w:t>
            </w:r>
          </w:p>
        </w:tc>
        <w:tc>
          <w:tcPr>
            <w:tcW w:w="5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which each class is to be registered</w:t>
            </w:r>
          </w:p>
        </w:tc>
      </w:tr>
      <w:tr>
        <w:trPr>
          <w:trHeight w:val="187"/>
        </w:trPr>
        <w:tc>
          <w:tcPr>
            <w:tcW w:w="556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American Depositary Shares, each representing five ordinary shares,</w:t>
            </w:r>
          </w:p>
        </w:tc>
        <w:tc>
          <w:tcPr>
            <w:tcW w:w="100" w:type="dxa"/>
            <w:vAlign w:val="bottom"/>
          </w:tcPr>
          <w:p>
            <w:pPr>
              <w:spacing w:after="0"/>
              <w:rPr>
                <w:sz w:val="16"/>
                <w:szCs w:val="16"/>
                <w:color w:val="auto"/>
              </w:rPr>
            </w:pPr>
          </w:p>
        </w:tc>
        <w:tc>
          <w:tcPr>
            <w:tcW w:w="536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r>
        <w:trPr>
          <w:trHeight w:val="216"/>
        </w:trPr>
        <w:tc>
          <w:tcPr>
            <w:tcW w:w="56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nominal value £0.003 per share</w:t>
            </w:r>
          </w:p>
        </w:tc>
        <w:tc>
          <w:tcPr>
            <w:tcW w:w="5360" w:type="dxa"/>
            <w:vAlign w:val="bottom"/>
          </w:tcPr>
          <w:p>
            <w:pPr>
              <w:spacing w:after="0"/>
              <w:rPr>
                <w:sz w:val="18"/>
                <w:szCs w:val="18"/>
                <w:color w:val="auto"/>
              </w:rPr>
            </w:pPr>
          </w:p>
        </w:tc>
      </w:tr>
      <w:tr>
        <w:trPr>
          <w:trHeight w:val="238"/>
        </w:trPr>
        <w:tc>
          <w:tcPr>
            <w:tcW w:w="56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Ordinary Shares, nominal value £0.003 per share*</w:t>
            </w:r>
          </w:p>
        </w:tc>
        <w:tc>
          <w:tcPr>
            <w:tcW w:w="5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222885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2" w:lineRule="exact"/>
        <w:rPr>
          <w:sz w:val="24"/>
          <w:szCs w:val="24"/>
          <w:color w:val="auto"/>
        </w:rPr>
      </w:pPr>
    </w:p>
    <w:p>
      <w:pPr>
        <w:ind w:left="4" w:right="740"/>
        <w:spacing w:after="0" w:line="235" w:lineRule="exact"/>
        <w:rPr>
          <w:sz w:val="20"/>
          <w:szCs w:val="20"/>
          <w:color w:val="auto"/>
        </w:rPr>
      </w:pPr>
      <w:r>
        <w:rPr>
          <w:rFonts w:ascii="Times New Roman" w:cs="Times New Roman" w:eastAsia="Times New Roman" w:hAnsi="Times New Roman"/>
          <w:sz w:val="18"/>
          <w:szCs w:val="18"/>
          <w:color w:val="auto"/>
        </w:rPr>
        <w:t xml:space="preserve">If this form relates to the registration of a class of securities pursuant to Section 12(b) of the Exchange Act and is effective pursuant to General Instruction A.(c) or (e), check the following box. </w:t>
      </w:r>
      <w:r>
        <w:rPr>
          <w:rFonts w:ascii="MS PGothic" w:cs="MS PGothic" w:eastAsia="MS PGothic" w:hAnsi="MS PGothic"/>
          <w:sz w:val="18"/>
          <w:szCs w:val="18"/>
          <w:color w:val="auto"/>
        </w:rPr>
        <w:t>☒</w:t>
      </w:r>
    </w:p>
    <w:p>
      <w:pPr>
        <w:spacing w:after="0" w:line="179" w:lineRule="exact"/>
        <w:rPr>
          <w:sz w:val="24"/>
          <w:szCs w:val="24"/>
          <w:color w:val="auto"/>
        </w:rPr>
      </w:pPr>
    </w:p>
    <w:p>
      <w:pPr>
        <w:ind w:left="4" w:right="740"/>
        <w:spacing w:after="0" w:line="235" w:lineRule="exact"/>
        <w:rPr>
          <w:sz w:val="20"/>
          <w:szCs w:val="20"/>
          <w:color w:val="auto"/>
        </w:rPr>
      </w:pPr>
      <w:r>
        <w:rPr>
          <w:rFonts w:ascii="Times New Roman" w:cs="Times New Roman" w:eastAsia="Times New Roman" w:hAnsi="Times New Roman"/>
          <w:sz w:val="18"/>
          <w:szCs w:val="18"/>
          <w:color w:val="auto"/>
        </w:rPr>
        <w:t xml:space="preserve">If this form relates to the registration of a class of securities pursuant to Section 12(g) of the Exchange Act and is effective pursuant to General Instruction A.(d) or (e), check the following box. </w:t>
      </w:r>
      <w:r>
        <w:rPr>
          <w:rFonts w:ascii="MS PGothic" w:cs="MS PGothic" w:eastAsia="MS PGothic" w:hAnsi="MS PGothic"/>
          <w:sz w:val="18"/>
          <w:szCs w:val="18"/>
          <w:color w:val="auto"/>
        </w:rPr>
        <w:t>☐</w:t>
      </w:r>
    </w:p>
    <w:p>
      <w:pPr>
        <w:spacing w:after="0" w:line="206" w:lineRule="exact"/>
        <w:rPr>
          <w:sz w:val="24"/>
          <w:szCs w:val="24"/>
          <w:color w:val="auto"/>
        </w:rPr>
      </w:pPr>
    </w:p>
    <w:p>
      <w:pPr>
        <w:ind w:left="424" w:right="500" w:hanging="424"/>
        <w:spacing w:after="0" w:line="282" w:lineRule="auto"/>
        <w:tabs>
          <w:tab w:leader="none" w:pos="42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for trading, but only in connection with the listing of the American Depositary Shares pursuant to the requirements of the Securities and Exchange Commission.</w:t>
      </w:r>
    </w:p>
    <w:p>
      <w:pPr>
        <w:spacing w:after="0" w:line="133"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If this form relates to the registration of a class of securities concurrently with a Regulation A offering, check the following box. </w:t>
      </w:r>
      <w:r>
        <w:rPr>
          <w:rFonts w:ascii="MS PGothic" w:cs="MS PGothic" w:eastAsia="MS PGothic" w:hAnsi="MS PGothic"/>
          <w:sz w:val="18"/>
          <w:szCs w:val="18"/>
          <w:color w:val="auto"/>
        </w:rPr>
        <w:t>☐</w:t>
      </w:r>
    </w:p>
    <w:p>
      <w:pPr>
        <w:spacing w:after="0" w:line="254" w:lineRule="exact"/>
        <w:rPr>
          <w:sz w:val="24"/>
          <w:szCs w:val="24"/>
          <w:color w:val="auto"/>
        </w:rPr>
      </w:pPr>
    </w:p>
    <w:p>
      <w:pPr>
        <w:ind w:left="4" w:right="320"/>
        <w:spacing w:after="0" w:line="282" w:lineRule="auto"/>
        <w:rPr>
          <w:sz w:val="20"/>
          <w:szCs w:val="20"/>
          <w:color w:val="auto"/>
        </w:rPr>
      </w:pPr>
      <w:r>
        <w:rPr>
          <w:rFonts w:ascii="Times New Roman" w:cs="Times New Roman" w:eastAsia="Times New Roman" w:hAnsi="Times New Roman"/>
          <w:sz w:val="18"/>
          <w:szCs w:val="18"/>
          <w:color w:val="auto"/>
        </w:rPr>
        <w:t>Securities Act registration statement or Regulation A offering statement file number to which this form relates (if applicable): File Nos. 333-258495, 333-262151, 333-252147, 333-236498 and 333-231636</w:t>
      </w:r>
    </w:p>
    <w:p>
      <w:pPr>
        <w:spacing w:after="0" w:line="162"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to be registered pursuant to Section 12(g) of the Act: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163195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205740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EXPLANATORY NOTE</w:t>
      </w:r>
    </w:p>
    <w:p>
      <w:pPr>
        <w:spacing w:after="0" w:line="229" w:lineRule="exact"/>
        <w:rPr>
          <w:sz w:val="20"/>
          <w:szCs w:val="20"/>
          <w:color w:val="auto"/>
        </w:rPr>
      </w:pPr>
    </w:p>
    <w:p>
      <w:pPr>
        <w:ind w:right="460" w:firstLine="440"/>
        <w:spacing w:after="0" w:line="266" w:lineRule="auto"/>
        <w:rPr>
          <w:sz w:val="20"/>
          <w:szCs w:val="20"/>
          <w:color w:val="auto"/>
        </w:rPr>
      </w:pPr>
      <w:r>
        <w:rPr>
          <w:rFonts w:ascii="Times New Roman" w:cs="Times New Roman" w:eastAsia="Times New Roman" w:hAnsi="Times New Roman"/>
          <w:sz w:val="18"/>
          <w:szCs w:val="18"/>
          <w:color w:val="auto"/>
        </w:rPr>
        <w:t>This Amendment No. 2 on Form 8-A/A amends and restates in its entirety the information set forth in Amendment No. 1 to the Registration Statement on Form 8-A previously filed by Mereo BioPharma Group plc (the “Company”) with the Securities and Exchange Commission (the “Commission”) on April 12, 2019.</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Description of Registrant’s Securities to be Registered.</w:t>
      </w:r>
    </w:p>
    <w:p>
      <w:pPr>
        <w:spacing w:after="0" w:line="121"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The Company hereby incorporates by reference (a) the description of its ordinary shares, nominal value £0.003 per share (the “Ordinary Shares”) and (b) the description of its American Depositary Shares, each representing five Ordinary Shares (the “American Depositary Shares”), contained in Exhibit 2.2 to the Company’s Annual Report on Form 20-F for the year ended December 31, 2021 and incorporated by reference to Exhibit 2.2 to the Company’s Annual Report on Form 20-F for the year ended December 31, 2020. The description of the Company’s Ordinary Shares is qualified in its entirety by reference to the Company’s amended articles of association, filed as Exhibit 3.1 to the Company’s Report on Form 6-K filed with the Commission on May 17, 2022 and incorporated herein by reference. In addition, the above-referenced descriptions included in any prospectus forming a part of any Registration Statement and subsequently filed with the Commission pursuant to Rule 424(b) under the Securities Act of 1933, as amended, shall be deemed to be incorporated by reference herein.</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Exhibits.</w:t>
      </w:r>
    </w:p>
    <w:p>
      <w:pPr>
        <w:spacing w:after="0" w:line="121" w:lineRule="exact"/>
        <w:rPr>
          <w:sz w:val="20"/>
          <w:szCs w:val="20"/>
          <w:color w:val="auto"/>
        </w:rPr>
      </w:pPr>
    </w:p>
    <w:p>
      <w:pPr>
        <w:ind w:right="220" w:firstLine="440"/>
        <w:spacing w:after="0" w:line="266" w:lineRule="auto"/>
        <w:rPr>
          <w:sz w:val="20"/>
          <w:szCs w:val="20"/>
          <w:color w:val="auto"/>
        </w:rPr>
      </w:pPr>
      <w:r>
        <w:rPr>
          <w:rFonts w:ascii="Times New Roman" w:cs="Times New Roman" w:eastAsia="Times New Roman" w:hAnsi="Times New Roman"/>
          <w:sz w:val="18"/>
          <w:szCs w:val="18"/>
          <w:color w:val="auto"/>
        </w:rPr>
        <w:t>Under the “Instructions as to Exhibits” section of Form 8-A, no exhibits are required to be filed because no other securities of the Company are registered on The Nasdaq Stock Market LLC and the securities registered hereby are not being registered pursuant to Section 12(g) of the Securities Exchange Act of 1934, as amended.</w:t>
      </w:r>
    </w:p>
    <w:p>
      <w:pPr>
        <w:sectPr>
          <w:pgSz w:w="11900" w:h="16838" w:orient="portrait"/>
          <w:cols w:equalWidth="0" w:num="1">
            <w:col w:w="10980"/>
          </w:cols>
          <w:pgMar w:left="440" w:top="266" w:right="47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12 of the Securities Exchange Act of 1934, the Registrant has duly caused this registration statement to be signed on its behalf by the undersigned, thereunto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17, 2022</w:t>
      </w:r>
    </w:p>
    <w:p>
      <w:pPr>
        <w:spacing w:after="0" w:line="24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MEREO BIOPHARMA GROUP PLC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Charles Sermon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Charles Sermon</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General Counsel</w:t>
      </w:r>
    </w:p>
    <w:sectPr>
      <w:pgSz w:w="11900" w:h="16838" w:orient="portrait"/>
      <w:cols w:equalWidth="0" w:num="1">
        <w:col w:w="10960"/>
      </w:cols>
      <w:pgMar w:left="440" w:top="266"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2022-05-17T07:38:26Z</dcterms:created>
  <dcterms:modified xsi:type="dcterms:W3CDTF">2022-05-17T07:38:26Z</dcterms:modified>
</cp:coreProperties>
</file>