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Shames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MEREO BIOPHARMA GROUP PLC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FLOOR, ONE CAVENDISH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W1G 0QF</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Mereo BioPharma Group plc</w:t>
              </w:r>
            </w:hyperlink>
            <w:r>
              <w:rPr/>
              <w:t xml:space="preserve"> [ </w:t>
            </w:r>
            <w:r>
              <w:rPr>
                <w:rFonts w:ascii="Times;serif" w:hAnsi="Times;serif"/>
                <w:color w:val="0000FF"/>
                <w:sz w:val="24"/>
                <w:shd w:fill="FFFFFF" w:val="clear"/>
              </w:rPr>
              <w:t>MREO</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02/08/2024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104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02/08/2034</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Depository Shares</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14,139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Depository Shares</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14,139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Vests in substantially equal monthly installments over a one year period from the February 8, 2024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American Depositary Share ("ADS") represents five ordinary shares, nominal value GBP 0.003 per ordinary share,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2005702" TargetMode="External"/><Relationship Id="rId4" Type="http://schemas.openxmlformats.org/officeDocument/2006/relationships/hyperlink" Target="http://www.sec.gov/cgi-bin/browse-edgar?action=getcompany&amp;CIK=000171971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684</Words>
  <Characters>3722</Characters>
  <CharactersWithSpaces>4333</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