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19, 2026</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18" w:right="339" w:bottom="1440" w:gutter="0" w:footer="0" w:header="0"/>
        </w:sectPr>
      </w:pPr>
    </w:p>
    <w:p>
      <w:pPr>
        <w:spacing w:after="0" w:line="14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111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1118" w:right="339" w:bottom="1440" w:gutter="0" w:footer="0" w:header="0"/>
          <w:type w:val="continuous"/>
        </w:sectPr>
      </w:pP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3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42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five</w:t>
            </w:r>
          </w:p>
        </w:tc>
        <w:tc>
          <w:tcPr>
            <w:tcW w:w="120" w:type="dxa"/>
            <w:vAlign w:val="bottom"/>
          </w:tcPr>
          <w:p>
            <w:pPr>
              <w:spacing w:after="0"/>
              <w:rPr>
                <w:sz w:val="16"/>
                <w:szCs w:val="16"/>
                <w:color w:val="auto"/>
              </w:rPr>
            </w:pPr>
          </w:p>
        </w:tc>
        <w:tc>
          <w:tcPr>
            <w:tcW w:w="3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£0.003 per share</w:t>
            </w: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March 19, 2026, Mereo BioPharma Group plc announced its financial results for the year ended December 31, 2025 and provided recent corporate highlights. The full text of the press release issued in connection with the announcement is furnished as Exhibit 99.1 to this Current Report on Form 8-K.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4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March 19, 2026</w:t>
            </w:r>
          </w:p>
        </w:tc>
      </w:tr>
      <w:tr>
        <w:trPr>
          <w:trHeight w:val="20"/>
        </w:trPr>
        <w:tc>
          <w:tcPr>
            <w:tcW w:w="88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40" w:type="dxa"/>
            <w:vAlign w:val="bottom"/>
            <w:tcBorders>
              <w:right w:val="single" w:sz="8" w:color="0000EE"/>
            </w:tcBorders>
            <w:gridSpan w:val="2"/>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740" w:type="dxa"/>
            <w:vAlign w:val="bottom"/>
          </w:tcPr>
          <w:p>
            <w:pPr>
              <w:spacing w:after="0"/>
              <w:rPr>
                <w:sz w:val="22"/>
                <w:szCs w:val="22"/>
                <w:color w:val="auto"/>
              </w:rPr>
            </w:pPr>
          </w:p>
        </w:tc>
        <w:tc>
          <w:tcPr>
            <w:tcW w:w="7500" w:type="dxa"/>
            <w:vAlign w:val="bottom"/>
            <w:gridSpan w:val="3"/>
          </w:tcPr>
          <w:p>
            <w:pPr>
              <w:ind w:left="1980"/>
              <w:spacing w:after="0"/>
              <w:rPr>
                <w:sz w:val="20"/>
                <w:szCs w:val="20"/>
                <w:color w:val="auto"/>
              </w:rPr>
            </w:pPr>
            <w:r>
              <w:rPr>
                <w:rFonts w:ascii="Times New Roman" w:cs="Times New Roman" w:eastAsia="Times New Roman" w:hAnsi="Times New Roman"/>
                <w:sz w:val="20"/>
                <w:szCs w:val="20"/>
                <w:color w:val="auto"/>
              </w:rPr>
              <w:t>MEREO BIOPHARMA GROUP PLC</w:t>
            </w:r>
          </w:p>
        </w:tc>
      </w:tr>
      <w:tr>
        <w:trPr>
          <w:trHeight w:val="453"/>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Date: March 19, 2026</w:t>
            </w:r>
          </w:p>
        </w:tc>
        <w:tc>
          <w:tcPr>
            <w:tcW w:w="7500" w:type="dxa"/>
            <w:vAlign w:val="bottom"/>
            <w:gridSpan w:val="3"/>
          </w:tcPr>
          <w:p>
            <w:pPr>
              <w:ind w:left="1980"/>
              <w:spacing w:after="0"/>
              <w:rPr>
                <w:sz w:val="20"/>
                <w:szCs w:val="20"/>
                <w:color w:val="auto"/>
              </w:rPr>
            </w:pPr>
            <w:r>
              <w:rPr>
                <w:rFonts w:ascii="Times New Roman" w:cs="Times New Roman" w:eastAsia="Times New Roman" w:hAnsi="Times New Roman"/>
                <w:sz w:val="20"/>
                <w:szCs w:val="20"/>
                <w:color w:val="auto"/>
              </w:rPr>
              <w:t>By:  /s/ Christine Fox</w:t>
            </w:r>
          </w:p>
        </w:tc>
      </w:tr>
      <w:tr>
        <w:trPr>
          <w:trHeight w:val="200"/>
        </w:trPr>
        <w:tc>
          <w:tcPr>
            <w:tcW w:w="3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160" w:type="dxa"/>
            <w:vAlign w:val="bottom"/>
            <w:tcBorders>
              <w:top w:val="single" w:sz="8" w:color="auto"/>
            </w:tcBorders>
          </w:tcPr>
          <w:p>
            <w:pPr>
              <w:ind w:left="360"/>
              <w:spacing w:after="0" w:line="200" w:lineRule="exact"/>
              <w:rPr>
                <w:sz w:val="20"/>
                <w:szCs w:val="20"/>
                <w:color w:val="auto"/>
              </w:rPr>
            </w:pPr>
            <w:r>
              <w:rPr>
                <w:rFonts w:ascii="Times New Roman" w:cs="Times New Roman" w:eastAsia="Times New Roman" w:hAnsi="Times New Roman"/>
                <w:sz w:val="20"/>
                <w:szCs w:val="20"/>
                <w:color w:val="auto"/>
              </w:rPr>
              <w:t>Christine Fox</w:t>
            </w:r>
          </w:p>
        </w:tc>
      </w:tr>
      <w:tr>
        <w:trPr>
          <w:trHeight w:val="258"/>
        </w:trPr>
        <w:tc>
          <w:tcPr>
            <w:tcW w:w="37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973"/>
        </w:trPr>
        <w:tc>
          <w:tcPr>
            <w:tcW w:w="3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Reports Full Year 2025 Financial Results and Provides Corporate Highlights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Additional data analyses from Orbit and Cosmic Phase 3 studies of setrusumab (UX143) in osteogenesis imperfecta ongoing</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of $41.0 million as of December 31, 2025, expected to provide runway into to mid-2027</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March 19, 2026 </w:t>
      </w:r>
      <w:r>
        <w:rPr>
          <w:rFonts w:ascii="Times New Roman" w:cs="Times New Roman" w:eastAsia="Times New Roman" w:hAnsi="Times New Roman"/>
          <w:sz w:val="18"/>
          <w:szCs w:val="18"/>
          <w:color w:val="auto"/>
        </w:rPr>
        <w:t>focused on rare diseases, developments.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both"/>
        <w:ind w:hanging="6"/>
        <w:spacing w:after="0" w:line="282" w:lineRule="auto"/>
        <w:rPr>
          <w:sz w:val="20"/>
          <w:szCs w:val="20"/>
          <w:color w:val="auto"/>
        </w:rPr>
      </w:pPr>
      <w:r>
        <w:rPr>
          <w:rFonts w:ascii="Times New Roman" w:cs="Times New Roman" w:eastAsia="Times New Roman" w:hAnsi="Times New Roman"/>
          <w:sz w:val="18"/>
          <w:szCs w:val="18"/>
          <w:color w:val="auto"/>
        </w:rPr>
        <w:t>– Mereo BioPharma Group plc (NASDAQ: MREO) (“Mereo” or the “Company”), a clinical-stage biopharmaceutical company today announced financial results for the full year ended December 31, 2025, and provided an update on recent corporate</w:t>
      </w:r>
    </w:p>
    <w:p>
      <w:pPr>
        <w:spacing w:after="0" w:line="377" w:lineRule="exact"/>
        <w:rPr>
          <w:sz w:val="20"/>
          <w:szCs w:val="20"/>
          <w:color w:val="auto"/>
        </w:rPr>
      </w:pPr>
    </w:p>
    <w:p>
      <w:pPr>
        <w:sectPr>
          <w:pgSz w:w="11900" w:h="16838" w:orient="portrait"/>
          <w:cols w:equalWidth="0" w:num="2">
            <w:col w:w="1900" w:space="60"/>
            <w:col w:w="9280"/>
          </w:cols>
          <w:pgMar w:left="320" w:top="765" w:right="339" w:bottom="1440" w:gutter="0" w:footer="0" w:header="0"/>
          <w:type w:val="continuous"/>
        </w:sect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collaboration with our partner Ultragenyx, we have analysed a significant part of the data from the Phase 3 Orbit and Cosmic studies of setrusumab in osteogenesis imperfecta and continue to develop our understanding of the fracture data and the patient reported outcomes (PROs), especially in patients aged 2–18 years old. We believe that these data, which include pre-specified sub-groups and ad hoc analyses, may provide the basis for engagement with the regulatory agencies,” said Denise Scots-Knight, Chief Executive Officer of Mereo. “There are no FDA or EMA therapies approved specifically for OI and although bisphosphonates are used to improved bone mineral density, it remains a high unmet need. Setrusumab has demonstrated statistically significant improvements in bone mineral density as well as compelling reductions in vertebral fractures and statistically significant improvements in PROs of disease pain and daily activity in pediatric and teenage patients. We look forward to providing updates on these efforts as we progress with next steps. Alongside this, our partnering discussions around alvelestat in AATD-LD are continuing to advance on multiple fronts and our partner āshibio has indicated that it plans to initiate a Phase 2 trial of vantictumab in osteopetrosis in the second half of this year. Following our cost reductions and delays to investment in manufacturing and pre-commercial activities for setrusumab, our revised financial runway into mid-2027 enables us to potentially deliver on several key milestones during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Setrusumab (UX143)</w:t>
      </w:r>
    </w:p>
    <w:p>
      <w:pPr>
        <w:spacing w:after="0" w:line="121" w:lineRule="exact"/>
        <w:rPr>
          <w:sz w:val="20"/>
          <w:szCs w:val="20"/>
          <w:color w:val="auto"/>
        </w:rPr>
      </w:pPr>
    </w:p>
    <w:p>
      <w:pPr>
        <w:ind w:left="520" w:right="16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announced on December 29, 2025, the Phase 3 Orbit and Cosmic studies of setrusumab in OI did not achieve statistical significance against the primary endpoints of reduction in annualized clinical fracture rate compared to placebo or bisphosphonates, respectively.</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studies achieved high statistical significance against the key secondary endpoint of improvement in bone mineral density versus a placebo or versus a bisphosphonate (standard of care) comparator.</w:t>
      </w:r>
    </w:p>
    <w:p>
      <w:pPr>
        <w:spacing w:after="0" w:line="54" w:lineRule="exact"/>
        <w:rPr>
          <w:sz w:val="20"/>
          <w:szCs w:val="20"/>
          <w:color w:val="auto"/>
        </w:rPr>
      </w:pPr>
    </w:p>
    <w:p>
      <w:pPr>
        <w:ind w:left="1140" w:right="60" w:hanging="383"/>
        <w:spacing w:after="0" w:line="261"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improvement in bone mineral density in the Cosmic study was associated with a decreased rate of fracture in this younger, more highly fracturing patient population, although this was not statistically significant.</w:t>
      </w:r>
    </w:p>
    <w:p>
      <w:pPr>
        <w:ind w:left="520" w:right="140" w:hanging="512"/>
        <w:spacing w:after="0" w:line="255"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studies demonstrated reductions in vertebral fractures, which are a key contributor to pain and disability in this patient population and are known to drive treatment decisions, as well as improvements in patient-reported outcomes of disease severity, pain / comfort and daily activities which were statistically significant in the Orbit study in pediatrics and teens.</w:t>
      </w:r>
    </w:p>
    <w:p>
      <w:pPr>
        <w:spacing w:after="0" w:line="7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of setrusumab was consistent with that observed in prior studies.</w:t>
      </w:r>
    </w:p>
    <w:p>
      <w:pPr>
        <w:spacing w:after="0" w:line="11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analyses of the data from both studies, including patient subgroups, are ongoing ahead of any planned interactions with the regulatory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Alvelestat (MPH-966)</w:t>
      </w:r>
    </w:p>
    <w:p>
      <w:pPr>
        <w:spacing w:after="0" w:line="121"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 feasibility work for initiation of the global Phase 3 pivotal study has been completed.</w:t>
      </w:r>
    </w:p>
    <w:p>
      <w:pPr>
        <w:spacing w:after="0" w:line="117" w:lineRule="exact"/>
        <w:rPr>
          <w:rFonts w:ascii="Times New Roman" w:cs="Times New Roman" w:eastAsia="Times New Roman" w:hAnsi="Times New Roman"/>
          <w:sz w:val="18"/>
          <w:szCs w:val="18"/>
          <w:color w:val="auto"/>
        </w:rPr>
      </w:pPr>
    </w:p>
    <w:p>
      <w:pPr>
        <w:ind w:left="520" w:right="240" w:hanging="512"/>
        <w:spacing w:after="0" w:line="312" w:lineRule="auto"/>
        <w:tabs>
          <w:tab w:leader="none" w:pos="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previous discussions with the FDA and EMA, Mereo anticipates a single Phase 3 trial enrolling approximately 220 early- and late-stage AATD-LD patients evaluating alvelestat over an 18-month treatment period will support regulatory submissions in both the U.S. and Europe.</w:t>
      </w:r>
    </w:p>
    <w:p>
      <w:pPr>
        <w:spacing w:after="0" w:line="32" w:lineRule="exact"/>
        <w:rPr>
          <w:sz w:val="20"/>
          <w:szCs w:val="20"/>
          <w:color w:val="auto"/>
        </w:rPr>
      </w:pPr>
    </w:p>
    <w:p>
      <w:pPr>
        <w:ind w:left="1140" w:right="320" w:hanging="383"/>
        <w:spacing w:after="0" w:line="261"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efficacy endpoint for potential U.S. approval will be the St. George’s Respiratory Questionnaire (SGRQ) Total Score, with lung density measured by CT scan serving as the primary endpoint for potential European regulatory approval.</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Mereo continues to be in active discussions with potential partners for the Phase 3 development and commercialization of alvelestat.</w:t>
      </w:r>
    </w:p>
    <w:p>
      <w:pPr>
        <w:spacing w:after="0" w:line="98" w:lineRule="exact"/>
        <w:rPr>
          <w:rFonts w:ascii="Times New Roman" w:cs="Times New Roman" w:eastAsia="Times New Roman" w:hAnsi="Times New Roman"/>
          <w:sz w:val="18"/>
          <w:szCs w:val="18"/>
          <w:color w:val="auto"/>
        </w:rPr>
      </w:pPr>
    </w:p>
    <w:p>
      <w:pPr>
        <w:ind w:left="520" w:right="70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Company has designed a potential Phase 2b study of alvelestat in bronchiectasis to further support the ongoing partnering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 w:name="page4"/>
    <w:bookmarkEnd w:id="3"/>
    <w:p>
      <w:pPr>
        <w:ind w:left="1140" w:right="80" w:hanging="383"/>
        <w:spacing w:after="0" w:line="261"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study would enroll approximately 250 patients, randomized 1:1:1 to receive one of two alvelestat doses with standard of care or placebo with standard of care, with a primary efficacy endpoint of change in exacerbation rate at six months.</w:t>
      </w:r>
    </w:p>
    <w:p>
      <w:pPr>
        <w:ind w:left="1140" w:right="220" w:hanging="383"/>
        <w:spacing w:after="0" w:line="260"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trial design is intended to substantially de-risk potential Phase 3 development, as exacerbations are a required confirmatory endpoint in registrational trials.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Vantictumab (OMP18R5)</w:t>
      </w:r>
    </w:p>
    <w:p>
      <w:pPr>
        <w:spacing w:after="0" w:line="12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outlicensed vantictumab for autosomal dominant osteopetrosis Type 2 (ADO2) to āshibio, Inc. whilst retaining European rights.</w:t>
      </w:r>
    </w:p>
    <w:p>
      <w:pPr>
        <w:spacing w:after="0" w:line="117" w:lineRule="exact"/>
        <w:rPr>
          <w:sz w:val="20"/>
          <w:szCs w:val="20"/>
          <w:color w:val="auto"/>
        </w:rPr>
      </w:pPr>
    </w:p>
    <w:p>
      <w:pPr>
        <w:ind w:left="1140" w:right="180" w:hanging="383"/>
        <w:spacing w:after="0" w:line="261" w:lineRule="auto"/>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āshibio is responsible for funding the global program and, following regulatory discussions, plans to initiate a Phase 2 study in the second half of 2026.</w:t>
      </w:r>
    </w:p>
    <w:p>
      <w:pPr>
        <w:ind w:left="520" w:right="520" w:hanging="512"/>
        <w:spacing w:after="0" w:line="26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Vantictumab was previously investigated in Phase 1a/b oncology trials in around 100 patients with biomarker evidence of potential impact on osteoclast function and high bone turnover, which led to fragility fractures in some patients.</w:t>
      </w:r>
    </w:p>
    <w:p>
      <w:pPr>
        <w:spacing w:after="0" w:line="7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āshibio reported promising pre-clinical data at ASBMR 2025 in an ADO2 mouse model, in which vantictumab significantly decreased areal bone mineral density and rescued the bone phenotype in this model.</w:t>
      </w:r>
    </w:p>
    <w:p>
      <w:pPr>
        <w:spacing w:after="0" w:line="53"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ADO2 is an inherited metabolic bone disorder characterized by impaired osteoclast function, with no currently approved therapies. This impaired osteoclast function results in the growth of dense, brittle bones leading to multiple fractures, osteomyelitis, bone pain, low blood counts and significant morbidity.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Total research and development (“R&amp;D”) expenses decreased by $3.2 million from $20.9 million in 2024 to $17.8 million in 2025. The decrease was primarily due to reductions in R&amp;D expenses for alvelestat and etigilimab of $7.7 million and $1.0 million, respectively, partially offset by an increase of $5.7 million in R&amp;D expenses for setrusumab. The reductions in program expenses for alvelestat was primarily due to the completion of the activities undertaken in preparation for the potential Phase 3 study, including drug formulation and manufacturing, in the year ended December 31, 2024. The increase in program expenses for setrusumab was primarily driven by amounts due under the manufacturing and supply agreement with our partner, Ultragenyx, as well as ongoing activities we undertake related to real-world evidence programs and medical affairs activities in Europe. These are in addition to costs we incur in relation to our collaboration with Ultragenyx, who fund the global development of the program, including input into development, regulatory and manufacturing plans.</w:t>
      </w:r>
    </w:p>
    <w:p>
      <w:pPr>
        <w:spacing w:after="0" w:line="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$3.4 million from $26.4 million in 2024 to $23.0 million in 2025. The decrease was due to a lower accrual for annual cash bonuses of $1.2 million, along with a reduction in professional fees.</w:t>
      </w:r>
    </w:p>
    <w:p>
      <w:pPr>
        <w:spacing w:after="0" w:line="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Net loss for the full year ended December 31, 2025, was $41.9 million, compared to $43.3 million during 2024, primarily reflecting an operating loss of $40.1 million and a foreign currency translation loss of $6.3 million, partially offset by interest income of $2.2 million and a benefit from research and development tax credit of $1.9 million.</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$41.0 million, compared to $69.8 million as of December 31, 2024. The Company’s expects, based on current operational plans, that its existing cash and cash equivalents balance will enable it to fund its operating expenses, and capital expenditure requirements into mid-2027. This guidance does not include any potential upfront payments associated with a partnership for alvelestat or business development activity around any of the Company’s non-core programs.</w:t>
      </w:r>
    </w:p>
    <w:p>
      <w:pPr>
        <w:spacing w:after="0" w:line="72"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Total ordinary shares issued as of December 31, 2025 were 795,658,504. Total ADS equivalents as of December 31, 2025 were 159,131,700, with each ADS representing five ordinary shares of the Company.</w:t>
      </w:r>
      <w:r>
        <w:rPr>
          <w:rFonts w:ascii="Arial" w:cs="Arial" w:eastAsia="Arial" w:hAnsi="Arial"/>
          <w:sz w:val="21"/>
          <w:szCs w:val="21"/>
          <w:color w:val="auto"/>
        </w:rPr>
        <w:t xml:space="preserve"> </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three rare disease product candidates: setrusumab for the treatment of osteogenesis imperfecta (OI); alvelestat for the treatment of alpha-1 antitrypsin deficiency-associated lung disease (AATD-LD); and vantictumab for the treatment of autosomal dominant osteopetrosis type 2 (ADO2). The Company and its partner for setrusumab, Ultragenyx Pharmaceutical Inc., have reported top-line results from the Phase 3 portion of a pivotal Phase 2/3 study in pediatrics and young adults (5 to 25 years old) and in the Phase 3 study in pediatric patients (2 to &lt;7 years old) for setrusumab in OI.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designation for osteogenesis imperfecta from the European Commission (“EC”) and the FDA, PRIME designation from the EMA, and has Breakthrough Therapy designation and rare pediatric disease designation from the FDA. Alvelestat has received Orphan Designation for AATD from the EC and the FDA, and Fast Track designation from the FDA for AATD-LD. Following results from ASTRAEUS and ATALANTa in AATD-lung disease, the Company has aligned with the FDA and the EMA on the primary endpoints for a Phase 3 pivotal study which, if successful, could enable full approval in both the U.S. and Europe. The Company’s partner for vantictumab, āshibio, Inc., is funding the global development program and Mereo has retained EU and UK commercial rights. Mereo has also entered into an exclusive global license agreement with ReproNovo SA, a reproductive medicine company, for the development and commercialization of leflutrozole, a non-steroidal aromatase inhibitor for the treatment of infertility in men with low testosterone. In addition, Mereo has two oncology product candidates, etigilimab, an anti-TIGIT; and navicixizumab for the potential treatment of late-line ovarian cancer. Navicixizumab has been partnered with Feng Biosciences, Inc. in a global licensing agreement that includes milestone payments and royalties.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as well as assumptions that, if they never materialize or prove incorrect, could cause our results to differ materially from those expressed or implied by such forward-looking statements.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reflect our current expectations, beliefs and assumptions concerning future events or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Risks and uncertainties include, among other things, the uncertainties inherent in the clinical development process; the Company’s reliance on third parties to conduct and provide funding for its clinical trials; the sufficiency of existing cash to fund operations and/or the inability to raise additional funding on favorable terms or at all; the uncertainty inherent in regulatory review processes, including varying interpretations and analyses of data from clinical trials; the Company’s dependence on enrollment of patients in its clinical trials; potentially smaller than anticipated market opportunities for the Company's product candidates; the Company’s dependence on its key executives; and the Company’s ability to maintain compliance with Nasdaq continued listing requirements.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Forward-looking statements are often identified by the words “believe,” “expect,” “anticipate,” “plan,” “intend,” “foresee,” “should,” “would,” “could,” “may,” “estimate,” “outlook,” “will,” “continue”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720" w:type="dxa"/>
            <w:vAlign w:val="bottom"/>
          </w:tcPr>
          <w:p>
            <w:pPr>
              <w:spacing w:after="0"/>
              <w:rPr>
                <w:sz w:val="24"/>
                <w:szCs w:val="24"/>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646 930 4406</w:t>
            </w:r>
          </w:p>
        </w:tc>
        <w:tc>
          <w:tcPr>
            <w:tcW w:w="1720" w:type="dxa"/>
            <w:vAlign w:val="bottom"/>
          </w:tcPr>
          <w:p>
            <w:pPr>
              <w:spacing w:after="0"/>
              <w:rPr>
                <w:sz w:val="24"/>
                <w:szCs w:val="24"/>
                <w:color w:val="auto"/>
              </w:rPr>
            </w:pPr>
          </w:p>
        </w:tc>
      </w:tr>
      <w:tr>
        <w:trPr>
          <w:trHeight w:val="21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Roth</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8"/>
        </w:trPr>
        <w:tc>
          <w:tcPr>
            <w:tcW w:w="5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Investors</w:t>
            </w:r>
          </w:p>
        </w:tc>
        <w:tc>
          <w:tcPr>
            <w:tcW w:w="5540" w:type="dxa"/>
            <w:vAlign w:val="bottom"/>
            <w:gridSpan w:val="4"/>
          </w:tcPr>
          <w:p>
            <w:pPr>
              <w:ind w:left="1420"/>
              <w:spacing w:after="0" w:line="198" w:lineRule="exact"/>
              <w:rPr>
                <w:sz w:val="20"/>
                <w:szCs w:val="20"/>
                <w:color w:val="auto"/>
              </w:rPr>
            </w:pPr>
            <w:r>
              <w:rPr>
                <w:rFonts w:ascii="Times New Roman" w:cs="Times New Roman" w:eastAsia="Times New Roman" w:hAnsi="Times New Roman"/>
                <w:sz w:val="18"/>
                <w:szCs w:val="18"/>
                <w:color w:val="0432FF"/>
              </w:rPr>
              <w:t>investors@mereobiopharma.com</w:t>
            </w:r>
          </w:p>
        </w:tc>
      </w:tr>
      <w:tr>
        <w:trPr>
          <w:trHeight w:val="1432"/>
        </w:trPr>
        <w:tc>
          <w:tcPr>
            <w:tcW w:w="5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top w:val="single" w:sz="8" w:color="0432FF"/>
              <w:bottom w:val="single" w:sz="8" w:color="9A9A9A"/>
            </w:tcBorders>
          </w:tcPr>
          <w:p>
            <w:pPr>
              <w:spacing w:after="0"/>
              <w:rPr>
                <w:sz w:val="24"/>
                <w:szCs w:val="24"/>
                <w:color w:val="auto"/>
              </w:rPr>
            </w:pPr>
          </w:p>
        </w:tc>
        <w:tc>
          <w:tcPr>
            <w:tcW w:w="2100" w:type="dxa"/>
            <w:vAlign w:val="bottom"/>
            <w:tcBorders>
              <w:top w:val="single" w:sz="8" w:color="0432FF"/>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69,802</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74,763</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45,917</w:t>
            </w:r>
          </w:p>
        </w:tc>
        <w:tc>
          <w:tcPr>
            <w:tcW w:w="2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76,390</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5,001</w:t>
            </w:r>
          </w:p>
        </w:tc>
        <w:tc>
          <w:tcPr>
            <w:tcW w:w="2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15,421</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5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795,658,504 shares issued at</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2025 (December 31, 2024: 775,728,034)</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20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Pr>
          <w:p>
            <w:pPr>
              <w:spacing w:after="0"/>
              <w:rPr>
                <w:sz w:val="20"/>
                <w:szCs w:val="20"/>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549,622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539,642</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(501,018)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(462,883)</w:t>
            </w: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(10,823)</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(18,849)</w:t>
            </w:r>
          </w:p>
        </w:tc>
      </w:tr>
      <w:tr>
        <w:trPr>
          <w:trHeight w:val="210"/>
        </w:trPr>
        <w:tc>
          <w:tcPr>
            <w:tcW w:w="5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40,916</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60,969</w:t>
            </w:r>
          </w:p>
        </w:tc>
        <w:tc>
          <w:tcPr>
            <w:tcW w:w="100" w:type="dxa"/>
            <w:vAlign w:val="bottom"/>
            <w:tcBorders>
              <w:top w:val="single" w:sz="8" w:color="CFF0FC"/>
            </w:tcBorders>
          </w:tcPr>
          <w:p>
            <w:pPr>
              <w:spacing w:after="0"/>
              <w:rPr>
                <w:sz w:val="18"/>
                <w:szCs w:val="18"/>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45,917</w:t>
            </w: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76,390</w:t>
            </w:r>
          </w:p>
        </w:tc>
        <w:tc>
          <w:tcPr>
            <w:tcW w:w="100" w:type="dxa"/>
            <w:vAlign w:val="bottom"/>
            <w:shd w:val="clear" w:color="auto" w:fill="CFF0FC"/>
          </w:tcPr>
          <w:p>
            <w:pPr>
              <w:spacing w:after="0"/>
              <w:rPr>
                <w:sz w:val="19"/>
                <w:szCs w:val="19"/>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2387600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-3830955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-3274060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-2005330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-1447800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-316865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3"/>
          </w:tcPr>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0" w:type="dxa"/>
            <w:vAlign w:val="bottom"/>
            <w:gridSpan w:val="6"/>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(17,766)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(20,930)</w:t>
            </w: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(23,008)</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(26,434)</w:t>
            </w: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(40,107)</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(47,364)</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(1,370)</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(41,878)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(43,253)</w:t>
            </w: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(41,878)</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(43,253)</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7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10"/>
        </w:trPr>
        <w:tc>
          <w:tcPr>
            <w:tcW w:w="6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2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797,119,632</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739,624,264</w:t>
            </w:r>
          </w:p>
        </w:tc>
        <w:tc>
          <w:tcPr>
            <w:tcW w:w="100" w:type="dxa"/>
            <w:vAlign w:val="bottom"/>
            <w:tcBorders>
              <w:top w:val="single" w:sz="8" w:color="CFF0FC"/>
            </w:tcBorders>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(41,878)</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(43,253)</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 – Foreign currency translation adjustments, net of tax</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(33,852)</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(44,617)</w:t>
            </w:r>
          </w:p>
        </w:tc>
      </w:tr>
      <w:tr>
        <w:trPr>
          <w:trHeight w:val="960"/>
        </w:trPr>
        <w:tc>
          <w:tcPr>
            <w:tcW w:w="668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28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16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-2117090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-1833880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-1388110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-659765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-642620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endash "/>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o"/>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o"/>
      <w:numFmt w:val="bullet"/>
      <w:start w:val="1"/>
    </w:lvl>
  </w:abstractNum>
  <w:abstractNum w:abstractNumId="6">
    <w:nsid w:val="7545E146"/>
    <w:multiLevelType w:val="hybridMultilevel"/>
    <w:lvl w:ilvl="0">
      <w:lvlJc w:val="left"/>
      <w:lvlText w:val="o"/>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2026-03-19T07:43:24Z</dcterms:created>
  <dcterms:modified xsi:type="dcterms:W3CDTF">2026-03-19T07:43:24Z</dcterms:modified>
</cp:coreProperties>
</file>