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Rubric Capital Management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155 East 44th St, Suite 1630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Attention: Brian Kleinhaus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212-418-1888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660"/>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Depositary Receipts (“</w:t>
      </w:r>
      <w:r>
        <w:rPr>
          <w:rFonts w:ascii="Arial" w:cs="Arial" w:eastAsia="Arial" w:hAnsi="Arial"/>
          <w:sz w:val="16"/>
          <w:szCs w:val="16"/>
          <w:u w:val="single" w:color="auto"/>
          <w:color w:val="auto"/>
        </w:rPr>
        <w:t>ADRs</w:t>
      </w:r>
      <w:r>
        <w:rPr>
          <w:rFonts w:ascii="Arial" w:cs="Arial" w:eastAsia="Arial" w:hAnsi="Arial"/>
          <w:sz w:val="16"/>
          <w:szCs w:val="16"/>
          <w:color w:val="auto"/>
        </w:rPr>
        <w:t>”) of the Issuer, which are quoted on the Nasdaq Global Market under the symbol “MREO.” Each ADR represents 5 Ordinary Shares.</w:t>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9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071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18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CUSIP No. 589492107</w:t>
            </w:r>
          </w:p>
        </w:tc>
        <w:tc>
          <w:tcPr>
            <w:tcW w:w="146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13D</w:t>
            </w:r>
          </w:p>
        </w:tc>
        <w:tc>
          <w:tcPr>
            <w:tcW w:w="1900" w:type="dxa"/>
            <w:vAlign w:val="bottom"/>
            <w:tcBorders>
              <w:top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Page 2 of 9 Pages</w:t>
            </w:r>
          </w:p>
        </w:tc>
        <w:tc>
          <w:tcPr>
            <w:tcW w:w="0" w:type="dxa"/>
            <w:vAlign w:val="bottom"/>
          </w:tcPr>
          <w:p>
            <w:pPr>
              <w:spacing w:after="0"/>
              <w:rPr>
                <w:sz w:val="1"/>
                <w:szCs w:val="1"/>
                <w:color w:val="auto"/>
              </w:rPr>
            </w:pPr>
          </w:p>
        </w:tc>
      </w:tr>
      <w:tr>
        <w:trPr>
          <w:trHeight w:val="54"/>
        </w:trPr>
        <w:tc>
          <w:tcPr>
            <w:tcW w:w="1800" w:type="dxa"/>
            <w:vAlign w:val="bottom"/>
            <w:tcBorders>
              <w:left w:val="single" w:sz="8" w:color="auto"/>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180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800" w:type="dxa"/>
            <w:vAlign w:val="bottom"/>
            <w:tcBorders>
              <w:left w:val="single" w:sz="8" w:color="auto"/>
              <w:right w:val="single" w:sz="8" w:color="auto"/>
            </w:tcBorders>
          </w:tcPr>
          <w:p>
            <w:pPr>
              <w:jc w:val="center"/>
              <w:spacing w:after="0" w:line="265" w:lineRule="exact"/>
              <w:rPr>
                <w:sz w:val="20"/>
                <w:szCs w:val="20"/>
                <w:color w:val="auto"/>
              </w:rPr>
            </w:pPr>
            <w:r>
              <w:rPr>
                <w:rFonts w:ascii="Arial" w:cs="Arial" w:eastAsia="Arial" w:hAnsi="Arial"/>
                <w:sz w:val="25"/>
                <w:szCs w:val="25"/>
                <w:b w:val="1"/>
                <w:bCs w:val="1"/>
                <w:color w:val="auto"/>
                <w:w w:val="85"/>
              </w:rPr>
              <w:t>1</w:t>
            </w:r>
          </w:p>
        </w:tc>
        <w:tc>
          <w:tcPr>
            <w:tcW w:w="7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7980" w:type="dxa"/>
            <w:vAlign w:val="bottom"/>
            <w:gridSpan w:val="4"/>
          </w:tcPr>
          <w:p>
            <w:pPr>
              <w:ind w:left="360"/>
              <w:spacing w:after="0"/>
              <w:rPr>
                <w:sz w:val="20"/>
                <w:szCs w:val="20"/>
                <w:color w:val="auto"/>
              </w:rPr>
            </w:pPr>
            <w:r>
              <w:rPr>
                <w:rFonts w:ascii="Arial" w:cs="Arial" w:eastAsia="Arial" w:hAnsi="Arial"/>
                <w:sz w:val="18"/>
                <w:szCs w:val="18"/>
                <w:color w:val="auto"/>
              </w:rPr>
              <w:t>Rubric Capital Management LP</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00" w:type="dxa"/>
            <w:vAlign w:val="bottom"/>
            <w:tcBorders>
              <w:left w:val="single" w:sz="8" w:color="auto"/>
              <w:bottom w:val="single" w:sz="8" w:color="auto"/>
              <w:right w:val="single" w:sz="8" w:color="auto"/>
            </w:tcBorders>
          </w:tcPr>
          <w:p>
            <w:pPr>
              <w:spacing w:after="0"/>
              <w:rPr>
                <w:sz w:val="22"/>
                <w:szCs w:val="22"/>
                <w:color w:val="auto"/>
              </w:rPr>
            </w:pPr>
          </w:p>
        </w:tc>
        <w:tc>
          <w:tcPr>
            <w:tcW w:w="7980" w:type="dxa"/>
            <w:vAlign w:val="bottom"/>
            <w:tcBorders>
              <w:bottom w:val="single" w:sz="8" w:color="auto"/>
            </w:tcBorders>
            <w:gridSpan w:val="4"/>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800" w:type="dxa"/>
            <w:vAlign w:val="bottom"/>
            <w:tcBorders>
              <w:left w:val="single" w:sz="8" w:color="auto"/>
              <w:right w:val="single" w:sz="8" w:color="auto"/>
            </w:tcBorders>
          </w:tcPr>
          <w:p>
            <w:pPr>
              <w:jc w:val="center"/>
              <w:spacing w:after="0" w:line="258" w:lineRule="exact"/>
              <w:rPr>
                <w:sz w:val="20"/>
                <w:szCs w:val="20"/>
                <w:color w:val="auto"/>
              </w:rPr>
            </w:pPr>
            <w:r>
              <w:rPr>
                <w:rFonts w:ascii="Arial" w:cs="Arial" w:eastAsia="Arial" w:hAnsi="Arial"/>
                <w:sz w:val="25"/>
                <w:szCs w:val="25"/>
                <w:b w:val="1"/>
                <w:bCs w:val="1"/>
                <w:color w:val="auto"/>
                <w:w w:val="85"/>
              </w:rPr>
              <w:t>2</w:t>
            </w:r>
          </w:p>
        </w:tc>
        <w:tc>
          <w:tcPr>
            <w:tcW w:w="7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46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3"/>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w w:val="85"/>
              </w:rPr>
              <w:t>3</w:t>
            </w:r>
          </w:p>
        </w:tc>
        <w:tc>
          <w:tcPr>
            <w:tcW w:w="14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1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798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1800" w:type="dxa"/>
            <w:vAlign w:val="bottom"/>
            <w:tcBorders>
              <w:left w:val="single" w:sz="8" w:color="auto"/>
              <w:right w:val="single" w:sz="8" w:color="auto"/>
            </w:tcBorders>
          </w:tcPr>
          <w:p>
            <w:pPr>
              <w:jc w:val="center"/>
              <w:spacing w:after="0" w:line="265" w:lineRule="exact"/>
              <w:rPr>
                <w:sz w:val="20"/>
                <w:szCs w:val="20"/>
                <w:color w:val="auto"/>
              </w:rPr>
            </w:pPr>
            <w:r>
              <w:rPr>
                <w:rFonts w:ascii="Arial" w:cs="Arial" w:eastAsia="Arial" w:hAnsi="Arial"/>
                <w:sz w:val="25"/>
                <w:szCs w:val="25"/>
                <w:b w:val="1"/>
                <w:bCs w:val="1"/>
                <w:color w:val="auto"/>
                <w:w w:val="85"/>
              </w:rPr>
              <w:t>4</w:t>
            </w:r>
          </w:p>
        </w:tc>
        <w:tc>
          <w:tcPr>
            <w:tcW w:w="7980" w:type="dxa"/>
            <w:vAlign w:val="bottom"/>
            <w:gridSpan w:val="4"/>
          </w:tcPr>
          <w:p>
            <w:pPr>
              <w:ind w:left="40"/>
              <w:spacing w:after="0"/>
              <w:rPr>
                <w:sz w:val="20"/>
                <w:szCs w:val="20"/>
                <w:color w:val="auto"/>
              </w:rPr>
            </w:pPr>
            <w:r>
              <w:rPr>
                <w:rFonts w:ascii="Arial" w:cs="Arial" w:eastAsia="Arial" w:hAnsi="Arial"/>
                <w:sz w:val="18"/>
                <w:szCs w:val="18"/>
                <w:color w:val="auto"/>
              </w:rPr>
              <w:t>SOURCE OF FUNDS</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1460" w:type="dxa"/>
            <w:vAlign w:val="bottom"/>
          </w:tcPr>
          <w:p>
            <w:pPr>
              <w:ind w:left="360"/>
              <w:spacing w:after="0"/>
              <w:rPr>
                <w:sz w:val="20"/>
                <w:szCs w:val="20"/>
                <w:color w:val="auto"/>
              </w:rPr>
            </w:pPr>
            <w:r>
              <w:rPr>
                <w:rFonts w:ascii="Arial" w:cs="Arial" w:eastAsia="Arial" w:hAnsi="Arial"/>
                <w:sz w:val="18"/>
                <w:szCs w:val="18"/>
                <w:color w:val="auto"/>
              </w:rPr>
              <w:t>AF</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00" w:type="dxa"/>
            <w:vAlign w:val="bottom"/>
            <w:tcBorders>
              <w:left w:val="single" w:sz="8" w:color="auto"/>
              <w:bottom w:val="single" w:sz="8" w:color="auto"/>
              <w:right w:val="single" w:sz="8" w:color="auto"/>
            </w:tcBorders>
          </w:tcPr>
          <w:p>
            <w:pPr>
              <w:spacing w:after="0"/>
              <w:rPr>
                <w:sz w:val="22"/>
                <w:szCs w:val="22"/>
                <w:color w:val="auto"/>
              </w:rPr>
            </w:pPr>
          </w:p>
        </w:tc>
        <w:tc>
          <w:tcPr>
            <w:tcW w:w="7980" w:type="dxa"/>
            <w:vAlign w:val="bottom"/>
            <w:tcBorders>
              <w:bottom w:val="single" w:sz="8" w:color="auto"/>
            </w:tcBorders>
            <w:gridSpan w:val="4"/>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800" w:type="dxa"/>
            <w:vAlign w:val="bottom"/>
            <w:tcBorders>
              <w:left w:val="single" w:sz="8" w:color="auto"/>
              <w:right w:val="single" w:sz="8" w:color="auto"/>
            </w:tcBorders>
          </w:tcPr>
          <w:p>
            <w:pPr>
              <w:jc w:val="center"/>
              <w:spacing w:after="0" w:line="265" w:lineRule="exact"/>
              <w:rPr>
                <w:sz w:val="20"/>
                <w:szCs w:val="20"/>
                <w:color w:val="auto"/>
              </w:rPr>
            </w:pPr>
            <w:r>
              <w:rPr>
                <w:rFonts w:ascii="Arial" w:cs="Arial" w:eastAsia="Arial" w:hAnsi="Arial"/>
                <w:sz w:val="25"/>
                <w:szCs w:val="25"/>
                <w:b w:val="1"/>
                <w:bCs w:val="1"/>
                <w:color w:val="auto"/>
                <w:w w:val="85"/>
              </w:rPr>
              <w:t>5</w:t>
            </w:r>
          </w:p>
        </w:tc>
        <w:tc>
          <w:tcPr>
            <w:tcW w:w="7980" w:type="dxa"/>
            <w:vAlign w:val="bottom"/>
            <w:gridSpan w:val="4"/>
          </w:tcPr>
          <w:p>
            <w:pPr>
              <w:ind w:left="40"/>
              <w:spacing w:after="0"/>
              <w:rPr>
                <w:sz w:val="20"/>
                <w:szCs w:val="20"/>
                <w:color w:val="auto"/>
              </w:rPr>
            </w:pPr>
            <w:r>
              <w:rPr>
                <w:rFonts w:ascii="Arial" w:cs="Arial" w:eastAsia="Arial" w:hAnsi="Arial"/>
                <w:sz w:val="18"/>
                <w:szCs w:val="18"/>
                <w:color w:val="auto"/>
                <w:w w:val="96"/>
              </w:rPr>
              <w:t>CHECK BOX IF DISCLOSURE OF LEGAL PROCEEDING IS REQUIRED PURSUANT TO ITEMS 2(d)</w:t>
            </w:r>
          </w:p>
        </w:tc>
        <w:tc>
          <w:tcPr>
            <w:tcW w:w="146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or 2(e)</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798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1800" w:type="dxa"/>
            <w:vAlign w:val="bottom"/>
            <w:tcBorders>
              <w:left w:val="single" w:sz="8" w:color="auto"/>
              <w:right w:val="single" w:sz="8" w:color="auto"/>
            </w:tcBorders>
          </w:tcPr>
          <w:p>
            <w:pPr>
              <w:jc w:val="center"/>
              <w:spacing w:after="0" w:line="265" w:lineRule="exact"/>
              <w:rPr>
                <w:sz w:val="20"/>
                <w:szCs w:val="20"/>
                <w:color w:val="auto"/>
              </w:rPr>
            </w:pPr>
            <w:r>
              <w:rPr>
                <w:rFonts w:ascii="Arial" w:cs="Arial" w:eastAsia="Arial" w:hAnsi="Arial"/>
                <w:sz w:val="25"/>
                <w:szCs w:val="25"/>
                <w:b w:val="1"/>
                <w:bCs w:val="1"/>
                <w:color w:val="auto"/>
                <w:w w:val="85"/>
              </w:rPr>
              <w:t>6</w:t>
            </w:r>
          </w:p>
        </w:tc>
        <w:tc>
          <w:tcPr>
            <w:tcW w:w="7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7980" w:type="dxa"/>
            <w:vAlign w:val="bottom"/>
            <w:gridSpan w:val="4"/>
          </w:tcPr>
          <w:p>
            <w:pPr>
              <w:ind w:left="360"/>
              <w:spacing w:after="0"/>
              <w:rPr>
                <w:sz w:val="20"/>
                <w:szCs w:val="20"/>
                <w:color w:val="auto"/>
              </w:rPr>
            </w:pPr>
            <w:r>
              <w:rPr>
                <w:rFonts w:ascii="Arial" w:cs="Arial" w:eastAsia="Arial" w:hAnsi="Arial"/>
                <w:sz w:val="18"/>
                <w:szCs w:val="18"/>
                <w:color w:val="auto"/>
              </w:rPr>
              <w:t>State of Delaware</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00" w:type="dxa"/>
            <w:vAlign w:val="bottom"/>
            <w:tcBorders>
              <w:left w:val="single" w:sz="8" w:color="auto"/>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6520" w:type="dxa"/>
            <w:vAlign w:val="bottom"/>
            <w:tcBorders>
              <w:bottom w:val="single" w:sz="8" w:color="auto"/>
            </w:tcBorders>
            <w:gridSpan w:val="3"/>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800" w:type="dxa"/>
            <w:vAlign w:val="bottom"/>
            <w:tcBorders>
              <w:left w:val="single" w:sz="8" w:color="auto"/>
              <w:right w:val="single" w:sz="8" w:color="auto"/>
            </w:tcBorders>
          </w:tcPr>
          <w:p>
            <w:pPr>
              <w:spacing w:after="0"/>
              <w:rPr>
                <w:sz w:val="23"/>
                <w:szCs w:val="23"/>
                <w:color w:val="auto"/>
              </w:rPr>
            </w:pPr>
          </w:p>
        </w:tc>
        <w:tc>
          <w:tcPr>
            <w:tcW w:w="1460" w:type="dxa"/>
            <w:vAlign w:val="bottom"/>
            <w:tcBorders>
              <w:right w:val="single" w:sz="8" w:color="auto"/>
            </w:tcBorders>
          </w:tcPr>
          <w:p>
            <w:pPr>
              <w:jc w:val="right"/>
              <w:ind w:right="583"/>
              <w:spacing w:after="0" w:line="265" w:lineRule="exact"/>
              <w:rPr>
                <w:sz w:val="20"/>
                <w:szCs w:val="20"/>
                <w:color w:val="auto"/>
              </w:rPr>
            </w:pPr>
            <w:r>
              <w:rPr>
                <w:rFonts w:ascii="Arial" w:cs="Arial" w:eastAsia="Arial" w:hAnsi="Arial"/>
                <w:sz w:val="25"/>
                <w:szCs w:val="25"/>
                <w:b w:val="1"/>
                <w:bCs w:val="1"/>
                <w:color w:val="auto"/>
              </w:rPr>
              <w:t>7</w:t>
            </w:r>
          </w:p>
        </w:tc>
        <w:tc>
          <w:tcPr>
            <w:tcW w:w="6520" w:type="dxa"/>
            <w:vAlign w:val="bottom"/>
            <w:gridSpan w:val="3"/>
          </w:tcPr>
          <w:p>
            <w:pPr>
              <w:ind w:left="40"/>
              <w:spacing w:after="0"/>
              <w:rPr>
                <w:sz w:val="20"/>
                <w:szCs w:val="20"/>
                <w:color w:val="auto"/>
              </w:rPr>
            </w:pPr>
            <w:r>
              <w:rPr>
                <w:rFonts w:ascii="Arial" w:cs="Arial" w:eastAsia="Arial" w:hAnsi="Arial"/>
                <w:sz w:val="18"/>
                <w:szCs w:val="18"/>
                <w:color w:val="auto"/>
              </w:rPr>
              <w:t>SOLE VOTING POWER</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rPr>
              <w:t>-0-</w:t>
            </w:r>
          </w:p>
        </w:tc>
        <w:tc>
          <w:tcPr>
            <w:tcW w:w="190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46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800" w:type="dxa"/>
            <w:vAlign w:val="bottom"/>
            <w:tcBorders>
              <w:left w:val="single" w:sz="8" w:color="auto"/>
              <w:right w:val="single" w:sz="8" w:color="auto"/>
            </w:tcBorders>
            <w:vMerge w:val="continue"/>
          </w:tcPr>
          <w:p>
            <w:pPr>
              <w:spacing w:after="0"/>
              <w:rPr>
                <w:sz w:val="16"/>
                <w:szCs w:val="16"/>
                <w:color w:val="auto"/>
              </w:rPr>
            </w:pPr>
          </w:p>
        </w:tc>
        <w:tc>
          <w:tcPr>
            <w:tcW w:w="1460" w:type="dxa"/>
            <w:vAlign w:val="bottom"/>
            <w:tcBorders>
              <w:right w:val="single" w:sz="8" w:color="auto"/>
            </w:tcBorders>
            <w:vMerge w:val="restart"/>
          </w:tcPr>
          <w:p>
            <w:pPr>
              <w:jc w:val="right"/>
              <w:ind w:right="583"/>
              <w:spacing w:after="0" w:line="250" w:lineRule="exact"/>
              <w:rPr>
                <w:sz w:val="20"/>
                <w:szCs w:val="20"/>
                <w:color w:val="auto"/>
              </w:rPr>
            </w:pPr>
            <w:r>
              <w:rPr>
                <w:rFonts w:ascii="Arial" w:cs="Arial" w:eastAsia="Arial" w:hAnsi="Arial"/>
                <w:sz w:val="25"/>
                <w:szCs w:val="25"/>
                <w:b w:val="1"/>
                <w:bCs w:val="1"/>
                <w:color w:val="auto"/>
              </w:rPr>
              <w:t>8</w:t>
            </w:r>
          </w:p>
        </w:tc>
        <w:tc>
          <w:tcPr>
            <w:tcW w:w="6520" w:type="dxa"/>
            <w:vAlign w:val="bottom"/>
            <w:gridSpan w:val="3"/>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460" w:type="dxa"/>
            <w:vAlign w:val="bottom"/>
            <w:tcBorders>
              <w:right w:val="single" w:sz="8" w:color="auto"/>
            </w:tcBorders>
            <w:vMerge w:val="continue"/>
          </w:tcPr>
          <w:p>
            <w:pPr>
              <w:spacing w:after="0"/>
              <w:rPr>
                <w:sz w:val="4"/>
                <w:szCs w:val="4"/>
                <w:color w:val="auto"/>
              </w:rPr>
            </w:pPr>
          </w:p>
        </w:tc>
        <w:tc>
          <w:tcPr>
            <w:tcW w:w="6520" w:type="dxa"/>
            <w:vAlign w:val="bottom"/>
            <w:gridSpan w:val="3"/>
            <w:vMerge w:val="continue"/>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00" w:type="dxa"/>
            <w:vAlign w:val="bottom"/>
            <w:tcBorders>
              <w:left w:val="single" w:sz="8" w:color="auto"/>
              <w:right w:val="single" w:sz="8" w:color="auto"/>
            </w:tcBorders>
            <w:vMerge w:val="continue"/>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3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75,000,000 Ordinary Shares (represented by 15,000,000 ADRs)</w:t>
            </w: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80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BENEFICIALLY</w:t>
            </w:r>
          </w:p>
        </w:tc>
        <w:tc>
          <w:tcPr>
            <w:tcW w:w="14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46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0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restart"/>
          </w:tcPr>
          <w:p>
            <w:pPr>
              <w:jc w:val="right"/>
              <w:ind w:right="583"/>
              <w:spacing w:after="0" w:line="265" w:lineRule="exact"/>
              <w:rPr>
                <w:sz w:val="20"/>
                <w:szCs w:val="20"/>
                <w:color w:val="auto"/>
              </w:rPr>
            </w:pPr>
            <w:r>
              <w:rPr>
                <w:rFonts w:ascii="Arial" w:cs="Arial" w:eastAsia="Arial" w:hAnsi="Arial"/>
                <w:sz w:val="25"/>
                <w:szCs w:val="25"/>
                <w:b w:val="1"/>
                <w:bCs w:val="1"/>
                <w:color w:val="auto"/>
              </w:rPr>
              <w:t>9</w:t>
            </w:r>
          </w:p>
        </w:tc>
        <w:tc>
          <w:tcPr>
            <w:tcW w:w="6520" w:type="dxa"/>
            <w:vAlign w:val="bottom"/>
            <w:gridSpan w:val="3"/>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0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5"/>
              </w:rPr>
              <w:t>EACH</w:t>
            </w:r>
          </w:p>
        </w:tc>
        <w:tc>
          <w:tcPr>
            <w:tcW w:w="1460" w:type="dxa"/>
            <w:vAlign w:val="bottom"/>
            <w:tcBorders>
              <w:right w:val="single" w:sz="8" w:color="auto"/>
            </w:tcBorders>
            <w:vMerge w:val="continue"/>
          </w:tcPr>
          <w:p>
            <w:pPr>
              <w:spacing w:after="0"/>
              <w:rPr>
                <w:sz w:val="16"/>
                <w:szCs w:val="16"/>
                <w:color w:val="auto"/>
              </w:rPr>
            </w:pPr>
          </w:p>
        </w:tc>
        <w:tc>
          <w:tcPr>
            <w:tcW w:w="6520" w:type="dxa"/>
            <w:vAlign w:val="bottom"/>
            <w:gridSpan w:val="3"/>
            <w:vMerge w:val="continue"/>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460" w:type="dxa"/>
            <w:vAlign w:val="bottom"/>
            <w:tcBorders>
              <w:right w:val="single" w:sz="8" w:color="auto"/>
            </w:tcBorders>
          </w:tcPr>
          <w:p>
            <w:pPr>
              <w:spacing w:after="0"/>
              <w:rPr>
                <w:sz w:val="20"/>
                <w:szCs w:val="20"/>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rPr>
              <w:t>-0-</w:t>
            </w:r>
          </w:p>
        </w:tc>
        <w:tc>
          <w:tcPr>
            <w:tcW w:w="190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PERSON WITH:</w:t>
            </w:r>
          </w:p>
        </w:tc>
        <w:tc>
          <w:tcPr>
            <w:tcW w:w="14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1800" w:type="dxa"/>
            <w:vAlign w:val="bottom"/>
            <w:tcBorders>
              <w:left w:val="single" w:sz="8" w:color="auto"/>
              <w:right w:val="single" w:sz="8" w:color="auto"/>
            </w:tcBorders>
          </w:tcPr>
          <w:p>
            <w:pPr>
              <w:spacing w:after="0"/>
              <w:rPr>
                <w:sz w:val="23"/>
                <w:szCs w:val="23"/>
                <w:color w:val="auto"/>
              </w:rPr>
            </w:pPr>
          </w:p>
        </w:tc>
        <w:tc>
          <w:tcPr>
            <w:tcW w:w="1460" w:type="dxa"/>
            <w:vAlign w:val="bottom"/>
            <w:tcBorders>
              <w:right w:val="single" w:sz="8" w:color="auto"/>
            </w:tcBorders>
          </w:tcPr>
          <w:p>
            <w:pPr>
              <w:ind w:left="580"/>
              <w:spacing w:after="0" w:line="271" w:lineRule="exact"/>
              <w:rPr>
                <w:sz w:val="20"/>
                <w:szCs w:val="20"/>
                <w:color w:val="auto"/>
              </w:rPr>
            </w:pPr>
            <w:r>
              <w:rPr>
                <w:rFonts w:ascii="Arial" w:cs="Arial" w:eastAsia="Arial" w:hAnsi="Arial"/>
                <w:sz w:val="25"/>
                <w:szCs w:val="25"/>
                <w:b w:val="1"/>
                <w:bCs w:val="1"/>
                <w:color w:val="auto"/>
              </w:rPr>
              <w:t>10</w:t>
            </w:r>
          </w:p>
        </w:tc>
        <w:tc>
          <w:tcPr>
            <w:tcW w:w="6520" w:type="dxa"/>
            <w:vAlign w:val="bottom"/>
            <w:gridSpan w:val="3"/>
          </w:tcPr>
          <w:p>
            <w:pPr>
              <w:ind w:left="40"/>
              <w:spacing w:after="0"/>
              <w:rPr>
                <w:sz w:val="20"/>
                <w:szCs w:val="20"/>
                <w:color w:val="auto"/>
              </w:rPr>
            </w:pPr>
            <w:r>
              <w:rPr>
                <w:rFonts w:ascii="Arial" w:cs="Arial" w:eastAsia="Arial" w:hAnsi="Arial"/>
                <w:sz w:val="18"/>
                <w:szCs w:val="18"/>
                <w:color w:val="auto"/>
              </w:rPr>
              <w:t>SHARED DISPOSITIVE POWER</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380" w:type="dxa"/>
            <w:vAlign w:val="bottom"/>
            <w:gridSpan w:val="2"/>
          </w:tcPr>
          <w:p>
            <w:pPr>
              <w:ind w:left="220"/>
              <w:spacing w:after="0"/>
              <w:rPr>
                <w:sz w:val="20"/>
                <w:szCs w:val="20"/>
                <w:color w:val="auto"/>
              </w:rPr>
            </w:pPr>
            <w:r>
              <w:rPr>
                <w:rFonts w:ascii="Arial" w:cs="Arial" w:eastAsia="Arial" w:hAnsi="Arial"/>
                <w:sz w:val="18"/>
                <w:szCs w:val="18"/>
                <w:color w:val="auto"/>
              </w:rPr>
              <w:t>75,000,000 Ordinary Shares (represented by 15,000,000 ADRs)</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00" w:type="dxa"/>
            <w:vAlign w:val="bottom"/>
            <w:tcBorders>
              <w:left w:val="single" w:sz="8" w:color="auto"/>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6520" w:type="dxa"/>
            <w:vAlign w:val="bottom"/>
            <w:tcBorders>
              <w:bottom w:val="single" w:sz="8" w:color="auto"/>
            </w:tcBorders>
            <w:gridSpan w:val="3"/>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800" w:type="dxa"/>
            <w:vAlign w:val="bottom"/>
            <w:tcBorders>
              <w:left w:val="single" w:sz="8" w:color="auto"/>
              <w:right w:val="single" w:sz="8" w:color="auto"/>
            </w:tcBorders>
          </w:tcPr>
          <w:p>
            <w:pPr>
              <w:jc w:val="center"/>
              <w:spacing w:after="0" w:line="265" w:lineRule="exact"/>
              <w:rPr>
                <w:sz w:val="20"/>
                <w:szCs w:val="20"/>
                <w:color w:val="auto"/>
              </w:rPr>
            </w:pPr>
            <w:r>
              <w:rPr>
                <w:rFonts w:ascii="Arial" w:cs="Arial" w:eastAsia="Arial" w:hAnsi="Arial"/>
                <w:sz w:val="25"/>
                <w:szCs w:val="25"/>
                <w:b w:val="1"/>
                <w:bCs w:val="1"/>
                <w:color w:val="auto"/>
                <w:w w:val="86"/>
              </w:rPr>
              <w:t>11</w:t>
            </w:r>
          </w:p>
        </w:tc>
        <w:tc>
          <w:tcPr>
            <w:tcW w:w="7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PERSON</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7980" w:type="dxa"/>
            <w:vAlign w:val="bottom"/>
            <w:gridSpan w:val="4"/>
          </w:tcPr>
          <w:p>
            <w:pPr>
              <w:ind w:left="360"/>
              <w:spacing w:after="0"/>
              <w:rPr>
                <w:sz w:val="20"/>
                <w:szCs w:val="20"/>
                <w:color w:val="auto"/>
              </w:rPr>
            </w:pPr>
            <w:r>
              <w:rPr>
                <w:rFonts w:ascii="Arial" w:cs="Arial" w:eastAsia="Arial" w:hAnsi="Arial"/>
                <w:sz w:val="18"/>
                <w:szCs w:val="18"/>
                <w:color w:val="auto"/>
              </w:rPr>
              <w:t>75,000,000 Ordinary Shares (represented by 15,000,000 ADRs)</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00" w:type="dxa"/>
            <w:vAlign w:val="bottom"/>
            <w:tcBorders>
              <w:left w:val="single" w:sz="8" w:color="auto"/>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6520" w:type="dxa"/>
            <w:vAlign w:val="bottom"/>
            <w:tcBorders>
              <w:bottom w:val="single" w:sz="8" w:color="auto"/>
            </w:tcBorders>
            <w:gridSpan w:val="3"/>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w w:val="86"/>
              </w:rPr>
              <w:t>12</w:t>
            </w:r>
          </w:p>
        </w:tc>
        <w:tc>
          <w:tcPr>
            <w:tcW w:w="798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6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1"/>
        </w:trPr>
        <w:tc>
          <w:tcPr>
            <w:tcW w:w="1800" w:type="dxa"/>
            <w:vAlign w:val="bottom"/>
            <w:tcBorders>
              <w:left w:val="single" w:sz="8" w:color="auto"/>
              <w:bottom w:val="single" w:sz="8" w:color="auto"/>
              <w:right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6520" w:type="dxa"/>
            <w:vAlign w:val="bottom"/>
            <w:tcBorders>
              <w:bottom w:val="single" w:sz="8" w:color="auto"/>
            </w:tcBorders>
            <w:gridSpan w:val="3"/>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800" w:type="dxa"/>
            <w:vAlign w:val="bottom"/>
            <w:tcBorders>
              <w:left w:val="single" w:sz="8" w:color="auto"/>
              <w:right w:val="single" w:sz="8" w:color="auto"/>
            </w:tcBorders>
          </w:tcPr>
          <w:p>
            <w:pPr>
              <w:jc w:val="center"/>
              <w:spacing w:after="0" w:line="265" w:lineRule="exact"/>
              <w:rPr>
                <w:sz w:val="20"/>
                <w:szCs w:val="20"/>
                <w:color w:val="auto"/>
              </w:rPr>
            </w:pPr>
            <w:r>
              <w:rPr>
                <w:rFonts w:ascii="Arial" w:cs="Arial" w:eastAsia="Arial" w:hAnsi="Arial"/>
                <w:sz w:val="25"/>
                <w:szCs w:val="25"/>
                <w:b w:val="1"/>
                <w:bCs w:val="1"/>
                <w:color w:val="auto"/>
                <w:w w:val="86"/>
              </w:rPr>
              <w:t>13</w:t>
            </w:r>
          </w:p>
        </w:tc>
        <w:tc>
          <w:tcPr>
            <w:tcW w:w="7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1460" w:type="dxa"/>
            <w:vAlign w:val="bottom"/>
          </w:tcPr>
          <w:p>
            <w:pPr>
              <w:jc w:val="right"/>
              <w:ind w:right="443"/>
              <w:spacing w:after="0"/>
              <w:rPr>
                <w:sz w:val="20"/>
                <w:szCs w:val="20"/>
                <w:color w:val="auto"/>
              </w:rPr>
            </w:pPr>
            <w:r>
              <w:rPr>
                <w:rFonts w:ascii="Arial" w:cs="Arial" w:eastAsia="Arial" w:hAnsi="Arial"/>
                <w:sz w:val="18"/>
                <w:szCs w:val="18"/>
                <w:color w:val="auto"/>
              </w:rPr>
              <w:t>12.82%</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00" w:type="dxa"/>
            <w:vAlign w:val="bottom"/>
            <w:tcBorders>
              <w:left w:val="single" w:sz="8" w:color="auto"/>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6520" w:type="dxa"/>
            <w:vAlign w:val="bottom"/>
            <w:tcBorders>
              <w:bottom w:val="single" w:sz="8" w:color="auto"/>
            </w:tcBorders>
            <w:gridSpan w:val="3"/>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800" w:type="dxa"/>
            <w:vAlign w:val="bottom"/>
            <w:tcBorders>
              <w:left w:val="single" w:sz="8" w:color="auto"/>
              <w:right w:val="single" w:sz="8" w:color="auto"/>
            </w:tcBorders>
          </w:tcPr>
          <w:p>
            <w:pPr>
              <w:jc w:val="center"/>
              <w:spacing w:after="0" w:line="265" w:lineRule="exact"/>
              <w:rPr>
                <w:sz w:val="20"/>
                <w:szCs w:val="20"/>
                <w:color w:val="auto"/>
              </w:rPr>
            </w:pPr>
            <w:r>
              <w:rPr>
                <w:rFonts w:ascii="Arial" w:cs="Arial" w:eastAsia="Arial" w:hAnsi="Arial"/>
                <w:sz w:val="25"/>
                <w:szCs w:val="25"/>
                <w:b w:val="1"/>
                <w:bCs w:val="1"/>
                <w:color w:val="auto"/>
                <w:w w:val="86"/>
              </w:rPr>
              <w:t>14</w:t>
            </w:r>
          </w:p>
        </w:tc>
        <w:tc>
          <w:tcPr>
            <w:tcW w:w="7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1460" w:type="dxa"/>
            <w:vAlign w:val="bottom"/>
          </w:tcPr>
          <w:p>
            <w:pPr>
              <w:ind w:left="360"/>
              <w:spacing w:after="0"/>
              <w:rPr>
                <w:sz w:val="20"/>
                <w:szCs w:val="20"/>
                <w:color w:val="auto"/>
              </w:rPr>
            </w:pPr>
            <w:r>
              <w:rPr>
                <w:rFonts w:ascii="Arial" w:cs="Arial" w:eastAsia="Arial" w:hAnsi="Arial"/>
                <w:sz w:val="18"/>
                <w:szCs w:val="18"/>
                <w:color w:val="auto"/>
              </w:rPr>
              <w:t>PN, IA</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00" w:type="dxa"/>
            <w:vAlign w:val="bottom"/>
            <w:tcBorders>
              <w:left w:val="single" w:sz="8" w:color="auto"/>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66"/>
        </w:trPr>
        <w:tc>
          <w:tcPr>
            <w:tcW w:w="1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589492107</w:t>
            </w:r>
          </w:p>
        </w:tc>
        <w:tc>
          <w:tcPr>
            <w:tcW w:w="44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13D</w:t>
            </w:r>
          </w:p>
        </w:tc>
        <w:tc>
          <w:tcPr>
            <w:tcW w:w="336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87"/>
              </w:rPr>
              <w:t>Page 3 of 9 Pages</w:t>
            </w:r>
          </w:p>
        </w:tc>
      </w:tr>
      <w:tr>
        <w:trPr>
          <w:trHeight w:val="54"/>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31" w:lineRule="exact"/>
        <w:rPr>
          <w:sz w:val="20"/>
          <w:szCs w:val="20"/>
          <w:color w:val="auto"/>
        </w:rPr>
      </w:pPr>
    </w:p>
    <w:p>
      <w:pPr>
        <w:ind w:left="2240" w:right="6740" w:hanging="1391"/>
        <w:spacing w:after="0" w:line="182" w:lineRule="auto"/>
        <w:tabs>
          <w:tab w:leader="none" w:pos="1916" w:val="left"/>
        </w:tabs>
        <w:numPr>
          <w:ilvl w:val="0"/>
          <w:numId w:val="2"/>
        </w:numPr>
        <w:rPr>
          <w:rFonts w:ascii="Arial" w:cs="Arial" w:eastAsia="Arial" w:hAnsi="Arial"/>
          <w:sz w:val="36"/>
          <w:szCs w:val="36"/>
          <w:b w:val="1"/>
          <w:bCs w:val="1"/>
          <w:color w:val="auto"/>
          <w:vertAlign w:val="subscript"/>
        </w:rPr>
      </w:pPr>
      <w:r>
        <w:rPr>
          <w:rFonts w:ascii="Arial" w:cs="Arial" w:eastAsia="Arial" w:hAnsi="Arial"/>
          <w:sz w:val="15"/>
          <w:szCs w:val="15"/>
          <w:color w:val="auto"/>
        </w:rPr>
        <w:t>NAME OF REPORTING PERSON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5520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5206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6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25"/>
                <w:szCs w:val="25"/>
                <w:b w:val="1"/>
                <w:bCs w:val="1"/>
                <w:color w:val="auto"/>
              </w:rPr>
              <w:t>2</w:t>
            </w:r>
          </w:p>
        </w:tc>
        <w:tc>
          <w:tcPr>
            <w:tcW w:w="7340" w:type="dxa"/>
            <w:vAlign w:val="bottom"/>
            <w:tcBorders>
              <w:top w:val="single" w:sz="8" w:color="auto"/>
            </w:tcBorders>
            <w:vMerge w:val="restart"/>
          </w:tcPr>
          <w:p>
            <w:pPr>
              <w:ind w:left="460"/>
              <w:spacing w:after="0"/>
              <w:rPr>
                <w:sz w:val="20"/>
                <w:szCs w:val="20"/>
                <w:color w:val="auto"/>
              </w:rPr>
            </w:pPr>
            <w:r>
              <w:rPr>
                <w:rFonts w:ascii="Arial" w:cs="Arial" w:eastAsia="Arial" w:hAnsi="Arial"/>
                <w:sz w:val="18"/>
                <w:szCs w:val="18"/>
                <w:color w:val="auto"/>
              </w:rPr>
              <w:t>CHECK THE APPROPRIATE BOX IF A MEMBER OF A GROUP</w:t>
            </w:r>
          </w:p>
        </w:tc>
        <w:tc>
          <w:tcPr>
            <w:tcW w:w="244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4"/>
        </w:trPr>
        <w:tc>
          <w:tcPr>
            <w:tcW w:w="1460" w:type="dxa"/>
            <w:vAlign w:val="bottom"/>
            <w:vMerge w:val="continue"/>
          </w:tcPr>
          <w:p>
            <w:pPr>
              <w:spacing w:after="0"/>
              <w:rPr>
                <w:sz w:val="17"/>
                <w:szCs w:val="17"/>
                <w:color w:val="auto"/>
              </w:rPr>
            </w:pPr>
          </w:p>
        </w:tc>
        <w:tc>
          <w:tcPr>
            <w:tcW w:w="7340" w:type="dxa"/>
            <w:vAlign w:val="bottom"/>
            <w:vMerge w:val="continue"/>
          </w:tcPr>
          <w:p>
            <w:pPr>
              <w:spacing w:after="0"/>
              <w:rPr>
                <w:sz w:val="17"/>
                <w:szCs w:val="17"/>
                <w:color w:val="auto"/>
              </w:rPr>
            </w:pPr>
          </w:p>
        </w:tc>
        <w:tc>
          <w:tcPr>
            <w:tcW w:w="2440" w:type="dxa"/>
            <w:vAlign w:val="bottom"/>
            <w:vMerge w:val="restart"/>
          </w:tcPr>
          <w:p>
            <w:pPr>
              <w:jc w:val="right"/>
              <w:ind w:right="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9"/>
        </w:trPr>
        <w:tc>
          <w:tcPr>
            <w:tcW w:w="1460" w:type="dxa"/>
            <w:vAlign w:val="bottom"/>
          </w:tcPr>
          <w:p>
            <w:pPr>
              <w:spacing w:after="0"/>
              <w:rPr>
                <w:sz w:val="6"/>
                <w:szCs w:val="6"/>
                <w:color w:val="auto"/>
              </w:rPr>
            </w:pPr>
          </w:p>
        </w:tc>
        <w:tc>
          <w:tcPr>
            <w:tcW w:w="7340" w:type="dxa"/>
            <w:vAlign w:val="bottom"/>
          </w:tcPr>
          <w:p>
            <w:pPr>
              <w:spacing w:after="0"/>
              <w:rPr>
                <w:sz w:val="6"/>
                <w:szCs w:val="6"/>
                <w:color w:val="auto"/>
              </w:rPr>
            </w:pPr>
          </w:p>
        </w:tc>
        <w:tc>
          <w:tcPr>
            <w:tcW w:w="2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920" w:hanging="1071"/>
        <w:spacing w:after="0" w:line="181" w:lineRule="auto"/>
        <w:tabs>
          <w:tab w:leader="none" w:pos="1920" w:val="left"/>
        </w:tabs>
        <w:numPr>
          <w:ilvl w:val="0"/>
          <w:numId w:val="3"/>
        </w:numPr>
        <w:rPr>
          <w:rFonts w:ascii="Arial" w:cs="Arial" w:eastAsia="Arial" w:hAnsi="Arial"/>
          <w:sz w:val="35"/>
          <w:szCs w:val="35"/>
          <w:b w:val="1"/>
          <w:bCs w:val="1"/>
          <w:color w:val="auto"/>
          <w:vertAlign w:val="subscript"/>
        </w:rPr>
      </w:pPr>
      <w:r>
        <w:rPr>
          <w:rFonts w:ascii="Arial" w:cs="Arial" w:eastAsia="Arial" w:hAnsi="Arial"/>
          <w:sz w:val="15"/>
          <w:szCs w:val="15"/>
          <w:color w:val="auto"/>
        </w:rPr>
        <w:t>SEC USE ONLY</w:t>
      </w:r>
    </w:p>
    <w:p>
      <w:pPr>
        <w:spacing w:after="0" w:line="202" w:lineRule="exact"/>
        <w:rPr>
          <w:sz w:val="20"/>
          <w:szCs w:val="20"/>
          <w:color w:val="auto"/>
        </w:rPr>
      </w:pPr>
    </w:p>
    <w:p>
      <w:pPr>
        <w:ind w:left="2240" w:right="7700" w:hanging="1391"/>
        <w:spacing w:after="0" w:line="182" w:lineRule="auto"/>
        <w:tabs>
          <w:tab w:leader="none" w:pos="1916" w:val="left"/>
        </w:tabs>
        <w:numPr>
          <w:ilvl w:val="0"/>
          <w:numId w:val="4"/>
        </w:numPr>
        <w:rPr>
          <w:rFonts w:ascii="Arial" w:cs="Arial" w:eastAsia="Arial" w:hAnsi="Arial"/>
          <w:sz w:val="36"/>
          <w:szCs w:val="36"/>
          <w:b w:val="1"/>
          <w:bCs w:val="1"/>
          <w:color w:val="auto"/>
          <w:vertAlign w:val="subscript"/>
        </w:rPr>
      </w:pPr>
      <w:r>
        <w:rPr>
          <w:rFonts w:ascii="Arial" w:cs="Arial" w:eastAsia="Arial" w:hAnsi="Arial"/>
          <w:sz w:val="15"/>
          <w:szCs w:val="15"/>
          <w:color w:val="auto"/>
        </w:rPr>
        <w:t>SOURCE OF FUNDS AF</w:t>
      </w:r>
    </w:p>
    <w:p>
      <w:pPr>
        <w:spacing w:after="0" w:line="215" w:lineRule="exact"/>
        <w:rPr>
          <w:sz w:val="20"/>
          <w:szCs w:val="20"/>
          <w:color w:val="auto"/>
        </w:rPr>
      </w:pPr>
    </w:p>
    <w:tbl>
      <w:tblPr>
        <w:tblLayout w:type="fixed"/>
        <w:tblInd w:w="840" w:type="dxa"/>
        <w:tblCellMar>
          <w:top w:w="0" w:type="dxa"/>
          <w:left w:w="0" w:type="dxa"/>
          <w:bottom w:w="0" w:type="dxa"/>
          <w:right w:w="0" w:type="dxa"/>
        </w:tblCellMar>
      </w:tblPr>
      <w:tr>
        <w:trPr>
          <w:trHeight w:val="287"/>
        </w:trPr>
        <w:tc>
          <w:tcPr>
            <w:tcW w:w="620" w:type="dxa"/>
            <w:vAlign w:val="bottom"/>
          </w:tcPr>
          <w:p>
            <w:pPr>
              <w:jc w:val="right"/>
              <w:ind w:right="354"/>
              <w:spacing w:after="0"/>
              <w:rPr>
                <w:sz w:val="20"/>
                <w:szCs w:val="20"/>
                <w:color w:val="auto"/>
              </w:rPr>
            </w:pPr>
            <w:r>
              <w:rPr>
                <w:rFonts w:ascii="Arial" w:cs="Arial" w:eastAsia="Arial" w:hAnsi="Arial"/>
                <w:sz w:val="25"/>
                <w:szCs w:val="25"/>
                <w:b w:val="1"/>
                <w:bCs w:val="1"/>
                <w:color w:val="auto"/>
                <w:w w:val="85"/>
              </w:rPr>
              <w:t>5</w:t>
            </w:r>
          </w:p>
        </w:tc>
        <w:tc>
          <w:tcPr>
            <w:tcW w:w="8900" w:type="dxa"/>
            <w:vAlign w:val="bottom"/>
          </w:tcPr>
          <w:p>
            <w:pPr>
              <w:ind w:left="460"/>
              <w:spacing w:after="0"/>
              <w:rPr>
                <w:sz w:val="20"/>
                <w:szCs w:val="20"/>
                <w:color w:val="auto"/>
              </w:rPr>
            </w:pPr>
            <w:r>
              <w:rPr>
                <w:rFonts w:ascii="Arial" w:cs="Arial" w:eastAsia="Arial" w:hAnsi="Arial"/>
                <w:sz w:val="18"/>
                <w:szCs w:val="18"/>
                <w:color w:val="auto"/>
              </w:rPr>
              <w:t>CHECK BOX IF DISCLOSURE OF LEGAL PROCEEDING IS REQUIRED PURSUANT TO ITEMS 2(d)</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620" w:type="dxa"/>
            <w:vAlign w:val="bottom"/>
          </w:tcPr>
          <w:p>
            <w:pPr>
              <w:spacing w:after="0"/>
              <w:rPr>
                <w:sz w:val="20"/>
                <w:szCs w:val="20"/>
                <w:color w:val="auto"/>
              </w:rPr>
            </w:pPr>
          </w:p>
        </w:tc>
        <w:tc>
          <w:tcPr>
            <w:tcW w:w="8900" w:type="dxa"/>
            <w:vAlign w:val="bottom"/>
          </w:tcPr>
          <w:p>
            <w:pPr>
              <w:ind w:left="460"/>
              <w:spacing w:after="0"/>
              <w:rPr>
                <w:sz w:val="20"/>
                <w:szCs w:val="20"/>
                <w:color w:val="auto"/>
              </w:rPr>
            </w:pPr>
            <w:r>
              <w:rPr>
                <w:rFonts w:ascii="Arial" w:cs="Arial" w:eastAsia="Arial" w:hAnsi="Arial"/>
                <w:sz w:val="18"/>
                <w:szCs w:val="18"/>
                <w:color w:val="auto"/>
              </w:rPr>
              <w:t>or 2(e)</w:t>
            </w:r>
          </w:p>
        </w:tc>
        <w:tc>
          <w:tcPr>
            <w:tcW w:w="760" w:type="dxa"/>
            <w:vAlign w:val="bottom"/>
          </w:tcPr>
          <w:p>
            <w:pPr>
              <w:spacing w:after="0"/>
              <w:rPr>
                <w:sz w:val="20"/>
                <w:szCs w:val="20"/>
                <w:color w:val="auto"/>
              </w:rPr>
            </w:pPr>
          </w:p>
        </w:tc>
      </w:tr>
    </w:tbl>
    <w:p>
      <w:pPr>
        <w:spacing w:after="0" w:line="91" w:lineRule="exact"/>
        <w:rPr>
          <w:sz w:val="20"/>
          <w:szCs w:val="20"/>
          <w:color w:val="auto"/>
        </w:rPr>
      </w:pPr>
    </w:p>
    <w:p>
      <w:pPr>
        <w:ind w:left="2240" w:right="5640" w:hanging="1391"/>
        <w:spacing w:after="0" w:line="182" w:lineRule="auto"/>
        <w:tabs>
          <w:tab w:leader="none" w:pos="1916" w:val="left"/>
        </w:tabs>
        <w:numPr>
          <w:ilvl w:val="0"/>
          <w:numId w:val="5"/>
        </w:numPr>
        <w:rPr>
          <w:rFonts w:ascii="Arial" w:cs="Arial" w:eastAsia="Arial" w:hAnsi="Arial"/>
          <w:sz w:val="36"/>
          <w:szCs w:val="36"/>
          <w:b w:val="1"/>
          <w:bCs w:val="1"/>
          <w:color w:val="auto"/>
          <w:vertAlign w:val="subscript"/>
        </w:rPr>
      </w:pPr>
      <w:r>
        <w:rPr>
          <w:rFonts w:ascii="Arial" w:cs="Arial" w:eastAsia="Arial" w:hAnsi="Arial"/>
          <w:sz w:val="15"/>
          <w:szCs w:val="15"/>
          <w:color w:val="auto"/>
        </w:rPr>
        <w:t>CITIZENSHIP OR PLACE OF ORGANIZATION United States of America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Borders>
              <w:top w:val="single" w:sz="8" w:color="auto"/>
            </w:tcBorders>
          </w:tcPr>
          <w:p>
            <w:pPr>
              <w:spacing w:after="0"/>
              <w:rPr>
                <w:sz w:val="18"/>
                <w:szCs w:val="18"/>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85"/>
              </w:rPr>
              <w:t>7</w:t>
            </w:r>
          </w:p>
        </w:tc>
        <w:tc>
          <w:tcPr>
            <w:tcW w:w="6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50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00" w:type="dxa"/>
            <w:vAlign w:val="bottom"/>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650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50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85"/>
              </w:rPr>
              <w:t>8</w:t>
            </w:r>
          </w:p>
        </w:tc>
        <w:tc>
          <w:tcPr>
            <w:tcW w:w="650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500" w:type="dxa"/>
            <w:vAlign w:val="bottom"/>
            <w:tcBorders>
              <w:right w:val="single" w:sz="8" w:color="auto"/>
            </w:tcBorders>
            <w:vMerge w:val="continue"/>
          </w:tcPr>
          <w:p>
            <w:pPr>
              <w:spacing w:after="0"/>
              <w:rPr>
                <w:sz w:val="7"/>
                <w:szCs w:val="7"/>
                <w:color w:val="auto"/>
              </w:rPr>
            </w:pPr>
          </w:p>
        </w:tc>
        <w:tc>
          <w:tcPr>
            <w:tcW w:w="650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800" w:type="dxa"/>
            <w:vAlign w:val="bottom"/>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6500" w:type="dxa"/>
            <w:vAlign w:val="bottom"/>
            <w:vMerge w:val="restart"/>
          </w:tcPr>
          <w:p>
            <w:pPr>
              <w:ind w:left="420"/>
              <w:spacing w:after="0"/>
              <w:rPr>
                <w:sz w:val="20"/>
                <w:szCs w:val="20"/>
                <w:color w:val="auto"/>
              </w:rPr>
            </w:pPr>
            <w:r>
              <w:rPr>
                <w:rFonts w:ascii="Arial" w:cs="Arial" w:eastAsia="Arial" w:hAnsi="Arial"/>
                <w:sz w:val="18"/>
                <w:szCs w:val="18"/>
                <w:color w:val="auto"/>
              </w:rPr>
              <w:t>75,000,000 Ordinary Shares (represented by 15,000,000 ADRs)</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500" w:type="dxa"/>
            <w:vAlign w:val="bottom"/>
            <w:tcBorders>
              <w:right w:val="single" w:sz="8" w:color="auto"/>
            </w:tcBorders>
          </w:tcPr>
          <w:p>
            <w:pPr>
              <w:spacing w:after="0"/>
              <w:rPr>
                <w:sz w:val="8"/>
                <w:szCs w:val="8"/>
                <w:color w:val="auto"/>
              </w:rPr>
            </w:pPr>
          </w:p>
        </w:tc>
        <w:tc>
          <w:tcPr>
            <w:tcW w:w="650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0" w:type="dxa"/>
            <w:vAlign w:val="bottom"/>
            <w:vMerge w:val="continue"/>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6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500" w:type="dxa"/>
            <w:vAlign w:val="bottom"/>
            <w:tcBorders>
              <w:bottom w:val="single" w:sz="8" w:color="auto"/>
              <w:right w:val="single" w:sz="8" w:color="auto"/>
            </w:tcBorders>
          </w:tcPr>
          <w:p>
            <w:pPr>
              <w:spacing w:after="0"/>
              <w:rPr>
                <w:sz w:val="8"/>
                <w:szCs w:val="8"/>
                <w:color w:val="auto"/>
              </w:rPr>
            </w:pPr>
          </w:p>
        </w:tc>
        <w:tc>
          <w:tcPr>
            <w:tcW w:w="6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85"/>
              </w:rPr>
              <w:t>9</w:t>
            </w:r>
          </w:p>
        </w:tc>
        <w:tc>
          <w:tcPr>
            <w:tcW w:w="650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500" w:type="dxa"/>
            <w:vAlign w:val="bottom"/>
            <w:tcBorders>
              <w:right w:val="single" w:sz="8" w:color="auto"/>
            </w:tcBorders>
            <w:vMerge w:val="continue"/>
          </w:tcPr>
          <w:p>
            <w:pPr>
              <w:spacing w:after="0"/>
              <w:rPr>
                <w:sz w:val="8"/>
                <w:szCs w:val="8"/>
                <w:color w:val="auto"/>
              </w:rPr>
            </w:pPr>
          </w:p>
        </w:tc>
        <w:tc>
          <w:tcPr>
            <w:tcW w:w="650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0" w:type="dxa"/>
            <w:vAlign w:val="bottom"/>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50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500" w:type="dxa"/>
            <w:vAlign w:val="bottom"/>
            <w:tcBorders>
              <w:right w:val="single" w:sz="8" w:color="auto"/>
            </w:tcBorders>
          </w:tcPr>
          <w:p>
            <w:pPr>
              <w:spacing w:after="0"/>
              <w:rPr>
                <w:sz w:val="9"/>
                <w:szCs w:val="9"/>
                <w:color w:val="auto"/>
              </w:rPr>
            </w:pPr>
          </w:p>
        </w:tc>
        <w:tc>
          <w:tcPr>
            <w:tcW w:w="65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6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500" w:type="dxa"/>
            <w:vAlign w:val="bottom"/>
            <w:tcBorders>
              <w:bottom w:val="single" w:sz="8" w:color="auto"/>
              <w:right w:val="single" w:sz="8" w:color="auto"/>
            </w:tcBorders>
          </w:tcPr>
          <w:p>
            <w:pPr>
              <w:spacing w:after="0"/>
              <w:rPr>
                <w:sz w:val="9"/>
                <w:szCs w:val="9"/>
                <w:color w:val="auto"/>
              </w:rPr>
            </w:pPr>
          </w:p>
        </w:tc>
        <w:tc>
          <w:tcPr>
            <w:tcW w:w="65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93"/>
              </w:rPr>
              <w:t>10</w:t>
            </w:r>
          </w:p>
        </w:tc>
        <w:tc>
          <w:tcPr>
            <w:tcW w:w="650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800" w:type="dxa"/>
            <w:vAlign w:val="bottom"/>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650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500" w:type="dxa"/>
            <w:vAlign w:val="bottom"/>
            <w:vMerge w:val="restart"/>
          </w:tcPr>
          <w:p>
            <w:pPr>
              <w:ind w:left="420"/>
              <w:spacing w:after="0"/>
              <w:rPr>
                <w:sz w:val="20"/>
                <w:szCs w:val="20"/>
                <w:color w:val="auto"/>
              </w:rPr>
            </w:pPr>
            <w:r>
              <w:rPr>
                <w:rFonts w:ascii="Arial" w:cs="Arial" w:eastAsia="Arial" w:hAnsi="Arial"/>
                <w:sz w:val="18"/>
                <w:szCs w:val="18"/>
                <w:color w:val="auto"/>
              </w:rPr>
              <w:t>75,000,000 Ordinary Shares (represented by 15,000,000 ADRs)</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00" w:type="dxa"/>
            <w:vAlign w:val="bottom"/>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650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00" w:type="dxa"/>
            <w:vAlign w:val="bottom"/>
            <w:vMerge w:val="restart"/>
          </w:tcPr>
          <w:p>
            <w:pPr>
              <w:jc w:val="center"/>
              <w:spacing w:after="0"/>
              <w:rPr>
                <w:sz w:val="20"/>
                <w:szCs w:val="20"/>
                <w:color w:val="auto"/>
              </w:rPr>
            </w:pPr>
            <w:r>
              <w:rPr>
                <w:rFonts w:ascii="Arial" w:cs="Arial" w:eastAsia="Arial" w:hAnsi="Arial"/>
                <w:sz w:val="25"/>
                <w:szCs w:val="25"/>
                <w:b w:val="1"/>
                <w:bCs w:val="1"/>
                <w:color w:val="auto"/>
                <w:w w:val="86"/>
              </w:rPr>
              <w:t>11</w:t>
            </w:r>
          </w:p>
        </w:tc>
        <w:tc>
          <w:tcPr>
            <w:tcW w:w="800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AGGREGATE AMOUNT BENEFICIALLY OWNED BY EACH PERSON</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00" w:type="dxa"/>
            <w:vAlign w:val="bottom"/>
            <w:vMerge w:val="continue"/>
          </w:tcPr>
          <w:p>
            <w:pPr>
              <w:spacing w:after="0"/>
              <w:rPr>
                <w:sz w:val="14"/>
                <w:szCs w:val="14"/>
                <w:color w:val="auto"/>
              </w:rPr>
            </w:pPr>
          </w:p>
        </w:tc>
        <w:tc>
          <w:tcPr>
            <w:tcW w:w="8000" w:type="dxa"/>
            <w:vAlign w:val="bottom"/>
            <w:gridSpan w:val="2"/>
            <w:vMerge w:val="restart"/>
          </w:tcPr>
          <w:p>
            <w:pPr>
              <w:ind w:left="440"/>
              <w:spacing w:after="0"/>
              <w:rPr>
                <w:sz w:val="20"/>
                <w:szCs w:val="20"/>
                <w:color w:val="auto"/>
              </w:rPr>
            </w:pPr>
            <w:r>
              <w:rPr>
                <w:rFonts w:ascii="Arial" w:cs="Arial" w:eastAsia="Arial" w:hAnsi="Arial"/>
                <w:sz w:val="18"/>
                <w:szCs w:val="18"/>
                <w:color w:val="auto"/>
              </w:rPr>
              <w:t>75,000,000 Ordinary Shares (represented by 15,000,000 ADRs)</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00" w:type="dxa"/>
            <w:vAlign w:val="bottom"/>
          </w:tcPr>
          <w:p>
            <w:pPr>
              <w:spacing w:after="0"/>
              <w:rPr>
                <w:sz w:val="5"/>
                <w:szCs w:val="5"/>
                <w:color w:val="auto"/>
              </w:rPr>
            </w:pPr>
          </w:p>
        </w:tc>
        <w:tc>
          <w:tcPr>
            <w:tcW w:w="8000" w:type="dxa"/>
            <w:vAlign w:val="bottom"/>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1800" w:type="dxa"/>
            <w:vAlign w:val="bottom"/>
          </w:tcPr>
          <w:p>
            <w:pPr>
              <w:jc w:val="center"/>
              <w:spacing w:after="0"/>
              <w:rPr>
                <w:sz w:val="20"/>
                <w:szCs w:val="20"/>
                <w:color w:val="auto"/>
              </w:rPr>
            </w:pPr>
            <w:r>
              <w:rPr>
                <w:rFonts w:ascii="Arial" w:cs="Arial" w:eastAsia="Arial" w:hAnsi="Arial"/>
                <w:sz w:val="25"/>
                <w:szCs w:val="25"/>
                <w:b w:val="1"/>
                <w:bCs w:val="1"/>
                <w:color w:val="auto"/>
                <w:w w:val="93"/>
              </w:rPr>
              <w:t>12</w:t>
            </w:r>
          </w:p>
        </w:tc>
        <w:tc>
          <w:tcPr>
            <w:tcW w:w="800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4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99"/>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00" w:type="dxa"/>
            <w:vAlign w:val="bottom"/>
            <w:vMerge w:val="restart"/>
          </w:tcPr>
          <w:p>
            <w:pPr>
              <w:jc w:val="center"/>
              <w:spacing w:after="0"/>
              <w:rPr>
                <w:sz w:val="20"/>
                <w:szCs w:val="20"/>
                <w:color w:val="auto"/>
              </w:rPr>
            </w:pPr>
            <w:r>
              <w:rPr>
                <w:rFonts w:ascii="Arial" w:cs="Arial" w:eastAsia="Arial" w:hAnsi="Arial"/>
                <w:sz w:val="25"/>
                <w:szCs w:val="25"/>
                <w:b w:val="1"/>
                <w:bCs w:val="1"/>
                <w:color w:val="auto"/>
                <w:w w:val="93"/>
              </w:rPr>
              <w:t>13</w:t>
            </w:r>
          </w:p>
        </w:tc>
        <w:tc>
          <w:tcPr>
            <w:tcW w:w="800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18"/>
                <w:szCs w:val="18"/>
                <w:color w:val="auto"/>
              </w:rPr>
              <w:t>12.82%</w:t>
            </w:r>
          </w:p>
        </w:tc>
        <w:tc>
          <w:tcPr>
            <w:tcW w:w="6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0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65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00" w:type="dxa"/>
            <w:vAlign w:val="bottom"/>
            <w:vMerge w:val="restart"/>
          </w:tcPr>
          <w:p>
            <w:pPr>
              <w:jc w:val="center"/>
              <w:spacing w:after="0"/>
              <w:rPr>
                <w:sz w:val="20"/>
                <w:szCs w:val="20"/>
                <w:color w:val="auto"/>
              </w:rPr>
            </w:pPr>
            <w:r>
              <w:rPr>
                <w:rFonts w:ascii="Arial" w:cs="Arial" w:eastAsia="Arial" w:hAnsi="Arial"/>
                <w:sz w:val="25"/>
                <w:szCs w:val="25"/>
                <w:b w:val="1"/>
                <w:bCs w:val="1"/>
                <w:color w:val="auto"/>
                <w:w w:val="93"/>
              </w:rPr>
              <w:t>14</w:t>
            </w:r>
          </w:p>
        </w:tc>
        <w:tc>
          <w:tcPr>
            <w:tcW w:w="800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18"/>
                <w:szCs w:val="18"/>
                <w:color w:val="auto"/>
              </w:rPr>
              <w:t>IN</w:t>
            </w:r>
          </w:p>
        </w:tc>
        <w:tc>
          <w:tcPr>
            <w:tcW w:w="6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0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65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3"/>
        </w:trPr>
        <w:tc>
          <w:tcPr>
            <w:tcW w:w="1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40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589492107</w:t>
            </w:r>
          </w:p>
        </w:tc>
        <w:tc>
          <w:tcPr>
            <w:tcW w:w="44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13D</w:t>
            </w:r>
          </w:p>
        </w:tc>
        <w:tc>
          <w:tcPr>
            <w:tcW w:w="336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87"/>
              </w:rPr>
              <w:t>Page 4 of 9 Pages</w:t>
            </w:r>
          </w:p>
        </w:tc>
      </w:tr>
      <w:tr>
        <w:trPr>
          <w:trHeight w:val="54"/>
        </w:trPr>
        <w:tc>
          <w:tcPr>
            <w:tcW w:w="760" w:type="dxa"/>
            <w:vAlign w:val="bottom"/>
            <w:tcBorders>
              <w:left w:val="single" w:sz="8" w:color="auto"/>
              <w:bottom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642"/>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640" w:type="dxa"/>
            <w:vAlign w:val="bottom"/>
          </w:tcPr>
          <w:p>
            <w:pPr>
              <w:ind w:left="220"/>
              <w:spacing w:after="0"/>
              <w:rPr>
                <w:sz w:val="20"/>
                <w:szCs w:val="20"/>
                <w:color w:val="auto"/>
              </w:rPr>
            </w:pPr>
            <w:r>
              <w:rPr>
                <w:rFonts w:ascii="Arial" w:cs="Arial" w:eastAsia="Arial" w:hAnsi="Arial"/>
                <w:sz w:val="18"/>
                <w:szCs w:val="18"/>
                <w:b w:val="1"/>
                <w:bCs w:val="1"/>
                <w:color w:val="auto"/>
              </w:rPr>
              <w:t>SECURITY AND ISSUER</w:t>
            </w:r>
          </w:p>
        </w:tc>
        <w:tc>
          <w:tcPr>
            <w:tcW w:w="448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This statement on Schedule 13D (the “</w:t>
      </w:r>
      <w:r>
        <w:rPr>
          <w:rFonts w:ascii="Arial" w:cs="Arial" w:eastAsia="Arial" w:hAnsi="Arial"/>
          <w:sz w:val="17"/>
          <w:szCs w:val="17"/>
          <w:u w:val="single" w:color="auto"/>
          <w:color w:val="auto"/>
        </w:rPr>
        <w:t>Schedule 13D</w:t>
      </w:r>
      <w:r>
        <w:rPr>
          <w:rFonts w:ascii="Arial" w:cs="Arial" w:eastAsia="Arial" w:hAnsi="Arial"/>
          <w:sz w:val="17"/>
          <w:szCs w:val="17"/>
          <w:color w:val="auto"/>
        </w:rPr>
        <w:t>”) relates to the ordinary shares stock, par value , £0.003 par value per share (the</w:t>
      </w:r>
    </w:p>
    <w:p>
      <w:pPr>
        <w:spacing w:after="0" w:line="35" w:lineRule="exact"/>
        <w:rPr>
          <w:sz w:val="20"/>
          <w:szCs w:val="20"/>
          <w:color w:val="auto"/>
        </w:rPr>
      </w:pPr>
    </w:p>
    <w:p>
      <w:pPr>
        <w:ind w:left="980" w:right="46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Ordinary Shares</w:t>
      </w:r>
      <w:r>
        <w:rPr>
          <w:rFonts w:ascii="Arial" w:cs="Arial" w:eastAsia="Arial" w:hAnsi="Arial"/>
          <w:sz w:val="17"/>
          <w:szCs w:val="17"/>
          <w:color w:val="auto"/>
        </w:rPr>
        <w:t>”), of Mereo BioPharma Group plc, a public limited company under the laws of England and Wales (the “</w:t>
      </w:r>
      <w:r>
        <w:rPr>
          <w:rFonts w:ascii="Arial" w:cs="Arial" w:eastAsia="Arial" w:hAnsi="Arial"/>
          <w:sz w:val="17"/>
          <w:szCs w:val="17"/>
          <w:u w:val="single" w:color="auto"/>
          <w:color w:val="auto"/>
        </w:rPr>
        <w:t>Issuer</w:t>
      </w:r>
      <w:r>
        <w:rPr>
          <w:rFonts w:ascii="Arial" w:cs="Arial" w:eastAsia="Arial" w:hAnsi="Arial"/>
          <w:sz w:val="17"/>
          <w:szCs w:val="17"/>
          <w:color w:val="auto"/>
        </w:rPr>
        <w:t>”). The Issuer’s principal executive offices are located at 4th Floor, One Cavendish Place, London, W1G 0QF, United Kingdom.</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IDENTITY AND BACKGROUND</w:t>
      </w:r>
    </w:p>
    <w:p>
      <w:pPr>
        <w:spacing w:after="0" w:line="229" w:lineRule="exact"/>
        <w:rPr>
          <w:sz w:val="20"/>
          <w:szCs w:val="20"/>
          <w:color w:val="auto"/>
        </w:rPr>
      </w:pPr>
    </w:p>
    <w:p>
      <w:pPr>
        <w:ind w:left="980" w:hanging="97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Schedule 13D is filed by:</w:t>
      </w:r>
    </w:p>
    <w:p>
      <w:pPr>
        <w:spacing w:after="0" w:line="225" w:lineRule="exact"/>
        <w:rPr>
          <w:rFonts w:ascii="Arial" w:cs="Arial" w:eastAsia="Arial" w:hAnsi="Arial"/>
          <w:sz w:val="18"/>
          <w:szCs w:val="18"/>
          <w:color w:val="auto"/>
        </w:rPr>
      </w:pPr>
    </w:p>
    <w:p>
      <w:pPr>
        <w:ind w:left="1620" w:right="80" w:hanging="640"/>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Rubric Capital Management LP (“</w:t>
      </w:r>
      <w:r>
        <w:rPr>
          <w:rFonts w:ascii="Arial" w:cs="Arial" w:eastAsia="Arial" w:hAnsi="Arial"/>
          <w:sz w:val="18"/>
          <w:szCs w:val="18"/>
          <w:u w:val="single" w:color="auto"/>
          <w:color w:val="auto"/>
        </w:rPr>
        <w:t>Rubric Capital</w:t>
      </w:r>
      <w:r>
        <w:rPr>
          <w:rFonts w:ascii="Arial" w:cs="Arial" w:eastAsia="Arial" w:hAnsi="Arial"/>
          <w:sz w:val="18"/>
          <w:szCs w:val="18"/>
          <w:color w:val="auto"/>
        </w:rPr>
        <w:t>”), the investment adviser to certain investment funds and/or accounts (collectively, the “</w:t>
      </w:r>
      <w:r>
        <w:rPr>
          <w:rFonts w:ascii="Arial" w:cs="Arial" w:eastAsia="Arial" w:hAnsi="Arial"/>
          <w:sz w:val="18"/>
          <w:szCs w:val="18"/>
          <w:u w:val="single" w:color="auto"/>
          <w:color w:val="auto"/>
        </w:rPr>
        <w:t>Rubric Funds</w:t>
      </w:r>
      <w:r>
        <w:rPr>
          <w:rFonts w:ascii="Arial" w:cs="Arial" w:eastAsia="Arial" w:hAnsi="Arial"/>
          <w:sz w:val="18"/>
          <w:szCs w:val="18"/>
          <w:color w:val="auto"/>
        </w:rPr>
        <w:t>”) that hold ADRs which represent the Ordinary Shares reported herein; and</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David Rosen (“</w:t>
      </w:r>
      <w:r>
        <w:rPr>
          <w:rFonts w:ascii="Arial" w:cs="Arial" w:eastAsia="Arial" w:hAnsi="Arial"/>
          <w:sz w:val="17"/>
          <w:szCs w:val="17"/>
          <w:u w:val="single" w:color="auto"/>
          <w:color w:val="auto"/>
        </w:rPr>
        <w:t>Mr. Rosen</w:t>
      </w:r>
      <w:r>
        <w:rPr>
          <w:rFonts w:ascii="Arial" w:cs="Arial" w:eastAsia="Arial" w:hAnsi="Arial"/>
          <w:sz w:val="17"/>
          <w:szCs w:val="17"/>
          <w:color w:val="auto"/>
        </w:rPr>
        <w:t>”), Managing Member of Rubric Capital Management GP LLC, the general partner of Rubric Capital.</w:t>
      </w:r>
    </w:p>
    <w:p>
      <w:pPr>
        <w:spacing w:after="0" w:line="237" w:lineRule="exact"/>
        <w:rPr>
          <w:sz w:val="20"/>
          <w:szCs w:val="20"/>
          <w:color w:val="auto"/>
        </w:rPr>
      </w:pPr>
    </w:p>
    <w:p>
      <w:pPr>
        <w:ind w:left="980" w:right="180"/>
        <w:spacing w:after="0" w:line="308" w:lineRule="auto"/>
        <w:rPr>
          <w:sz w:val="20"/>
          <w:szCs w:val="20"/>
          <w:color w:val="auto"/>
        </w:rPr>
      </w:pPr>
      <w:r>
        <w:rPr>
          <w:rFonts w:ascii="Arial" w:cs="Arial" w:eastAsia="Arial" w:hAnsi="Arial"/>
          <w:sz w:val="17"/>
          <w:szCs w:val="17"/>
          <w:color w:val="auto"/>
        </w:rPr>
        <w:t>The foregoing persons are hereinafter sometimes collectively referred to as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Any disclosures herein with respect to persons other than the Reporting Persons are made on information and belief after making inquiry to the appropriate party.</w:t>
      </w:r>
    </w:p>
    <w:p>
      <w:pPr>
        <w:spacing w:after="0" w:line="146"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The filing of this statement should not be construed as an admission that any of the Reporting Persons is, for the purposes of Section 13 of the Act, the beneficial owner of the Ordinary Shares reported herein.</w:t>
      </w:r>
    </w:p>
    <w:p>
      <w:pPr>
        <w:spacing w:after="0" w:line="170" w:lineRule="exact"/>
        <w:rPr>
          <w:sz w:val="20"/>
          <w:szCs w:val="20"/>
          <w:color w:val="auto"/>
        </w:rPr>
      </w:pPr>
    </w:p>
    <w:p>
      <w:pPr>
        <w:ind w:left="980" w:hanging="97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of the business office of the Reporting Persons is 155 East 44th St, Suite 1630, New York, NY 10017.</w:t>
      </w:r>
    </w:p>
    <w:p>
      <w:pPr>
        <w:spacing w:after="0" w:line="225" w:lineRule="exact"/>
        <w:rPr>
          <w:rFonts w:ascii="Arial" w:cs="Arial" w:eastAsia="Arial" w:hAnsi="Arial"/>
          <w:sz w:val="18"/>
          <w:szCs w:val="18"/>
          <w:color w:val="auto"/>
        </w:rPr>
      </w:pPr>
    </w:p>
    <w:p>
      <w:pPr>
        <w:ind w:left="980" w:right="580" w:hanging="972"/>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principal business of: (i) Rubric Capital is to serve as investment manager the Rubric Funds and (ii) Mr. Rosen is to supervise and conduct all investment activities of Rubric Capital, including all investment decisions with respect to the assets of the Rubric Funds.</w:t>
      </w:r>
    </w:p>
    <w:p>
      <w:pPr>
        <w:spacing w:after="0" w:line="123" w:lineRule="exact"/>
        <w:rPr>
          <w:rFonts w:ascii="Arial" w:cs="Arial" w:eastAsia="Arial" w:hAnsi="Arial"/>
          <w:sz w:val="16"/>
          <w:szCs w:val="16"/>
          <w:color w:val="auto"/>
        </w:rPr>
      </w:pPr>
    </w:p>
    <w:p>
      <w:pPr>
        <w:ind w:left="980" w:right="120" w:hanging="972"/>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convicted in a criminal proceeding (excluding traffic violations or similar misdemeanors).</w:t>
      </w:r>
    </w:p>
    <w:p>
      <w:pPr>
        <w:spacing w:after="0" w:line="170" w:lineRule="exact"/>
        <w:rPr>
          <w:rFonts w:ascii="Arial" w:cs="Arial" w:eastAsia="Arial" w:hAnsi="Arial"/>
          <w:sz w:val="18"/>
          <w:szCs w:val="18"/>
          <w:color w:val="auto"/>
        </w:rPr>
      </w:pPr>
    </w:p>
    <w:p>
      <w:pPr>
        <w:ind w:left="980" w:right="200" w:hanging="972"/>
        <w:spacing w:after="0" w:line="31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4" w:name="page5"/>
    <w:bookmarkEnd w:id="4"/>
    <w:p>
      <w:pPr>
        <w:ind w:left="80"/>
        <w:spacing w:after="0"/>
        <w:tabs>
          <w:tab w:leader="none" w:pos="4940" w:val="left"/>
          <w:tab w:leader="none" w:pos="98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5197475</wp:posOffset>
            </wp:positionH>
            <wp:positionV relativeFrom="page">
              <wp:posOffset>448945</wp:posOffset>
            </wp:positionV>
            <wp:extent cx="2143125"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15138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1380" cy="222885"/>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5 of 9 Pages</w:t>
      </w:r>
    </w:p>
    <w:p>
      <w:pPr>
        <w:sectPr>
          <w:pgSz w:w="11900" w:h="16838" w:orient="portrait"/>
          <w:cols w:equalWidth="0" w:num="1">
            <w:col w:w="11240"/>
          </w:cols>
          <w:pgMar w:left="320" w:top="742"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980" w:right="300" w:hanging="972"/>
        <w:spacing w:after="0" w:line="527"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Rubric Capital is a limited partnership organized under the laws of the State of Delaware. Mr. Rosen is a United States of America citizen.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attached hereto sets forth the information required by Instruction C of the instructions to Schedule 13D.</w:t>
      </w:r>
    </w:p>
    <w:p>
      <w:pPr>
        <w:spacing w:after="0" w:line="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229" w:lineRule="exact"/>
        <w:rPr>
          <w:sz w:val="20"/>
          <w:szCs w:val="20"/>
          <w:color w:val="auto"/>
        </w:rPr>
      </w:pPr>
    </w:p>
    <w:p>
      <w:pPr>
        <w:ind w:left="980" w:right="20"/>
        <w:spacing w:after="0" w:line="255" w:lineRule="auto"/>
        <w:rPr>
          <w:sz w:val="20"/>
          <w:szCs w:val="20"/>
          <w:color w:val="auto"/>
        </w:rPr>
      </w:pPr>
      <w:r>
        <w:rPr>
          <w:rFonts w:ascii="Arial" w:cs="Arial" w:eastAsia="Arial" w:hAnsi="Arial"/>
          <w:sz w:val="18"/>
          <w:szCs w:val="18"/>
          <w:color w:val="auto"/>
        </w:rPr>
        <w:t>Funds for the purchase of the ADRs that represent the Ordinary Shares reported herein were derived from general working capital and margin account borrowings made in the ordinary course of business. In such instances, the positions held in the margin accounts are pledged as collateral security for the repayment of debit balances in the account, which may exist from time to time. Since other securities are held in the margin accounts, it is not possible to determine the amounts, if any, of margin used to purchase the ADRs that represent the Ordinary Shares reported herein. A total of approximately $39.9 million was paid to acquire the 15,000,000 ADRs that represent the Ordinary Shares reported herein.</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29" w:lineRule="exact"/>
        <w:rPr>
          <w:sz w:val="20"/>
          <w:szCs w:val="20"/>
          <w:color w:val="auto"/>
        </w:rPr>
      </w:pPr>
    </w:p>
    <w:p>
      <w:pPr>
        <w:ind w:left="980" w:right="60"/>
        <w:spacing w:after="0" w:line="279" w:lineRule="auto"/>
        <w:rPr>
          <w:sz w:val="20"/>
          <w:szCs w:val="20"/>
          <w:color w:val="auto"/>
        </w:rPr>
      </w:pPr>
      <w:r>
        <w:rPr>
          <w:rFonts w:ascii="Arial" w:cs="Arial" w:eastAsia="Arial" w:hAnsi="Arial"/>
          <w:sz w:val="17"/>
          <w:szCs w:val="17"/>
          <w:color w:val="auto"/>
        </w:rPr>
        <w:t>The Reporting Persons acquired the ADRs that represent Ordinary Shares because they believed the ADRs were undervalued and represented an attractive investment opportunity. The Reporting Persons believe the Issuer needs to take immediate steps to maximize shareholder value. The Reporting Persons believe any plan must include a rapid optimization of the Issuer’s expenses to maintain its existing cash balances as well as maximize the value of the license and collaboration agreement for Setrusumab.</w:t>
      </w:r>
    </w:p>
    <w:p>
      <w:pPr>
        <w:spacing w:after="0" w:line="171" w:lineRule="exact"/>
        <w:rPr>
          <w:sz w:val="20"/>
          <w:szCs w:val="20"/>
          <w:color w:val="auto"/>
        </w:rPr>
      </w:pPr>
    </w:p>
    <w:p>
      <w:pPr>
        <w:ind w:left="980"/>
        <w:spacing w:after="0" w:line="285" w:lineRule="auto"/>
        <w:rPr>
          <w:sz w:val="20"/>
          <w:szCs w:val="20"/>
          <w:color w:val="auto"/>
        </w:rPr>
      </w:pPr>
      <w:r>
        <w:rPr>
          <w:rFonts w:ascii="Arial" w:cs="Arial" w:eastAsia="Arial" w:hAnsi="Arial"/>
          <w:sz w:val="16"/>
          <w:szCs w:val="16"/>
          <w:color w:val="auto"/>
        </w:rPr>
        <w:t>The Reporting Persons have had and anticipate having further discussions with officers and directors of the Issuer in connection with the Reporting Persons’ investment in the Issuer. The topics of these conversations have covered and may cover a range of issues, including those relating to the business of the Issuer, management, board composition (including that the Reporting Persons may seek to propose or nominate candidates to join the board), investor communications, operations, capital allocation (including share repurchases, special dividends and the potential issuance to shareholders of a contingent value right for certain of the Issuer’s current or future assets, royalties, milestones or other financial arrangements), financial condition, mergers and acquisitions strategy, overall business strategy, executive compensation and corporate governance. The Reporting Persons may also have similar conversations with other stockholders or other interested parties, such as industry analysts, existing or potential strategic partners or competitors, investment professionals and other investors and may exchange information with any such persons or the Issuer pursuant to appropriate confidentiality or similar agreements (which may contain customary standstill provisions). The Reporting Persons may at any time reconsider and change their intentions relating to the foregoing. The Reporting Persons may also take one or more of the actions described in subsections (a) through (j) of Item 4 of Schedule 13D and may discuss or propose such actions with the Issuer’s management and the board of directors of the Issuer, other stockholders of the Issuer, and other interested parties, such as those set out above. The Reporting Persons intend to review their investments in the Issuer on a continuing basis. Depending on various factors, including, without limitation, the Issuer’s financial position and strategic direction, the outcome of the discussions and actions referenced above, actions taken by the Issuer’s board of directors, price levels of the ADRs, liquidity requirements and other investment opportunities available to the Reporting Persons, conditions in the securities market and general economic and industry conditions, the Reporting Persons may in the future take actions with respect to their investment position in the Issuer as they deem appropriate, including, without limitation, purchasing additional ADRs or other instruments that are based upon or relate to the value of the ADRs or the Issuer in the open market or otherwise, selling some or all of the securities reported herein, and/or engaging in hedging or similar transactions with respect to the ADRs.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83"/>
        </w:trPr>
        <w:tc>
          <w:tcPr>
            <w:tcW w:w="340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589492107</w:t>
            </w:r>
          </w:p>
        </w:tc>
        <w:tc>
          <w:tcPr>
            <w:tcW w:w="1420" w:type="dxa"/>
            <w:vAlign w:val="bottom"/>
          </w:tcPr>
          <w:p>
            <w:pPr>
              <w:spacing w:after="0"/>
              <w:rPr>
                <w:sz w:val="24"/>
                <w:szCs w:val="24"/>
                <w:color w:val="auto"/>
              </w:rPr>
            </w:pPr>
          </w:p>
        </w:tc>
        <w:tc>
          <w:tcPr>
            <w:tcW w:w="30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SCHEDULE 13D</w:t>
            </w:r>
          </w:p>
        </w:tc>
        <w:tc>
          <w:tcPr>
            <w:tcW w:w="336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87"/>
              </w:rPr>
              <w:t>Page 6 of 9 Pages</w:t>
            </w:r>
          </w:p>
        </w:tc>
      </w:tr>
      <w:tr>
        <w:trPr>
          <w:trHeight w:val="54"/>
        </w:trPr>
        <w:tc>
          <w:tcPr>
            <w:tcW w:w="760" w:type="dxa"/>
            <w:vAlign w:val="bottom"/>
            <w:tcBorders>
              <w:left w:val="single" w:sz="8" w:color="auto"/>
              <w:bottom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306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642"/>
        </w:trPr>
        <w:tc>
          <w:tcPr>
            <w:tcW w:w="7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060" w:type="dxa"/>
            <w:vAlign w:val="bottom"/>
            <w:gridSpan w:val="2"/>
          </w:tcPr>
          <w:p>
            <w:pPr>
              <w:ind w:left="220"/>
              <w:spacing w:after="0"/>
              <w:rPr>
                <w:sz w:val="20"/>
                <w:szCs w:val="20"/>
                <w:color w:val="auto"/>
              </w:rPr>
            </w:pPr>
            <w:r>
              <w:rPr>
                <w:rFonts w:ascii="Arial" w:cs="Arial" w:eastAsia="Arial" w:hAnsi="Arial"/>
                <w:sz w:val="18"/>
                <w:szCs w:val="18"/>
                <w:b w:val="1"/>
                <w:bCs w:val="1"/>
                <w:color w:val="auto"/>
              </w:rPr>
              <w:t>INTEREST IN SECURITIES OF THE ISSUER</w:t>
            </w:r>
          </w:p>
        </w:tc>
        <w:tc>
          <w:tcPr>
            <w:tcW w:w="306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pacing w:after="0" w:line="202" w:lineRule="exact"/>
        <w:rPr>
          <w:sz w:val="20"/>
          <w:szCs w:val="20"/>
          <w:color w:val="auto"/>
        </w:rPr>
      </w:pPr>
    </w:p>
    <w:p>
      <w:pPr>
        <w:ind w:left="980" w:right="80" w:hanging="972"/>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rows (11) and (13) of the cover pages to this Schedule 13D for the aggregate number of Ordinary Shares and percentages of the Ordinary Shares beneficially owned by each of the Reporting Persons. The percentages used in this Schedule 13D are calculated based upon 584,908,239 Ordinary Shares reported to be outstanding as of December 31, 2021 in the Issuer’s Annual Report on Form 20-F filed with the Securities and Exchange Commission on March 31, 2022.</w:t>
      </w:r>
    </w:p>
    <w:p>
      <w:pPr>
        <w:spacing w:after="0" w:line="186" w:lineRule="exact"/>
        <w:rPr>
          <w:rFonts w:ascii="Arial" w:cs="Arial" w:eastAsia="Arial" w:hAnsi="Arial"/>
          <w:sz w:val="18"/>
          <w:szCs w:val="18"/>
          <w:color w:val="auto"/>
        </w:rPr>
      </w:pPr>
    </w:p>
    <w:p>
      <w:pPr>
        <w:ind w:left="980" w:right="140" w:hanging="972"/>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 rows (7) through (10) of the cover pages to this Schedule 13D for the number of Ordinary Shares as to which each Reporting Person has the sole or shared power to vote or direct the vote and sole or shared power to dispose or to direct the disposition.</w:t>
      </w:r>
    </w:p>
    <w:p>
      <w:pPr>
        <w:spacing w:after="0" w:line="146" w:lineRule="exact"/>
        <w:rPr>
          <w:rFonts w:ascii="Arial" w:cs="Arial" w:eastAsia="Arial" w:hAnsi="Arial"/>
          <w:sz w:val="17"/>
          <w:szCs w:val="17"/>
          <w:color w:val="auto"/>
        </w:rPr>
      </w:pPr>
    </w:p>
    <w:p>
      <w:pPr>
        <w:ind w:left="980" w:hanging="97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Reporting Persons did not enter into any transactions in the Ordinary Shares within the past sixty days.</w:t>
      </w:r>
    </w:p>
    <w:p>
      <w:pPr>
        <w:spacing w:after="0" w:line="225" w:lineRule="exact"/>
        <w:rPr>
          <w:rFonts w:ascii="Arial" w:cs="Arial" w:eastAsia="Arial" w:hAnsi="Arial"/>
          <w:sz w:val="18"/>
          <w:szCs w:val="18"/>
          <w:color w:val="auto"/>
        </w:rPr>
      </w:pPr>
    </w:p>
    <w:p>
      <w:pPr>
        <w:ind w:left="980" w:right="80" w:hanging="972"/>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Item 2. Rubric Capital Master Fund LP, a Rubric Fund, has the right to receive or the power to direct the receipt of dividends from, or the proceeds from the sale of, more than 5% of the Ordinary Shares.</w:t>
      </w:r>
    </w:p>
    <w:p>
      <w:pPr>
        <w:spacing w:after="0" w:line="170" w:lineRule="exact"/>
        <w:rPr>
          <w:rFonts w:ascii="Arial" w:cs="Arial" w:eastAsia="Arial" w:hAnsi="Arial"/>
          <w:sz w:val="18"/>
          <w:szCs w:val="18"/>
          <w:color w:val="auto"/>
        </w:rPr>
      </w:pPr>
    </w:p>
    <w:p>
      <w:pPr>
        <w:ind w:left="980" w:hanging="97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3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166" w:lineRule="exact"/>
        <w:rPr>
          <w:sz w:val="20"/>
          <w:szCs w:val="20"/>
          <w:color w:val="auto"/>
        </w:rPr>
      </w:pPr>
    </w:p>
    <w:p>
      <w:pPr>
        <w:ind w:left="980" w:right="20"/>
        <w:spacing w:after="0" w:line="273" w:lineRule="auto"/>
        <w:rPr>
          <w:sz w:val="20"/>
          <w:szCs w:val="20"/>
          <w:color w:val="auto"/>
        </w:rPr>
      </w:pPr>
      <w:r>
        <w:rPr>
          <w:rFonts w:ascii="Arial" w:cs="Arial" w:eastAsia="Arial" w:hAnsi="Arial"/>
          <w:sz w:val="17"/>
          <w:szCs w:val="17"/>
          <w:color w:val="auto"/>
        </w:rPr>
        <w:t xml:space="preserve">Other than the Joint Filing Agreement attached as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hereto, there are no contracts, arrangements, understandings or relationships (legal or otherwise) among the persons named in Item 2 hereof and between such persons and any person with respect to any securities of the Issuer, including but not limited to transfer or voting of any other securities, finder’s fees, joint ventures, loan or option arrangements, puts or calls, guarantees of profits, divisions of profits or loss, or the giving or withholding of proxies, including any securities pledged or otherwise subject to a contingency the occurrence of which would give another person voting power or investment power over such securities other than standard default and similar provisions contained in loan agreements.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Statement as required by Rule 13d-1(k)(1)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6" w:name="page7"/>
    <w:bookmarkEnd w:id="6"/>
    <w:p>
      <w:pPr>
        <w:ind w:left="80"/>
        <w:spacing w:after="0"/>
        <w:tabs>
          <w:tab w:leader="none" w:pos="4940" w:val="left"/>
          <w:tab w:leader="none" w:pos="98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5197475</wp:posOffset>
            </wp:positionH>
            <wp:positionV relativeFrom="page">
              <wp:posOffset>448945</wp:posOffset>
            </wp:positionV>
            <wp:extent cx="2143125"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15138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1380" cy="222885"/>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7 of 9 Pages</w:t>
      </w:r>
    </w:p>
    <w:p>
      <w:pPr>
        <w:sectPr>
          <w:pgSz w:w="11900" w:h="16838" w:orient="portrait"/>
          <w:cols w:equalWidth="0" w:num="1">
            <w:col w:w="11180"/>
          </w:cols>
          <w:pgMar w:left="320" w:top="742"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After reasonable inquiry and to the best of his or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2022</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42" w:right="399" w:bottom="1440" w:gutter="0" w:footer="0" w:header="0"/>
          <w:type w:val="continuous"/>
        </w:sectPr>
      </w:pPr>
    </w:p>
    <w:bookmarkStart w:id="7" w:name="page8"/>
    <w:bookmarkEnd w:id="7"/>
    <w:tbl>
      <w:tblPr>
        <w:tblLayout w:type="fixed"/>
        <w:tblInd w:w="10" w:type="dxa"/>
        <w:tblCellMar>
          <w:top w:w="0" w:type="dxa"/>
          <w:left w:w="0" w:type="dxa"/>
          <w:bottom w:w="0" w:type="dxa"/>
          <w:right w:w="0" w:type="dxa"/>
        </w:tblCellMar>
      </w:tblPr>
      <w:tr>
        <w:trPr>
          <w:trHeight w:val="28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589492107</w:t>
            </w:r>
          </w:p>
        </w:tc>
        <w:tc>
          <w:tcPr>
            <w:tcW w:w="44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13D</w:t>
            </w:r>
          </w:p>
        </w:tc>
        <w:tc>
          <w:tcPr>
            <w:tcW w:w="336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87"/>
              </w:rPr>
              <w:t>Page 8 of 9 Pages</w:t>
            </w:r>
          </w:p>
        </w:tc>
      </w:tr>
      <w:tr>
        <w:trPr>
          <w:trHeight w:val="54"/>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PARTNERS, CONTROL PERSONS, DIRECTORS AND EXECUTIVE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 OF CERTAIN REPORTING PERSONS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sets forth the name, position, address, principal occupation and citizenship of each general partner, control person, director and/or executive officer of the applicable Reporting Persons (the “</w:t>
      </w:r>
      <w:r>
        <w:rPr>
          <w:rFonts w:ascii="Arial" w:cs="Arial" w:eastAsia="Arial" w:hAnsi="Arial"/>
          <w:sz w:val="18"/>
          <w:szCs w:val="18"/>
          <w:u w:val="single" w:color="auto"/>
          <w:color w:val="auto"/>
        </w:rPr>
        <w:t>Instruction C Persons</w:t>
      </w:r>
      <w:r>
        <w:rPr>
          <w:rFonts w:ascii="Arial" w:cs="Arial" w:eastAsia="Arial" w:hAnsi="Arial"/>
          <w:sz w:val="18"/>
          <w:szCs w:val="18"/>
          <w:color w:val="auto"/>
        </w:rPr>
        <w:t>”). To the best of the Reporting Persons’ knowledge, (i) none of the Instruction C Persons during the last five years has been convicted in a criminal proceeding (excluding traffic violations or other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(ii) none of the Instruction C Persons owns any Ordinary Shares or is party to any contract or agreement as would require disclosure in this Schedule 13D.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REPORTING PERSON: RUBRIC CAPITAL MANAGEMENT LP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Rubric Capital Management GP LLC serves as the general partner of Rubric Capital. The principal business of Rubric Capital Management GP LLC is to serve as general partner of Rubric Capital. Its business address is c/o Rubric Capital Management LP, 155 East 44th St, Suite 1630, New York, NY 10017. Rubric Capital Management GP LLC is a Delaware limited liability Company. Mr. Rosen, a Reporting Person, serves as the managing member of Rubric Capital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 w:name="page9"/>
    <w:bookmarkEnd w:id="8"/>
    <w:p>
      <w:pPr>
        <w:ind w:left="80"/>
        <w:spacing w:after="0"/>
        <w:tabs>
          <w:tab w:leader="none" w:pos="4940" w:val="left"/>
          <w:tab w:leader="none" w:pos="98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5197475</wp:posOffset>
            </wp:positionH>
            <wp:positionV relativeFrom="page">
              <wp:posOffset>448945</wp:posOffset>
            </wp:positionV>
            <wp:extent cx="214312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1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15138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1380" cy="222885"/>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9 of 9 Pages</w:t>
      </w:r>
    </w:p>
    <w:p>
      <w:pPr>
        <w:sectPr>
          <w:pgSz w:w="11900" w:h="16838" w:orient="portrait"/>
          <w:cols w:equalWidth="0" w:num="1">
            <w:col w:w="11240"/>
          </w:cols>
          <w:pgMar w:left="320" w:top="742"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JOINT FILING AGREEMENT</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PURSUANT TO RULE 13d-1(k)</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2022</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4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6"/>
      <w:numFmt w:val="bullet"/>
      <w:start w:val="1"/>
    </w:lvl>
  </w:abstractNum>
  <w:abstractNum w:abstractNumId="5">
    <w:nsid w:val="79E2A9E3"/>
    <w:multiLevelType w:val="hybridMultilevel"/>
    <w:lvl w:ilvl="0">
      <w:lvlJc w:val="left"/>
      <w:lvlText w:val="(%1)"/>
      <w:numFmt w:val="lowerLetter"/>
      <w:start w:val="1"/>
    </w:lvl>
    <w:lvl w:ilvl="1">
      <w:lvlJc w:val="left"/>
      <w:lvlText w:val="(%2)"/>
      <w:numFmt w:val="lowerRoman"/>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6"/>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2022-05-26T19:27:47Z</dcterms:created>
  <dcterms:modified xsi:type="dcterms:W3CDTF">2022-05-26T19:27:47Z</dcterms:modified>
</cp:coreProperties>
</file>