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As filed with the Securities and Exchange Commission on September 7, 2021</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49530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AMENDMENT NO. 1 TO FORM F-3 REGISTRATION STATEMENT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w:t>
      </w:r>
    </w:p>
    <w:p>
      <w:pPr>
        <w:jc w:val="center"/>
        <w:ind w:right="-119"/>
        <w:spacing w:after="0"/>
        <w:rPr>
          <w:sz w:val="20"/>
          <w:szCs w:val="20"/>
          <w:color w:val="auto"/>
        </w:rPr>
      </w:pPr>
      <w:r>
        <w:rPr>
          <w:rFonts w:ascii="Arial" w:cs="Arial" w:eastAsia="Arial" w:hAnsi="Arial"/>
          <w:sz w:val="22"/>
          <w:szCs w:val="22"/>
          <w:b w:val="1"/>
          <w:bCs w:val="1"/>
          <w:color w:val="auto"/>
        </w:rPr>
        <w:t>THE SECURITIES ACT OF 1933</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-257810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(Translation of Registrant’s Name into English)</w:t>
      </w:r>
    </w:p>
    <w:p>
      <w:pPr>
        <w:spacing w:after="0" w:line="14" w:lineRule="exact"/>
        <w:rPr>
          <w:sz w:val="24"/>
          <w:szCs w:val="24"/>
          <w:color w:val="auto"/>
        </w:rPr>
      </w:pPr>
    </w:p>
    <w:tbl>
      <w:tblPr>
        <w:tblLayout w:type="fixed"/>
        <w:tblInd w:w="1940" w:type="dxa"/>
        <w:tblCellMar>
          <w:top w:w="0" w:type="dxa"/>
          <w:left w:w="0" w:type="dxa"/>
          <w:bottom w:w="0" w:type="dxa"/>
          <w:right w:w="0" w:type="dxa"/>
        </w:tblCellMar>
      </w:tblPr>
      <w:tr>
        <w:trPr>
          <w:trHeight w:val="230"/>
        </w:trPr>
        <w:tc>
          <w:tcPr>
            <w:tcW w:w="3860" w:type="dxa"/>
            <w:vAlign w:val="bottom"/>
          </w:tcPr>
          <w:p>
            <w:pPr>
              <w:jc w:val="center"/>
              <w:ind w:right="1862"/>
              <w:spacing w:after="0"/>
              <w:rPr>
                <w:sz w:val="20"/>
                <w:szCs w:val="20"/>
                <w:color w:val="auto"/>
              </w:rPr>
            </w:pPr>
            <w:r>
              <w:rPr>
                <w:rFonts w:ascii="Arial" w:cs="Arial" w:eastAsia="Arial" w:hAnsi="Arial"/>
                <w:sz w:val="18"/>
                <w:szCs w:val="18"/>
                <w:b w:val="1"/>
                <w:bCs w:val="1"/>
                <w:color w:val="auto"/>
                <w:w w:val="99"/>
              </w:rPr>
              <w:t>England and Wales</w:t>
            </w:r>
          </w:p>
        </w:tc>
        <w:tc>
          <w:tcPr>
            <w:tcW w:w="3360" w:type="dxa"/>
            <w:vAlign w:val="bottom"/>
          </w:tcPr>
          <w:p>
            <w:pPr>
              <w:jc w:val="center"/>
              <w:ind w:left="1862"/>
              <w:spacing w:after="0"/>
              <w:rPr>
                <w:sz w:val="20"/>
                <w:szCs w:val="20"/>
                <w:color w:val="auto"/>
              </w:rPr>
            </w:pPr>
            <w:r>
              <w:rPr>
                <w:rFonts w:ascii="Arial" w:cs="Arial" w:eastAsia="Arial" w:hAnsi="Arial"/>
                <w:sz w:val="18"/>
                <w:szCs w:val="18"/>
                <w:b w:val="1"/>
                <w:bCs w:val="1"/>
                <w:color w:val="auto"/>
                <w:w w:val="99"/>
              </w:rPr>
              <w:t>Not Applicable</w:t>
            </w:r>
          </w:p>
        </w:tc>
      </w:tr>
      <w:tr>
        <w:trPr>
          <w:trHeight w:val="162"/>
        </w:trPr>
        <w:tc>
          <w:tcPr>
            <w:tcW w:w="3860" w:type="dxa"/>
            <w:vAlign w:val="bottom"/>
          </w:tcPr>
          <w:p>
            <w:pPr>
              <w:jc w:val="center"/>
              <w:ind w:right="1862"/>
              <w:spacing w:after="0"/>
              <w:rPr>
                <w:sz w:val="20"/>
                <w:szCs w:val="20"/>
                <w:color w:val="auto"/>
              </w:rPr>
            </w:pPr>
            <w:r>
              <w:rPr>
                <w:rFonts w:ascii="Arial" w:cs="Arial" w:eastAsia="Arial" w:hAnsi="Arial"/>
                <w:sz w:val="14"/>
                <w:szCs w:val="14"/>
                <w:color w:val="auto"/>
              </w:rPr>
              <w:t>(State or Other Jurisdiction of</w:t>
            </w:r>
          </w:p>
        </w:tc>
        <w:tc>
          <w:tcPr>
            <w:tcW w:w="3360" w:type="dxa"/>
            <w:vAlign w:val="bottom"/>
          </w:tcPr>
          <w:p>
            <w:pPr>
              <w:jc w:val="center"/>
              <w:ind w:left="1882"/>
              <w:spacing w:after="0"/>
              <w:rPr>
                <w:sz w:val="20"/>
                <w:szCs w:val="20"/>
                <w:color w:val="auto"/>
              </w:rPr>
            </w:pPr>
            <w:r>
              <w:rPr>
                <w:rFonts w:ascii="Arial" w:cs="Arial" w:eastAsia="Arial" w:hAnsi="Arial"/>
                <w:sz w:val="14"/>
                <w:szCs w:val="14"/>
                <w:color w:val="auto"/>
              </w:rPr>
              <w:t>(I.R.S. Employer</w:t>
            </w:r>
          </w:p>
        </w:tc>
      </w:tr>
      <w:tr>
        <w:trPr>
          <w:trHeight w:val="172"/>
        </w:trPr>
        <w:tc>
          <w:tcPr>
            <w:tcW w:w="3860" w:type="dxa"/>
            <w:vAlign w:val="bottom"/>
          </w:tcPr>
          <w:p>
            <w:pPr>
              <w:jc w:val="center"/>
              <w:ind w:right="1862"/>
              <w:spacing w:after="0"/>
              <w:rPr>
                <w:sz w:val="20"/>
                <w:szCs w:val="20"/>
                <w:color w:val="auto"/>
              </w:rPr>
            </w:pPr>
            <w:r>
              <w:rPr>
                <w:rFonts w:ascii="Arial" w:cs="Arial" w:eastAsia="Arial" w:hAnsi="Arial"/>
                <w:sz w:val="14"/>
                <w:szCs w:val="14"/>
                <w:color w:val="auto"/>
              </w:rPr>
              <w:t>Incorporation or Organization)</w:t>
            </w:r>
          </w:p>
        </w:tc>
        <w:tc>
          <w:tcPr>
            <w:tcW w:w="3360" w:type="dxa"/>
            <w:vAlign w:val="bottom"/>
          </w:tcPr>
          <w:p>
            <w:pPr>
              <w:jc w:val="center"/>
              <w:ind w:left="1882"/>
              <w:spacing w:after="0"/>
              <w:rPr>
                <w:sz w:val="20"/>
                <w:szCs w:val="20"/>
                <w:color w:val="auto"/>
              </w:rPr>
            </w:pPr>
            <w:r>
              <w:rPr>
                <w:rFonts w:ascii="Arial" w:cs="Arial" w:eastAsia="Arial" w:hAnsi="Arial"/>
                <w:sz w:val="14"/>
                <w:szCs w:val="14"/>
                <w:color w:val="auto"/>
              </w:rPr>
              <w:t>Identification Number)</w:t>
            </w:r>
          </w:p>
        </w:tc>
      </w:tr>
    </w:tbl>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Fourth Floor</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One Cavendish Place</w:t>
      </w:r>
    </w:p>
    <w:p>
      <w:pPr>
        <w:jc w:val="center"/>
        <w:ind w:right="-119"/>
        <w:spacing w:after="0" w:line="234" w:lineRule="auto"/>
        <w:rPr>
          <w:sz w:val="20"/>
          <w:szCs w:val="20"/>
          <w:color w:val="auto"/>
        </w:rPr>
      </w:pPr>
      <w:r>
        <w:rPr>
          <w:rFonts w:ascii="Arial" w:cs="Arial" w:eastAsia="Arial" w:hAnsi="Arial"/>
          <w:sz w:val="18"/>
          <w:szCs w:val="18"/>
          <w:b w:val="1"/>
          <w:bCs w:val="1"/>
          <w:color w:val="auto"/>
        </w:rPr>
        <w:t>London W1G 0QF UK</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+44 33 3023 7300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92075</wp:posOffset>
            </wp:positionV>
            <wp:extent cx="181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Mereo US Holdings Inc.</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251 Little Falls Drive</w:t>
      </w:r>
    </w:p>
    <w:p>
      <w:pPr>
        <w:jc w:val="center"/>
        <w:ind w:right="-119"/>
        <w:spacing w:after="0" w:line="234" w:lineRule="auto"/>
        <w:rPr>
          <w:sz w:val="20"/>
          <w:szCs w:val="20"/>
          <w:color w:val="auto"/>
        </w:rPr>
      </w:pPr>
      <w:r>
        <w:rPr>
          <w:rFonts w:ascii="Arial" w:cs="Arial" w:eastAsia="Arial" w:hAnsi="Arial"/>
          <w:sz w:val="18"/>
          <w:szCs w:val="18"/>
          <w:b w:val="1"/>
          <w:bCs w:val="1"/>
          <w:color w:val="auto"/>
        </w:rPr>
        <w:t>Wilmington, DE 19808</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+1 302 636 5401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Name, Address, Including Zip Code, and Telephone Number, Including Area Code, of Agent for Service)</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David S. Bakst</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Mayer Brown LLP</w:t>
      </w:r>
    </w:p>
    <w:p>
      <w:pPr>
        <w:jc w:val="center"/>
        <w:ind w:right="-119"/>
        <w:spacing w:after="0" w:line="234" w:lineRule="auto"/>
        <w:rPr>
          <w:sz w:val="20"/>
          <w:szCs w:val="20"/>
          <w:color w:val="auto"/>
        </w:rPr>
      </w:pPr>
      <w:r>
        <w:rPr>
          <w:rFonts w:ascii="Arial" w:cs="Arial" w:eastAsia="Arial" w:hAnsi="Arial"/>
          <w:sz w:val="18"/>
          <w:szCs w:val="18"/>
          <w:b w:val="1"/>
          <w:bCs w:val="1"/>
          <w:color w:val="auto"/>
        </w:rPr>
        <w:t>1221 Avenue of the Americas</w:t>
      </w:r>
    </w:p>
    <w:p>
      <w:pPr>
        <w:jc w:val="center"/>
        <w:ind w:right="-119"/>
        <w:spacing w:after="0" w:line="235" w:lineRule="auto"/>
        <w:rPr>
          <w:sz w:val="20"/>
          <w:szCs w:val="20"/>
          <w:color w:val="auto"/>
        </w:rPr>
      </w:pPr>
      <w:r>
        <w:rPr>
          <w:rFonts w:ascii="Arial" w:cs="Arial" w:eastAsia="Arial" w:hAnsi="Arial"/>
          <w:sz w:val="18"/>
          <w:szCs w:val="18"/>
          <w:b w:val="1"/>
          <w:bCs w:val="1"/>
          <w:color w:val="auto"/>
        </w:rPr>
        <w:t>New York, New York 10020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+1 212 506 2500</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23" w:lineRule="exact"/>
        <w:rPr>
          <w:sz w:val="24"/>
          <w:szCs w:val="24"/>
          <w:color w:val="auto"/>
        </w:rPr>
      </w:pPr>
    </w:p>
    <w:p>
      <w:pPr>
        <w:ind w:left="120" w:right="400"/>
        <w:spacing w:after="0" w:line="220" w:lineRule="exact"/>
        <w:rPr>
          <w:sz w:val="20"/>
          <w:szCs w:val="20"/>
          <w:color w:val="auto"/>
        </w:rPr>
      </w:pPr>
      <w:r>
        <w:rPr>
          <w:rFonts w:ascii="Arial" w:cs="Arial" w:eastAsia="Arial" w:hAnsi="Arial"/>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300"/>
        <w:spacing w:after="0" w:line="22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60"/>
        <w:spacing w:after="0" w:line="220"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 w:lineRule="exact"/>
        <w:rPr>
          <w:sz w:val="24"/>
          <w:szCs w:val="24"/>
          <w:color w:val="auto"/>
        </w:rPr>
      </w:pPr>
    </w:p>
    <w:p>
      <w:pPr>
        <w:ind w:left="120" w:right="520"/>
        <w:spacing w:after="0" w:line="220"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620"/>
        <w:spacing w:after="0" w:line="220"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260"/>
        <w:spacing w:after="0" w:line="220"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7" w:lineRule="exact"/>
        <w:rPr>
          <w:sz w:val="24"/>
          <w:szCs w:val="24"/>
          <w:color w:val="auto"/>
        </w:rPr>
      </w:pPr>
    </w:p>
    <w:p>
      <w:pPr>
        <w:ind w:left="120" w:right="600"/>
        <w:spacing w:after="0" w:line="22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8"/>
          <w:szCs w:val="18"/>
          <w:color w:val="auto"/>
        </w:rPr>
        <w:t>☒</w:t>
      </w:r>
    </w:p>
    <w:p>
      <w:pPr>
        <w:spacing w:after="0" w:line="21" w:lineRule="exact"/>
        <w:rPr>
          <w:sz w:val="24"/>
          <w:szCs w:val="24"/>
          <w:color w:val="auto"/>
        </w:rPr>
      </w:pPr>
    </w:p>
    <w:p>
      <w:pPr>
        <w:ind w:left="120" w:right="420"/>
        <w:spacing w:after="0" w:line="214"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p>
    <w:p>
      <w:pPr>
        <w:ind w:left="120" w:right="180"/>
        <w:spacing w:after="0" w:line="246"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20" w:type="dxa"/>
            <w:vAlign w:val="bottom"/>
            <w:vMerge w:val="restart"/>
          </w:tcPr>
          <w:p>
            <w:pPr>
              <w:jc w:val="center"/>
              <w:ind w:left="3"/>
              <w:spacing w:after="0" w:line="143" w:lineRule="exact"/>
              <w:rPr>
                <w:sz w:val="20"/>
                <w:szCs w:val="20"/>
                <w:color w:val="auto"/>
              </w:rPr>
            </w:pPr>
            <w:r>
              <w:rPr>
                <w:rFonts w:ascii="Arial" w:cs="Arial" w:eastAsia="Arial" w:hAnsi="Arial"/>
                <w:sz w:val="14"/>
                <w:szCs w:val="14"/>
                <w:b w:val="1"/>
                <w:bCs w:val="1"/>
                <w:color w:val="auto"/>
              </w:rPr>
              <w:t>Proposed</w:t>
            </w: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620" w:type="dxa"/>
            <w:vAlign w:val="bottom"/>
            <w:vMerge w:val="continue"/>
          </w:tcPr>
          <w:p>
            <w:pPr>
              <w:spacing w:after="0"/>
              <w:rPr>
                <w:sz w:val="10"/>
                <w:szCs w:val="10"/>
                <w:color w:val="auto"/>
              </w:rPr>
            </w:pPr>
          </w:p>
        </w:tc>
        <w:tc>
          <w:tcPr>
            <w:tcW w:w="1480" w:type="dxa"/>
            <w:vAlign w:val="bottom"/>
            <w:tcBorders>
              <w:left w:val="single" w:sz="8" w:color="auto"/>
              <w:right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20" w:type="dxa"/>
            <w:vAlign w:val="bottom"/>
          </w:tcPr>
          <w:p>
            <w:pPr>
              <w:jc w:val="center"/>
              <w:ind w:left="3"/>
              <w:spacing w:after="0"/>
              <w:rPr>
                <w:sz w:val="20"/>
                <w:szCs w:val="20"/>
                <w:color w:val="auto"/>
              </w:rPr>
            </w:pPr>
            <w:r>
              <w:rPr>
                <w:rFonts w:ascii="Arial" w:cs="Arial" w:eastAsia="Arial" w:hAnsi="Arial"/>
                <w:sz w:val="14"/>
                <w:szCs w:val="14"/>
                <w:b w:val="1"/>
                <w:bCs w:val="1"/>
                <w:color w:val="auto"/>
              </w:rPr>
              <w:t>Maximum</w:t>
            </w:r>
          </w:p>
        </w:tc>
        <w:tc>
          <w:tcPr>
            <w:tcW w:w="1480" w:type="dxa"/>
            <w:vAlign w:val="bottom"/>
            <w:tcBorders>
              <w:left w:val="single" w:sz="8" w:color="auto"/>
              <w:right w:val="single" w:sz="8" w:color="auto"/>
            </w:tcBorders>
          </w:tcPr>
          <w:p>
            <w:pPr>
              <w:jc w:val="center"/>
              <w:ind w:left="62"/>
              <w:spacing w:after="0"/>
              <w:rPr>
                <w:sz w:val="20"/>
                <w:szCs w:val="20"/>
                <w:color w:val="auto"/>
              </w:rPr>
            </w:pPr>
            <w:r>
              <w:rPr>
                <w:rFonts w:ascii="Arial" w:cs="Arial" w:eastAsia="Arial" w:hAnsi="Arial"/>
                <w:sz w:val="14"/>
                <w:szCs w:val="14"/>
                <w:b w:val="1"/>
                <w:bCs w:val="1"/>
                <w:color w:val="auto"/>
              </w:rPr>
              <w:t>Proposed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20" w:type="dxa"/>
            <w:vAlign w:val="bottom"/>
          </w:tcPr>
          <w:p>
            <w:pPr>
              <w:jc w:val="center"/>
              <w:ind w:left="23"/>
              <w:spacing w:after="0"/>
              <w:rPr>
                <w:sz w:val="20"/>
                <w:szCs w:val="20"/>
                <w:color w:val="auto"/>
              </w:rPr>
            </w:pPr>
            <w:r>
              <w:rPr>
                <w:rFonts w:ascii="Arial" w:cs="Arial" w:eastAsia="Arial" w:hAnsi="Arial"/>
                <w:sz w:val="14"/>
                <w:szCs w:val="14"/>
                <w:b w:val="1"/>
                <w:bCs w:val="1"/>
                <w:color w:val="auto"/>
              </w:rPr>
              <w:t>Offering</w:t>
            </w:r>
          </w:p>
        </w:tc>
        <w:tc>
          <w:tcPr>
            <w:tcW w:w="1480" w:type="dxa"/>
            <w:vAlign w:val="bottom"/>
            <w:tcBorders>
              <w:left w:val="single" w:sz="8" w:color="auto"/>
              <w:right w:val="single" w:sz="8" w:color="auto"/>
            </w:tcBorders>
          </w:tcPr>
          <w:p>
            <w:pPr>
              <w:jc w:val="center"/>
              <w:ind w:left="62"/>
              <w:spacing w:after="0"/>
              <w:rPr>
                <w:sz w:val="20"/>
                <w:szCs w:val="20"/>
                <w:color w:val="auto"/>
              </w:rPr>
            </w:pPr>
            <w:r>
              <w:rPr>
                <w:rFonts w:ascii="Arial" w:cs="Arial" w:eastAsia="Arial" w:hAnsi="Arial"/>
                <w:sz w:val="14"/>
                <w:szCs w:val="14"/>
                <w:b w:val="1"/>
                <w:bCs w:val="1"/>
                <w:color w:val="auto"/>
              </w:rPr>
              <w:t>Maximum</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Borders>
              <w:right w:val="single" w:sz="8" w:color="auto"/>
            </w:tcBorders>
          </w:tcPr>
          <w:p>
            <w:pPr>
              <w:ind w:left="1220"/>
              <w:spacing w:after="0"/>
              <w:rPr>
                <w:sz w:val="20"/>
                <w:szCs w:val="20"/>
                <w:color w:val="auto"/>
              </w:rPr>
            </w:pPr>
            <w:r>
              <w:rPr>
                <w:rFonts w:ascii="Arial" w:cs="Arial" w:eastAsia="Arial" w:hAnsi="Arial"/>
                <w:sz w:val="14"/>
                <w:szCs w:val="14"/>
                <w:b w:val="1"/>
                <w:bCs w:val="1"/>
                <w:color w:val="auto"/>
              </w:rPr>
              <w:t>Title of Each Class of Securities</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To Be</w:t>
            </w:r>
          </w:p>
        </w:tc>
        <w:tc>
          <w:tcPr>
            <w:tcW w:w="1620" w:type="dxa"/>
            <w:vAlign w:val="bottom"/>
          </w:tcPr>
          <w:p>
            <w:pPr>
              <w:jc w:val="center"/>
              <w:ind w:left="23"/>
              <w:spacing w:after="0"/>
              <w:rPr>
                <w:sz w:val="20"/>
                <w:szCs w:val="20"/>
                <w:color w:val="auto"/>
              </w:rPr>
            </w:pPr>
            <w:r>
              <w:rPr>
                <w:rFonts w:ascii="Arial" w:cs="Arial" w:eastAsia="Arial" w:hAnsi="Arial"/>
                <w:sz w:val="14"/>
                <w:szCs w:val="14"/>
                <w:b w:val="1"/>
                <w:bCs w:val="1"/>
                <w:color w:val="auto"/>
              </w:rPr>
              <w:t>Price</w:t>
            </w:r>
          </w:p>
        </w:tc>
        <w:tc>
          <w:tcPr>
            <w:tcW w:w="1480" w:type="dxa"/>
            <w:vAlign w:val="bottom"/>
            <w:tcBorders>
              <w:left w:val="single" w:sz="8" w:color="auto"/>
              <w:right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Aggregate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4640" w:type="dxa"/>
            <w:vAlign w:val="bottom"/>
            <w:tcBorders>
              <w:bottom w:val="single" w:sz="8" w:color="auto"/>
              <w:right w:val="single" w:sz="8" w:color="auto"/>
            </w:tcBorders>
          </w:tcPr>
          <w:p>
            <w:pPr>
              <w:ind w:left="1720"/>
              <w:spacing w:after="0"/>
              <w:rPr>
                <w:sz w:val="20"/>
                <w:szCs w:val="20"/>
                <w:color w:val="auto"/>
              </w:rPr>
            </w:pPr>
            <w:r>
              <w:rPr>
                <w:rFonts w:ascii="Arial" w:cs="Arial" w:eastAsia="Arial" w:hAnsi="Arial"/>
                <w:sz w:val="14"/>
                <w:szCs w:val="14"/>
                <w:b w:val="1"/>
                <w:bCs w:val="1"/>
                <w:color w:val="auto"/>
              </w:rPr>
              <w:t>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w:t>
            </w:r>
          </w:p>
        </w:tc>
        <w:tc>
          <w:tcPr>
            <w:tcW w:w="162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rPr>
              <w:t>Per Share</w:t>
            </w:r>
          </w:p>
        </w:tc>
        <w:tc>
          <w:tcPr>
            <w:tcW w:w="1480" w:type="dxa"/>
            <w:vAlign w:val="bottom"/>
            <w:tcBorders>
              <w:left w:val="single" w:sz="8" w:color="auto"/>
              <w:bottom w:val="single" w:sz="8" w:color="auto"/>
              <w:right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Offering Price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Primary Offering</w:t>
            </w:r>
          </w:p>
        </w:tc>
        <w:tc>
          <w:tcPr>
            <w:tcW w:w="16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4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640" w:type="dxa"/>
            <w:vAlign w:val="bottom"/>
            <w:tcBorders>
              <w:right w:val="single" w:sz="8" w:color="auto"/>
            </w:tcBorders>
          </w:tcPr>
          <w:p>
            <w:pPr>
              <w:spacing w:after="0" w:line="173" w:lineRule="exact"/>
              <w:rPr>
                <w:sz w:val="20"/>
                <w:szCs w:val="20"/>
                <w:color w:val="auto"/>
              </w:rPr>
            </w:pPr>
            <w:r>
              <w:rPr>
                <w:rFonts w:ascii="Arial" w:cs="Arial" w:eastAsia="Arial" w:hAnsi="Arial"/>
                <w:sz w:val="18"/>
                <w:szCs w:val="18"/>
                <w:color w:val="auto"/>
              </w:rPr>
              <w:t>Ordinary Shares, nominal value £0.003, per ordinary</w:t>
            </w:r>
          </w:p>
        </w:tc>
        <w:tc>
          <w:tcPr>
            <w:tcW w:w="1640" w:type="dxa"/>
            <w:vAlign w:val="bottom"/>
            <w:tcBorders>
              <w:right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Borders>
              <w:left w:val="single" w:sz="8" w:color="auto"/>
              <w:righ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w:t>
            </w:r>
            <w:r>
              <w:rPr>
                <w:rFonts w:ascii="Arial" w:cs="Arial" w:eastAsia="Arial" w:hAnsi="Arial"/>
                <w:sz w:val="18"/>
                <w:szCs w:val="18"/>
                <w:b w:val="1"/>
                <w:bCs w:val="1"/>
                <w:color w:val="auto"/>
              </w:rPr>
              <w:t>(1)</w:t>
            </w:r>
          </w:p>
        </w:tc>
        <w:tc>
          <w:tcPr>
            <w:tcW w:w="164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(2)</w:t>
            </w:r>
          </w:p>
        </w:tc>
        <w:tc>
          <w:tcPr>
            <w:tcW w:w="162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(3)</w:t>
            </w:r>
          </w:p>
        </w:tc>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$250,000,000</w:t>
            </w:r>
            <w:r>
              <w:rPr>
                <w:rFonts w:ascii="Arial" w:cs="Arial" w:eastAsia="Arial" w:hAnsi="Arial"/>
                <w:sz w:val="18"/>
                <w:szCs w:val="18"/>
                <w:b w:val="1"/>
                <w:bCs w:val="1"/>
                <w:color w:val="auto"/>
              </w:rPr>
              <w:t>(4)</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$27,275</w:t>
            </w: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Secondary Offering</w:t>
            </w:r>
          </w:p>
        </w:tc>
        <w:tc>
          <w:tcPr>
            <w:tcW w:w="16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4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640" w:type="dxa"/>
            <w:vAlign w:val="bottom"/>
            <w:tcBorders>
              <w:right w:val="single" w:sz="8" w:color="auto"/>
            </w:tcBorders>
          </w:tcPr>
          <w:p>
            <w:pPr>
              <w:spacing w:after="0" w:line="173" w:lineRule="exact"/>
              <w:rPr>
                <w:sz w:val="20"/>
                <w:szCs w:val="20"/>
                <w:color w:val="auto"/>
              </w:rPr>
            </w:pPr>
            <w:r>
              <w:rPr>
                <w:rFonts w:ascii="Arial" w:cs="Arial" w:eastAsia="Arial" w:hAnsi="Arial"/>
                <w:sz w:val="18"/>
                <w:szCs w:val="18"/>
                <w:color w:val="auto"/>
              </w:rPr>
              <w:t>Ordinary Shares, nominal value £0.003, per ordinary</w:t>
            </w:r>
          </w:p>
        </w:tc>
        <w:tc>
          <w:tcPr>
            <w:tcW w:w="1640" w:type="dxa"/>
            <w:vAlign w:val="bottom"/>
            <w:tcBorders>
              <w:right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Borders>
              <w:left w:val="single" w:sz="8" w:color="auto"/>
              <w:right w:val="single" w:sz="8" w:color="auto"/>
            </w:tcBorders>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share</w:t>
            </w:r>
            <w:r>
              <w:rPr>
                <w:rFonts w:ascii="Arial" w:cs="Arial" w:eastAsia="Arial" w:hAnsi="Arial"/>
                <w:sz w:val="18"/>
                <w:szCs w:val="18"/>
                <w:b w:val="1"/>
                <w:bCs w:val="1"/>
                <w:color w:val="auto"/>
              </w:rPr>
              <w:t>(1)</w:t>
            </w:r>
          </w:p>
        </w:tc>
        <w:tc>
          <w:tcPr>
            <w:tcW w:w="1640" w:type="dxa"/>
            <w:vAlign w:val="bottom"/>
            <w:tcBorders>
              <w:bottom w:val="single" w:sz="8" w:color="auto"/>
              <w:right w:val="single" w:sz="8" w:color="auto"/>
            </w:tcBorders>
          </w:tcPr>
          <w:p>
            <w:pPr>
              <w:jc w:val="center"/>
              <w:ind w:right="121"/>
              <w:spacing w:after="0"/>
              <w:rPr>
                <w:sz w:val="20"/>
                <w:szCs w:val="20"/>
                <w:color w:val="auto"/>
              </w:rPr>
            </w:pPr>
            <w:r>
              <w:rPr>
                <w:rFonts w:ascii="Arial" w:cs="Arial" w:eastAsia="Arial" w:hAnsi="Arial"/>
                <w:sz w:val="18"/>
                <w:szCs w:val="18"/>
                <w:color w:val="auto"/>
              </w:rPr>
              <w:t>24,493,416</w:t>
            </w:r>
            <w:r>
              <w:rPr>
                <w:rFonts w:ascii="Arial" w:cs="Arial" w:eastAsia="Arial" w:hAnsi="Arial"/>
                <w:sz w:val="18"/>
                <w:szCs w:val="18"/>
                <w:b w:val="1"/>
                <w:bCs w:val="1"/>
                <w:color w:val="auto"/>
              </w:rPr>
              <w:t>(6)</w:t>
            </w:r>
          </w:p>
        </w:tc>
        <w:tc>
          <w:tcPr>
            <w:tcW w:w="1620" w:type="dxa"/>
            <w:vAlign w:val="bottom"/>
            <w:tcBorders>
              <w:bottom w:val="single" w:sz="8" w:color="auto"/>
            </w:tcBorders>
          </w:tcPr>
          <w:p>
            <w:pPr>
              <w:jc w:val="center"/>
              <w:ind w:right="323"/>
              <w:spacing w:after="0"/>
              <w:rPr>
                <w:sz w:val="20"/>
                <w:szCs w:val="20"/>
                <w:color w:val="auto"/>
              </w:rPr>
            </w:pPr>
            <w:r>
              <w:rPr>
                <w:rFonts w:ascii="Arial" w:cs="Arial" w:eastAsia="Arial" w:hAnsi="Arial"/>
                <w:sz w:val="18"/>
                <w:szCs w:val="18"/>
                <w:color w:val="auto"/>
              </w:rPr>
              <w:t>0.524</w:t>
            </w:r>
            <w:r>
              <w:rPr>
                <w:rFonts w:ascii="Arial" w:cs="Arial" w:eastAsia="Arial" w:hAnsi="Arial"/>
                <w:sz w:val="18"/>
                <w:szCs w:val="18"/>
                <w:b w:val="1"/>
                <w:bCs w:val="1"/>
                <w:color w:val="auto"/>
              </w:rPr>
              <w:t>(7)</w:t>
            </w:r>
          </w:p>
        </w:tc>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$12,834,550</w:t>
            </w:r>
            <w:r>
              <w:rPr>
                <w:rFonts w:ascii="Arial" w:cs="Arial" w:eastAsia="Arial" w:hAnsi="Arial"/>
                <w:sz w:val="18"/>
                <w:szCs w:val="18"/>
                <w:b w:val="1"/>
                <w:bCs w:val="1"/>
                <w:color w:val="auto"/>
              </w:rPr>
              <w:t>(7)</w:t>
            </w:r>
          </w:p>
        </w:tc>
        <w:tc>
          <w:tcPr>
            <w:tcW w:w="164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99"/>
              </w:rPr>
              <w:t>$1,400.25</w:t>
            </w: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Total registration fee</w:t>
            </w:r>
            <w:r>
              <w:rPr>
                <w:rFonts w:ascii="Arial" w:cs="Arial" w:eastAsia="Arial" w:hAnsi="Arial"/>
                <w:sz w:val="18"/>
                <w:szCs w:val="18"/>
                <w:b w:val="1"/>
                <w:bCs w:val="1"/>
                <w:color w:val="auto"/>
              </w:rPr>
              <w:t>(9)</w:t>
            </w:r>
          </w:p>
        </w:tc>
        <w:tc>
          <w:tcPr>
            <w:tcW w:w="16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480" w:type="dxa"/>
            <w:vAlign w:val="bottom"/>
            <w:tcBorders>
              <w:left w:val="single" w:sz="8" w:color="auto"/>
              <w:bottom w:val="single" w:sz="8" w:color="auto"/>
              <w:right w:val="single" w:sz="8" w:color="auto"/>
            </w:tcBorders>
          </w:tcPr>
          <w:p>
            <w:pPr>
              <w:spacing w:after="0"/>
              <w:rPr>
                <w:sz w:val="17"/>
                <w:szCs w:val="17"/>
                <w:color w:val="auto"/>
              </w:rPr>
            </w:pPr>
          </w:p>
        </w:tc>
        <w:tc>
          <w:tcPr>
            <w:tcW w:w="1640" w:type="dxa"/>
            <w:vAlign w:val="bottom"/>
            <w:tcBorders>
              <w:bottom w:val="single" w:sz="8" w:color="auto"/>
            </w:tcBorders>
          </w:tcPr>
          <w:p>
            <w:pPr>
              <w:jc w:val="center"/>
              <w:ind w:left="17"/>
              <w:spacing w:after="0" w:line="196" w:lineRule="exact"/>
              <w:rPr>
                <w:sz w:val="20"/>
                <w:szCs w:val="20"/>
                <w:color w:val="auto"/>
              </w:rPr>
            </w:pPr>
            <w:r>
              <w:rPr>
                <w:rFonts w:ascii="Arial" w:cs="Arial" w:eastAsia="Arial" w:hAnsi="Arial"/>
                <w:sz w:val="18"/>
                <w:szCs w:val="18"/>
                <w:color w:val="auto"/>
                <w:w w:val="99"/>
              </w:rPr>
              <w:t>$28,675.25</w:t>
            </w: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40" w:right="46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ordinary shares offered are in the form of American Depositary Shares (“ADSs”), with each ADS representing five (5) of our ordinary shares. ADSs issuable upon deposit of the ordinary shares registered hereby will have been registered under separate registration statements on Form F-6 (File No. 333-223890, File No. 333-249338 and File No. 333-258824).</w:t>
      </w:r>
    </w:p>
    <w:p>
      <w:pPr>
        <w:spacing w:after="0" w:line="2" w:lineRule="exact"/>
        <w:rPr>
          <w:rFonts w:ascii="Arial" w:cs="Arial" w:eastAsia="Arial" w:hAnsi="Arial"/>
          <w:sz w:val="18"/>
          <w:szCs w:val="18"/>
          <w:color w:val="auto"/>
        </w:rPr>
      </w:pPr>
    </w:p>
    <w:p>
      <w:pPr>
        <w:ind w:left="540" w:right="2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unspecified number of ordinary shares is being registered as may from time to time be offered at unspecified prices. Pursuant to Rule 416 under the Securities Act of 1933, as amended (the “Securities Act”), the ordinary shares being registered hereunder include such indeterminate number of ordinary shares as may be issuable with respect to the ordinary shares being registered hereunder as a result of share splits, share dividends or similar transactions.</w:t>
      </w:r>
    </w:p>
    <w:p>
      <w:pPr>
        <w:spacing w:after="0" w:line="2" w:lineRule="exact"/>
        <w:rPr>
          <w:rFonts w:ascii="Arial" w:cs="Arial" w:eastAsia="Arial" w:hAnsi="Arial"/>
          <w:sz w:val="18"/>
          <w:szCs w:val="18"/>
          <w:color w:val="auto"/>
        </w:rPr>
      </w:pPr>
    </w:p>
    <w:p>
      <w:pPr>
        <w:ind w:left="540" w:right="44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With respect to the Primary Offering, the proposed maximum offering price per share for the registrant’s ordinary shares will be determined from time to time by the registrant in connection with the issuance by the registrant of the ordinary shares registered hereunder.</w:t>
      </w:r>
    </w:p>
    <w:p>
      <w:pPr>
        <w:spacing w:after="0" w:line="2" w:lineRule="exact"/>
        <w:rPr>
          <w:rFonts w:ascii="Arial" w:cs="Arial" w:eastAsia="Arial" w:hAnsi="Arial"/>
          <w:sz w:val="18"/>
          <w:szCs w:val="18"/>
          <w:color w:val="auto"/>
        </w:rPr>
      </w:pPr>
    </w:p>
    <w:p>
      <w:pPr>
        <w:ind w:left="540" w:right="40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The aggregate maximum offering price of the ordinary shares issued by the registrant pursuant to this registration statement will not exceed $250,000,000.</w:t>
      </w:r>
    </w:p>
    <w:p>
      <w:pPr>
        <w:spacing w:after="0" w:line="1" w:lineRule="exact"/>
        <w:rPr>
          <w:rFonts w:ascii="Arial" w:cs="Arial" w:eastAsia="Arial" w:hAnsi="Arial"/>
          <w:sz w:val="18"/>
          <w:szCs w:val="18"/>
          <w:color w:val="auto"/>
        </w:rPr>
      </w:pPr>
    </w:p>
    <w:p>
      <w:pPr>
        <w:ind w:left="540" w:right="4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and Rule 457(p) under the Securities Act for the primary offering hereunder. The registrant filed a Registration Statement on Form F-3 (File No. 333-249341) on October 6, 2020 to register the offering of $200,000,000 of its ordinary shares in the form of ADSs and paid a filing fee of $21,820 following the effectiveness of which it sold $115,507,500 ordinary shares in the form of ADSs and $84,492,500 remain unsold which amount is being carried forward and used to offset the registration fees due for the primary offering hereunder. Accordingly, after application of $9,218 representing the remaining filing fee previously paid, as calculated pursuant to Rule 457(o) and Rule 457(p) under the Securities Act, the total additional registration fee being paid by the registrant for the primary offering is $18,057 calculated pursuant to Rule 457(p) under the Securities Act.</w:t>
      </w:r>
    </w:p>
    <w:p>
      <w:pPr>
        <w:spacing w:after="0" w:line="4" w:lineRule="exact"/>
        <w:rPr>
          <w:rFonts w:ascii="Arial" w:cs="Arial" w:eastAsia="Arial" w:hAnsi="Arial"/>
          <w:sz w:val="18"/>
          <w:szCs w:val="18"/>
          <w:color w:val="auto"/>
        </w:rPr>
      </w:pPr>
    </w:p>
    <w:p>
      <w:pPr>
        <w:ind w:left="540" w:right="200" w:hanging="424"/>
        <w:spacing w:after="0" w:line="248"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 is hereby registering for the offer and resale of up to an aggregate of 24,493,416 ordinary shares consisting of (i) 1,349,692 ordinary shares issuable to AstraZeneca AB (“AstraZeneca”) pursuant to the exclusive license and option agreement we entered into with AstraZeneca October 28, 2017; (ii) 18,555,068 ordinary shares underlying convertible loan notes and warrants issuable to Novartis Pharma AG (“Novartis”) under the convertible loan and warrant instruments dated February 10, 2020, as amended; (iii) 2,487,816 ordinary shares underlying warrants issuable to Silicon Valley Bank and Kreos Capital V (UK) Limited as lenders under previous loan agreements with them dated August 7, 2017 and September 28, 2018, as adjusted on December 15, 2020 that have been fully repaid; and (iv) 2,100,840 ordinary shares issued to Cancer Focus Fund, LP in connection with our partnership agreement entered into April 30, 2021. No separate consideration will be received for ordinary shares that are issued upon conversion of convertible loan notes or upon exercise of the warrants described in this paragraph hereunder</w:t>
      </w:r>
    </w:p>
    <w:p>
      <w:pPr>
        <w:spacing w:after="0" w:line="4" w:lineRule="exact"/>
        <w:rPr>
          <w:rFonts w:ascii="Arial" w:cs="Arial" w:eastAsia="Arial" w:hAnsi="Arial"/>
          <w:sz w:val="17"/>
          <w:szCs w:val="17"/>
          <w:color w:val="auto"/>
        </w:rPr>
      </w:pPr>
    </w:p>
    <w:p>
      <w:pPr>
        <w:ind w:left="540" w:right="2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based on the average of the high and low prices of the registrant’s ADSs on the Nasdaq Global Market on July 30, 2021, of $2.680 and $2.565. With respect to the Secondary Offering, the proposed maximum offering price per ordinary share will be determined from time to time in connection with, and at the time of, sale by the holders of such securities named in the registration statement.</w:t>
      </w:r>
    </w:p>
    <w:p>
      <w:pPr>
        <w:spacing w:after="0" w:line="2" w:lineRule="exact"/>
        <w:rPr>
          <w:rFonts w:ascii="Arial" w:cs="Arial" w:eastAsia="Arial" w:hAnsi="Arial"/>
          <w:sz w:val="18"/>
          <w:szCs w:val="18"/>
          <w:color w:val="auto"/>
        </w:rPr>
      </w:pPr>
    </w:p>
    <w:p>
      <w:pPr>
        <w:ind w:left="540" w:right="300" w:hanging="424"/>
        <w:spacing w:after="0" w:line="23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457(c) under the Securities Act, based upon the average of the high and low prices of the registrant’s ADSs on the Nasdaq Global Market on July 30, 2021, of $2.680 and $2.565.</w:t>
      </w:r>
    </w:p>
    <w:p>
      <w:pPr>
        <w:spacing w:after="0" w:line="1" w:lineRule="exact"/>
        <w:rPr>
          <w:rFonts w:ascii="Arial" w:cs="Arial" w:eastAsia="Arial" w:hAnsi="Arial"/>
          <w:sz w:val="18"/>
          <w:szCs w:val="18"/>
          <w:color w:val="auto"/>
        </w:rPr>
      </w:pPr>
    </w:p>
    <w:p>
      <w:pPr>
        <w:ind w:left="540" w:right="10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total registration fee was previously paid in connection with the filing of this Registration Statement on Form F-3 on August 5, 2021 which included the application of registration fees from the Company’s prior Registration Statement on Form F-3 (File No. 333-249341) filed on October 6, 2020 as described in footnote 5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34925</wp:posOffset>
            </wp:positionV>
            <wp:extent cx="1817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66"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EXPLANATORY NOTE</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registration statement contains two prospectuses:</w:t>
      </w:r>
    </w:p>
    <w:p>
      <w:pPr>
        <w:spacing w:after="0" w:line="239" w:lineRule="exact"/>
        <w:rPr>
          <w:sz w:val="20"/>
          <w:szCs w:val="20"/>
          <w:color w:val="auto"/>
        </w:rPr>
      </w:pPr>
    </w:p>
    <w:p>
      <w:pPr>
        <w:ind w:left="980" w:hanging="432"/>
        <w:spacing w:after="0" w:line="223"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base prospectus which covers the offering, issuance and sale of up to $250,000,000 of our ADSs and the offering and sale by the Selling Shareholders of up to 24,493,416 of our ordinary shares in the form of ADSs, in each case from time to time in one or more offerings; and</w:t>
      </w:r>
    </w:p>
    <w:p>
      <w:pPr>
        <w:spacing w:after="0" w:line="28" w:lineRule="exact"/>
        <w:rPr>
          <w:rFonts w:ascii="MS PGothic" w:cs="MS PGothic" w:eastAsia="MS PGothic" w:hAnsi="MS PGothic"/>
          <w:sz w:val="25"/>
          <w:szCs w:val="25"/>
          <w:color w:val="auto"/>
          <w:vertAlign w:val="superscript"/>
        </w:rPr>
      </w:pPr>
    </w:p>
    <w:p>
      <w:pPr>
        <w:jc w:val="both"/>
        <w:ind w:left="980" w:right="60" w:hanging="432"/>
        <w:spacing w:after="0" w:line="223"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sales agreement prospectus supplement covering the offering, issuance and sale of up to $50,000,000 of our ADSs that may be issued and sold under the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dated August 5, 2021 between us and Jefferies LLC (the “Sales Agreement”).</w:t>
      </w:r>
    </w:p>
    <w:p>
      <w:pPr>
        <w:spacing w:after="0" w:line="204"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7"/>
          <w:szCs w:val="17"/>
          <w:color w:val="auto"/>
        </w:rPr>
        <w:t>We terminated our previous sales agreement dated October 6, 2020 between us and SVB Leerink LLC under which we sold no securities. 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$50,000,000 of ADSs that may be offered, issued and sold under the Sales Agreement prospectus supplement are included in the $250,000,000 of securities that may be offered, issued and sold by the registrant under the base prospectus. Upon termination of the Sales Agreement, any portion of the $50,000,000 included in the Sales Agreement prospectus supplement that is not sold pursuant to the Sales Agreement will be available for sale in other offerings pursuant to the base prospectus.</w:t>
      </w:r>
    </w:p>
    <w:p>
      <w:pPr>
        <w:spacing w:after="0" w:line="191"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1140"/>
          </w:cols>
          <w:pgMar w:left="320" w:top="459" w:right="439" w:bottom="1440" w:gutter="0" w:footer="0" w:header="0"/>
        </w:sectPr>
      </w:pP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PROSPECTUS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699516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CC062A"/>
        </w:rPr>
        <w:t>Dated September</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CC062A"/>
        </w:rPr>
        <w:t>7, 2021</w:t>
      </w:r>
    </w:p>
    <w:p>
      <w:pPr>
        <w:spacing w:after="0" w:line="200" w:lineRule="exact"/>
        <w:rPr>
          <w:sz w:val="20"/>
          <w:szCs w:val="20"/>
          <w:color w:val="auto"/>
        </w:rPr>
      </w:pPr>
    </w:p>
    <w:p>
      <w:pPr>
        <w:sectPr>
          <w:pgSz w:w="11900" w:h="16838" w:orient="portrait"/>
          <w:cols w:equalWidth="0" w:num="2">
            <w:col w:w="8940" w:space="720"/>
            <w:col w:w="1480"/>
          </w:cols>
          <w:pgMar w:left="320" w:top="459" w:right="439" w:bottom="1440" w:gutter="0" w:footer="0" w:header="0"/>
          <w:type w:val="continuous"/>
        </w:sectPr>
      </w:pP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102870</wp:posOffset>
            </wp:positionV>
            <wp:extent cx="2468880"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118" w:lineRule="exact"/>
        <w:rPr>
          <w:sz w:val="20"/>
          <w:szCs w:val="20"/>
          <w:color w:val="auto"/>
        </w:rPr>
      </w:pPr>
    </w:p>
    <w:p>
      <w:pPr>
        <w:ind w:left="3980"/>
        <w:spacing w:after="0"/>
        <w:rPr>
          <w:sz w:val="20"/>
          <w:szCs w:val="20"/>
          <w:color w:val="auto"/>
        </w:rPr>
      </w:pPr>
      <w:r>
        <w:rPr>
          <w:rFonts w:ascii="Arial" w:cs="Arial" w:eastAsia="Arial" w:hAnsi="Arial"/>
          <w:sz w:val="25"/>
          <w:szCs w:val="25"/>
          <w:b w:val="1"/>
          <w:bCs w:val="1"/>
          <w:color w:val="auto"/>
        </w:rPr>
        <w:t>24,493,416 Ordinary Shares</w:t>
      </w:r>
    </w:p>
    <w:p>
      <w:pPr>
        <w:spacing w:after="0" w:line="42" w:lineRule="exact"/>
        <w:rPr>
          <w:sz w:val="20"/>
          <w:szCs w:val="20"/>
          <w:color w:val="auto"/>
        </w:rPr>
      </w:pPr>
    </w:p>
    <w:p>
      <w:pPr>
        <w:ind w:left="900"/>
        <w:spacing w:after="0"/>
        <w:rPr>
          <w:sz w:val="20"/>
          <w:szCs w:val="20"/>
          <w:color w:val="auto"/>
        </w:rPr>
      </w:pPr>
      <w:r>
        <w:rPr>
          <w:rFonts w:ascii="Arial" w:cs="Arial" w:eastAsia="Arial" w:hAnsi="Arial"/>
          <w:sz w:val="25"/>
          <w:szCs w:val="25"/>
          <w:b w:val="1"/>
          <w:bCs w:val="1"/>
          <w:color w:val="auto"/>
        </w:rPr>
        <w:t>Offered by the Selling Shareholders in the form of American Depositary Shares</w:t>
      </w:r>
    </w:p>
    <w:p>
      <w:pPr>
        <w:spacing w:after="0" w:line="11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may offer, from time to time, the American Depositary Shares (“ADSs”) described in this prospectus, for an aggregate offering price of up to $ 250,000,000. In addition, the selling shareholders named in this prospectus (the “Selling Shareholders”) may offer and sell from time to time up to 24,493,416 ordinary shares consisting of (i) 1,349,692 ordinary shares issuable to AstraZeneca AB (“AstraZeneca”) pursuant to the exclusive license and option agreement we entered into with AstraZeneca on October 28, 2017, as amended; (ii) 18,555,068 ordinary shares underlying convertible loan notes and warrants issuable to Novartis Pharma AG (“Novartis”) under the convertible loan and warrant instruments dated February 10, 2020, as amended; (iii) 2,487,816 ordinary shares underlying warrants issuable to Silicon Valley Bank and Kreos Capital V (UK) Limited as lenders under previous loan agreements with them dated August 7, 2017 and September 28, 2018, as adjusted on December 15, 2020 that have been fully repaid; and (iv) 2,100,840 ordinary shares issued to Cancer Focus Fund, LP (“Focus Fund”) in connection with our partnership agreement entered into on April 30, 2021. We will not receive any of the proceeds from the sale of the ADSs by the Selling Shareholders. Each of the Selling Shareholders may offer and sell their ADSs in public or private transactions, or both. These sales may occur at fixed prices, at market prices prevailing at the time of sale, at prices related to prevailing market prices, or at negotiated prices. See “Plan of Distribution” for more information on how the Selling Shareholders may conduct sales of their ADSs.</w:t>
      </w:r>
    </w:p>
    <w:p>
      <w:pPr>
        <w:spacing w:after="0" w:line="9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will provide you with the specific amount, price and terms of the applicable offered ADSs in one or more supplements to this prospectus. You should carefully read this prospectus and the applicable prospectus supplement, as well as the documents incorporated or deemed to be incorporated by reference in this prospectus, before you purchase any of the ADSs offered hereby. We may offer and sell the ADSs in the same offering or in separate offerings, to or through underwriters, dealers, and agents, or directly to purchasers. The names of any underwriters, dealers, or agents involved in the sale of our ADSs, their compensation and any options to purchase additional ADSs held by them will be described in the applicable prospectus supplement. See “Plan of Distribution.”</w:t>
      </w:r>
    </w:p>
    <w:p>
      <w:pPr>
        <w:spacing w:after="0" w:line="97"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Our ADSs trade on the Nasdaq Global Market, or the Nasdaq, under the symbol “MREO.” On September 3, 2021, the last reported sale price of our ADSs on Nasdaq was $2.75 per ADS. We are both an “emerging growth company” and a “foreign private issuer” as defined under the Securities Act of 1933, as amended (the “Securities Act”), and, as such, are subject to reduced public company reporting requirements. See “Prospectus Summary—Implications of Being an Emerging Growth Company and a Foreign Private Issuer” for additional information.</w:t>
      </w:r>
    </w:p>
    <w:p>
      <w:pPr>
        <w:spacing w:after="0" w:line="77" w:lineRule="exact"/>
        <w:rPr>
          <w:sz w:val="20"/>
          <w:szCs w:val="20"/>
          <w:color w:val="auto"/>
        </w:rPr>
      </w:pPr>
    </w:p>
    <w:p>
      <w:pPr>
        <w:ind w:left="120" w:right="22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ADSs involve significant risks. See “</w:t>
      </w:r>
      <w:hyperlink w:anchor="page10">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 beginning on page 5 of this prospectus and the documents incorporated by reference into this prospectus concerning factors you should consider before investing in our ADSs.</w:t>
      </w:r>
    </w:p>
    <w:p>
      <w:pPr>
        <w:spacing w:after="0" w:line="65"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133985</wp:posOffset>
            </wp:positionV>
            <wp:extent cx="1817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94" w:lineRule="exact"/>
        <w:rPr>
          <w:sz w:val="20"/>
          <w:szCs w:val="20"/>
          <w:color w:val="auto"/>
        </w:rPr>
      </w:pPr>
    </w:p>
    <w:tbl>
      <w:tblPr>
        <w:tblLayout w:type="fixed"/>
        <w:tblInd w:w="4360" w:type="dxa"/>
        <w:tblCellMar>
          <w:top w:w="0" w:type="dxa"/>
          <w:left w:w="0" w:type="dxa"/>
          <w:bottom w:w="0" w:type="dxa"/>
          <w:right w:w="0" w:type="dxa"/>
        </w:tblCellMar>
      </w:tblPr>
      <w:tr>
        <w:trPr>
          <w:trHeight w:val="215"/>
        </w:trPr>
        <w:tc>
          <w:tcPr>
            <w:tcW w:w="1720" w:type="dxa"/>
            <w:vAlign w:val="bottom"/>
          </w:tcPr>
          <w:p>
            <w:pPr>
              <w:spacing w:after="0"/>
              <w:rPr>
                <w:sz w:val="20"/>
                <w:szCs w:val="20"/>
                <w:color w:val="auto"/>
              </w:rPr>
            </w:pPr>
            <w:r>
              <w:rPr>
                <w:rFonts w:ascii="Arial" w:cs="Arial" w:eastAsia="Arial" w:hAnsi="Arial"/>
                <w:sz w:val="16"/>
                <w:szCs w:val="16"/>
                <w:b w:val="1"/>
                <w:bCs w:val="1"/>
                <w:color w:val="auto"/>
              </w:rPr>
              <w:t>Prospectus dated</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 2021</w:t>
            </w:r>
          </w:p>
        </w:tc>
      </w:tr>
    </w:tbl>
    <w:p>
      <w:pPr>
        <w:sectPr>
          <w:pgSz w:w="11900" w:h="16838" w:orient="portrait"/>
          <w:cols w:equalWidth="0" w:num="1">
            <w:col w:w="11140"/>
          </w:cols>
          <w:pgMar w:left="320" w:top="459" w:right="439" w:bottom="1440" w:gutter="0" w:footer="0" w:header="0"/>
          <w:type w:val="continuous"/>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060" w:type="dxa"/>
            <w:vAlign w:val="bottom"/>
            <w:gridSpan w:val="2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40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3"/>
          </w:tcPr>
          <w:p>
            <w:pPr>
              <w:ind w:left="40"/>
              <w:spacing w:after="0"/>
              <w:rPr>
                <w:sz w:val="20"/>
                <w:szCs w:val="20"/>
                <w:color w:val="auto"/>
              </w:rPr>
            </w:pPr>
            <w:r>
              <w:rPr>
                <w:rFonts w:ascii="Arial" w:cs="Arial" w:eastAsia="Arial" w:hAnsi="Arial"/>
                <w:sz w:val="18"/>
                <w:szCs w:val="18"/>
                <w:b w:val="1"/>
                <w:bCs w:val="1"/>
                <w:color w:val="auto"/>
              </w:rPr>
              <w:t>TABLE OF CONTENTS</w:t>
            </w:r>
          </w:p>
        </w:tc>
        <w:tc>
          <w:tcPr>
            <w:tcW w:w="4020" w:type="dxa"/>
            <w:vAlign w:val="bottom"/>
          </w:tcPr>
          <w:p>
            <w:pPr>
              <w:spacing w:after="0"/>
              <w:rPr>
                <w:sz w:val="24"/>
                <w:szCs w:val="24"/>
                <w:color w:val="auto"/>
              </w:rPr>
            </w:pPr>
          </w:p>
        </w:tc>
      </w:tr>
      <w:tr>
        <w:trPr>
          <w:trHeight w:val="527"/>
        </w:trPr>
        <w:tc>
          <w:tcPr>
            <w:tcW w:w="120" w:type="dxa"/>
            <w:vAlign w:val="bottom"/>
          </w:tcPr>
          <w:p>
            <w:pPr>
              <w:spacing w:after="0"/>
              <w:rPr>
                <w:sz w:val="24"/>
                <w:szCs w:val="24"/>
                <w:color w:val="auto"/>
              </w:rPr>
            </w:pPr>
          </w:p>
        </w:tc>
        <w:tc>
          <w:tcPr>
            <w:tcW w:w="69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4580" w:type="dxa"/>
            <w:vAlign w:val="bottom"/>
            <w:gridSpan w:val="8"/>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880" w:type="dxa"/>
            <w:vAlign w:val="bottom"/>
            <w:tcBorders>
              <w:top w:val="single" w:sz="8" w:color="0000EE"/>
            </w:tcBorders>
            <w:gridSpan w:val="5"/>
          </w:tcPr>
          <w:p>
            <w:pPr>
              <w:spacing w:after="0"/>
              <w:rPr>
                <w:sz w:val="15"/>
                <w:szCs w:val="15"/>
                <w:color w:val="auto"/>
              </w:rPr>
            </w:pPr>
          </w:p>
        </w:tc>
        <w:tc>
          <w:tcPr>
            <w:tcW w:w="4740" w:type="dxa"/>
            <w:vAlign w:val="bottom"/>
            <w:gridSpan w:val="10"/>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SPECIAL NOTE REGARDING FORWARD-LOOKING STATEMENTS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120" w:type="dxa"/>
            <w:vAlign w:val="bottom"/>
          </w:tcPr>
          <w:p>
            <w:pPr>
              <w:spacing w:after="0"/>
              <w:rPr>
                <w:sz w:val="15"/>
                <w:szCs w:val="15"/>
                <w:color w:val="auto"/>
              </w:rPr>
            </w:pPr>
          </w:p>
        </w:tc>
        <w:tc>
          <w:tcPr>
            <w:tcW w:w="55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CAPITALIZATION</w:t>
              </w:r>
            </w:hyperlink>
          </w:p>
        </w:tc>
        <w:tc>
          <w:tcPr>
            <w:tcW w:w="1420" w:type="dxa"/>
            <w:vAlign w:val="bottom"/>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SHARE CAPITAL</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AMERICAN DEPOSITARY SHARES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12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SELLING SHAREHOLDERS</w:t>
              </w:r>
            </w:hyperlink>
          </w:p>
        </w:tc>
        <w:tc>
          <w:tcPr>
            <w:tcW w:w="2200" w:type="dxa"/>
            <w:vAlign w:val="bottom"/>
            <w:tcBorders>
              <w:top w:val="single" w:sz="8" w:color="0000EE"/>
            </w:tcBorders>
            <w:gridSpan w:val="6"/>
          </w:tcPr>
          <w:p>
            <w:pPr>
              <w:spacing w:after="0"/>
              <w:rPr>
                <w:sz w:val="15"/>
                <w:szCs w:val="15"/>
                <w:color w:val="auto"/>
              </w:rPr>
            </w:pPr>
          </w:p>
        </w:tc>
        <w:tc>
          <w:tcPr>
            <w:tcW w:w="2440" w:type="dxa"/>
            <w:vAlign w:val="bottom"/>
            <w:gridSpan w:val="3"/>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MATERIAL TAX CONSIDERATIONS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120" w:type="dxa"/>
            <w:vAlign w:val="bottom"/>
          </w:tcPr>
          <w:p>
            <w:pPr>
              <w:spacing w:after="0"/>
              <w:rPr>
                <w:sz w:val="15"/>
                <w:szCs w:val="15"/>
                <w:color w:val="auto"/>
              </w:rPr>
            </w:pPr>
          </w:p>
        </w:tc>
        <w:tc>
          <w:tcPr>
            <w:tcW w:w="29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4020" w:type="dxa"/>
            <w:vAlign w:val="bottom"/>
            <w:gridSpan w:val="7"/>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20" w:type="dxa"/>
            <w:vAlign w:val="bottom"/>
          </w:tcPr>
          <w:p>
            <w:pPr>
              <w:spacing w:after="0"/>
              <w:rPr>
                <w:sz w:val="15"/>
                <w:szCs w:val="15"/>
                <w:color w:val="auto"/>
              </w:rPr>
            </w:pPr>
          </w:p>
        </w:tc>
        <w:tc>
          <w:tcPr>
            <w:tcW w:w="208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EXPENSES</w:t>
              </w:r>
            </w:hyperlink>
          </w:p>
        </w:tc>
        <w:tc>
          <w:tcPr>
            <w:tcW w:w="4860" w:type="dxa"/>
            <w:vAlign w:val="bottom"/>
            <w:gridSpan w:val="11"/>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48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LEGAL MATTERS</w:t>
              </w:r>
            </w:hyperlink>
          </w:p>
        </w:tc>
        <w:tc>
          <w:tcPr>
            <w:tcW w:w="5460" w:type="dxa"/>
            <w:vAlign w:val="bottom"/>
            <w:gridSpan w:val="13"/>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120" w:type="dxa"/>
            <w:vAlign w:val="bottom"/>
          </w:tcPr>
          <w:p>
            <w:pPr>
              <w:spacing w:after="0"/>
              <w:rPr>
                <w:sz w:val="15"/>
                <w:szCs w:val="15"/>
                <w:color w:val="auto"/>
              </w:rPr>
            </w:pPr>
          </w:p>
        </w:tc>
        <w:tc>
          <w:tcPr>
            <w:tcW w:w="84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EXPERTS</w:t>
              </w:r>
            </w:hyperlink>
          </w:p>
        </w:tc>
        <w:tc>
          <w:tcPr>
            <w:tcW w:w="6100" w:type="dxa"/>
            <w:vAlign w:val="bottom"/>
            <w:gridSpan w:val="18"/>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SERVICE OF PROCESS AND ENFORCEMENT OF LIABILITIES</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120" w:type="dxa"/>
            <w:vAlign w:val="bottom"/>
          </w:tcPr>
          <w:p>
            <w:pPr>
              <w:spacing w:after="0"/>
              <w:rPr>
                <w:sz w:val="15"/>
                <w:szCs w:val="15"/>
                <w:color w:val="auto"/>
              </w:rPr>
            </w:pPr>
          </w:p>
        </w:tc>
        <w:tc>
          <w:tcPr>
            <w:tcW w:w="39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WHERE YOU CAN FIND MORE INFORMATION</w:t>
              </w:r>
            </w:hyperlink>
          </w:p>
        </w:tc>
        <w:tc>
          <w:tcPr>
            <w:tcW w:w="1320" w:type="dxa"/>
            <w:vAlign w:val="bottom"/>
            <w:tcBorders>
              <w:top w:val="single" w:sz="8" w:color="0000EE"/>
            </w:tcBorders>
            <w:gridSpan w:val="3"/>
          </w:tcPr>
          <w:p>
            <w:pPr>
              <w:spacing w:after="0"/>
              <w:rPr>
                <w:sz w:val="15"/>
                <w:szCs w:val="15"/>
                <w:color w:val="auto"/>
              </w:rPr>
            </w:pPr>
          </w:p>
        </w:tc>
        <w:tc>
          <w:tcPr>
            <w:tcW w:w="1720" w:type="dxa"/>
            <w:vAlign w:val="bottom"/>
            <w:gridSpan w:val="2"/>
          </w:tcPr>
          <w:p>
            <w:pPr>
              <w:spacing w:after="0"/>
              <w:rPr>
                <w:sz w:val="15"/>
                <w:szCs w:val="15"/>
                <w:color w:val="auto"/>
              </w:rPr>
            </w:pPr>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120" w:type="dxa"/>
            <w:vAlign w:val="bottom"/>
          </w:tcPr>
          <w:p>
            <w:pPr>
              <w:spacing w:after="0"/>
              <w:rPr>
                <w:sz w:val="15"/>
                <w:szCs w:val="15"/>
                <w:color w:val="auto"/>
              </w:rPr>
            </w:pPr>
          </w:p>
        </w:tc>
        <w:tc>
          <w:tcPr>
            <w:tcW w:w="6940" w:type="dxa"/>
            <w:vAlign w:val="bottom"/>
            <w:gridSpan w:val="19"/>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INCORPORATION BY REFERENCE</w:t>
              </w:r>
            </w:hyperlink>
          </w:p>
        </w:tc>
        <w:tc>
          <w:tcPr>
            <w:tcW w:w="402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358"/>
        </w:trPr>
        <w:tc>
          <w:tcPr>
            <w:tcW w:w="12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46843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This prospectus is part of a shelf registration statement that we filed with the Securities and Exchange Commission, which we refer to as the “SEC,” utilizing a “shelf” registration process. Under this shelf registration process, we may, over time, offer and sell the ADSs described in this prospectus in one or more offerings, up to a total dollar amount of $250,000,000, and the Selling Shareholders may also offer and sell up to 24,493,416 ordinary shares in the form of 4,898,683 ADSs, as described in this prospectus. This prospectus provides you with a general description of the securities that may be offered. Each time we or any Selling Shareholder offers securities under this prospectus, we or the Selling Shareholder will provide a prospectus supplement or other offering materials that will contain specific information about the terms of that offering. We may also add, update or change information contained in this prospectus by means of a prospectus supplement or by incorporating by reference information that we file or furnish to the SEC. The registration statement that we filed with the SEC includes exhibits that provide more detail on the matters discussed in this prospectus. If the information in this prospectus is inconsistent with a prospectus supplement, you should rely on the information in that prospectus supplement. Please carefully read this prospectus and any prospectus supplement, together with the additional information described under the headings “Where You Can Find More Information” and “Incorporation by Reference,” before purchasing any securities.</w:t>
      </w:r>
    </w:p>
    <w:p>
      <w:pPr>
        <w:spacing w:after="0" w:line="203"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any prospectus supplement and any issuer free writing prospectus. “Incorporated by reference” means that we can disclose important information to you by referring you to another document filed separately with the SEC. We have not and the Selling Shareholders have not authorized any other person to provide you with different information. If anyone provides you with different information, you should not rely on it. We are not making an offer of these securities in any state or jurisdiction where the offer is not permitted. You should only assume that the information in this prospectus or in any prospectus supplement or issuer free writing prospectus is accurate only as of their respective dates. Our business, financial condition, results of operations and prospects may have changed since those dates.</w:t>
      </w:r>
    </w:p>
    <w:p>
      <w:pPr>
        <w:spacing w:after="0" w:line="203"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3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100" w:firstLine="426"/>
        <w:spacing w:after="0" w:line="264" w:lineRule="auto"/>
        <w:rPr>
          <w:sz w:val="20"/>
          <w:szCs w:val="20"/>
          <w:color w:val="auto"/>
        </w:rPr>
      </w:pPr>
      <w:r>
        <w:rPr>
          <w:rFonts w:ascii="Arial" w:cs="Arial" w:eastAsia="Arial" w:hAnsi="Arial"/>
          <w:sz w:val="17"/>
          <w:szCs w:val="17"/>
          <w:i w:val="1"/>
          <w:iCs w:val="1"/>
          <w:color w:val="auto"/>
        </w:rPr>
        <w:t>This summary highlights information contained elsewhere in this prospectus or incorporated by reference herein. This summary may not contain all the information that may be important to you, and we urge you to read this entire prospectus carefully, including the risks related to our business, our industry, investing in our ADSs, that we describe under “Risk Factors” and our consolidated financial statements, including the notes thereto, incorporated by reference in this prospectus, before deciding to invest in our ADSs.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firstLine="426"/>
        <w:spacing w:after="0" w:line="235"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Our existing portfolio consists of six clinical stage product candidates two of which are in ongoing clinical studies, two are partnered for further development and the remaining two will be further developed by a partner. Our lead oncology product candidate, etigilimab (an “anti-TIGIT”), has completed a Phase 1a dose escalation clinical trial in patients with advanced solid tumors and has been evaluated in a Phase 1b study in combination with nivolumab in select tumor types. We recently initiated a Phase1b/2 basket study for etigilimab in combination with an anti-PD-1 in three rare tumors, including sarcoma, several gynecological carcinomas including cervical and endometrial carcinomas and tumors with high mutation burden. On April 30, 2021 we and Focus Fund, a unique venture capital fund established in collaboration with The University of Texas MD Anderson Cancer Center (“MD Anderson”) announced a partnership to evaluate Mereo’s etigilimab, in clear cell ovarian cancer, a rare cancer that accounts for approximately 5–10% of all ovarian carcinomas in North America. Our other rare disease product candidates are alvelestat, which is being investigated in an ongoing Phase 2 proof-of-concept study for the treatment of severe AATD, in an investigator-initiated study in hospitalized COVID-19 and in an investigator-initiated study in Bronchiolitis Obliterans Syndrome (“BOS”), and setrusumab for the treatment of OI. Following the announcement of the results for setrusumab in a Phase 2b study in adults with OI which demonstrated a dose dependent increase in bone mineral density and bone strength and alignment with the FDA and the EMA following scientific advice on the pivotal study design for children with OI, we announced a strategic partnership with Ultragenyx Pharmaceutical, Inc. (“Ultragenyx”) in December 2020 for the development of setrusumab in children and adults with OI. Ultragenyx have announced their intention to initiate a Phase 2/3 study in children with OI in the second half of 2021 following additional discussions with the regulators.</w:t>
      </w:r>
    </w:p>
    <w:p>
      <w:pPr>
        <w:spacing w:after="0" w:line="213" w:lineRule="exact"/>
        <w:rPr>
          <w:sz w:val="20"/>
          <w:szCs w:val="20"/>
          <w:color w:val="auto"/>
        </w:rPr>
      </w:pPr>
    </w:p>
    <w:p>
      <w:pPr>
        <w:ind w:left="300" w:right="340" w:firstLine="426"/>
        <w:spacing w:after="0"/>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where it makes sense to do so strategically but also in select cases to develop through regulatory approval and potentially commercialization.</w:t>
      </w:r>
    </w:p>
    <w:p>
      <w:pPr>
        <w:spacing w:after="0" w:line="203" w:lineRule="exact"/>
        <w:rPr>
          <w:sz w:val="20"/>
          <w:szCs w:val="20"/>
          <w:color w:val="auto"/>
        </w:rPr>
      </w:pPr>
    </w:p>
    <w:p>
      <w:pPr>
        <w:ind w:left="300" w:right="120" w:firstLine="426"/>
        <w:spacing w:after="0" w:line="246" w:lineRule="auto"/>
        <w:rPr>
          <w:sz w:val="20"/>
          <w:szCs w:val="20"/>
          <w:color w:val="auto"/>
        </w:rPr>
      </w:pPr>
      <w:r>
        <w:rPr>
          <w:rFonts w:ascii="Arial" w:cs="Arial" w:eastAsia="Arial" w:hAnsi="Arial"/>
          <w:sz w:val="18"/>
          <w:szCs w:val="18"/>
          <w:color w:val="auto"/>
        </w:rPr>
        <w:t>Our second oncology product, navicixizumab for the treatment of late line ovarian cancer, has completed a Phase 1b study and has been partnered for further development with OncXerna Therapeutics, Inc. (“OncXerna”) on a global basis.</w:t>
      </w:r>
    </w:p>
    <w:p>
      <w:pPr>
        <w:spacing w:after="0" w:line="197" w:lineRule="exact"/>
        <w:rPr>
          <w:sz w:val="20"/>
          <w:szCs w:val="20"/>
          <w:color w:val="auto"/>
        </w:rPr>
      </w:pPr>
    </w:p>
    <w:p>
      <w:pPr>
        <w:jc w:val="both"/>
        <w:ind w:left="300" w:right="200" w:firstLine="426"/>
        <w:spacing w:after="0" w:line="274" w:lineRule="auto"/>
        <w:rPr>
          <w:sz w:val="20"/>
          <w:szCs w:val="20"/>
          <w:color w:val="auto"/>
        </w:rPr>
      </w:pPr>
      <w:r>
        <w:rPr>
          <w:rFonts w:ascii="Arial" w:cs="Arial" w:eastAsia="Arial" w:hAnsi="Arial"/>
          <w:sz w:val="17"/>
          <w:szCs w:val="17"/>
          <w:color w:val="auto"/>
        </w:rPr>
        <w:t>We plan to partner or sell our other two product candidates acumapimod for the treatment of AECOPD and leflutrozole for the treatment of infertility and HH in obese men, recognizing the need for greater resources to take these product candidates to market.</w:t>
      </w:r>
    </w:p>
    <w:p>
      <w:pPr>
        <w:spacing w:after="0" w:line="175"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79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790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acquiring six clinical-stage product candidates of which four were in oncology and rare diseases. Four of our six clinical-stage product candidates were acquired from large pharmaceutical companies and two were acquired in the Merger. We aim to efficiently develop our product candidates through the clinic and have successfully commenced or completed large, randomized Phase 2 clinical trials for five of our product candidates.</w:t>
      </w:r>
    </w:p>
    <w:p>
      <w:pPr>
        <w:spacing w:after="0" w:line="205"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205"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including oncology and rare diseases.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6" w:lineRule="exact"/>
        <w:rPr>
          <w:sz w:val="20"/>
          <w:szCs w:val="20"/>
          <w:color w:val="auto"/>
        </w:rPr>
      </w:pPr>
    </w:p>
    <w:p>
      <w:pPr>
        <w:ind w:left="300" w:right="16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right="60" w:hanging="407"/>
        <w:spacing w:after="0" w:line="223"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60" w:hanging="407"/>
        <w:spacing w:after="0" w:line="218"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20" w:hanging="407"/>
        <w:spacing w:after="0" w:line="243" w:lineRule="auto"/>
        <w:tabs>
          <w:tab w:leader="none" w:pos="1120" w:val="left"/>
        </w:tabs>
        <w:numPr>
          <w:ilvl w:val="0"/>
          <w:numId w:val="3"/>
        </w:numPr>
        <w:rPr>
          <w:rFonts w:ascii="MS PGothic" w:cs="MS PGothic" w:eastAsia="MS PGothic" w:hAnsi="MS PGothic"/>
          <w:sz w:val="24"/>
          <w:szCs w:val="24"/>
          <w:color w:val="auto"/>
          <w:vertAlign w:val="superscript"/>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 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ADSs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4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4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4"/>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certain issuances of equity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3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below and under “Risk Factors” under Item 3.D. – “Risk Factors” in our most recent Annual Report on Form 20-F, and any updates in our Reports on Form 6-K, together with all of the other information appearing in this prospectus or incorporated by reference into this prospectus,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85"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The ongoing COVID-19 pandemic and uncertainty regarding the pace, extent and permanence of recovery may materially impact our business including planned clinical developments and our ongoing clinical studies.</w:t>
      </w:r>
    </w:p>
    <w:p>
      <w:pPr>
        <w:spacing w:after="0" w:line="6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COVID-19 continues to impact businesses, economies and health care systems around the world. Further, considerable uncertainty remains regarding the pace, extent and permanence of recovery due to uneven vaccine access and distribution among and within different countries, the emergence of new COVID-19 variants (e.g., Delta) and the willingness and ability of societies to return to pre-pandemic economic and social routines.</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majority of our work force has worked from home since the beginning of the COVID-19 pandemic due to government and local regulations. The official reopening of traditional workspaces and willingness of employees to return remain subject to continuous guidance and changes depending on the successful containment of COVID-19. Therefore, there will continue to be both direct and indirect impacts to businesses including disruptions to resources, inability of workers to carry out their jobs effectively, disruptions to manufacturing, supply chains, inability to travel and increased pressure on health systems required to treat COVID-19.</w:t>
      </w:r>
    </w:p>
    <w:p>
      <w:pPr>
        <w:spacing w:after="0" w:line="202" w:lineRule="exact"/>
        <w:rPr>
          <w:sz w:val="20"/>
          <w:szCs w:val="20"/>
          <w:color w:val="auto"/>
        </w:rPr>
      </w:pPr>
    </w:p>
    <w:p>
      <w:pPr>
        <w:ind w:left="120" w:right="300" w:firstLine="440"/>
        <w:spacing w:after="0" w:line="237" w:lineRule="auto"/>
        <w:rPr>
          <w:sz w:val="20"/>
          <w:szCs w:val="20"/>
          <w:color w:val="auto"/>
        </w:rPr>
      </w:pPr>
      <w:r>
        <w:rPr>
          <w:rFonts w:ascii="Arial" w:cs="Arial" w:eastAsia="Arial" w:hAnsi="Arial"/>
          <w:sz w:val="18"/>
          <w:szCs w:val="18"/>
          <w:color w:val="auto"/>
        </w:rPr>
        <w:t>COVID-19 has created an unprecedented burden on health systems in impacted countries around the world. As a result, clinical centers have diverted resources away from the performance of clinical trials and because of that and the vulnerability of patients in the Company’s Phase 2 alvelestat program for patients with severe AATD, the Company’s clinical activities will face some delays. AATD patients, in particular, are at greater risk from COVID-19 given that the condition is a respiratory and lung condition, for this reason, our Phase 2 alvelestat trial has been delayed with topline data or an interim analysis now expected in late 2021. We have initiated a Phase 1b/2 study with etigilimab in a range of tumor types and we may face delays in enrollment in this study.</w:t>
      </w:r>
    </w:p>
    <w:p>
      <w:pPr>
        <w:spacing w:after="0" w:line="205"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As a result of the COVID-19 pandemic and the ability of the United States, United Kingdom and other jurisdictions in which we operate to fully recover, we may experience disruptions that would significantly impact our business including:</w:t>
      </w:r>
    </w:p>
    <w:p>
      <w:pPr>
        <w:spacing w:after="0" w:line="188" w:lineRule="exact"/>
        <w:rPr>
          <w:sz w:val="20"/>
          <w:szCs w:val="20"/>
          <w:color w:val="auto"/>
        </w:rPr>
      </w:pPr>
    </w:p>
    <w:p>
      <w:pPr>
        <w:ind w:left="980" w:hanging="432"/>
        <w:spacing w:after="0"/>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or interruption in our ability to enroll and treat patients and to obtain data from ongoing clinical trials;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in our timelines for the initiation of new clinical trials;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in our ability to further recruit patients to our clinical trials and to screen patients for eligibility for our clinical trials;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00" w:hanging="432"/>
        <w:spacing w:after="0" w:line="223"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Interruption to key clinical trial activities including monitoring of clinical sites, patient visits, inability to follow patients after they have received treatment and patient assessments and patients dropping out from trials early reduce the numbers impacting efficacy analysis;</w:t>
      </w:r>
    </w:p>
    <w:p>
      <w:pPr>
        <w:spacing w:after="0" w:line="28"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in availability of additional drug product for etigilimab, alvelestat and setrusumab due to lack of manufacturing capacity and/or raw materials at our third-party CMOs;</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delay in our ability to close and negotiate third-party partnerships or collaborations or to progress third-party collaborations already in place;</w:t>
      </w:r>
    </w:p>
    <w:p>
      <w:pPr>
        <w:spacing w:after="0" w:line="27"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Limitations on employee resources as a result of increased sickness, requirement for employees to care for family members or requirement for employees to self-isolate themselves;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Interruptions and delays in our development programs as a result of the government required “stay-at-home” guidelines;</w:t>
      </w:r>
    </w:p>
    <w:p>
      <w:pPr>
        <w:spacing w:after="0" w:line="26"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 in responses from regulatory authorities in relation to approvals, amendments or other regulatory engagements required for our ongoing development activities;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Supply chain interruptions;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CMO activities and raw materials to COVID-19 products, including restrictions imposed by various governments, causing delays to clinical trial supplies.</w:t>
      </w:r>
    </w:p>
    <w:p>
      <w:pPr>
        <w:spacing w:after="0" w:line="203" w:lineRule="exact"/>
        <w:rPr>
          <w:sz w:val="20"/>
          <w:szCs w:val="20"/>
          <w:color w:val="auto"/>
        </w:rPr>
      </w:pPr>
    </w:p>
    <w:p>
      <w:pPr>
        <w:jc w:val="both"/>
        <w:ind w:left="120" w:right="220" w:firstLine="440"/>
        <w:spacing w:after="0" w:line="238" w:lineRule="auto"/>
        <w:rPr>
          <w:sz w:val="20"/>
          <w:szCs w:val="20"/>
          <w:color w:val="auto"/>
        </w:rPr>
      </w:pPr>
      <w:r>
        <w:rPr>
          <w:rFonts w:ascii="Arial" w:cs="Arial" w:eastAsia="Arial" w:hAnsi="Arial"/>
          <w:sz w:val="18"/>
          <w:szCs w:val="18"/>
          <w:color w:val="auto"/>
        </w:rPr>
        <w:t>The COVID-19 pandemic continues to rapidly evolve and the extent to which it may impact our future business is highly uncertain and difficult to predict. In particular it is not currently known how long travel restrictions and social distancing/isolation requirements will continue to apply in the countries in which we operate and the impact on global health systems, financial markets or the economy as a whole is not yet known.</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58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27" w:lineRule="exact"/>
        <w:rPr>
          <w:rFonts w:ascii="MS PGothic" w:cs="MS PGothic" w:eastAsia="MS PGothic" w:hAnsi="MS PGothic"/>
          <w:sz w:val="25"/>
          <w:szCs w:val="25"/>
          <w:color w:val="auto"/>
          <w:vertAlign w:val="superscript"/>
        </w:rPr>
      </w:pPr>
    </w:p>
    <w:p>
      <w:pPr>
        <w:ind w:left="980" w:right="30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980" w:right="86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delays to clinical trial supplies,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23"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table below sets forth our cash and short-term deposits and capitalization as of December 31, 2020, the latest date for which we have audited financial statements and the information below available to us. The following information should be read in conjunction with the consolidated financial statements and related notes incorporated by reference in this prospectus. For more details on how you can obtain the documents incorporated by reference in this prospectus, see “Where You Can Find More Information” and “Incorporation by Reference”.</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an exchange rate of £0.731 to US$1.00, the exchange rate for pound sterling on December 31, 2020.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5"/>
          </w:tcPr>
          <w:p>
            <w:pPr>
              <w:jc w:val="right"/>
              <w:ind w:right="5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23,469</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32,105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16,142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22,082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50,775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69,460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Employee Benefit Trust shares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(1,305)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161,785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221,320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128,374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175,614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5"/>
              </w:rPr>
              <w:t>(309,693)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(423,656)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(14,971)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2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51,946</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The number of ordinary shares indicated as issued and outstanding above is based on 338,953,141 ordinary shares outstanding as of December 31, 2020. As of June 30, 2021 we had 544,510,263 ordinary shares outstanding. As of December 31, 2020, our net tangible book value was negative £46.6 million.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We intend to use the net proceeds from the sale of the ADSs as set forth in the applicable prospectus supplement. We will not receive any of the proceeds from the sale of ADSs being offered by the Selling Shareholders.</w:t>
      </w:r>
    </w:p>
    <w:p>
      <w:pPr>
        <w:spacing w:after="0" w:line="197"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Selling Shareholders will pay any underwriting discounts and commissions and share transfer taxes incurred by the Selling Shareholders for brokerage or legal services or any other expenses incurred by the Selling Shareholders in disposing of ADSs. We will bear all other fees and expenses incurred in effecting the registration of the ADSs of the Selling Shareholders that are covered by this prospectus, including registration and filing fees, fees and expenses of our counsel and our independent registered public accountants.</w:t>
      </w:r>
    </w:p>
    <w:p>
      <w:pPr>
        <w:spacing w:after="0" w:line="1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40"/>
          </w:cols>
          <w:pgMar w:left="320" w:top="459" w:right="7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w:t>
      </w:r>
    </w:p>
    <w:p>
      <w:pPr>
        <w:spacing w:after="0" w:line="216"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i w:val="1"/>
          <w:iCs w:val="1"/>
          <w:color w:val="auto"/>
        </w:rPr>
        <w:t xml:space="preserve">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“Exchange Act”). This description also summarizes relevant provisions of English law. The following summary does not purport </w:t>
      </w:r>
      <w:r>
        <w:rPr>
          <w:rFonts w:ascii="Arial" w:cs="Arial" w:eastAsia="Arial" w:hAnsi="Arial"/>
          <w:sz w:val="18"/>
          <w:szCs w:val="18"/>
          <w:color w:val="auto"/>
        </w:rPr>
        <w:t>to</w:t>
      </w:r>
      <w:r>
        <w:rPr>
          <w:rFonts w:ascii="Arial" w:cs="Arial" w:eastAsia="Arial" w:hAnsi="Arial"/>
          <w:sz w:val="18"/>
          <w:szCs w:val="18"/>
          <w:i w:val="1"/>
          <w:iCs w:val="1"/>
          <w:color w:val="auto"/>
        </w:rPr>
        <w:t xml:space="preserve"> 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 31, 2020. We encourage you to read the articles and the applicable provisions of English law for additional information.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6"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of June 30, 2021, our issued share capital was £1,633,531, equivalent to 544,510,263 ordinary shares. The nominal value of our ordinary shares, including ordinary shares in the form of ADSs, is £0.003 per ordinary share. Each issued ordinary share is fully paid.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2"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2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On February 1, 2021 our shareholders authorized our Board to disapply pre-emptive rights for a period until June 30, 2023 in respect of the allotment of ordinary shares or the grant of rights to subscribe for or convert securities into ordinary shares up to a maximum aggregate nominal amount of £1,540,760.28. The nominal value of our ordinary shares is £0.003 per ordinary share.</w:t>
      </w:r>
    </w:p>
    <w:p>
      <w:pPr>
        <w:spacing w:after="0" w:line="20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As of June 30, 2021, non-preemptive authorization up to a maximum nominal amount of £1,200,655 remained available to the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and Rights Attaching to Them</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Objects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Rights</w:t>
      </w:r>
    </w:p>
    <w:p>
      <w:pPr>
        <w:spacing w:after="0" w:line="122"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80" w:right="100" w:hanging="432"/>
        <w:spacing w:after="0" w:line="218"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hanging="432"/>
        <w:spacing w:after="0" w:line="229"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w:t>
      </w:r>
    </w:p>
    <w:p>
      <w:pPr>
        <w:ind w:left="120"/>
        <w:spacing w:after="0"/>
        <w:rPr>
          <w:sz w:val="20"/>
          <w:szCs w:val="20"/>
          <w:color w:val="auto"/>
        </w:rPr>
      </w:pPr>
      <w:r>
        <w:rPr>
          <w:rFonts w:ascii="Arial" w:cs="Arial" w:eastAsia="Arial" w:hAnsi="Arial"/>
          <w:sz w:val="18"/>
          <w:szCs w:val="18"/>
          <w:color w:val="auto"/>
        </w:rPr>
        <w:t>Subject to the provisions of the U.K. Companies Act 2006, a poll may be demanded by:</w:t>
      </w:r>
    </w:p>
    <w:p>
      <w:pPr>
        <w:spacing w:after="0" w:line="202" w:lineRule="exact"/>
        <w:rPr>
          <w:sz w:val="20"/>
          <w:szCs w:val="20"/>
          <w:color w:val="auto"/>
        </w:rPr>
      </w:pPr>
    </w:p>
    <w:p>
      <w:pPr>
        <w:ind w:left="980" w:hanging="432"/>
        <w:spacing w:after="0"/>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80" w:right="160" w:hanging="432"/>
        <w:spacing w:after="0" w:line="218"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Restrictions on Voting</w:t>
      </w:r>
    </w:p>
    <w:p>
      <w:pPr>
        <w:spacing w:after="0" w:line="122"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97"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2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agreement between the shareholder and us. Any dividend unclaimed after a period of 12 years from the date such dividend became due for payment shall be forfeited and cease to remain owing.</w:t>
      </w:r>
    </w:p>
    <w:p>
      <w:pPr>
        <w:spacing w:after="0" w:line="19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of Control</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on Winding Up</w:t>
      </w:r>
    </w:p>
    <w:p>
      <w:pPr>
        <w:spacing w:after="0" w:line="12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Variation of Rights</w:t>
      </w:r>
    </w:p>
    <w:p>
      <w:pPr>
        <w:spacing w:after="0" w:line="12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Alteration to Share Capital</w:t>
      </w:r>
    </w:p>
    <w:p>
      <w:pPr>
        <w:spacing w:after="0" w:line="12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Preemption Rights</w:t>
      </w:r>
    </w:p>
    <w:p>
      <w:pPr>
        <w:spacing w:after="0" w:line="122"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jc w:val="both"/>
        <w:ind w:left="120" w:right="540" w:firstLine="440"/>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2" w:lineRule="exact"/>
        <w:rPr>
          <w:sz w:val="20"/>
          <w:szCs w:val="20"/>
          <w:color w:val="auto"/>
        </w:rPr>
      </w:pPr>
    </w:p>
    <w:p>
      <w:pPr>
        <w:ind w:left="980" w:hanging="432"/>
        <w:spacing w:after="0"/>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80" w:right="420" w:hanging="432"/>
        <w:spacing w:after="0" w:line="223"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2"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General Meetings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of General Meetings</w:t>
      </w:r>
    </w:p>
    <w:p>
      <w:pPr>
        <w:spacing w:after="0" w:line="122" w:lineRule="exact"/>
        <w:rPr>
          <w:sz w:val="20"/>
          <w:szCs w:val="20"/>
          <w:color w:val="auto"/>
        </w:rPr>
      </w:pPr>
    </w:p>
    <w:p>
      <w:pPr>
        <w:ind w:left="120" w:right="820" w:firstLine="440"/>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Quorum of General Meetings</w:t>
      </w:r>
    </w:p>
    <w:p>
      <w:pPr>
        <w:spacing w:after="0" w:line="122"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Meetings</w:t>
      </w:r>
    </w:p>
    <w:p>
      <w:pPr>
        <w:spacing w:after="0" w:line="12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Number of Directors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Appointment of Directors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20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Other U.K. Law </w:t>
      </w:r>
      <w:r>
        <w:rPr>
          <w:rFonts w:ascii="Arial" w:cs="Arial" w:eastAsia="Arial" w:hAnsi="Arial"/>
          <w:sz w:val="18"/>
          <w:szCs w:val="18"/>
          <w:b w:val="1"/>
          <w:bCs w:val="1"/>
          <w:color w:val="auto"/>
        </w:rPr>
        <w:t>Considerations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 Out</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Interest in Shares</w:t>
      </w:r>
    </w:p>
    <w:p>
      <w:pPr>
        <w:spacing w:after="0" w:line="12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202" w:lineRule="exact"/>
        <w:rPr>
          <w:sz w:val="20"/>
          <w:szCs w:val="20"/>
          <w:color w:val="auto"/>
        </w:rPr>
      </w:pPr>
    </w:p>
    <w:p>
      <w:pPr>
        <w:ind w:left="120" w:right="460" w:firstLine="440"/>
        <w:spacing w:after="0" w:line="244"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25" w:lineRule="exact"/>
        <w:rPr>
          <w:sz w:val="20"/>
          <w:szCs w:val="20"/>
          <w:color w:val="auto"/>
        </w:rPr>
      </w:pPr>
    </w:p>
    <w:p>
      <w:pPr>
        <w:ind w:left="980" w:right="56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7"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30"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of Own Shares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700" w:firstLine="440"/>
        <w:spacing w:after="0"/>
        <w:rPr>
          <w:sz w:val="20"/>
          <w:szCs w:val="20"/>
          <w:color w:val="auto"/>
        </w:rPr>
      </w:pPr>
      <w:r>
        <w:rPr>
          <w:rFonts w:ascii="Arial" w:cs="Arial" w:eastAsia="Arial" w:hAnsi="Arial"/>
          <w:sz w:val="18"/>
          <w:szCs w:val="18"/>
          <w:color w:val="auto"/>
        </w:rPr>
        <w:t>Subject to the above, we may purchase our own shares in the manner prescribed below. We may purchase on a recognized investment exchange our own fully paid shares pursuant to an ordinary resolution of shareholders. The resolution authorizing the purchase must:</w:t>
      </w:r>
    </w:p>
    <w:p>
      <w:pPr>
        <w:spacing w:after="0" w:line="193"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overseas exchange, Nasdaq is not a recognized investment exchange for these purposes.</w:t>
      </w:r>
    </w:p>
    <w:p>
      <w:pPr>
        <w:spacing w:after="0" w:line="21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and Dividends</w:t>
      </w:r>
    </w:p>
    <w:p>
      <w:pPr>
        <w:spacing w:after="0" w:line="12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80" w:right="18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City Code on Takeovers and Mergers</w:t>
      </w:r>
    </w:p>
    <w:p>
      <w:pPr>
        <w:spacing w:after="0" w:line="122"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Following the cancellation of admission of our ordinary shares to trading on the AIM market of London Stock Exchange plc on December 18, 2020, the U.K. Panel on Takeovers and Mergers (the “Panel”) confirmed to us that the U.K. City Code on Takeovers and Mergers (the “City Code”) will not apply to us, and we and our shareholders will therefore not have the benefit of the protections the City Code affords, including, but not limited to, the requirement that a person who acquires an interest in our ordinary shares carrying 30% or more of our voting rights must make a cash offer to all other shareholders at the highest price paid in the 12 months before the offer was announced. Notwithstanding the above, we may become subject to the City Code in the future if any changes to the Board composition result in the majority of the Directors being resident in the United Kingdom, Channel Islands or the Isle of Man.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Exchange Controls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08" w:lineRule="exact"/>
        <w:rPr>
          <w:sz w:val="20"/>
          <w:szCs w:val="20"/>
          <w:color w:val="auto"/>
        </w:rPr>
      </w:pPr>
    </w:p>
    <w:p>
      <w:pPr>
        <w:ind w:left="120" w:right="200" w:firstLine="440"/>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Removal of Directors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263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U.K. Companies Act 2006, a public limited company must have at least two directors. Our Articles further provide that, unless otherwise determined by an ordinary resolution, the number of our directors shall be not less than two nor more than nine in number.</w:t>
      </w:r>
    </w:p>
    <w:p>
      <w:pPr>
        <w:spacing w:after="0" w:line="9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Our board of directors currently consists of nine members.</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 participate or vote in, any meeting of our board of directors.</w:t>
      </w:r>
    </w:p>
    <w:p>
      <w:pPr>
        <w:spacing w:after="0" w:line="2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U.K. Companies Act 2006, a company may remove a director without cause at a general meeting by way of an ordinary resolution of shareholders (which is passed by a simple majority of those voting in person or by proxy at a general meeting), irrespective of any provision of any agreement or service contract between the director and the company, provided</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7"/>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8"/>
        <w:spacing w:after="0" w:line="238"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
        <w:spacing w:after="0" w:line="234" w:lineRule="auto"/>
        <w:rPr>
          <w:sz w:val="20"/>
          <w:szCs w:val="20"/>
          <w:color w:val="auto"/>
        </w:rPr>
      </w:pPr>
      <w:r>
        <w:rPr>
          <w:rFonts w:ascii="Arial" w:cs="Arial" w:eastAsia="Arial" w:hAnsi="Arial"/>
          <w:sz w:val="18"/>
          <w:szCs w:val="18"/>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w:t>
      </w:r>
    </w:p>
    <w:p>
      <w:pPr>
        <w:spacing w:after="0" w:line="5" w:lineRule="exact"/>
        <w:rPr>
          <w:sz w:val="20"/>
          <w:szCs w:val="20"/>
          <w:color w:val="auto"/>
        </w:rPr>
      </w:pPr>
    </w:p>
    <w:p>
      <w:pPr>
        <w:ind w:left="8" w:hanging="8"/>
        <w:spacing w:after="0"/>
        <w:tabs>
          <w:tab w:leader="none" w:pos="278"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the certificate of incorporation provides otherwise, in the case of a corporation whose</w:t>
      </w:r>
    </w:p>
    <w:p>
      <w:pPr>
        <w:sectPr>
          <w:pgSz w:w="11900" w:h="16838" w:orient="portrait"/>
          <w:cols w:equalWidth="0" w:num="3">
            <w:col w:w="3500" w:space="720"/>
            <w:col w:w="3560" w:space="112"/>
            <w:col w:w="3208"/>
          </w:cols>
          <w:pgMar w:left="320" w:top="459" w:right="47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that 28 clear days’ notice of the proposed</w:t>
      </w:r>
    </w:p>
    <w:p>
      <w:pPr>
        <w:ind w:left="4220"/>
        <w:spacing w:after="0" w:line="234" w:lineRule="auto"/>
        <w:rPr>
          <w:sz w:val="20"/>
          <w:szCs w:val="20"/>
          <w:color w:val="auto"/>
        </w:rPr>
      </w:pPr>
      <w:r>
        <w:rPr>
          <w:rFonts w:ascii="Arial" w:cs="Arial" w:eastAsia="Arial" w:hAnsi="Arial"/>
          <w:sz w:val="18"/>
          <w:szCs w:val="18"/>
          <w:color w:val="auto"/>
        </w:rPr>
        <w:t>resolution to remove the director is given</w:t>
      </w:r>
    </w:p>
    <w:p>
      <w:pPr>
        <w:ind w:left="4220"/>
        <w:spacing w:after="0" w:line="235" w:lineRule="auto"/>
        <w:rPr>
          <w:sz w:val="20"/>
          <w:szCs w:val="20"/>
          <w:color w:val="auto"/>
        </w:rPr>
      </w:pPr>
      <w:r>
        <w:rPr>
          <w:rFonts w:ascii="Arial" w:cs="Arial" w:eastAsia="Arial" w:hAnsi="Arial"/>
          <w:sz w:val="18"/>
          <w:szCs w:val="18"/>
          <w:color w:val="auto"/>
        </w:rPr>
        <w:t>and certain other procedural requirements</w:t>
      </w:r>
    </w:p>
    <w:p>
      <w:pPr>
        <w:ind w:left="4220"/>
        <w:spacing w:after="0" w:line="235" w:lineRule="auto"/>
        <w:rPr>
          <w:sz w:val="20"/>
          <w:szCs w:val="20"/>
          <w:color w:val="auto"/>
        </w:rPr>
      </w:pPr>
      <w:r>
        <w:rPr>
          <w:rFonts w:ascii="Arial" w:cs="Arial" w:eastAsia="Arial" w:hAnsi="Arial"/>
          <w:sz w:val="18"/>
          <w:szCs w:val="18"/>
          <w:color w:val="auto"/>
        </w:rPr>
        <w:t>under the U.K. Companies Act 2006 are</w:t>
      </w:r>
    </w:p>
    <w:p>
      <w:pPr>
        <w:ind w:left="4220"/>
        <w:spacing w:after="0" w:line="235" w:lineRule="auto"/>
        <w:rPr>
          <w:sz w:val="20"/>
          <w:szCs w:val="20"/>
          <w:color w:val="auto"/>
        </w:rPr>
      </w:pPr>
      <w:r>
        <w:rPr>
          <w:rFonts w:ascii="Arial" w:cs="Arial" w:eastAsia="Arial" w:hAnsi="Arial"/>
          <w:sz w:val="18"/>
          <w:szCs w:val="18"/>
          <w:color w:val="auto"/>
        </w:rPr>
        <w:t>followed (such as allowing the director to</w:t>
      </w:r>
    </w:p>
    <w:p>
      <w:pPr>
        <w:ind w:left="4220"/>
        <w:spacing w:after="0" w:line="235" w:lineRule="auto"/>
        <w:rPr>
          <w:sz w:val="20"/>
          <w:szCs w:val="20"/>
          <w:color w:val="auto"/>
        </w:rPr>
      </w:pPr>
      <w:r>
        <w:rPr>
          <w:rFonts w:ascii="Arial" w:cs="Arial" w:eastAsia="Arial" w:hAnsi="Arial"/>
          <w:sz w:val="18"/>
          <w:szCs w:val="18"/>
          <w:color w:val="auto"/>
        </w:rPr>
        <w:t>make representations against his or her</w:t>
      </w:r>
    </w:p>
    <w:p>
      <w:pPr>
        <w:ind w:left="4220"/>
        <w:spacing w:after="0"/>
        <w:rPr>
          <w:sz w:val="20"/>
          <w:szCs w:val="20"/>
          <w:color w:val="auto"/>
        </w:rPr>
      </w:pPr>
      <w:r>
        <w:rPr>
          <w:rFonts w:ascii="Arial" w:cs="Arial" w:eastAsia="Arial" w:hAnsi="Arial"/>
          <w:sz w:val="18"/>
          <w:szCs w:val="18"/>
          <w:color w:val="auto"/>
        </w:rPr>
        <w:t>removal either at the meeting or in writing).</w:t>
      </w:r>
    </w:p>
    <w:p>
      <w:pPr>
        <w:spacing w:after="0" w:line="11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 addition to any power of removal under</w:t>
      </w:r>
    </w:p>
    <w:p>
      <w:pPr>
        <w:ind w:left="4220"/>
        <w:spacing w:after="0" w:line="234" w:lineRule="auto"/>
        <w:rPr>
          <w:sz w:val="20"/>
          <w:szCs w:val="20"/>
          <w:color w:val="auto"/>
        </w:rPr>
      </w:pPr>
      <w:r>
        <w:rPr>
          <w:rFonts w:ascii="Arial" w:cs="Arial" w:eastAsia="Arial" w:hAnsi="Arial"/>
          <w:sz w:val="18"/>
          <w:szCs w:val="18"/>
          <w:color w:val="auto"/>
        </w:rPr>
        <w:t>the U.K. Companies Act 2006, under our</w:t>
      </w:r>
    </w:p>
    <w:p>
      <w:pPr>
        <w:ind w:left="4220"/>
        <w:spacing w:after="0" w:line="235" w:lineRule="auto"/>
        <w:rPr>
          <w:sz w:val="20"/>
          <w:szCs w:val="20"/>
          <w:color w:val="auto"/>
        </w:rPr>
      </w:pPr>
      <w:r>
        <w:rPr>
          <w:rFonts w:ascii="Arial" w:cs="Arial" w:eastAsia="Arial" w:hAnsi="Arial"/>
          <w:sz w:val="18"/>
          <w:szCs w:val="18"/>
          <w:color w:val="auto"/>
        </w:rPr>
        <w:t>Articles, we may, by special resolution or</w:t>
      </w:r>
    </w:p>
    <w:p>
      <w:pPr>
        <w:ind w:left="4220"/>
        <w:spacing w:after="0" w:line="235" w:lineRule="auto"/>
        <w:rPr>
          <w:sz w:val="20"/>
          <w:szCs w:val="20"/>
          <w:color w:val="auto"/>
        </w:rPr>
      </w:pPr>
      <w:r>
        <w:rPr>
          <w:rFonts w:ascii="Arial" w:cs="Arial" w:eastAsia="Arial" w:hAnsi="Arial"/>
          <w:sz w:val="18"/>
          <w:szCs w:val="18"/>
          <w:color w:val="auto"/>
        </w:rPr>
        <w:t>ordinary resolution (of which special notice</w:t>
      </w:r>
    </w:p>
    <w:p>
      <w:pPr>
        <w:ind w:left="4220"/>
        <w:spacing w:after="0" w:line="235" w:lineRule="auto"/>
        <w:rPr>
          <w:sz w:val="20"/>
          <w:szCs w:val="20"/>
          <w:color w:val="auto"/>
        </w:rPr>
      </w:pPr>
      <w:r>
        <w:rPr>
          <w:rFonts w:ascii="Arial" w:cs="Arial" w:eastAsia="Arial" w:hAnsi="Arial"/>
          <w:sz w:val="18"/>
          <w:szCs w:val="18"/>
          <w:color w:val="auto"/>
        </w:rPr>
        <w:t>has been given in accordance with section</w:t>
      </w:r>
    </w:p>
    <w:p>
      <w:pPr>
        <w:ind w:left="4220"/>
        <w:spacing w:after="0" w:line="235" w:lineRule="auto"/>
        <w:rPr>
          <w:sz w:val="20"/>
          <w:szCs w:val="20"/>
          <w:color w:val="auto"/>
        </w:rPr>
      </w:pPr>
      <w:r>
        <w:rPr>
          <w:rFonts w:ascii="Arial" w:cs="Arial" w:eastAsia="Arial" w:hAnsi="Arial"/>
          <w:sz w:val="18"/>
          <w:szCs w:val="18"/>
          <w:color w:val="auto"/>
        </w:rPr>
        <w:t>312 of the U.K. Companies Act 2006)</w:t>
      </w:r>
    </w:p>
    <w:p>
      <w:pPr>
        <w:ind w:left="4220"/>
        <w:spacing w:after="0"/>
        <w:rPr>
          <w:sz w:val="20"/>
          <w:szCs w:val="20"/>
          <w:color w:val="auto"/>
        </w:rPr>
      </w:pPr>
      <w:r>
        <w:rPr>
          <w:rFonts w:ascii="Arial" w:cs="Arial" w:eastAsia="Arial" w:hAnsi="Arial"/>
          <w:sz w:val="17"/>
          <w:szCs w:val="17"/>
          <w:color w:val="auto"/>
        </w:rPr>
        <w:t>remove any director from office (but without</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prejudice to any claim he or she may have</w:t>
      </w:r>
    </w:p>
    <w:p>
      <w:pPr>
        <w:ind w:left="4220"/>
        <w:spacing w:after="0" w:line="234" w:lineRule="auto"/>
        <w:rPr>
          <w:sz w:val="20"/>
          <w:szCs w:val="20"/>
          <w:color w:val="auto"/>
        </w:rPr>
      </w:pPr>
      <w:r>
        <w:rPr>
          <w:rFonts w:ascii="Arial" w:cs="Arial" w:eastAsia="Arial" w:hAnsi="Arial"/>
          <w:sz w:val="18"/>
          <w:szCs w:val="18"/>
          <w:color w:val="auto"/>
        </w:rPr>
        <w:t>for damages for breach of any agreement</w:t>
      </w:r>
    </w:p>
    <w:p>
      <w:pPr>
        <w:ind w:left="4220"/>
        <w:spacing w:after="0" w:line="235" w:lineRule="auto"/>
        <w:rPr>
          <w:sz w:val="20"/>
          <w:szCs w:val="20"/>
          <w:color w:val="auto"/>
        </w:rPr>
      </w:pPr>
      <w:r>
        <w:rPr>
          <w:rFonts w:ascii="Arial" w:cs="Arial" w:eastAsia="Arial" w:hAnsi="Arial"/>
          <w:sz w:val="18"/>
          <w:szCs w:val="18"/>
          <w:color w:val="auto"/>
        </w:rPr>
        <w:t>between us and the relevant director) and,</w:t>
      </w:r>
    </w:p>
    <w:p>
      <w:pPr>
        <w:ind w:left="4220"/>
        <w:spacing w:after="0" w:line="235" w:lineRule="auto"/>
        <w:rPr>
          <w:sz w:val="20"/>
          <w:szCs w:val="20"/>
          <w:color w:val="auto"/>
        </w:rPr>
      </w:pPr>
      <w:r>
        <w:rPr>
          <w:rFonts w:ascii="Arial" w:cs="Arial" w:eastAsia="Arial" w:hAnsi="Arial"/>
          <w:sz w:val="18"/>
          <w:szCs w:val="18"/>
          <w:color w:val="auto"/>
        </w:rPr>
        <w:t>by ordinary resolution, appoint another</w:t>
      </w:r>
    </w:p>
    <w:p>
      <w:pPr>
        <w:ind w:left="4220"/>
        <w:spacing w:after="0"/>
        <w:rPr>
          <w:sz w:val="20"/>
          <w:szCs w:val="20"/>
          <w:color w:val="auto"/>
        </w:rPr>
      </w:pPr>
      <w:r>
        <w:rPr>
          <w:rFonts w:ascii="Arial" w:cs="Arial" w:eastAsia="Arial" w:hAnsi="Arial"/>
          <w:sz w:val="18"/>
          <w:szCs w:val="18"/>
          <w:color w:val="auto"/>
        </w:rPr>
        <w:t>person to act as director in his or her place.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057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board of directors is classified, shareholders may effect such removal only for cause, or (b) 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pacing w:after="0" w:line="1249" w:lineRule="exact"/>
        <w:rPr>
          <w:sz w:val="20"/>
          <w:szCs w:val="20"/>
          <w:color w:val="auto"/>
        </w:rPr>
      </w:pPr>
    </w:p>
    <w:p>
      <w:pPr>
        <w:sectPr>
          <w:pgSz w:w="11900" w:h="16838" w:orient="portrait"/>
          <w:cols w:equalWidth="0" w:num="2">
            <w:col w:w="7680" w:space="220"/>
            <w:col w:w="3240"/>
          </w:cols>
          <w:pgMar w:left="320" w:top="459" w:right="439" w:bottom="1440" w:gutter="0" w:footer="0" w:header="0"/>
          <w:type w:val="continuous"/>
        </w:sectPr>
      </w:pPr>
    </w:p>
    <w:p>
      <w:pPr>
        <w:ind w:left="120"/>
        <w:spacing w:after="0"/>
        <w:tabs>
          <w:tab w:leader="none" w:pos="420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our Articles, we may by ordinary</w:t>
      </w:r>
    </w:p>
    <w:p>
      <w:pPr>
        <w:ind w:left="4220"/>
        <w:spacing w:after="0" w:line="234" w:lineRule="auto"/>
        <w:rPr>
          <w:sz w:val="20"/>
          <w:szCs w:val="20"/>
          <w:color w:val="auto"/>
        </w:rPr>
      </w:pPr>
      <w:r>
        <w:rPr>
          <w:rFonts w:ascii="Arial" w:cs="Arial" w:eastAsia="Arial" w:hAnsi="Arial"/>
          <w:sz w:val="18"/>
          <w:szCs w:val="18"/>
          <w:color w:val="auto"/>
        </w:rPr>
        <w:t>resolution appoint a person who is willing to</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act to be a director, either to fill a vacancy or</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as an additional director and our board of</w:t>
      </w:r>
    </w:p>
    <w:p>
      <w:pPr>
        <w:ind w:left="4220"/>
        <w:spacing w:after="0" w:line="234" w:lineRule="auto"/>
        <w:rPr>
          <w:sz w:val="20"/>
          <w:szCs w:val="20"/>
          <w:color w:val="auto"/>
        </w:rPr>
      </w:pPr>
      <w:r>
        <w:rPr>
          <w:rFonts w:ascii="Arial" w:cs="Arial" w:eastAsia="Arial" w:hAnsi="Arial"/>
          <w:sz w:val="18"/>
          <w:szCs w:val="18"/>
          <w:color w:val="auto"/>
        </w:rPr>
        <w:t>directors may appoint a person who is</w:t>
      </w:r>
    </w:p>
    <w:p>
      <w:pPr>
        <w:ind w:left="4220"/>
        <w:spacing w:after="0" w:line="235" w:lineRule="auto"/>
        <w:rPr>
          <w:sz w:val="20"/>
          <w:szCs w:val="20"/>
          <w:color w:val="auto"/>
        </w:rPr>
      </w:pPr>
      <w:r>
        <w:rPr>
          <w:rFonts w:ascii="Arial" w:cs="Arial" w:eastAsia="Arial" w:hAnsi="Arial"/>
          <w:sz w:val="18"/>
          <w:szCs w:val="18"/>
          <w:color w:val="auto"/>
        </w:rPr>
        <w:t>willing to act to be a director, either to fill a</w:t>
      </w:r>
    </w:p>
    <w:p>
      <w:pPr>
        <w:ind w:left="4220"/>
        <w:spacing w:after="0" w:line="235" w:lineRule="auto"/>
        <w:rPr>
          <w:sz w:val="20"/>
          <w:szCs w:val="20"/>
          <w:color w:val="auto"/>
        </w:rPr>
      </w:pPr>
      <w:r>
        <w:rPr>
          <w:rFonts w:ascii="Arial" w:cs="Arial" w:eastAsia="Arial" w:hAnsi="Arial"/>
          <w:sz w:val="18"/>
          <w:szCs w:val="18"/>
          <w:color w:val="auto"/>
        </w:rPr>
        <w:t>vacancy or as an additional director,</w:t>
      </w:r>
    </w:p>
    <w:p>
      <w:pPr>
        <w:ind w:left="4220"/>
        <w:spacing w:after="0" w:line="235" w:lineRule="auto"/>
        <w:rPr>
          <w:sz w:val="20"/>
          <w:szCs w:val="20"/>
          <w:color w:val="auto"/>
        </w:rPr>
      </w:pPr>
      <w:r>
        <w:rPr>
          <w:rFonts w:ascii="Arial" w:cs="Arial" w:eastAsia="Arial" w:hAnsi="Arial"/>
          <w:sz w:val="18"/>
          <w:szCs w:val="18"/>
          <w:color w:val="auto"/>
        </w:rPr>
        <w:t>provided in each case that the appointment</w:t>
      </w:r>
    </w:p>
    <w:p>
      <w:pPr>
        <w:ind w:left="4220"/>
        <w:spacing w:after="0" w:line="235" w:lineRule="auto"/>
        <w:rPr>
          <w:sz w:val="20"/>
          <w:szCs w:val="20"/>
          <w:color w:val="auto"/>
        </w:rPr>
      </w:pPr>
      <w:r>
        <w:rPr>
          <w:rFonts w:ascii="Arial" w:cs="Arial" w:eastAsia="Arial" w:hAnsi="Arial"/>
          <w:sz w:val="18"/>
          <w:szCs w:val="18"/>
          <w:color w:val="auto"/>
        </w:rPr>
        <w:t>does not cause the number of directors to</w:t>
      </w:r>
    </w:p>
    <w:p>
      <w:pPr>
        <w:ind w:left="4220"/>
        <w:spacing w:after="0" w:line="234" w:lineRule="auto"/>
        <w:rPr>
          <w:sz w:val="20"/>
          <w:szCs w:val="20"/>
          <w:color w:val="auto"/>
        </w:rPr>
      </w:pPr>
      <w:r>
        <w:rPr>
          <w:rFonts w:ascii="Arial" w:cs="Arial" w:eastAsia="Arial" w:hAnsi="Arial"/>
          <w:sz w:val="18"/>
          <w:szCs w:val="18"/>
          <w:color w:val="auto"/>
        </w:rPr>
        <w:t>exceed the number fixed by or in</w:t>
      </w:r>
    </w:p>
    <w:p>
      <w:pPr>
        <w:ind w:left="4220"/>
        <w:spacing w:after="0" w:line="235" w:lineRule="auto"/>
        <w:rPr>
          <w:sz w:val="20"/>
          <w:szCs w:val="20"/>
          <w:color w:val="auto"/>
        </w:rPr>
      </w:pPr>
      <w:r>
        <w:rPr>
          <w:rFonts w:ascii="Arial" w:cs="Arial" w:eastAsia="Arial" w:hAnsi="Arial"/>
          <w:sz w:val="18"/>
          <w:szCs w:val="18"/>
          <w:color w:val="auto"/>
        </w:rPr>
        <w:t>accordance with our Articles as the</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maximum number of directors.</w:t>
      </w: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8"/>
          <w:szCs w:val="18"/>
          <w:color w:val="auto"/>
        </w:rPr>
        <w:t>Under the U.K. Companies Act 2006, a</w:t>
      </w:r>
    </w:p>
    <w:p>
      <w:pPr>
        <w:ind w:left="4220"/>
        <w:spacing w:after="0" w:line="234" w:lineRule="auto"/>
        <w:rPr>
          <w:sz w:val="20"/>
          <w:szCs w:val="20"/>
          <w:color w:val="auto"/>
        </w:rPr>
      </w:pPr>
      <w:r>
        <w:rPr>
          <w:rFonts w:ascii="Arial" w:cs="Arial" w:eastAsia="Arial" w:hAnsi="Arial"/>
          <w:sz w:val="18"/>
          <w:szCs w:val="18"/>
          <w:color w:val="auto"/>
        </w:rPr>
        <w:t>public limited company must hold an annual</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general meeting in each six-month</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br w:type="column"/>
      </w:r>
    </w:p>
    <w:p>
      <w:pPr>
        <w:ind w:left="8"/>
        <w:spacing w:after="0" w:line="248" w:lineRule="auto"/>
        <w:rPr>
          <w:sz w:val="20"/>
          <w:szCs w:val="20"/>
          <w:color w:val="auto"/>
        </w:rPr>
      </w:pPr>
      <w:r>
        <w:rPr>
          <w:rFonts w:ascii="Arial" w:cs="Arial" w:eastAsia="Arial" w:hAnsi="Arial"/>
          <w:sz w:val="17"/>
          <w:szCs w:val="17"/>
          <w:color w:val="auto"/>
        </w:rPr>
        <w:t>Under Delaware law, vacancies and newly created directorships may be filled by a majority of the directors then in office (even though less than a quorum) or by a sole remaining director unless</w:t>
      </w:r>
    </w:p>
    <w:p>
      <w:pPr>
        <w:spacing w:after="0" w:line="3" w:lineRule="exact"/>
        <w:rPr>
          <w:sz w:val="20"/>
          <w:szCs w:val="20"/>
          <w:color w:val="auto"/>
        </w:rPr>
      </w:pPr>
    </w:p>
    <w:p>
      <w:pPr>
        <w:ind w:left="8" w:hanging="8"/>
        <w:spacing w:after="0" w:line="236" w:lineRule="auto"/>
        <w:tabs>
          <w:tab w:leader="none" w:pos="2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99" w:lineRule="exact"/>
        <w:rPr>
          <w:sz w:val="20"/>
          <w:szCs w:val="20"/>
          <w:color w:val="auto"/>
        </w:rPr>
      </w:pPr>
    </w:p>
    <w:p>
      <w:pPr>
        <w:ind w:left="8" w:right="80"/>
        <w:spacing w:after="0"/>
        <w:rPr>
          <w:sz w:val="20"/>
          <w:szCs w:val="20"/>
          <w:color w:val="auto"/>
        </w:rPr>
      </w:pPr>
      <w:r>
        <w:rPr>
          <w:rFonts w:ascii="Arial" w:cs="Arial" w:eastAsia="Arial" w:hAnsi="Arial"/>
          <w:sz w:val="18"/>
          <w:szCs w:val="18"/>
          <w:color w:val="auto"/>
        </w:rPr>
        <w:t>Under Delaware law, the annual meeting of stockholders shall be held at such place, on such date and</w:t>
      </w:r>
    </w:p>
    <w:p>
      <w:pPr>
        <w:sectPr>
          <w:pgSz w:w="11900" w:h="16838" w:orient="portrait"/>
          <w:cols w:equalWidth="0" w:num="2">
            <w:col w:w="7740" w:space="152"/>
            <w:col w:w="3248"/>
          </w:cols>
          <w:pgMar w:left="320" w:top="459" w:right="43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period following the company’s annual</w:t>
      </w:r>
    </w:p>
    <w:p>
      <w:pPr>
        <w:spacing w:after="0" w:line="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accounting reference 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057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at such time as may be designated from time to time by the board of directors or as provided in the certificate of incorporation or by the bylaws.</w:t>
      </w:r>
    </w:p>
    <w:p>
      <w:pPr>
        <w:spacing w:after="0" w:line="76" w:lineRule="exact"/>
        <w:rPr>
          <w:sz w:val="20"/>
          <w:szCs w:val="20"/>
          <w:color w:val="auto"/>
        </w:rPr>
      </w:pPr>
    </w:p>
    <w:p>
      <w:pPr>
        <w:sectPr>
          <w:pgSz w:w="11900" w:h="16838" w:orient="portrait"/>
          <w:cols w:equalWidth="0" w:num="2">
            <w:col w:w="7260" w:space="640"/>
            <w:col w:w="3200"/>
          </w:cols>
          <w:pgMar w:left="320" w:top="459" w:right="479" w:bottom="1440" w:gutter="0" w:footer="0" w:header="0"/>
          <w:type w:val="continuous"/>
        </w:sectPr>
      </w:pPr>
    </w:p>
    <w:p>
      <w:pPr>
        <w:ind w:left="120"/>
        <w:spacing w:after="0"/>
        <w:tabs>
          <w:tab w:leader="none" w:pos="420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8"/>
          <w:szCs w:val="18"/>
          <w:color w:val="auto"/>
        </w:rPr>
        <w:t>Under the U.K. Companies Act 2006, a</w:t>
      </w:r>
    </w:p>
    <w:p>
      <w:pPr>
        <w:ind w:left="4220"/>
        <w:spacing w:after="0" w:line="234" w:lineRule="auto"/>
        <w:rPr>
          <w:sz w:val="20"/>
          <w:szCs w:val="20"/>
          <w:color w:val="auto"/>
        </w:rPr>
      </w:pPr>
      <w:r>
        <w:rPr>
          <w:rFonts w:ascii="Arial" w:cs="Arial" w:eastAsia="Arial" w:hAnsi="Arial"/>
          <w:sz w:val="18"/>
          <w:szCs w:val="18"/>
          <w:color w:val="auto"/>
        </w:rPr>
        <w:t>general meeting of the shareholders of a</w:t>
      </w:r>
    </w:p>
    <w:p>
      <w:pPr>
        <w:ind w:left="4220"/>
        <w:spacing w:after="0" w:line="235" w:lineRule="auto"/>
        <w:rPr>
          <w:sz w:val="20"/>
          <w:szCs w:val="20"/>
          <w:color w:val="auto"/>
        </w:rPr>
      </w:pPr>
      <w:r>
        <w:rPr>
          <w:rFonts w:ascii="Arial" w:cs="Arial" w:eastAsia="Arial" w:hAnsi="Arial"/>
          <w:sz w:val="18"/>
          <w:szCs w:val="18"/>
          <w:color w:val="auto"/>
        </w:rPr>
        <w:t>public limited company may be called by the</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Subject to the notice requirements of the</w:t>
      </w:r>
    </w:p>
    <w:p>
      <w:pPr>
        <w:ind w:left="4220"/>
        <w:spacing w:after="0" w:line="234" w:lineRule="auto"/>
        <w:rPr>
          <w:sz w:val="20"/>
          <w:szCs w:val="20"/>
          <w:color w:val="auto"/>
        </w:rPr>
      </w:pPr>
      <w:r>
        <w:rPr>
          <w:rFonts w:ascii="Arial" w:cs="Arial" w:eastAsia="Arial" w:hAnsi="Arial"/>
          <w:sz w:val="18"/>
          <w:szCs w:val="18"/>
          <w:color w:val="auto"/>
        </w:rPr>
        <w:t>U.K. Companies Act 2006 outlined below</w:t>
      </w:r>
    </w:p>
    <w:p>
      <w:pPr>
        <w:ind w:left="4220"/>
        <w:spacing w:after="0" w:line="235" w:lineRule="auto"/>
        <w:rPr>
          <w:sz w:val="20"/>
          <w:szCs w:val="20"/>
          <w:color w:val="auto"/>
        </w:rPr>
      </w:pPr>
      <w:r>
        <w:rPr>
          <w:rFonts w:ascii="Arial" w:cs="Arial" w:eastAsia="Arial" w:hAnsi="Arial"/>
          <w:sz w:val="18"/>
          <w:szCs w:val="18"/>
          <w:color w:val="auto"/>
        </w:rPr>
        <w:t>and subject to our Articles, a general</w:t>
      </w:r>
    </w:p>
    <w:p>
      <w:pPr>
        <w:ind w:left="4220"/>
        <w:spacing w:after="0" w:line="235" w:lineRule="auto"/>
        <w:rPr>
          <w:sz w:val="20"/>
          <w:szCs w:val="20"/>
          <w:color w:val="auto"/>
        </w:rPr>
      </w:pPr>
      <w:r>
        <w:rPr>
          <w:rFonts w:ascii="Arial" w:cs="Arial" w:eastAsia="Arial" w:hAnsi="Arial"/>
          <w:sz w:val="18"/>
          <w:szCs w:val="18"/>
          <w:color w:val="auto"/>
        </w:rPr>
        <w:t>meeting of our shareholders may be called</w:t>
      </w:r>
    </w:p>
    <w:p>
      <w:pPr>
        <w:ind w:left="4220"/>
        <w:spacing w:after="0" w:line="235" w:lineRule="auto"/>
        <w:rPr>
          <w:sz w:val="20"/>
          <w:szCs w:val="20"/>
          <w:color w:val="auto"/>
        </w:rPr>
      </w:pPr>
      <w:r>
        <w:rPr>
          <w:rFonts w:ascii="Arial" w:cs="Arial" w:eastAsia="Arial" w:hAnsi="Arial"/>
          <w:sz w:val="18"/>
          <w:szCs w:val="18"/>
          <w:color w:val="auto"/>
        </w:rPr>
        <w:t>by our board of directors whenever and at</w:t>
      </w:r>
    </w:p>
    <w:p>
      <w:pPr>
        <w:ind w:left="4220"/>
        <w:spacing w:after="0"/>
        <w:rPr>
          <w:sz w:val="20"/>
          <w:szCs w:val="20"/>
          <w:color w:val="auto"/>
        </w:rPr>
      </w:pPr>
      <w:r>
        <w:rPr>
          <w:rFonts w:ascii="Arial" w:cs="Arial" w:eastAsia="Arial" w:hAnsi="Arial"/>
          <w:sz w:val="18"/>
          <w:szCs w:val="18"/>
          <w:color w:val="auto"/>
        </w:rPr>
        <w:t>such times and places as it shall determine.</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general meeting may also be convened by</w:t>
      </w:r>
    </w:p>
    <w:p>
      <w:pPr>
        <w:ind w:left="4220"/>
        <w:spacing w:after="0" w:line="234" w:lineRule="auto"/>
        <w:rPr>
          <w:sz w:val="20"/>
          <w:szCs w:val="20"/>
          <w:color w:val="auto"/>
        </w:rPr>
      </w:pPr>
      <w:r>
        <w:rPr>
          <w:rFonts w:ascii="Arial" w:cs="Arial" w:eastAsia="Arial" w:hAnsi="Arial"/>
          <w:sz w:val="18"/>
          <w:szCs w:val="18"/>
          <w:color w:val="auto"/>
        </w:rPr>
        <w:t>our board of directors on the requisition of</w:t>
      </w:r>
    </w:p>
    <w:p>
      <w:pPr>
        <w:ind w:left="4220"/>
        <w:spacing w:after="0" w:line="235" w:lineRule="auto"/>
        <w:rPr>
          <w:sz w:val="20"/>
          <w:szCs w:val="20"/>
          <w:color w:val="auto"/>
        </w:rPr>
      </w:pPr>
      <w:r>
        <w:rPr>
          <w:rFonts w:ascii="Arial" w:cs="Arial" w:eastAsia="Arial" w:hAnsi="Arial"/>
          <w:sz w:val="18"/>
          <w:szCs w:val="18"/>
          <w:color w:val="auto"/>
        </w:rPr>
        <w:t>not less than two of our shareholders who</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hold at least 5% of our voting share capital.</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General meetings at which special</w:t>
      </w:r>
    </w:p>
    <w:p>
      <w:pPr>
        <w:ind w:left="4220"/>
        <w:spacing w:after="0" w:line="234" w:lineRule="auto"/>
        <w:rPr>
          <w:sz w:val="20"/>
          <w:szCs w:val="20"/>
          <w:color w:val="auto"/>
        </w:rPr>
      </w:pPr>
      <w:r>
        <w:rPr>
          <w:rFonts w:ascii="Arial" w:cs="Arial" w:eastAsia="Arial" w:hAnsi="Arial"/>
          <w:sz w:val="18"/>
          <w:szCs w:val="18"/>
          <w:color w:val="auto"/>
        </w:rPr>
        <w:t>resolutions are proposed and passed</w:t>
      </w:r>
    </w:p>
    <w:p>
      <w:pPr>
        <w:ind w:left="4220"/>
        <w:spacing w:after="0" w:line="235" w:lineRule="auto"/>
        <w:rPr>
          <w:sz w:val="20"/>
          <w:szCs w:val="20"/>
          <w:color w:val="auto"/>
        </w:rPr>
      </w:pPr>
      <w:r>
        <w:rPr>
          <w:rFonts w:ascii="Arial" w:cs="Arial" w:eastAsia="Arial" w:hAnsi="Arial"/>
          <w:sz w:val="18"/>
          <w:szCs w:val="18"/>
          <w:color w:val="auto"/>
        </w:rPr>
        <w:t>generally involve proposals to change the</w:t>
      </w:r>
    </w:p>
    <w:p>
      <w:pPr>
        <w:ind w:left="4220"/>
        <w:spacing w:after="0" w:line="235" w:lineRule="auto"/>
        <w:rPr>
          <w:sz w:val="20"/>
          <w:szCs w:val="20"/>
          <w:color w:val="auto"/>
        </w:rPr>
      </w:pPr>
      <w:r>
        <w:rPr>
          <w:rFonts w:ascii="Arial" w:cs="Arial" w:eastAsia="Arial" w:hAnsi="Arial"/>
          <w:sz w:val="18"/>
          <w:szCs w:val="18"/>
          <w:color w:val="auto"/>
        </w:rPr>
        <w:t>name of the company, permit the company</w:t>
      </w:r>
    </w:p>
    <w:p>
      <w:pPr>
        <w:ind w:left="4220"/>
        <w:spacing w:after="0" w:line="235" w:lineRule="auto"/>
        <w:rPr>
          <w:sz w:val="20"/>
          <w:szCs w:val="20"/>
          <w:color w:val="auto"/>
        </w:rPr>
      </w:pPr>
      <w:r>
        <w:rPr>
          <w:rFonts w:ascii="Arial" w:cs="Arial" w:eastAsia="Arial" w:hAnsi="Arial"/>
          <w:sz w:val="18"/>
          <w:szCs w:val="18"/>
          <w:color w:val="auto"/>
        </w:rPr>
        <w:t>to issue new shares for cash without the</w:t>
      </w:r>
    </w:p>
    <w:p>
      <w:pPr>
        <w:ind w:left="4220"/>
        <w:spacing w:after="0" w:line="235" w:lineRule="auto"/>
        <w:rPr>
          <w:sz w:val="20"/>
          <w:szCs w:val="20"/>
          <w:color w:val="auto"/>
        </w:rPr>
      </w:pPr>
      <w:r>
        <w:rPr>
          <w:rFonts w:ascii="Arial" w:cs="Arial" w:eastAsia="Arial" w:hAnsi="Arial"/>
          <w:sz w:val="18"/>
          <w:szCs w:val="18"/>
          <w:color w:val="auto"/>
        </w:rPr>
        <w:t>shareholders’ pre-emptive right, amend the</w:t>
      </w:r>
    </w:p>
    <w:p>
      <w:pPr>
        <w:ind w:left="4220"/>
        <w:spacing w:after="0" w:line="234" w:lineRule="auto"/>
        <w:rPr>
          <w:sz w:val="20"/>
          <w:szCs w:val="20"/>
          <w:color w:val="auto"/>
        </w:rPr>
      </w:pPr>
      <w:r>
        <w:rPr>
          <w:rFonts w:ascii="Arial" w:cs="Arial" w:eastAsia="Arial" w:hAnsi="Arial"/>
          <w:sz w:val="18"/>
          <w:szCs w:val="18"/>
          <w:color w:val="auto"/>
        </w:rPr>
        <w:t>company’s articles of association, or carry</w:t>
      </w:r>
    </w:p>
    <w:p>
      <w:pPr>
        <w:ind w:left="4220"/>
        <w:spacing w:after="0" w:line="235" w:lineRule="auto"/>
        <w:rPr>
          <w:sz w:val="20"/>
          <w:szCs w:val="20"/>
          <w:color w:val="auto"/>
        </w:rPr>
      </w:pPr>
      <w:r>
        <w:rPr>
          <w:rFonts w:ascii="Arial" w:cs="Arial" w:eastAsia="Arial" w:hAnsi="Arial"/>
          <w:sz w:val="18"/>
          <w:szCs w:val="18"/>
          <w:color w:val="auto"/>
        </w:rPr>
        <w:t>out other matters where either the</w:t>
      </w:r>
    </w:p>
    <w:p>
      <w:pPr>
        <w:ind w:left="4220"/>
        <w:spacing w:after="0" w:line="235" w:lineRule="auto"/>
        <w:rPr>
          <w:sz w:val="20"/>
          <w:szCs w:val="20"/>
          <w:color w:val="auto"/>
        </w:rPr>
      </w:pPr>
      <w:r>
        <w:rPr>
          <w:rFonts w:ascii="Arial" w:cs="Arial" w:eastAsia="Arial" w:hAnsi="Arial"/>
          <w:sz w:val="18"/>
          <w:szCs w:val="18"/>
          <w:color w:val="auto"/>
        </w:rPr>
        <w:t>company’s articles of association or the U.K.</w:t>
      </w:r>
    </w:p>
    <w:p>
      <w:pPr>
        <w:ind w:left="4220"/>
        <w:spacing w:after="0" w:line="235" w:lineRule="auto"/>
        <w:rPr>
          <w:sz w:val="20"/>
          <w:szCs w:val="20"/>
          <w:color w:val="auto"/>
        </w:rPr>
      </w:pPr>
      <w:r>
        <w:rPr>
          <w:rFonts w:ascii="Arial" w:cs="Arial" w:eastAsia="Arial" w:hAnsi="Arial"/>
          <w:sz w:val="18"/>
          <w:szCs w:val="18"/>
          <w:color w:val="auto"/>
        </w:rPr>
        <w:t>Companies Act 2006 prescribe that a</w:t>
      </w:r>
    </w:p>
    <w:p>
      <w:pPr>
        <w:ind w:left="4220"/>
        <w:spacing w:after="0"/>
        <w:rPr>
          <w:sz w:val="20"/>
          <w:szCs w:val="20"/>
          <w:color w:val="auto"/>
        </w:rPr>
      </w:pPr>
      <w:r>
        <w:rPr>
          <w:rFonts w:ascii="Arial" w:cs="Arial" w:eastAsia="Arial" w:hAnsi="Arial"/>
          <w:sz w:val="18"/>
          <w:szCs w:val="18"/>
          <w:color w:val="auto"/>
        </w:rPr>
        <w:t>special resolution is required.</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Other proposals relating to the ordinary</w:t>
      </w:r>
    </w:p>
    <w:p>
      <w:pPr>
        <w:ind w:left="4220"/>
        <w:spacing w:after="0" w:line="234" w:lineRule="auto"/>
        <w:rPr>
          <w:sz w:val="20"/>
          <w:szCs w:val="20"/>
          <w:color w:val="auto"/>
        </w:rPr>
      </w:pPr>
      <w:r>
        <w:rPr>
          <w:rFonts w:ascii="Arial" w:cs="Arial" w:eastAsia="Arial" w:hAnsi="Arial"/>
          <w:sz w:val="18"/>
          <w:szCs w:val="18"/>
          <w:color w:val="auto"/>
        </w:rPr>
        <w:t>course of the company’s business, such as</w:t>
      </w:r>
    </w:p>
    <w:p>
      <w:pPr>
        <w:ind w:left="4220"/>
        <w:spacing w:after="0" w:line="235" w:lineRule="auto"/>
        <w:rPr>
          <w:sz w:val="20"/>
          <w:szCs w:val="20"/>
          <w:color w:val="auto"/>
        </w:rPr>
      </w:pPr>
      <w:r>
        <w:rPr>
          <w:rFonts w:ascii="Arial" w:cs="Arial" w:eastAsia="Arial" w:hAnsi="Arial"/>
          <w:sz w:val="18"/>
          <w:szCs w:val="18"/>
          <w:color w:val="auto"/>
        </w:rPr>
        <w:t>the election of directors, would generally be</w:t>
      </w:r>
    </w:p>
    <w:p>
      <w:pPr>
        <w:ind w:left="4220"/>
        <w:spacing w:after="0" w:line="235" w:lineRule="auto"/>
        <w:rPr>
          <w:sz w:val="20"/>
          <w:szCs w:val="20"/>
          <w:color w:val="auto"/>
        </w:rPr>
      </w:pPr>
      <w:r>
        <w:rPr>
          <w:rFonts w:ascii="Arial" w:cs="Arial" w:eastAsia="Arial" w:hAnsi="Arial"/>
          <w:sz w:val="18"/>
          <w:szCs w:val="18"/>
          <w:color w:val="auto"/>
        </w:rPr>
        <w:t>the subject of an ordinary resolution and</w:t>
      </w:r>
    </w:p>
    <w:p>
      <w:pPr>
        <w:ind w:left="4220"/>
        <w:spacing w:after="0"/>
        <w:rPr>
          <w:sz w:val="20"/>
          <w:szCs w:val="20"/>
          <w:color w:val="auto"/>
        </w:rPr>
      </w:pPr>
      <w:r>
        <w:rPr>
          <w:rFonts w:ascii="Arial" w:cs="Arial" w:eastAsia="Arial" w:hAnsi="Arial"/>
          <w:sz w:val="18"/>
          <w:szCs w:val="18"/>
          <w:color w:val="auto"/>
        </w:rPr>
        <w:t>subject to our Articles.</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780" w:space="120"/>
            <w:col w:w="3200"/>
          </w:cols>
          <w:pgMar w:left="320" w:top="459" w:right="4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3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43891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130"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7"/>
          <w:szCs w:val="17"/>
          <w:color w:val="auto"/>
        </w:rPr>
        <w:t>Under the U.K. Companies Act 2006, at</w:t>
      </w:r>
    </w:p>
    <w:p>
      <w:pPr>
        <w:ind w:left="4220"/>
        <w:spacing w:after="0"/>
        <w:rPr>
          <w:sz w:val="20"/>
          <w:szCs w:val="20"/>
          <w:color w:val="auto"/>
        </w:rPr>
      </w:pPr>
      <w:r>
        <w:rPr>
          <w:rFonts w:ascii="Arial" w:cs="Arial" w:eastAsia="Arial" w:hAnsi="Arial"/>
          <w:sz w:val="17"/>
          <w:szCs w:val="17"/>
          <w:color w:val="auto"/>
        </w:rPr>
        <w:t>least 21 clear days’ notice must be given for</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 annual general meeting and any</w:t>
      </w:r>
    </w:p>
    <w:p>
      <w:pPr>
        <w:ind w:left="4220"/>
        <w:spacing w:after="0" w:line="234" w:lineRule="auto"/>
        <w:rPr>
          <w:sz w:val="20"/>
          <w:szCs w:val="20"/>
          <w:color w:val="auto"/>
        </w:rPr>
      </w:pPr>
      <w:r>
        <w:rPr>
          <w:rFonts w:ascii="Arial" w:cs="Arial" w:eastAsia="Arial" w:hAnsi="Arial"/>
          <w:sz w:val="18"/>
          <w:szCs w:val="18"/>
          <w:color w:val="auto"/>
        </w:rPr>
        <w:t>resolutions to be proposed at that meeting.</w:t>
      </w:r>
    </w:p>
    <w:p>
      <w:pPr>
        <w:ind w:left="4220"/>
        <w:spacing w:after="0" w:line="235" w:lineRule="auto"/>
        <w:rPr>
          <w:sz w:val="20"/>
          <w:szCs w:val="20"/>
          <w:color w:val="auto"/>
        </w:rPr>
      </w:pPr>
      <w:r>
        <w:rPr>
          <w:rFonts w:ascii="Arial" w:cs="Arial" w:eastAsia="Arial" w:hAnsi="Arial"/>
          <w:sz w:val="18"/>
          <w:szCs w:val="18"/>
          <w:color w:val="auto"/>
        </w:rPr>
        <w:t>At least 14 clear days’ notice is required for</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any other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 addition, certain matters, such as the</w:t>
      </w:r>
    </w:p>
    <w:p>
      <w:pPr>
        <w:ind w:left="4220"/>
        <w:spacing w:after="0" w:line="234" w:lineRule="auto"/>
        <w:rPr>
          <w:sz w:val="20"/>
          <w:szCs w:val="20"/>
          <w:color w:val="auto"/>
        </w:rPr>
      </w:pPr>
      <w:r>
        <w:rPr>
          <w:rFonts w:ascii="Arial" w:cs="Arial" w:eastAsia="Arial" w:hAnsi="Arial"/>
          <w:sz w:val="18"/>
          <w:szCs w:val="18"/>
          <w:color w:val="auto"/>
        </w:rPr>
        <w:t>removal of directors or auditors, require</w:t>
      </w:r>
    </w:p>
    <w:p>
      <w:pPr>
        <w:ind w:left="4220"/>
        <w:spacing w:after="0" w:line="235" w:lineRule="auto"/>
        <w:rPr>
          <w:sz w:val="20"/>
          <w:szCs w:val="20"/>
          <w:color w:val="auto"/>
        </w:rPr>
      </w:pPr>
      <w:r>
        <w:rPr>
          <w:rFonts w:ascii="Arial" w:cs="Arial" w:eastAsia="Arial" w:hAnsi="Arial"/>
          <w:sz w:val="18"/>
          <w:szCs w:val="18"/>
          <w:color w:val="auto"/>
        </w:rPr>
        <w:t>special notice, which is 28 clear days’</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notice.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1011" w:lineRule="exact"/>
        <w:rPr>
          <w:sz w:val="20"/>
          <w:szCs w:val="20"/>
          <w:color w:val="auto"/>
        </w:rPr>
      </w:pPr>
    </w:p>
    <w:p>
      <w:pPr>
        <w:sectPr>
          <w:pgSz w:w="11900" w:h="16838" w:orient="portrait"/>
          <w:cols w:equalWidth="0" w:num="2">
            <w:col w:w="7720" w:space="180"/>
            <w:col w:w="3220"/>
          </w:cols>
          <w:pgMar w:left="320" w:top="459" w:right="459" w:bottom="1440" w:gutter="0" w:footer="0" w:header="0"/>
          <w:type w:val="continuous"/>
        </w:sectPr>
      </w:pPr>
    </w:p>
    <w:p>
      <w:pPr>
        <w:ind w:left="120"/>
        <w:spacing w:after="0"/>
        <w:tabs>
          <w:tab w:leader="none" w:pos="4200" w:val="left"/>
        </w:tabs>
        <w:rPr>
          <w:sz w:val="20"/>
          <w:szCs w:val="20"/>
          <w:color w:val="auto"/>
        </w:rPr>
      </w:pPr>
      <w:r>
        <w:rPr>
          <w:rFonts w:ascii="Arial" w:cs="Arial" w:eastAsia="Arial" w:hAnsi="Arial"/>
          <w:sz w:val="18"/>
          <w:szCs w:val="18"/>
          <w:color w:val="auto"/>
        </w:rPr>
        <w:t>Quorum</w:t>
      </w:r>
      <w:r>
        <w:rPr>
          <w:sz w:val="20"/>
          <w:szCs w:val="20"/>
          <w:color w:val="auto"/>
        </w:rPr>
        <w:tab/>
      </w:r>
      <w:r>
        <w:rPr>
          <w:rFonts w:ascii="Arial" w:cs="Arial" w:eastAsia="Arial" w:hAnsi="Arial"/>
          <w:sz w:val="18"/>
          <w:szCs w:val="18"/>
          <w:color w:val="auto"/>
        </w:rPr>
        <w:t>Our Articles provide that no business shall</w:t>
      </w:r>
    </w:p>
    <w:p>
      <w:pPr>
        <w:ind w:left="4220"/>
        <w:spacing w:after="0"/>
        <w:rPr>
          <w:sz w:val="20"/>
          <w:szCs w:val="20"/>
          <w:color w:val="auto"/>
        </w:rPr>
      </w:pPr>
      <w:r>
        <w:rPr>
          <w:rFonts w:ascii="Arial" w:cs="Arial" w:eastAsia="Arial" w:hAnsi="Arial"/>
          <w:sz w:val="17"/>
          <w:szCs w:val="17"/>
          <w:color w:val="auto"/>
        </w:rPr>
        <w:t>be transacted at any general meeting unless</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quorum is present. Two qualifying persons</w:t>
      </w:r>
    </w:p>
    <w:p>
      <w:pPr>
        <w:ind w:left="4220"/>
        <w:spacing w:after="0" w:line="234" w:lineRule="auto"/>
        <w:rPr>
          <w:sz w:val="20"/>
          <w:szCs w:val="20"/>
          <w:color w:val="auto"/>
        </w:rPr>
      </w:pPr>
      <w:r>
        <w:rPr>
          <w:rFonts w:ascii="Arial" w:cs="Arial" w:eastAsia="Arial" w:hAnsi="Arial"/>
          <w:sz w:val="18"/>
          <w:szCs w:val="18"/>
          <w:color w:val="auto"/>
        </w:rPr>
        <w:t>present at a meeting and entitled to vote on</w:t>
      </w:r>
    </w:p>
    <w:p>
      <w:pPr>
        <w:ind w:left="4220"/>
        <w:spacing w:after="0" w:line="235" w:lineRule="auto"/>
        <w:rPr>
          <w:sz w:val="20"/>
          <w:szCs w:val="20"/>
          <w:color w:val="auto"/>
        </w:rPr>
      </w:pPr>
      <w:r>
        <w:rPr>
          <w:rFonts w:ascii="Arial" w:cs="Arial" w:eastAsia="Arial" w:hAnsi="Arial"/>
          <w:sz w:val="18"/>
          <w:szCs w:val="18"/>
          <w:color w:val="auto"/>
        </w:rPr>
        <w:t>the business to be transacted shall be a</w:t>
      </w:r>
    </w:p>
    <w:p>
      <w:pPr>
        <w:ind w:left="4220"/>
        <w:spacing w:after="0" w:line="235" w:lineRule="auto"/>
        <w:rPr>
          <w:sz w:val="20"/>
          <w:szCs w:val="20"/>
          <w:color w:val="auto"/>
        </w:rPr>
      </w:pPr>
      <w:r>
        <w:rPr>
          <w:rFonts w:ascii="Arial" w:cs="Arial" w:eastAsia="Arial" w:hAnsi="Arial"/>
          <w:sz w:val="18"/>
          <w:szCs w:val="18"/>
          <w:color w:val="auto"/>
        </w:rPr>
        <w:t>quorum, unless (1) each is a qualifying</w:t>
      </w:r>
    </w:p>
    <w:p>
      <w:pPr>
        <w:ind w:left="4220"/>
        <w:spacing w:after="0" w:line="235" w:lineRule="auto"/>
        <w:rPr>
          <w:sz w:val="20"/>
          <w:szCs w:val="20"/>
          <w:color w:val="auto"/>
        </w:rPr>
      </w:pPr>
      <w:r>
        <w:rPr>
          <w:rFonts w:ascii="Arial" w:cs="Arial" w:eastAsia="Arial" w:hAnsi="Arial"/>
          <w:sz w:val="18"/>
          <w:szCs w:val="18"/>
          <w:color w:val="auto"/>
        </w:rPr>
        <w:t>person only because he or she is authorized</w:t>
      </w:r>
    </w:p>
    <w:p>
      <w:pPr>
        <w:ind w:left="4220"/>
        <w:spacing w:after="0" w:line="235" w:lineRule="auto"/>
        <w:rPr>
          <w:sz w:val="20"/>
          <w:szCs w:val="20"/>
          <w:color w:val="auto"/>
        </w:rPr>
      </w:pPr>
      <w:r>
        <w:rPr>
          <w:rFonts w:ascii="Arial" w:cs="Arial" w:eastAsia="Arial" w:hAnsi="Arial"/>
          <w:sz w:val="18"/>
          <w:szCs w:val="18"/>
          <w:color w:val="auto"/>
        </w:rPr>
        <w:t>under the U.K. Companies Act 2006 to act</w:t>
      </w:r>
    </w:p>
    <w:p>
      <w:pPr>
        <w:ind w:left="4220"/>
        <w:spacing w:after="0" w:line="234" w:lineRule="auto"/>
        <w:rPr>
          <w:sz w:val="20"/>
          <w:szCs w:val="20"/>
          <w:color w:val="auto"/>
        </w:rPr>
      </w:pPr>
      <w:r>
        <w:rPr>
          <w:rFonts w:ascii="Arial" w:cs="Arial" w:eastAsia="Arial" w:hAnsi="Arial"/>
          <w:sz w:val="18"/>
          <w:szCs w:val="18"/>
          <w:color w:val="auto"/>
        </w:rPr>
        <w:t>as a representative of a corporation in</w:t>
      </w:r>
    </w:p>
    <w:p>
      <w:pPr>
        <w:ind w:left="4220"/>
        <w:spacing w:after="0" w:line="235" w:lineRule="auto"/>
        <w:rPr>
          <w:sz w:val="20"/>
          <w:szCs w:val="20"/>
          <w:color w:val="auto"/>
        </w:rPr>
      </w:pPr>
      <w:r>
        <w:rPr>
          <w:rFonts w:ascii="Arial" w:cs="Arial" w:eastAsia="Arial" w:hAnsi="Arial"/>
          <w:sz w:val="18"/>
          <w:szCs w:val="18"/>
          <w:color w:val="auto"/>
        </w:rPr>
        <w:t>relation to the meeting, and they are</w:t>
      </w:r>
    </w:p>
    <w:p>
      <w:pPr>
        <w:ind w:left="4220"/>
        <w:spacing w:after="0" w:line="235" w:lineRule="auto"/>
        <w:rPr>
          <w:sz w:val="20"/>
          <w:szCs w:val="20"/>
          <w:color w:val="auto"/>
        </w:rPr>
      </w:pPr>
      <w:r>
        <w:rPr>
          <w:rFonts w:ascii="Arial" w:cs="Arial" w:eastAsia="Arial" w:hAnsi="Arial"/>
          <w:sz w:val="18"/>
          <w:szCs w:val="18"/>
          <w:color w:val="auto"/>
        </w:rPr>
        <w:t>representatives of the same corporation, or</w:t>
      </w:r>
    </w:p>
    <w:p>
      <w:pPr>
        <w:ind w:left="4220"/>
        <w:spacing w:after="0" w:line="235" w:lineRule="auto"/>
        <w:rPr>
          <w:sz w:val="20"/>
          <w:szCs w:val="20"/>
          <w:color w:val="auto"/>
        </w:rPr>
      </w:pPr>
      <w:r>
        <w:rPr>
          <w:rFonts w:ascii="Arial" w:cs="Arial" w:eastAsia="Arial" w:hAnsi="Arial"/>
          <w:sz w:val="18"/>
          <w:szCs w:val="18"/>
          <w:color w:val="auto"/>
        </w:rPr>
        <w:t>(2) each is a qualifying person only because</w:t>
      </w:r>
    </w:p>
    <w:p>
      <w:pPr>
        <w:ind w:left="4220"/>
        <w:spacing w:after="0" w:line="235" w:lineRule="auto"/>
        <w:rPr>
          <w:sz w:val="20"/>
          <w:szCs w:val="20"/>
          <w:color w:val="auto"/>
        </w:rPr>
      </w:pPr>
      <w:r>
        <w:rPr>
          <w:rFonts w:ascii="Arial" w:cs="Arial" w:eastAsia="Arial" w:hAnsi="Arial"/>
          <w:sz w:val="18"/>
          <w:szCs w:val="18"/>
          <w:color w:val="auto"/>
        </w:rPr>
        <w:t>he or she is appointed as proxy of a</w:t>
      </w:r>
    </w:p>
    <w:p>
      <w:pPr>
        <w:ind w:left="4220"/>
        <w:spacing w:after="0" w:line="234" w:lineRule="auto"/>
        <w:rPr>
          <w:sz w:val="20"/>
          <w:szCs w:val="20"/>
          <w:color w:val="auto"/>
        </w:rPr>
      </w:pPr>
      <w:r>
        <w:rPr>
          <w:rFonts w:ascii="Arial" w:cs="Arial" w:eastAsia="Arial" w:hAnsi="Arial"/>
          <w:sz w:val="18"/>
          <w:szCs w:val="18"/>
          <w:color w:val="auto"/>
        </w:rPr>
        <w:t>shareholder in relation to the meeting, and</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they are proxies of the same shareholder.</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“qualifying person” means (1) a person</w:t>
      </w:r>
    </w:p>
    <w:p>
      <w:pPr>
        <w:ind w:left="4220"/>
        <w:spacing w:after="0" w:line="234" w:lineRule="auto"/>
        <w:rPr>
          <w:sz w:val="20"/>
          <w:szCs w:val="20"/>
          <w:color w:val="auto"/>
        </w:rPr>
      </w:pPr>
      <w:r>
        <w:rPr>
          <w:rFonts w:ascii="Arial" w:cs="Arial" w:eastAsia="Arial" w:hAnsi="Arial"/>
          <w:sz w:val="18"/>
          <w:szCs w:val="18"/>
          <w:color w:val="auto"/>
        </w:rPr>
        <w:t>who is one of our shareholders, (2) a person</w:t>
      </w:r>
    </w:p>
    <w:p>
      <w:pPr>
        <w:ind w:left="4220"/>
        <w:spacing w:after="0" w:line="235" w:lineRule="auto"/>
        <w:rPr>
          <w:sz w:val="20"/>
          <w:szCs w:val="20"/>
          <w:color w:val="auto"/>
        </w:rPr>
      </w:pPr>
      <w:r>
        <w:rPr>
          <w:rFonts w:ascii="Arial" w:cs="Arial" w:eastAsia="Arial" w:hAnsi="Arial"/>
          <w:sz w:val="18"/>
          <w:szCs w:val="18"/>
          <w:color w:val="auto"/>
        </w:rPr>
        <w:t>authorized under the U.K. Companies Act</w:t>
      </w:r>
    </w:p>
    <w:p>
      <w:pPr>
        <w:ind w:left="4220"/>
        <w:spacing w:after="0" w:line="235" w:lineRule="auto"/>
        <w:rPr>
          <w:sz w:val="20"/>
          <w:szCs w:val="20"/>
          <w:color w:val="auto"/>
        </w:rPr>
      </w:pPr>
      <w:r>
        <w:rPr>
          <w:rFonts w:ascii="Arial" w:cs="Arial" w:eastAsia="Arial" w:hAnsi="Arial"/>
          <w:sz w:val="18"/>
          <w:szCs w:val="18"/>
          <w:color w:val="auto"/>
        </w:rPr>
        <w:t>2006 to act as a representative of the</w:t>
      </w:r>
    </w:p>
    <w:p>
      <w:pPr>
        <w:ind w:left="4220"/>
        <w:spacing w:after="0" w:line="235" w:lineRule="auto"/>
        <w:rPr>
          <w:sz w:val="20"/>
          <w:szCs w:val="20"/>
          <w:color w:val="auto"/>
        </w:rPr>
      </w:pPr>
      <w:r>
        <w:rPr>
          <w:rFonts w:ascii="Arial" w:cs="Arial" w:eastAsia="Arial" w:hAnsi="Arial"/>
          <w:sz w:val="18"/>
          <w:szCs w:val="18"/>
          <w:color w:val="auto"/>
        </w:rPr>
        <w:t>corporation in relation to the meeting, or</w:t>
      </w:r>
    </w:p>
    <w:p>
      <w:pPr>
        <w:ind w:left="4220"/>
        <w:spacing w:after="0" w:line="235" w:lineRule="auto"/>
        <w:rPr>
          <w:sz w:val="20"/>
          <w:szCs w:val="20"/>
          <w:color w:val="auto"/>
        </w:rPr>
      </w:pPr>
      <w:r>
        <w:rPr>
          <w:rFonts w:ascii="Arial" w:cs="Arial" w:eastAsia="Arial" w:hAnsi="Arial"/>
          <w:sz w:val="18"/>
          <w:szCs w:val="18"/>
          <w:color w:val="auto"/>
        </w:rPr>
        <w:t>(3) a person appointed as proxy of a</w:t>
      </w:r>
    </w:p>
    <w:p>
      <w:pPr>
        <w:ind w:left="4220"/>
        <w:spacing w:after="0"/>
        <w:rPr>
          <w:sz w:val="20"/>
          <w:szCs w:val="20"/>
          <w:color w:val="auto"/>
        </w:rPr>
      </w:pPr>
      <w:r>
        <w:rPr>
          <w:rFonts w:ascii="Arial" w:cs="Arial" w:eastAsia="Arial" w:hAnsi="Arial"/>
          <w:sz w:val="18"/>
          <w:szCs w:val="18"/>
          <w:color w:val="auto"/>
        </w:rPr>
        <w:t>shareholder in relation to the meeting.</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ectPr>
          <w:pgSz w:w="11900" w:h="16838" w:orient="portrait"/>
          <w:cols w:equalWidth="0" w:num="2">
            <w:col w:w="7760" w:space="140"/>
            <w:col w:w="32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3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43891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130"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Under the U.K. Companies Act 2006, at any</w:t>
      </w:r>
    </w:p>
    <w:p>
      <w:pPr>
        <w:ind w:left="4220"/>
        <w:spacing w:after="0"/>
        <w:rPr>
          <w:sz w:val="20"/>
          <w:szCs w:val="20"/>
          <w:color w:val="auto"/>
        </w:rPr>
      </w:pPr>
      <w:r>
        <w:rPr>
          <w:rFonts w:ascii="Arial" w:cs="Arial" w:eastAsia="Arial" w:hAnsi="Arial"/>
          <w:sz w:val="17"/>
          <w:szCs w:val="17"/>
          <w:color w:val="auto"/>
        </w:rPr>
        <w:t>meeting of shareholders, a shareholder may</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designate another person to attend, speak</w:t>
      </w:r>
    </w:p>
    <w:p>
      <w:pPr>
        <w:ind w:left="4220"/>
        <w:spacing w:after="0" w:line="234" w:lineRule="auto"/>
        <w:rPr>
          <w:sz w:val="20"/>
          <w:szCs w:val="20"/>
          <w:color w:val="auto"/>
        </w:rPr>
      </w:pPr>
      <w:r>
        <w:rPr>
          <w:rFonts w:ascii="Arial" w:cs="Arial" w:eastAsia="Arial" w:hAnsi="Arial"/>
          <w:sz w:val="18"/>
          <w:szCs w:val="18"/>
          <w:color w:val="auto"/>
        </w:rPr>
        <w:t>and vote at the meeting on their behalf by</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proxy.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93" w:lineRule="exact"/>
        <w:rPr>
          <w:sz w:val="20"/>
          <w:szCs w:val="20"/>
          <w:color w:val="auto"/>
        </w:rPr>
      </w:pPr>
    </w:p>
    <w:p>
      <w:pPr>
        <w:sectPr>
          <w:pgSz w:w="11900" w:h="16838" w:orient="portrait"/>
          <w:cols w:equalWidth="0" w:num="2">
            <w:col w:w="7740" w:space="160"/>
            <w:col w:w="3220"/>
          </w:cols>
          <w:pgMar w:left="320" w:top="459" w:right="459" w:bottom="1440" w:gutter="0" w:footer="0" w:header="0"/>
          <w:type w:val="continuous"/>
        </w:sectPr>
      </w:pPr>
    </w:p>
    <w:p>
      <w:pPr>
        <w:ind w:left="120"/>
        <w:spacing w:after="0"/>
        <w:tabs>
          <w:tab w:leader="none" w:pos="4200" w:val="left"/>
        </w:tabs>
        <w:rPr>
          <w:sz w:val="20"/>
          <w:szCs w:val="20"/>
          <w:color w:val="auto"/>
        </w:rPr>
      </w:pPr>
      <w:r>
        <w:rPr>
          <w:rFonts w:ascii="Arial" w:cs="Arial" w:eastAsia="Arial" w:hAnsi="Arial"/>
          <w:sz w:val="18"/>
          <w:szCs w:val="18"/>
          <w:color w:val="auto"/>
        </w:rPr>
        <w:t>Issue of New Shares</w:t>
      </w:r>
      <w:r>
        <w:rPr>
          <w:sz w:val="20"/>
          <w:szCs w:val="20"/>
          <w:color w:val="auto"/>
        </w:rPr>
        <w:tab/>
      </w:r>
      <w:r>
        <w:rPr>
          <w:rFonts w:ascii="Arial" w:cs="Arial" w:eastAsia="Arial" w:hAnsi="Arial"/>
          <w:sz w:val="17"/>
          <w:szCs w:val="17"/>
          <w:color w:val="auto"/>
        </w:rPr>
        <w:t>Under the U.K. Companies Act 2006, the</w:t>
      </w:r>
    </w:p>
    <w:p>
      <w:pPr>
        <w:ind w:left="4220"/>
        <w:spacing w:after="0" w:line="234" w:lineRule="auto"/>
        <w:rPr>
          <w:sz w:val="20"/>
          <w:szCs w:val="20"/>
          <w:color w:val="auto"/>
        </w:rPr>
      </w:pPr>
      <w:r>
        <w:rPr>
          <w:rFonts w:ascii="Arial" w:cs="Arial" w:eastAsia="Arial" w:hAnsi="Arial"/>
          <w:sz w:val="18"/>
          <w:szCs w:val="18"/>
          <w:color w:val="auto"/>
        </w:rPr>
        <w:t>directors of a company must not exercise</w:t>
      </w:r>
    </w:p>
    <w:p>
      <w:pPr>
        <w:ind w:left="4220"/>
        <w:spacing w:after="0" w:line="235" w:lineRule="auto"/>
        <w:rPr>
          <w:sz w:val="20"/>
          <w:szCs w:val="20"/>
          <w:color w:val="auto"/>
        </w:rPr>
      </w:pPr>
      <w:r>
        <w:rPr>
          <w:rFonts w:ascii="Arial" w:cs="Arial" w:eastAsia="Arial" w:hAnsi="Arial"/>
          <w:sz w:val="18"/>
          <w:szCs w:val="18"/>
          <w:color w:val="auto"/>
        </w:rPr>
        <w:t>any power to allot shares or grant rights to</w:t>
      </w:r>
    </w:p>
    <w:p>
      <w:pPr>
        <w:ind w:left="4220"/>
        <w:spacing w:after="0" w:line="235" w:lineRule="auto"/>
        <w:rPr>
          <w:sz w:val="20"/>
          <w:szCs w:val="20"/>
          <w:color w:val="auto"/>
        </w:rPr>
      </w:pPr>
      <w:r>
        <w:rPr>
          <w:rFonts w:ascii="Arial" w:cs="Arial" w:eastAsia="Arial" w:hAnsi="Arial"/>
          <w:sz w:val="18"/>
          <w:szCs w:val="18"/>
          <w:color w:val="auto"/>
        </w:rPr>
        <w:t>subscribe for, or to convert any security into,</w:t>
      </w:r>
    </w:p>
    <w:p>
      <w:pPr>
        <w:ind w:left="4220"/>
        <w:spacing w:after="0" w:line="235" w:lineRule="auto"/>
        <w:rPr>
          <w:sz w:val="20"/>
          <w:szCs w:val="20"/>
          <w:color w:val="auto"/>
        </w:rPr>
      </w:pPr>
      <w:r>
        <w:rPr>
          <w:rFonts w:ascii="Arial" w:cs="Arial" w:eastAsia="Arial" w:hAnsi="Arial"/>
          <w:sz w:val="18"/>
          <w:szCs w:val="18"/>
          <w:color w:val="auto"/>
        </w:rPr>
        <w:t>shares unless they are authorized to do so</w:t>
      </w:r>
    </w:p>
    <w:p>
      <w:pPr>
        <w:ind w:left="4220"/>
        <w:spacing w:after="0" w:line="235" w:lineRule="auto"/>
        <w:rPr>
          <w:sz w:val="20"/>
          <w:szCs w:val="20"/>
          <w:color w:val="auto"/>
        </w:rPr>
      </w:pPr>
      <w:r>
        <w:rPr>
          <w:rFonts w:ascii="Arial" w:cs="Arial" w:eastAsia="Arial" w:hAnsi="Arial"/>
          <w:sz w:val="18"/>
          <w:szCs w:val="18"/>
          <w:color w:val="auto"/>
        </w:rPr>
        <w:t>by the company’s articles of association or</w:t>
      </w:r>
    </w:p>
    <w:p>
      <w:pPr>
        <w:ind w:left="4220"/>
        <w:spacing w:after="0" w:line="234" w:lineRule="auto"/>
        <w:rPr>
          <w:sz w:val="20"/>
          <w:szCs w:val="20"/>
          <w:color w:val="auto"/>
        </w:rPr>
      </w:pPr>
      <w:r>
        <w:rPr>
          <w:rFonts w:ascii="Arial" w:cs="Arial" w:eastAsia="Arial" w:hAnsi="Arial"/>
          <w:sz w:val="18"/>
          <w:szCs w:val="18"/>
          <w:color w:val="auto"/>
        </w:rPr>
        <w:t>by an ordinary resolution of the</w:t>
      </w:r>
    </w:p>
    <w:p>
      <w:pPr>
        <w:ind w:left="4220"/>
        <w:spacing w:after="0" w:line="235" w:lineRule="auto"/>
        <w:rPr>
          <w:sz w:val="20"/>
          <w:szCs w:val="20"/>
          <w:color w:val="auto"/>
        </w:rPr>
      </w:pPr>
      <w:r>
        <w:rPr>
          <w:rFonts w:ascii="Arial" w:cs="Arial" w:eastAsia="Arial" w:hAnsi="Arial"/>
          <w:sz w:val="18"/>
          <w:szCs w:val="18"/>
          <w:color w:val="auto"/>
        </w:rPr>
        <w:t>shareholders. Any authorization given must</w:t>
      </w:r>
    </w:p>
    <w:p>
      <w:pPr>
        <w:ind w:left="4220"/>
        <w:spacing w:after="0" w:line="235" w:lineRule="auto"/>
        <w:rPr>
          <w:sz w:val="20"/>
          <w:szCs w:val="20"/>
          <w:color w:val="auto"/>
        </w:rPr>
      </w:pPr>
      <w:r>
        <w:rPr>
          <w:rFonts w:ascii="Arial" w:cs="Arial" w:eastAsia="Arial" w:hAnsi="Arial"/>
          <w:sz w:val="18"/>
          <w:szCs w:val="18"/>
          <w:color w:val="auto"/>
        </w:rPr>
        <w:t>state the maximum amount of shares that</w:t>
      </w:r>
    </w:p>
    <w:p>
      <w:pPr>
        <w:ind w:left="4220"/>
        <w:spacing w:after="0" w:line="235" w:lineRule="auto"/>
        <w:rPr>
          <w:sz w:val="20"/>
          <w:szCs w:val="20"/>
          <w:color w:val="auto"/>
        </w:rPr>
      </w:pPr>
      <w:r>
        <w:rPr>
          <w:rFonts w:ascii="Arial" w:cs="Arial" w:eastAsia="Arial" w:hAnsi="Arial"/>
          <w:sz w:val="18"/>
          <w:szCs w:val="18"/>
          <w:color w:val="auto"/>
        </w:rPr>
        <w:t>may be allotted under it and specify the date</w:t>
      </w:r>
    </w:p>
    <w:p>
      <w:pPr>
        <w:ind w:left="4220"/>
        <w:spacing w:after="0" w:line="235" w:lineRule="auto"/>
        <w:rPr>
          <w:sz w:val="20"/>
          <w:szCs w:val="20"/>
          <w:color w:val="auto"/>
        </w:rPr>
      </w:pPr>
      <w:r>
        <w:rPr>
          <w:rFonts w:ascii="Arial" w:cs="Arial" w:eastAsia="Arial" w:hAnsi="Arial"/>
          <w:sz w:val="18"/>
          <w:szCs w:val="18"/>
          <w:color w:val="auto"/>
        </w:rPr>
        <w:t>on which it will expire, which must be not</w:t>
      </w:r>
    </w:p>
    <w:p>
      <w:pPr>
        <w:ind w:left="4220"/>
        <w:spacing w:after="0" w:line="234" w:lineRule="auto"/>
        <w:rPr>
          <w:sz w:val="20"/>
          <w:szCs w:val="20"/>
          <w:color w:val="auto"/>
        </w:rPr>
      </w:pPr>
      <w:r>
        <w:rPr>
          <w:rFonts w:ascii="Arial" w:cs="Arial" w:eastAsia="Arial" w:hAnsi="Arial"/>
          <w:sz w:val="18"/>
          <w:szCs w:val="18"/>
          <w:color w:val="auto"/>
        </w:rPr>
        <w:t>more than five years from the date the</w:t>
      </w:r>
    </w:p>
    <w:p>
      <w:pPr>
        <w:ind w:left="4220"/>
        <w:spacing w:after="0" w:line="235" w:lineRule="auto"/>
        <w:rPr>
          <w:sz w:val="20"/>
          <w:szCs w:val="20"/>
          <w:color w:val="auto"/>
        </w:rPr>
      </w:pPr>
      <w:r>
        <w:rPr>
          <w:rFonts w:ascii="Arial" w:cs="Arial" w:eastAsia="Arial" w:hAnsi="Arial"/>
          <w:sz w:val="18"/>
          <w:szCs w:val="18"/>
          <w:color w:val="auto"/>
        </w:rPr>
        <w:t>authorization was given. The authority can</w:t>
      </w:r>
    </w:p>
    <w:p>
      <w:pPr>
        <w:ind w:left="4220"/>
        <w:spacing w:after="0" w:line="235" w:lineRule="auto"/>
        <w:rPr>
          <w:sz w:val="20"/>
          <w:szCs w:val="20"/>
          <w:color w:val="auto"/>
        </w:rPr>
      </w:pPr>
      <w:r>
        <w:rPr>
          <w:rFonts w:ascii="Arial" w:cs="Arial" w:eastAsia="Arial" w:hAnsi="Arial"/>
          <w:sz w:val="18"/>
          <w:szCs w:val="18"/>
          <w:color w:val="auto"/>
        </w:rPr>
        <w:t>be renewed by a further resolution of the</w:t>
      </w:r>
    </w:p>
    <w:p>
      <w:pPr>
        <w:ind w:left="4220"/>
        <w:spacing w:after="0"/>
        <w:rPr>
          <w:sz w:val="20"/>
          <w:szCs w:val="20"/>
          <w:color w:val="auto"/>
        </w:rPr>
      </w:pPr>
      <w:r>
        <w:rPr>
          <w:rFonts w:ascii="Arial" w:cs="Arial" w:eastAsia="Arial" w:hAnsi="Arial"/>
          <w:sz w:val="18"/>
          <w:szCs w:val="18"/>
          <w:color w:val="auto"/>
        </w:rPr>
        <w:t>shareholders.</w:t>
      </w:r>
    </w:p>
    <w:p>
      <w:pPr>
        <w:spacing w:after="0" w:line="99"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8"/>
          <w:szCs w:val="18"/>
          <w:color w:val="auto"/>
        </w:rPr>
        <w:t>Under the U.K. Companies Act 2006, “equity</w:t>
      </w:r>
    </w:p>
    <w:p>
      <w:pPr>
        <w:ind w:left="4220"/>
        <w:spacing w:after="0" w:line="234" w:lineRule="auto"/>
        <w:rPr>
          <w:sz w:val="20"/>
          <w:szCs w:val="20"/>
          <w:color w:val="auto"/>
        </w:rPr>
      </w:pPr>
      <w:r>
        <w:rPr>
          <w:rFonts w:ascii="Arial" w:cs="Arial" w:eastAsia="Arial" w:hAnsi="Arial"/>
          <w:sz w:val="18"/>
          <w:szCs w:val="18"/>
          <w:color w:val="auto"/>
        </w:rPr>
        <w:t>securities,” being (i) shares in the company</w:t>
      </w:r>
    </w:p>
    <w:p>
      <w:pPr>
        <w:ind w:left="4220"/>
        <w:spacing w:after="0" w:line="235" w:lineRule="auto"/>
        <w:rPr>
          <w:sz w:val="20"/>
          <w:szCs w:val="20"/>
          <w:color w:val="auto"/>
        </w:rPr>
      </w:pPr>
      <w:r>
        <w:rPr>
          <w:rFonts w:ascii="Arial" w:cs="Arial" w:eastAsia="Arial" w:hAnsi="Arial"/>
          <w:sz w:val="18"/>
          <w:szCs w:val="18"/>
          <w:color w:val="auto"/>
        </w:rPr>
        <w:t>other than shares that, with respect to</w:t>
      </w:r>
    </w:p>
    <w:p>
      <w:pPr>
        <w:ind w:left="4220"/>
        <w:spacing w:after="0" w:line="235" w:lineRule="auto"/>
        <w:rPr>
          <w:sz w:val="20"/>
          <w:szCs w:val="20"/>
          <w:color w:val="auto"/>
        </w:rPr>
      </w:pPr>
      <w:r>
        <w:rPr>
          <w:rFonts w:ascii="Arial" w:cs="Arial" w:eastAsia="Arial" w:hAnsi="Arial"/>
          <w:sz w:val="18"/>
          <w:szCs w:val="18"/>
          <w:color w:val="auto"/>
        </w:rPr>
        <w:t>dividends and capital, carry a right to</w:t>
      </w:r>
    </w:p>
    <w:p>
      <w:pPr>
        <w:ind w:left="4220"/>
        <w:spacing w:after="0"/>
        <w:rPr>
          <w:sz w:val="20"/>
          <w:szCs w:val="20"/>
          <w:color w:val="auto"/>
        </w:rPr>
      </w:pPr>
      <w:r>
        <w:rPr>
          <w:rFonts w:ascii="Arial" w:cs="Arial" w:eastAsia="Arial" w:hAnsi="Arial"/>
          <w:sz w:val="17"/>
          <w:szCs w:val="17"/>
          <w:color w:val="auto"/>
        </w:rPr>
        <w:t>participate only up to a specified amount in a</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distribution (“ordinary shares”) or (ii) rights to</w:t>
      </w:r>
    </w:p>
    <w:p>
      <w:pPr>
        <w:ind w:left="4220"/>
        <w:spacing w:after="0" w:line="234" w:lineRule="auto"/>
        <w:rPr>
          <w:sz w:val="20"/>
          <w:szCs w:val="20"/>
          <w:color w:val="auto"/>
        </w:rPr>
      </w:pPr>
      <w:r>
        <w:rPr>
          <w:rFonts w:ascii="Arial" w:cs="Arial" w:eastAsia="Arial" w:hAnsi="Arial"/>
          <w:sz w:val="18"/>
          <w:szCs w:val="18"/>
          <w:color w:val="auto"/>
        </w:rPr>
        <w:t>subscribe for, or to convert securities into,</w:t>
      </w:r>
    </w:p>
    <w:p>
      <w:pPr>
        <w:ind w:left="4220"/>
        <w:spacing w:after="0" w:line="235" w:lineRule="auto"/>
        <w:rPr>
          <w:sz w:val="20"/>
          <w:szCs w:val="20"/>
          <w:color w:val="auto"/>
        </w:rPr>
      </w:pPr>
      <w:r>
        <w:rPr>
          <w:rFonts w:ascii="Arial" w:cs="Arial" w:eastAsia="Arial" w:hAnsi="Arial"/>
          <w:sz w:val="18"/>
          <w:szCs w:val="18"/>
          <w:color w:val="auto"/>
        </w:rPr>
        <w:t>ordinary shares, proposed to be allotted for</w:t>
      </w:r>
    </w:p>
    <w:p>
      <w:pPr>
        <w:ind w:left="4220"/>
        <w:spacing w:after="0" w:line="235" w:lineRule="auto"/>
        <w:rPr>
          <w:sz w:val="20"/>
          <w:szCs w:val="20"/>
          <w:color w:val="auto"/>
        </w:rPr>
      </w:pPr>
      <w:r>
        <w:rPr>
          <w:rFonts w:ascii="Arial" w:cs="Arial" w:eastAsia="Arial" w:hAnsi="Arial"/>
          <w:sz w:val="18"/>
          <w:szCs w:val="18"/>
          <w:color w:val="auto"/>
        </w:rPr>
        <w:t>cash, must be offered first to the existing</w:t>
      </w:r>
    </w:p>
    <w:p>
      <w:pPr>
        <w:ind w:left="4220"/>
        <w:spacing w:after="0" w:line="235" w:lineRule="auto"/>
        <w:rPr>
          <w:sz w:val="20"/>
          <w:szCs w:val="20"/>
          <w:color w:val="auto"/>
        </w:rPr>
      </w:pPr>
      <w:r>
        <w:rPr>
          <w:rFonts w:ascii="Arial" w:cs="Arial" w:eastAsia="Arial" w:hAnsi="Arial"/>
          <w:sz w:val="18"/>
          <w:szCs w:val="18"/>
          <w:color w:val="auto"/>
        </w:rPr>
        <w:t>equity shareholders in the company in</w:t>
      </w:r>
    </w:p>
    <w:p>
      <w:pPr>
        <w:ind w:left="4220"/>
        <w:spacing w:after="0" w:line="235" w:lineRule="auto"/>
        <w:rPr>
          <w:sz w:val="20"/>
          <w:szCs w:val="20"/>
          <w:color w:val="auto"/>
        </w:rPr>
      </w:pPr>
      <w:r>
        <w:rPr>
          <w:rFonts w:ascii="Arial" w:cs="Arial" w:eastAsia="Arial" w:hAnsi="Arial"/>
          <w:sz w:val="18"/>
          <w:szCs w:val="18"/>
          <w:color w:val="auto"/>
        </w:rPr>
        <w:t>proportion to the respective nominal value of</w:t>
      </w:r>
    </w:p>
    <w:p>
      <w:pPr>
        <w:ind w:left="4220"/>
        <w:spacing w:after="0"/>
        <w:rPr>
          <w:sz w:val="20"/>
          <w:szCs w:val="20"/>
          <w:color w:val="auto"/>
        </w:rPr>
      </w:pPr>
      <w:r>
        <w:rPr>
          <w:rFonts w:ascii="Arial" w:cs="Arial" w:eastAsia="Arial" w:hAnsi="Arial"/>
          <w:sz w:val="18"/>
          <w:szCs w:val="18"/>
          <w:color w:val="auto"/>
        </w:rPr>
        <w:t>their holdings, unless an</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ind w:right="20"/>
        <w:spacing w:after="0" w:line="236" w:lineRule="auto"/>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780" w:space="120"/>
            <w:col w:w="3220"/>
          </w:cols>
          <w:pgMar w:left="32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3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43891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exception applies or a special resolution to</w:t>
      </w:r>
    </w:p>
    <w:p>
      <w:pPr>
        <w:ind w:left="4220"/>
        <w:spacing w:after="0" w:line="234" w:lineRule="auto"/>
        <w:rPr>
          <w:sz w:val="20"/>
          <w:szCs w:val="20"/>
          <w:color w:val="auto"/>
        </w:rPr>
      </w:pPr>
      <w:r>
        <w:rPr>
          <w:rFonts w:ascii="Arial" w:cs="Arial" w:eastAsia="Arial" w:hAnsi="Arial"/>
          <w:sz w:val="18"/>
          <w:szCs w:val="18"/>
          <w:color w:val="auto"/>
        </w:rPr>
        <w:t>the contrary has been passed by</w:t>
      </w:r>
    </w:p>
    <w:p>
      <w:pPr>
        <w:ind w:left="4220"/>
        <w:spacing w:after="0" w:line="235" w:lineRule="auto"/>
        <w:rPr>
          <w:sz w:val="20"/>
          <w:szCs w:val="20"/>
          <w:color w:val="auto"/>
        </w:rPr>
      </w:pPr>
      <w:r>
        <w:rPr>
          <w:rFonts w:ascii="Arial" w:cs="Arial" w:eastAsia="Arial" w:hAnsi="Arial"/>
          <w:sz w:val="18"/>
          <w:szCs w:val="18"/>
          <w:color w:val="auto"/>
        </w:rPr>
        <w:t>shareholders in a general meeting or the</w:t>
      </w:r>
    </w:p>
    <w:p>
      <w:pPr>
        <w:ind w:left="4220"/>
        <w:spacing w:after="0" w:line="235" w:lineRule="auto"/>
        <w:rPr>
          <w:sz w:val="20"/>
          <w:szCs w:val="20"/>
          <w:color w:val="auto"/>
        </w:rPr>
      </w:pPr>
      <w:r>
        <w:rPr>
          <w:rFonts w:ascii="Arial" w:cs="Arial" w:eastAsia="Arial" w:hAnsi="Arial"/>
          <w:sz w:val="18"/>
          <w:szCs w:val="18"/>
          <w:color w:val="auto"/>
        </w:rPr>
        <w:t>articles of association provide otherwise, in</w:t>
      </w:r>
    </w:p>
    <w:p>
      <w:pPr>
        <w:ind w:left="4220"/>
        <w:spacing w:after="0" w:line="235" w:lineRule="auto"/>
        <w:rPr>
          <w:sz w:val="20"/>
          <w:szCs w:val="20"/>
          <w:color w:val="auto"/>
        </w:rPr>
      </w:pPr>
      <w:r>
        <w:rPr>
          <w:rFonts w:ascii="Arial" w:cs="Arial" w:eastAsia="Arial" w:hAnsi="Arial"/>
          <w:sz w:val="18"/>
          <w:szCs w:val="18"/>
          <w:color w:val="auto"/>
        </w:rPr>
        <w:t>each case in accordance with the provisions</w:t>
      </w:r>
    </w:p>
    <w:p>
      <w:pPr>
        <w:ind w:left="4220"/>
        <w:spacing w:after="0"/>
        <w:rPr>
          <w:sz w:val="20"/>
          <w:szCs w:val="20"/>
          <w:color w:val="auto"/>
        </w:rPr>
      </w:pPr>
      <w:r>
        <w:rPr>
          <w:rFonts w:ascii="Arial" w:cs="Arial" w:eastAsia="Arial" w:hAnsi="Arial"/>
          <w:sz w:val="18"/>
          <w:szCs w:val="18"/>
          <w:color w:val="auto"/>
        </w:rPr>
        <w:t>of the U.K. Companies Act 2006.</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7"/>
          <w:szCs w:val="17"/>
          <w:color w:val="auto"/>
        </w:rPr>
        <w:t>Under the U.K. Companies Act 2006, the</w:t>
      </w:r>
    </w:p>
    <w:p>
      <w:pPr>
        <w:ind w:left="4220"/>
        <w:spacing w:after="0" w:line="234" w:lineRule="auto"/>
        <w:rPr>
          <w:sz w:val="20"/>
          <w:szCs w:val="20"/>
          <w:color w:val="auto"/>
        </w:rPr>
      </w:pPr>
      <w:r>
        <w:rPr>
          <w:rFonts w:ascii="Arial" w:cs="Arial" w:eastAsia="Arial" w:hAnsi="Arial"/>
          <w:sz w:val="18"/>
          <w:szCs w:val="18"/>
          <w:color w:val="auto"/>
        </w:rPr>
        <w:t>directors of a company must not allot shares</w:t>
      </w:r>
    </w:p>
    <w:p>
      <w:pPr>
        <w:ind w:left="4220"/>
        <w:spacing w:after="0" w:line="235" w:lineRule="auto"/>
        <w:rPr>
          <w:sz w:val="20"/>
          <w:szCs w:val="20"/>
          <w:color w:val="auto"/>
        </w:rPr>
      </w:pPr>
      <w:r>
        <w:rPr>
          <w:rFonts w:ascii="Arial" w:cs="Arial" w:eastAsia="Arial" w:hAnsi="Arial"/>
          <w:sz w:val="18"/>
          <w:szCs w:val="18"/>
          <w:color w:val="auto"/>
        </w:rPr>
        <w:t>or grant rights to subscribe for or to convert</w:t>
      </w:r>
    </w:p>
    <w:p>
      <w:pPr>
        <w:ind w:left="4220"/>
        <w:spacing w:after="0" w:line="235" w:lineRule="auto"/>
        <w:rPr>
          <w:sz w:val="20"/>
          <w:szCs w:val="20"/>
          <w:color w:val="auto"/>
        </w:rPr>
      </w:pPr>
      <w:r>
        <w:rPr>
          <w:rFonts w:ascii="Arial" w:cs="Arial" w:eastAsia="Arial" w:hAnsi="Arial"/>
          <w:sz w:val="18"/>
          <w:szCs w:val="18"/>
          <w:color w:val="auto"/>
        </w:rPr>
        <w:t>any security into shares unless those shares</w:t>
      </w:r>
    </w:p>
    <w:p>
      <w:pPr>
        <w:ind w:left="4220"/>
        <w:spacing w:after="0" w:line="235" w:lineRule="auto"/>
        <w:rPr>
          <w:sz w:val="20"/>
          <w:szCs w:val="20"/>
          <w:color w:val="auto"/>
        </w:rPr>
      </w:pPr>
      <w:r>
        <w:rPr>
          <w:rFonts w:ascii="Arial" w:cs="Arial" w:eastAsia="Arial" w:hAnsi="Arial"/>
          <w:sz w:val="18"/>
          <w:szCs w:val="18"/>
          <w:color w:val="auto"/>
        </w:rPr>
        <w:t>are allotted, or those rights to subscribe or</w:t>
      </w:r>
    </w:p>
    <w:p>
      <w:pPr>
        <w:ind w:left="4220"/>
        <w:spacing w:after="0" w:line="235" w:lineRule="auto"/>
        <w:rPr>
          <w:sz w:val="20"/>
          <w:szCs w:val="20"/>
          <w:color w:val="auto"/>
        </w:rPr>
      </w:pPr>
      <w:r>
        <w:rPr>
          <w:rFonts w:ascii="Arial" w:cs="Arial" w:eastAsia="Arial" w:hAnsi="Arial"/>
          <w:sz w:val="18"/>
          <w:szCs w:val="18"/>
          <w:color w:val="auto"/>
        </w:rPr>
        <w:t>convert any security into shares are granted</w:t>
      </w:r>
    </w:p>
    <w:p>
      <w:pPr>
        <w:ind w:left="4220"/>
        <w:spacing w:after="0" w:line="234" w:lineRule="auto"/>
        <w:rPr>
          <w:sz w:val="20"/>
          <w:szCs w:val="20"/>
          <w:color w:val="auto"/>
        </w:rPr>
      </w:pPr>
      <w:r>
        <w:rPr>
          <w:rFonts w:ascii="Arial" w:cs="Arial" w:eastAsia="Arial" w:hAnsi="Arial"/>
          <w:sz w:val="18"/>
          <w:szCs w:val="18"/>
          <w:color w:val="auto"/>
        </w:rPr>
        <w:t>(as applicable) pursuant to an employee</w:t>
      </w:r>
    </w:p>
    <w:p>
      <w:pPr>
        <w:ind w:left="4220"/>
        <w:spacing w:after="0" w:line="235" w:lineRule="auto"/>
        <w:rPr>
          <w:sz w:val="20"/>
          <w:szCs w:val="20"/>
          <w:color w:val="auto"/>
        </w:rPr>
      </w:pPr>
      <w:r>
        <w:rPr>
          <w:rFonts w:ascii="Arial" w:cs="Arial" w:eastAsia="Arial" w:hAnsi="Arial"/>
          <w:sz w:val="18"/>
          <w:szCs w:val="18"/>
          <w:color w:val="auto"/>
        </w:rPr>
        <w:t>share scheme, an ordinary resolution to the</w:t>
      </w:r>
    </w:p>
    <w:p>
      <w:pPr>
        <w:ind w:left="4220"/>
        <w:spacing w:after="0" w:line="235" w:lineRule="auto"/>
        <w:rPr>
          <w:sz w:val="20"/>
          <w:szCs w:val="20"/>
          <w:color w:val="auto"/>
        </w:rPr>
      </w:pPr>
      <w:r>
        <w:rPr>
          <w:rFonts w:ascii="Arial" w:cs="Arial" w:eastAsia="Arial" w:hAnsi="Arial"/>
          <w:sz w:val="18"/>
          <w:szCs w:val="18"/>
          <w:color w:val="auto"/>
        </w:rPr>
        <w:t>contrary has been passed by shareholders</w:t>
      </w:r>
    </w:p>
    <w:p>
      <w:pPr>
        <w:ind w:left="4220"/>
        <w:spacing w:after="0" w:line="235" w:lineRule="auto"/>
        <w:rPr>
          <w:sz w:val="20"/>
          <w:szCs w:val="20"/>
          <w:color w:val="auto"/>
        </w:rPr>
      </w:pPr>
      <w:r>
        <w:rPr>
          <w:rFonts w:ascii="Arial" w:cs="Arial" w:eastAsia="Arial" w:hAnsi="Arial"/>
          <w:sz w:val="18"/>
          <w:szCs w:val="18"/>
          <w:color w:val="auto"/>
        </w:rPr>
        <w:t>in a general meeting, or the articles of</w:t>
      </w:r>
    </w:p>
    <w:p>
      <w:pPr>
        <w:ind w:left="4220"/>
        <w:spacing w:after="0" w:line="235" w:lineRule="auto"/>
        <w:rPr>
          <w:sz w:val="20"/>
          <w:szCs w:val="20"/>
          <w:color w:val="auto"/>
        </w:rPr>
      </w:pPr>
      <w:r>
        <w:rPr>
          <w:rFonts w:ascii="Arial" w:cs="Arial" w:eastAsia="Arial" w:hAnsi="Arial"/>
          <w:sz w:val="18"/>
          <w:szCs w:val="18"/>
          <w:color w:val="auto"/>
        </w:rPr>
        <w:t>association provide otherwise, in each case,</w:t>
      </w:r>
    </w:p>
    <w:p>
      <w:pPr>
        <w:ind w:left="4220"/>
        <w:spacing w:after="0" w:line="234" w:lineRule="auto"/>
        <w:rPr>
          <w:sz w:val="20"/>
          <w:szCs w:val="20"/>
          <w:color w:val="auto"/>
        </w:rPr>
      </w:pPr>
      <w:r>
        <w:rPr>
          <w:rFonts w:ascii="Arial" w:cs="Arial" w:eastAsia="Arial" w:hAnsi="Arial"/>
          <w:sz w:val="18"/>
          <w:szCs w:val="18"/>
          <w:color w:val="auto"/>
        </w:rPr>
        <w:t>in accordance with the provisions of the U.K.</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Companies Act 2006.</w:t>
      </w: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Liability of Directors and Officers</w:t>
      </w:r>
      <w:r>
        <w:rPr>
          <w:sz w:val="20"/>
          <w:szCs w:val="20"/>
          <w:color w:val="auto"/>
        </w:rPr>
        <w:tab/>
      </w:r>
      <w:r>
        <w:rPr>
          <w:rFonts w:ascii="Arial" w:cs="Arial" w:eastAsia="Arial" w:hAnsi="Arial"/>
          <w:sz w:val="17"/>
          <w:szCs w:val="17"/>
          <w:color w:val="auto"/>
        </w:rPr>
        <w:t>Under the U.K. Companies Act 2006, any</w:t>
      </w:r>
    </w:p>
    <w:p>
      <w:pPr>
        <w:ind w:left="4220"/>
        <w:spacing w:after="0" w:line="234" w:lineRule="auto"/>
        <w:rPr>
          <w:sz w:val="20"/>
          <w:szCs w:val="20"/>
          <w:color w:val="auto"/>
        </w:rPr>
      </w:pPr>
      <w:r>
        <w:rPr>
          <w:rFonts w:ascii="Arial" w:cs="Arial" w:eastAsia="Arial" w:hAnsi="Arial"/>
          <w:sz w:val="18"/>
          <w:szCs w:val="18"/>
          <w:color w:val="auto"/>
        </w:rPr>
        <w:t>provision (whether contained in a company’s</w:t>
      </w:r>
    </w:p>
    <w:p>
      <w:pPr>
        <w:ind w:left="4220"/>
        <w:spacing w:after="0" w:line="235" w:lineRule="auto"/>
        <w:rPr>
          <w:sz w:val="20"/>
          <w:szCs w:val="20"/>
          <w:color w:val="auto"/>
        </w:rPr>
      </w:pPr>
      <w:r>
        <w:rPr>
          <w:rFonts w:ascii="Arial" w:cs="Arial" w:eastAsia="Arial" w:hAnsi="Arial"/>
          <w:sz w:val="18"/>
          <w:szCs w:val="18"/>
          <w:color w:val="auto"/>
        </w:rPr>
        <w:t>articles of association or any contract or</w:t>
      </w:r>
    </w:p>
    <w:p>
      <w:pPr>
        <w:ind w:left="4220"/>
        <w:spacing w:after="0" w:line="235" w:lineRule="auto"/>
        <w:rPr>
          <w:sz w:val="20"/>
          <w:szCs w:val="20"/>
          <w:color w:val="auto"/>
        </w:rPr>
      </w:pPr>
      <w:r>
        <w:rPr>
          <w:rFonts w:ascii="Arial" w:cs="Arial" w:eastAsia="Arial" w:hAnsi="Arial"/>
          <w:sz w:val="18"/>
          <w:szCs w:val="18"/>
          <w:color w:val="auto"/>
        </w:rPr>
        <w:t>otherwise) that purports to exempt a director</w:t>
      </w:r>
    </w:p>
    <w:p>
      <w:pPr>
        <w:ind w:left="4220"/>
        <w:spacing w:after="0" w:line="235" w:lineRule="auto"/>
        <w:rPr>
          <w:sz w:val="20"/>
          <w:szCs w:val="20"/>
          <w:color w:val="auto"/>
        </w:rPr>
      </w:pPr>
      <w:r>
        <w:rPr>
          <w:rFonts w:ascii="Arial" w:cs="Arial" w:eastAsia="Arial" w:hAnsi="Arial"/>
          <w:sz w:val="18"/>
          <w:szCs w:val="18"/>
          <w:color w:val="auto"/>
        </w:rPr>
        <w:t>of a company (to any extent) from any</w:t>
      </w:r>
    </w:p>
    <w:p>
      <w:pPr>
        <w:ind w:left="4220"/>
        <w:spacing w:after="0" w:line="235" w:lineRule="auto"/>
        <w:rPr>
          <w:sz w:val="20"/>
          <w:szCs w:val="20"/>
          <w:color w:val="auto"/>
        </w:rPr>
      </w:pPr>
      <w:r>
        <w:rPr>
          <w:rFonts w:ascii="Arial" w:cs="Arial" w:eastAsia="Arial" w:hAnsi="Arial"/>
          <w:sz w:val="18"/>
          <w:szCs w:val="18"/>
          <w:color w:val="auto"/>
        </w:rPr>
        <w:t>liability that would otherwise attach to him in</w:t>
      </w:r>
    </w:p>
    <w:p>
      <w:pPr>
        <w:ind w:left="4220"/>
        <w:spacing w:after="0" w:line="234" w:lineRule="auto"/>
        <w:rPr>
          <w:sz w:val="20"/>
          <w:szCs w:val="20"/>
          <w:color w:val="auto"/>
        </w:rPr>
      </w:pPr>
      <w:r>
        <w:rPr>
          <w:rFonts w:ascii="Arial" w:cs="Arial" w:eastAsia="Arial" w:hAnsi="Arial"/>
          <w:sz w:val="18"/>
          <w:szCs w:val="18"/>
          <w:color w:val="auto"/>
        </w:rPr>
        <w:t>connection with any negligence, default,</w:t>
      </w:r>
    </w:p>
    <w:p>
      <w:pPr>
        <w:ind w:left="4220"/>
        <w:spacing w:after="0" w:line="235" w:lineRule="auto"/>
        <w:rPr>
          <w:sz w:val="20"/>
          <w:szCs w:val="20"/>
          <w:color w:val="auto"/>
        </w:rPr>
      </w:pPr>
      <w:r>
        <w:rPr>
          <w:rFonts w:ascii="Arial" w:cs="Arial" w:eastAsia="Arial" w:hAnsi="Arial"/>
          <w:sz w:val="18"/>
          <w:szCs w:val="18"/>
          <w:color w:val="auto"/>
        </w:rPr>
        <w:t>breach of duty or breach of trust in relation</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to the company is void.</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Any provision by which we directly or</w:t>
      </w:r>
    </w:p>
    <w:p>
      <w:pPr>
        <w:ind w:left="4220"/>
        <w:spacing w:after="0" w:line="234" w:lineRule="auto"/>
        <w:rPr>
          <w:sz w:val="20"/>
          <w:szCs w:val="20"/>
          <w:color w:val="auto"/>
        </w:rPr>
      </w:pPr>
      <w:r>
        <w:rPr>
          <w:rFonts w:ascii="Arial" w:cs="Arial" w:eastAsia="Arial" w:hAnsi="Arial"/>
          <w:sz w:val="18"/>
          <w:szCs w:val="18"/>
          <w:color w:val="auto"/>
        </w:rPr>
        <w:t>indirectly provide an indemnity (to any</w:t>
      </w:r>
    </w:p>
    <w:p>
      <w:pPr>
        <w:ind w:left="4220"/>
        <w:spacing w:after="0" w:line="235" w:lineRule="auto"/>
        <w:rPr>
          <w:sz w:val="20"/>
          <w:szCs w:val="20"/>
          <w:color w:val="auto"/>
        </w:rPr>
      </w:pPr>
      <w:r>
        <w:rPr>
          <w:rFonts w:ascii="Arial" w:cs="Arial" w:eastAsia="Arial" w:hAnsi="Arial"/>
          <w:sz w:val="18"/>
          <w:szCs w:val="18"/>
          <w:color w:val="auto"/>
        </w:rPr>
        <w:t>extent) for a director of the company or of an</w:t>
      </w:r>
    </w:p>
    <w:p>
      <w:pPr>
        <w:ind w:left="4220"/>
        <w:spacing w:after="0" w:line="235" w:lineRule="auto"/>
        <w:rPr>
          <w:sz w:val="20"/>
          <w:szCs w:val="20"/>
          <w:color w:val="auto"/>
        </w:rPr>
      </w:pPr>
      <w:r>
        <w:rPr>
          <w:rFonts w:ascii="Arial" w:cs="Arial" w:eastAsia="Arial" w:hAnsi="Arial"/>
          <w:sz w:val="18"/>
          <w:szCs w:val="18"/>
          <w:color w:val="auto"/>
        </w:rPr>
        <w:t>“associated company” (i.e., a company that</w:t>
      </w:r>
    </w:p>
    <w:p>
      <w:pPr>
        <w:ind w:left="4220"/>
        <w:spacing w:after="0"/>
        <w:rPr>
          <w:sz w:val="20"/>
          <w:szCs w:val="20"/>
          <w:color w:val="auto"/>
        </w:rPr>
      </w:pPr>
      <w:r>
        <w:rPr>
          <w:rFonts w:ascii="Arial" w:cs="Arial" w:eastAsia="Arial" w:hAnsi="Arial"/>
          <w:sz w:val="18"/>
          <w:szCs w:val="18"/>
          <w:color w:val="auto"/>
        </w:rPr>
        <w:t>is a parent, subsidiary or sister company of</w:t>
      </w: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8" w:right="20"/>
        <w:spacing w:after="0" w:line="250" w:lineRule="auto"/>
        <w:rPr>
          <w:sz w:val="20"/>
          <w:szCs w:val="20"/>
          <w:color w:val="auto"/>
        </w:rPr>
      </w:pPr>
      <w:r>
        <w:rPr>
          <w:rFonts w:ascii="Arial" w:cs="Arial" w:eastAsia="Arial" w:hAnsi="Arial"/>
          <w:sz w:val="17"/>
          <w:szCs w:val="17"/>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91" w:lineRule="exact"/>
        <w:rPr>
          <w:sz w:val="20"/>
          <w:szCs w:val="20"/>
          <w:color w:val="auto"/>
        </w:rPr>
      </w:pPr>
    </w:p>
    <w:p>
      <w:pPr>
        <w:ind w:left="8"/>
        <w:spacing w:after="0" w:line="236"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99" w:lineRule="exact"/>
        <w:rPr>
          <w:sz w:val="20"/>
          <w:szCs w:val="20"/>
          <w:color w:val="auto"/>
        </w:rPr>
      </w:pPr>
    </w:p>
    <w:p>
      <w:pPr>
        <w:ind w:left="328" w:right="140" w:hanging="328"/>
        <w:spacing w:after="0"/>
        <w:tabs>
          <w:tab w:leader="none" w:pos="337" w:val="left"/>
        </w:tabs>
        <w:numPr>
          <w:ilvl w:val="0"/>
          <w:numId w:val="18"/>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27" w:lineRule="exact"/>
        <w:rPr>
          <w:rFonts w:ascii="MS PGothic" w:cs="MS PGothic" w:eastAsia="MS PGothic" w:hAnsi="MS PGothic"/>
          <w:sz w:val="13"/>
          <w:szCs w:val="13"/>
          <w:color w:val="auto"/>
        </w:rPr>
      </w:pPr>
    </w:p>
    <w:p>
      <w:pPr>
        <w:ind w:left="328" w:right="180" w:hanging="328"/>
        <w:spacing w:after="0"/>
        <w:tabs>
          <w:tab w:leader="none" w:pos="337" w:val="left"/>
        </w:tabs>
        <w:numPr>
          <w:ilvl w:val="0"/>
          <w:numId w:val="18"/>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w:t>
      </w:r>
    </w:p>
    <w:p>
      <w:pPr>
        <w:sectPr>
          <w:pgSz w:w="11900" w:h="16838" w:orient="portrait"/>
          <w:cols w:equalWidth="0" w:num="2">
            <w:col w:w="7780" w:space="112"/>
            <w:col w:w="3228"/>
          </w:cols>
          <w:pgMar w:left="320" w:top="459" w:right="45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80"/>
          </w:cols>
          <w:pgMar w:left="320" w:top="459" w:right="599" w:bottom="1440" w:gutter="0" w:footer="0" w:header="0"/>
        </w:sectPr>
      </w:pPr>
    </w:p>
    <w:p>
      <w:pPr>
        <w:spacing w:after="0" w:line="33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us) against any liability attaching to him or</w:t>
      </w:r>
    </w:p>
    <w:p>
      <w:pPr>
        <w:ind w:left="4220"/>
        <w:spacing w:after="0" w:line="234" w:lineRule="auto"/>
        <w:rPr>
          <w:sz w:val="20"/>
          <w:szCs w:val="20"/>
          <w:color w:val="auto"/>
        </w:rPr>
      </w:pPr>
      <w:r>
        <w:rPr>
          <w:rFonts w:ascii="Arial" w:cs="Arial" w:eastAsia="Arial" w:hAnsi="Arial"/>
          <w:sz w:val="18"/>
          <w:szCs w:val="18"/>
          <w:color w:val="auto"/>
        </w:rPr>
        <w:t>her in connection with any negligence,</w:t>
      </w:r>
    </w:p>
    <w:p>
      <w:pPr>
        <w:ind w:left="4220"/>
        <w:spacing w:after="0" w:line="235" w:lineRule="auto"/>
        <w:rPr>
          <w:sz w:val="20"/>
          <w:szCs w:val="20"/>
          <w:color w:val="auto"/>
        </w:rPr>
      </w:pPr>
      <w:r>
        <w:rPr>
          <w:rFonts w:ascii="Arial" w:cs="Arial" w:eastAsia="Arial" w:hAnsi="Arial"/>
          <w:sz w:val="18"/>
          <w:szCs w:val="18"/>
          <w:color w:val="auto"/>
        </w:rPr>
        <w:t>default, breach of duty or breach of trust in</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relation to the company of which he or she is</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 director is void except as permitted by the</w:t>
      </w:r>
    </w:p>
    <w:p>
      <w:pPr>
        <w:ind w:left="4220"/>
        <w:spacing w:after="0" w:line="234" w:lineRule="auto"/>
        <w:rPr>
          <w:sz w:val="20"/>
          <w:szCs w:val="20"/>
          <w:color w:val="auto"/>
        </w:rPr>
      </w:pPr>
      <w:r>
        <w:rPr>
          <w:rFonts w:ascii="Arial" w:cs="Arial" w:eastAsia="Arial" w:hAnsi="Arial"/>
          <w:sz w:val="18"/>
          <w:szCs w:val="18"/>
          <w:color w:val="auto"/>
        </w:rPr>
        <w:t>U.K. Companies Act 2006, which provides</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exceptions for us to:</w:t>
      </w:r>
    </w:p>
    <w:p>
      <w:pPr>
        <w:spacing w:after="0" w:line="198" w:lineRule="exact"/>
        <w:rPr>
          <w:sz w:val="20"/>
          <w:szCs w:val="20"/>
          <w:color w:val="auto"/>
        </w:rPr>
      </w:pPr>
    </w:p>
    <w:p>
      <w:pPr>
        <w:ind w:left="4540" w:hanging="320"/>
        <w:spacing w:after="0" w:line="236" w:lineRule="auto"/>
        <w:tabs>
          <w:tab w:leader="none" w:pos="4549" w:val="left"/>
        </w:tabs>
        <w:numPr>
          <w:ilvl w:val="0"/>
          <w:numId w:val="19"/>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18" w:lineRule="exact"/>
        <w:rPr>
          <w:rFonts w:ascii="MS PGothic" w:cs="MS PGothic" w:eastAsia="MS PGothic" w:hAnsi="MS PGothic"/>
          <w:sz w:val="13"/>
          <w:szCs w:val="13"/>
          <w:color w:val="auto"/>
        </w:rPr>
      </w:pPr>
    </w:p>
    <w:p>
      <w:pPr>
        <w:ind w:left="4540" w:right="20" w:hanging="320"/>
        <w:spacing w:after="0" w:line="235" w:lineRule="auto"/>
        <w:tabs>
          <w:tab w:leader="none" w:pos="4549" w:val="left"/>
        </w:tabs>
        <w:numPr>
          <w:ilvl w:val="0"/>
          <w:numId w:val="19"/>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24" w:lineRule="exact"/>
        <w:rPr>
          <w:rFonts w:ascii="MS PGothic" w:cs="MS PGothic" w:eastAsia="MS PGothic" w:hAnsi="MS PGothic"/>
          <w:sz w:val="13"/>
          <w:szCs w:val="13"/>
          <w:color w:val="auto"/>
        </w:rPr>
      </w:pPr>
    </w:p>
    <w:p>
      <w:pPr>
        <w:ind w:left="4540" w:right="260" w:hanging="320"/>
        <w:spacing w:after="0" w:line="261" w:lineRule="auto"/>
        <w:tabs>
          <w:tab w:leader="none" w:pos="4549" w:val="left"/>
        </w:tabs>
        <w:numPr>
          <w:ilvl w:val="0"/>
          <w:numId w:val="19"/>
        </w:numPr>
        <w:rPr>
          <w:rFonts w:ascii="MS PGothic" w:cs="MS PGothic" w:eastAsia="MS PGothic" w:hAnsi="MS PGothic"/>
          <w:sz w:val="12"/>
          <w:szCs w:val="12"/>
          <w:color w:val="auto"/>
        </w:rPr>
      </w:pPr>
      <w:r>
        <w:rPr>
          <w:rFonts w:ascii="Arial" w:cs="Arial" w:eastAsia="Arial" w:hAnsi="Arial"/>
          <w:sz w:val="17"/>
          <w:szCs w:val="17"/>
          <w:color w:val="auto"/>
        </w:rPr>
        <w:t>provide a “qualifying pension scheme indemnity,” which is an indemnity against liability incurred in connection</w:t>
      </w:r>
    </w:p>
    <w:p>
      <w:pPr>
        <w:spacing w:after="0" w:line="1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08"/>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8"/>
        <w:spacing w:after="0"/>
        <w:rPr>
          <w:sz w:val="20"/>
          <w:szCs w:val="20"/>
          <w:color w:val="auto"/>
        </w:rPr>
      </w:pPr>
      <w:r>
        <w:rPr>
          <w:rFonts w:ascii="Arial" w:cs="Arial" w:eastAsia="Arial" w:hAnsi="Arial"/>
          <w:sz w:val="18"/>
          <w:szCs w:val="18"/>
          <w:color w:val="auto"/>
        </w:rPr>
        <w:t>a knowing violation of law;</w:t>
      </w:r>
    </w:p>
    <w:p>
      <w:pPr>
        <w:spacing w:after="0" w:line="36" w:lineRule="exact"/>
        <w:rPr>
          <w:sz w:val="20"/>
          <w:szCs w:val="20"/>
          <w:color w:val="auto"/>
        </w:rPr>
      </w:pPr>
    </w:p>
    <w:p>
      <w:pPr>
        <w:ind w:left="328" w:hanging="328"/>
        <w:spacing w:after="0"/>
        <w:tabs>
          <w:tab w:leader="none" w:pos="337" w:val="left"/>
        </w:tabs>
        <w:numPr>
          <w:ilvl w:val="0"/>
          <w:numId w:val="20"/>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27" w:lineRule="exact"/>
        <w:rPr>
          <w:rFonts w:ascii="MS PGothic" w:cs="MS PGothic" w:eastAsia="MS PGothic" w:hAnsi="MS PGothic"/>
          <w:sz w:val="13"/>
          <w:szCs w:val="13"/>
          <w:color w:val="auto"/>
        </w:rPr>
      </w:pPr>
    </w:p>
    <w:p>
      <w:pPr>
        <w:ind w:left="328" w:right="320" w:hanging="328"/>
        <w:spacing w:after="0"/>
        <w:tabs>
          <w:tab w:leader="none" w:pos="337" w:val="left"/>
        </w:tabs>
        <w:numPr>
          <w:ilvl w:val="0"/>
          <w:numId w:val="20"/>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2">
            <w:col w:w="7780" w:space="112"/>
            <w:col w:w="3088"/>
          </w:cols>
          <w:pgMar w:left="320" w:top="459" w:right="5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16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43891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34" w:lineRule="exact"/>
        <w:rPr>
          <w:sz w:val="20"/>
          <w:szCs w:val="20"/>
          <w:color w:val="auto"/>
        </w:rPr>
      </w:pPr>
    </w:p>
    <w:p>
      <w:pPr>
        <w:ind w:left="4540" w:right="3220" w:hanging="320"/>
        <w:spacing w:after="0" w:line="236" w:lineRule="auto"/>
        <w:tabs>
          <w:tab w:leader="none" w:pos="4549" w:val="left"/>
        </w:tabs>
        <w:numPr>
          <w:ilvl w:val="0"/>
          <w:numId w:val="21"/>
        </w:numPr>
        <w:rPr>
          <w:rFonts w:ascii="MS PGothic" w:cs="MS PGothic" w:eastAsia="MS PGothic" w:hAnsi="MS PGothic"/>
          <w:sz w:val="13"/>
          <w:szCs w:val="13"/>
          <w:color w:val="auto"/>
        </w:rPr>
      </w:pPr>
      <w:r>
        <w:rPr>
          <w:rFonts w:ascii="Arial" w:cs="Arial" w:eastAsia="Arial" w:hAnsi="Arial"/>
          <w:sz w:val="18"/>
          <w:szCs w:val="18"/>
          <w:color w:val="auto"/>
        </w:rPr>
        <w:t>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p>
      <w:pPr>
        <w:sectPr>
          <w:pgSz w:w="11900" w:h="16838" w:orient="portrait"/>
          <w:cols w:equalWidth="0" w:num="1">
            <w:col w:w="10980"/>
          </w:cols>
          <w:pgMar w:left="320" w:top="459" w:right="599" w:bottom="1440" w:gutter="0" w:footer="0" w:header="0"/>
        </w:sectPr>
      </w:pPr>
    </w:p>
    <w:p>
      <w:pPr>
        <w:spacing w:after="0" w:line="9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Our Articles provide that it may indemnify</w:t>
      </w:r>
    </w:p>
    <w:p>
      <w:pPr>
        <w:ind w:left="4220"/>
        <w:spacing w:after="0"/>
        <w:rPr>
          <w:sz w:val="20"/>
          <w:szCs w:val="20"/>
          <w:color w:val="auto"/>
        </w:rPr>
      </w:pPr>
      <w:r>
        <w:rPr>
          <w:rFonts w:ascii="Arial" w:cs="Arial" w:eastAsia="Arial" w:hAnsi="Arial"/>
          <w:sz w:val="18"/>
          <w:szCs w:val="18"/>
          <w:color w:val="auto"/>
        </w:rPr>
        <w:t>each of our directors against:</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The U.K. Companies Act 2006 also provides</w:t>
      </w:r>
    </w:p>
    <w:p>
      <w:pPr>
        <w:ind w:left="4220"/>
        <w:spacing w:after="0" w:line="234" w:lineRule="auto"/>
        <w:rPr>
          <w:sz w:val="20"/>
          <w:szCs w:val="20"/>
          <w:color w:val="auto"/>
        </w:rPr>
      </w:pPr>
      <w:r>
        <w:rPr>
          <w:rFonts w:ascii="Arial" w:cs="Arial" w:eastAsia="Arial" w:hAnsi="Arial"/>
          <w:sz w:val="18"/>
          <w:szCs w:val="18"/>
          <w:color w:val="auto"/>
        </w:rPr>
        <w:t>that we may lend each of our directors funds</w:t>
      </w:r>
    </w:p>
    <w:p>
      <w:pPr>
        <w:ind w:left="4220"/>
        <w:spacing w:after="0" w:line="235" w:lineRule="auto"/>
        <w:rPr>
          <w:sz w:val="20"/>
          <w:szCs w:val="20"/>
          <w:color w:val="auto"/>
        </w:rPr>
      </w:pPr>
      <w:r>
        <w:rPr>
          <w:rFonts w:ascii="Arial" w:cs="Arial" w:eastAsia="Arial" w:hAnsi="Arial"/>
          <w:sz w:val="18"/>
          <w:szCs w:val="18"/>
          <w:color w:val="auto"/>
        </w:rPr>
        <w:t>to meet expenditure incurred by him or her</w:t>
      </w:r>
    </w:p>
    <w:p>
      <w:pPr>
        <w:ind w:left="4220"/>
        <w:spacing w:after="0" w:line="235" w:lineRule="auto"/>
        <w:rPr>
          <w:sz w:val="20"/>
          <w:szCs w:val="20"/>
          <w:color w:val="auto"/>
        </w:rPr>
      </w:pPr>
      <w:r>
        <w:rPr>
          <w:rFonts w:ascii="Arial" w:cs="Arial" w:eastAsia="Arial" w:hAnsi="Arial"/>
          <w:sz w:val="18"/>
          <w:szCs w:val="18"/>
          <w:color w:val="auto"/>
        </w:rPr>
        <w:t>in defending any criminal or civil</w:t>
      </w:r>
    </w:p>
    <w:p>
      <w:pPr>
        <w:ind w:left="4220"/>
        <w:spacing w:after="0" w:line="235" w:lineRule="auto"/>
        <w:rPr>
          <w:sz w:val="20"/>
          <w:szCs w:val="20"/>
          <w:color w:val="auto"/>
        </w:rPr>
      </w:pPr>
      <w:r>
        <w:rPr>
          <w:rFonts w:ascii="Arial" w:cs="Arial" w:eastAsia="Arial" w:hAnsi="Arial"/>
          <w:sz w:val="18"/>
          <w:szCs w:val="18"/>
          <w:color w:val="auto"/>
        </w:rPr>
        <w:t>proceedings in connection with any alleged</w:t>
      </w:r>
    </w:p>
    <w:p>
      <w:pPr>
        <w:ind w:left="4220"/>
        <w:spacing w:after="0"/>
        <w:rPr>
          <w:sz w:val="20"/>
          <w:szCs w:val="20"/>
          <w:color w:val="auto"/>
        </w:rPr>
      </w:pPr>
      <w:r>
        <w:rPr>
          <w:rFonts w:ascii="Arial" w:cs="Arial" w:eastAsia="Arial" w:hAnsi="Arial"/>
          <w:sz w:val="17"/>
          <w:szCs w:val="17"/>
          <w:color w:val="auto"/>
        </w:rPr>
        <w:t>negligence, default, breach of duty or breach</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of trust by him or her in relation to us or an</w:t>
      </w:r>
    </w:p>
    <w:p>
      <w:pPr>
        <w:ind w:left="4220"/>
        <w:spacing w:after="0" w:line="234" w:lineRule="auto"/>
        <w:rPr>
          <w:sz w:val="20"/>
          <w:szCs w:val="20"/>
          <w:color w:val="auto"/>
        </w:rPr>
      </w:pPr>
      <w:r>
        <w:rPr>
          <w:rFonts w:ascii="Arial" w:cs="Arial" w:eastAsia="Arial" w:hAnsi="Arial"/>
          <w:sz w:val="18"/>
          <w:szCs w:val="18"/>
          <w:color w:val="auto"/>
        </w:rPr>
        <w:t>associated company, or in connection with</w:t>
      </w:r>
    </w:p>
    <w:p>
      <w:pPr>
        <w:ind w:left="4220"/>
        <w:spacing w:after="0" w:line="235" w:lineRule="auto"/>
        <w:rPr>
          <w:sz w:val="20"/>
          <w:szCs w:val="20"/>
          <w:color w:val="auto"/>
        </w:rPr>
      </w:pPr>
      <w:r>
        <w:rPr>
          <w:rFonts w:ascii="Arial" w:cs="Arial" w:eastAsia="Arial" w:hAnsi="Arial"/>
          <w:sz w:val="18"/>
          <w:szCs w:val="18"/>
          <w:color w:val="auto"/>
        </w:rPr>
        <w:t>an application for certain specified relief,</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subject to the requirement that the loan must</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 on terms that it is to be repaid if the</w:t>
      </w:r>
    </w:p>
    <w:p>
      <w:pPr>
        <w:ind w:left="4220"/>
        <w:spacing w:after="0" w:line="234" w:lineRule="auto"/>
        <w:rPr>
          <w:sz w:val="20"/>
          <w:szCs w:val="20"/>
          <w:color w:val="auto"/>
        </w:rPr>
      </w:pPr>
      <w:r>
        <w:rPr>
          <w:rFonts w:ascii="Arial" w:cs="Arial" w:eastAsia="Arial" w:hAnsi="Arial"/>
          <w:sz w:val="18"/>
          <w:szCs w:val="18"/>
          <w:color w:val="auto"/>
        </w:rPr>
        <w:t>defense or the application for relief is</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unsuccessful.</w:t>
      </w:r>
    </w:p>
    <w:p>
      <w:pPr>
        <w:spacing w:after="0" w:line="99"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7"/>
          <w:szCs w:val="17"/>
          <w:color w:val="auto"/>
        </w:rPr>
        <w:t>For a description of the voting rights</w:t>
      </w:r>
    </w:p>
    <w:p>
      <w:pPr>
        <w:ind w:left="4220"/>
        <w:spacing w:after="0" w:line="234" w:lineRule="auto"/>
        <w:rPr>
          <w:sz w:val="20"/>
          <w:szCs w:val="20"/>
          <w:color w:val="auto"/>
        </w:rPr>
      </w:pPr>
      <w:r>
        <w:rPr>
          <w:rFonts w:ascii="Arial" w:cs="Arial" w:eastAsia="Arial" w:hAnsi="Arial"/>
          <w:sz w:val="18"/>
          <w:szCs w:val="18"/>
          <w:color w:val="auto"/>
        </w:rPr>
        <w:t>contained in our Articles see “Description of</w:t>
      </w:r>
    </w:p>
    <w:p>
      <w:pPr>
        <w:ind w:left="4220"/>
        <w:spacing w:after="0" w:line="235" w:lineRule="auto"/>
        <w:rPr>
          <w:sz w:val="20"/>
          <w:szCs w:val="20"/>
          <w:color w:val="auto"/>
        </w:rPr>
      </w:pPr>
      <w:r>
        <w:rPr>
          <w:rFonts w:ascii="Arial" w:cs="Arial" w:eastAsia="Arial" w:hAnsi="Arial"/>
          <w:sz w:val="18"/>
          <w:szCs w:val="18"/>
          <w:color w:val="auto"/>
        </w:rPr>
        <w:t>the Share Capital and Articles of Association</w:t>
      </w:r>
    </w:p>
    <w:p>
      <w:pPr>
        <w:ind w:left="4220"/>
        <w:spacing w:after="0" w:line="235" w:lineRule="auto"/>
        <w:rPr>
          <w:sz w:val="20"/>
          <w:szCs w:val="20"/>
          <w:color w:val="auto"/>
        </w:rPr>
      </w:pPr>
      <w:r>
        <w:rPr>
          <w:rFonts w:ascii="Arial" w:cs="Arial" w:eastAsia="Arial" w:hAnsi="Arial"/>
          <w:sz w:val="18"/>
          <w:szCs w:val="18"/>
          <w:color w:val="auto"/>
        </w:rPr>
        <w:t>—Articles of Association—Shares and</w:t>
      </w:r>
    </w:p>
    <w:p>
      <w:pPr>
        <w:ind w:left="4220"/>
        <w:spacing w:after="0" w:line="235" w:lineRule="auto"/>
        <w:rPr>
          <w:sz w:val="20"/>
          <w:szCs w:val="20"/>
          <w:color w:val="auto"/>
        </w:rPr>
      </w:pPr>
      <w:r>
        <w:rPr>
          <w:rFonts w:ascii="Arial" w:cs="Arial" w:eastAsia="Arial" w:hAnsi="Arial"/>
          <w:sz w:val="18"/>
          <w:szCs w:val="18"/>
          <w:color w:val="auto"/>
        </w:rPr>
        <w:t>Rights Attaching to Them—Voting Rights” in</w:t>
      </w:r>
    </w:p>
    <w:p>
      <w:pPr>
        <w:ind w:left="4220"/>
        <w:spacing w:after="0"/>
        <w:rPr>
          <w:sz w:val="20"/>
          <w:szCs w:val="20"/>
          <w:color w:val="auto"/>
        </w:rPr>
      </w:pPr>
      <w:r>
        <w:rPr>
          <w:rFonts w:ascii="Arial" w:cs="Arial" w:eastAsia="Arial" w:hAnsi="Arial"/>
          <w:sz w:val="18"/>
          <w:szCs w:val="18"/>
          <w:color w:val="auto"/>
        </w:rPr>
        <w:t>this prospectus.</w:t>
      </w:r>
    </w:p>
    <w:p>
      <w:pPr>
        <w:spacing w:after="0" w:line="99"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Shareholder Vote on Certain Transactions</w:t>
      </w:r>
      <w:r>
        <w:rPr>
          <w:sz w:val="20"/>
          <w:szCs w:val="20"/>
          <w:color w:val="auto"/>
        </w:rPr>
        <w:tab/>
      </w:r>
      <w:r>
        <w:rPr>
          <w:rFonts w:ascii="Arial" w:cs="Arial" w:eastAsia="Arial" w:hAnsi="Arial"/>
          <w:sz w:val="17"/>
          <w:szCs w:val="17"/>
          <w:color w:val="auto"/>
        </w:rPr>
        <w:t>The U.K. Companies Act 2006 provides for</w:t>
      </w:r>
    </w:p>
    <w:p>
      <w:pPr>
        <w:ind w:left="4220"/>
        <w:spacing w:after="0" w:line="234" w:lineRule="auto"/>
        <w:rPr>
          <w:sz w:val="20"/>
          <w:szCs w:val="20"/>
          <w:color w:val="auto"/>
        </w:rPr>
      </w:pPr>
      <w:r>
        <w:rPr>
          <w:rFonts w:ascii="Arial" w:cs="Arial" w:eastAsia="Arial" w:hAnsi="Arial"/>
          <w:sz w:val="18"/>
          <w:szCs w:val="18"/>
          <w:color w:val="auto"/>
        </w:rPr>
        <w:t>schemes of arrangement, which are</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arrangements or compromises</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Delaware law provides that, unless otherwise provided in the certificate of incorporation, each stockholder is entitled to one vote for each share of capital stock held by such stockholder.</w:t>
      </w:r>
    </w:p>
    <w:p>
      <w:pPr>
        <w:spacing w:after="0" w:line="2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w:t>
      </w:r>
    </w:p>
    <w:p>
      <w:pPr>
        <w:sectPr>
          <w:pgSz w:w="11900" w:h="16838" w:orient="portrait"/>
          <w:cols w:equalWidth="0" w:num="2">
            <w:col w:w="7780" w:space="120"/>
            <w:col w:w="3080"/>
          </w:cols>
          <w:pgMar w:left="320" w:top="459" w:right="59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35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4100" w:type="dxa"/>
            <w:vAlign w:val="bottom"/>
          </w:tcPr>
          <w:p>
            <w:pPr>
              <w:spacing w:after="0"/>
              <w:rPr>
                <w:sz w:val="16"/>
                <w:szCs w:val="16"/>
                <w:color w:val="auto"/>
              </w:rPr>
            </w:pP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between a company and any class of</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w w:val="99"/>
              </w:rPr>
              <w:t>shareholders or creditors and used in certain</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types of reconstructions, amalgamations,</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capital reorganizations or takeovers. These</w:t>
            </w:r>
          </w:p>
        </w:tc>
      </w:tr>
      <w:tr>
        <w:trPr>
          <w:trHeight w:val="217"/>
        </w:trPr>
        <w:tc>
          <w:tcPr>
            <w:tcW w:w="41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arrangements require:</w:t>
            </w:r>
          </w:p>
        </w:tc>
      </w:tr>
      <w:tr>
        <w:trPr>
          <w:trHeight w:val="310"/>
        </w:trPr>
        <w:tc>
          <w:tcPr>
            <w:tcW w:w="410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(1) the approval, at a shareholders’ or</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creditors’ meeting convened by order of a</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court of England and Wales, of a majority in</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number representing not less than 75% in</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value of the creditors or class of creditors or</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members or class of members (as the case</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may be) present and voting, either in person</w:t>
            </w:r>
          </w:p>
        </w:tc>
      </w:tr>
      <w:tr>
        <w:trPr>
          <w:trHeight w:val="203"/>
        </w:trPr>
        <w:tc>
          <w:tcPr>
            <w:tcW w:w="410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or by proxy; and (2) the approval of a court</w:t>
            </w:r>
          </w:p>
        </w:tc>
      </w:tr>
      <w:tr>
        <w:trPr>
          <w:trHeight w:val="217"/>
        </w:trPr>
        <w:tc>
          <w:tcPr>
            <w:tcW w:w="41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of England and Wales.</w:t>
            </w:r>
          </w:p>
        </w:tc>
      </w:tr>
      <w:tr>
        <w:trPr>
          <w:trHeight w:val="310"/>
        </w:trPr>
        <w:tc>
          <w:tcPr>
            <w:tcW w:w="4100" w:type="dxa"/>
            <w:vAlign w:val="bottom"/>
          </w:tcPr>
          <w:p>
            <w:pPr>
              <w:spacing w:after="0"/>
              <w:rPr>
                <w:sz w:val="20"/>
                <w:szCs w:val="20"/>
                <w:color w:val="auto"/>
              </w:rPr>
            </w:pPr>
            <w:r>
              <w:rPr>
                <w:rFonts w:ascii="Arial" w:cs="Arial" w:eastAsia="Arial" w:hAnsi="Arial"/>
                <w:sz w:val="18"/>
                <w:szCs w:val="18"/>
                <w:color w:val="auto"/>
              </w:rPr>
              <w:t>Standard of Conduct for Directors</w:t>
            </w: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Under English law, a director owes</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various statutory and fiduciary duties to</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the company, including:</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good faith, would be most likely to</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promote the success of the company for</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the benefit of its members as a whole;</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has, or can have, a direct or indirect</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interest that conflicts, or possibly</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conflicts, with the interests of the</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company;</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constitution and only exercise his or her</w:t>
            </w:r>
          </w:p>
        </w:tc>
      </w:tr>
      <w:tr>
        <w:trPr>
          <w:trHeight w:val="203"/>
        </w:trPr>
        <w:tc>
          <w:tcPr>
            <w:tcW w:w="4100" w:type="dxa"/>
            <w:vAlign w:val="bottom"/>
          </w:tcPr>
          <w:p>
            <w:pPr>
              <w:spacing w:after="0"/>
              <w:rPr>
                <w:sz w:val="17"/>
                <w:szCs w:val="17"/>
                <w:color w:val="auto"/>
              </w:rPr>
            </w:pPr>
          </w:p>
        </w:tc>
        <w:tc>
          <w:tcPr>
            <w:tcW w:w="3560" w:type="dxa"/>
            <w:vAlign w:val="bottom"/>
          </w:tcPr>
          <w:p>
            <w:pPr>
              <w:ind w:left="320"/>
              <w:spacing w:after="0" w:line="202" w:lineRule="exact"/>
              <w:rPr>
                <w:sz w:val="20"/>
                <w:szCs w:val="20"/>
                <w:color w:val="auto"/>
              </w:rPr>
            </w:pPr>
            <w:r>
              <w:rPr>
                <w:rFonts w:ascii="Arial" w:cs="Arial" w:eastAsia="Arial" w:hAnsi="Arial"/>
                <w:sz w:val="18"/>
                <w:szCs w:val="18"/>
                <w:color w:val="auto"/>
              </w:rPr>
              <w:t>powers for the purposes for which they</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are conferred;</w:t>
            </w:r>
          </w:p>
        </w:tc>
      </w:tr>
      <w:tr>
        <w:trPr>
          <w:trHeight w:val="243"/>
        </w:trPr>
        <w:tc>
          <w:tcPr>
            <w:tcW w:w="4100" w:type="dxa"/>
            <w:vAlign w:val="bottom"/>
          </w:tcPr>
          <w:p>
            <w:pPr>
              <w:spacing w:after="0"/>
              <w:rPr>
                <w:sz w:val="21"/>
                <w:szCs w:val="21"/>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diligence;</w:t>
            </w:r>
          </w:p>
        </w:tc>
      </w:tr>
      <w:tr>
        <w:trPr>
          <w:trHeight w:val="229"/>
        </w:trPr>
        <w:tc>
          <w:tcPr>
            <w:tcW w:w="4100" w:type="dxa"/>
            <w:vAlign w:val="bottom"/>
          </w:tcPr>
          <w:p>
            <w:pPr>
              <w:spacing w:after="0"/>
              <w:rPr>
                <w:sz w:val="19"/>
                <w:szCs w:val="19"/>
                <w:color w:val="auto"/>
              </w:rPr>
            </w:pPr>
          </w:p>
        </w:tc>
        <w:tc>
          <w:tcPr>
            <w:tcW w:w="3560" w:type="dxa"/>
            <w:vAlign w:val="bottom"/>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w:t>
            </w:r>
          </w:p>
        </w:tc>
      </w:tr>
      <w:tr>
        <w:trPr>
          <w:trHeight w:val="217"/>
        </w:trPr>
        <w:tc>
          <w:tcPr>
            <w:tcW w:w="410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conferred by reason of his or</w:t>
            </w:r>
          </w:p>
        </w:tc>
      </w:tr>
      <w:tr>
        <w:trPr>
          <w:trHeight w:val="648"/>
        </w:trPr>
        <w:tc>
          <w:tcPr>
            <w:tcW w:w="4100" w:type="dxa"/>
            <w:vAlign w:val="bottom"/>
          </w:tcPr>
          <w:p>
            <w:pPr>
              <w:spacing w:after="0"/>
              <w:rPr>
                <w:sz w:val="24"/>
                <w:szCs w:val="24"/>
                <w:color w:val="auto"/>
              </w:rPr>
            </w:pPr>
          </w:p>
        </w:tc>
        <w:tc>
          <w:tcPr>
            <w:tcW w:w="3560" w:type="dxa"/>
            <w:vAlign w:val="bottom"/>
          </w:tcPr>
          <w:p>
            <w:pPr>
              <w:ind w:left="1300"/>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8"/>
        <w:spacing w:after="0" w:line="257" w:lineRule="auto"/>
        <w:rPr>
          <w:sz w:val="20"/>
          <w:szCs w:val="20"/>
          <w:color w:val="auto"/>
        </w:rPr>
      </w:pPr>
      <w:r>
        <w:rPr>
          <w:rFonts w:ascii="Arial" w:cs="Arial" w:eastAsia="Arial" w:hAnsi="Arial"/>
          <w:sz w:val="17"/>
          <w:szCs w:val="17"/>
          <w:color w:val="auto"/>
        </w:rPr>
        <w:t>stock, closing of a merger, consolidation, sale, lease or exchange of all or substantially all of a corporation’s assets or dissolution requires:</w:t>
      </w:r>
    </w:p>
    <w:p>
      <w:pPr>
        <w:spacing w:after="0" w:line="13" w:lineRule="exact"/>
        <w:rPr>
          <w:sz w:val="20"/>
          <w:szCs w:val="20"/>
          <w:color w:val="auto"/>
        </w:rPr>
      </w:pPr>
    </w:p>
    <w:p>
      <w:pPr>
        <w:ind w:left="328" w:right="720" w:hanging="328"/>
        <w:spacing w:after="0" w:line="246" w:lineRule="auto"/>
        <w:tabs>
          <w:tab w:leader="none" w:pos="337" w:val="left"/>
        </w:tabs>
        <w:numPr>
          <w:ilvl w:val="0"/>
          <w:numId w:val="22"/>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pacing w:after="0" w:line="21" w:lineRule="exact"/>
        <w:rPr>
          <w:rFonts w:ascii="MS PGothic" w:cs="MS PGothic" w:eastAsia="MS PGothic" w:hAnsi="MS PGothic"/>
          <w:sz w:val="13"/>
          <w:szCs w:val="13"/>
          <w:color w:val="auto"/>
        </w:rPr>
      </w:pPr>
    </w:p>
    <w:p>
      <w:pPr>
        <w:ind w:left="328" w:right="20" w:hanging="328"/>
        <w:spacing w:after="0" w:line="236" w:lineRule="auto"/>
        <w:tabs>
          <w:tab w:leader="none" w:pos="337" w:val="left"/>
        </w:tabs>
        <w:numPr>
          <w:ilvl w:val="0"/>
          <w:numId w:val="22"/>
        </w:numPr>
        <w:rPr>
          <w:rFonts w:ascii="MS PGothic" w:cs="MS PGothic" w:eastAsia="MS PGothic" w:hAnsi="MS PGothic"/>
          <w:sz w:val="13"/>
          <w:szCs w:val="13"/>
          <w:color w:val="auto"/>
        </w:rPr>
      </w:pPr>
      <w:r>
        <w:rPr>
          <w:rFonts w:ascii="Arial" w:cs="Arial" w:eastAsia="Arial" w:hAnsi="Arial"/>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154" w:lineRule="exact"/>
        <w:rPr>
          <w:sz w:val="20"/>
          <w:szCs w:val="20"/>
          <w:color w:val="auto"/>
        </w:rPr>
      </w:pPr>
    </w:p>
    <w:p>
      <w:pPr>
        <w:ind w:left="8" w:right="20"/>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11" w:lineRule="exact"/>
        <w:rPr>
          <w:sz w:val="20"/>
          <w:szCs w:val="20"/>
          <w:color w:val="auto"/>
        </w:rPr>
      </w:pPr>
    </w:p>
    <w:p>
      <w:pPr>
        <w:ind w:left="8" w:right="40"/>
        <w:spacing w:after="0" w:line="250" w:lineRule="auto"/>
        <w:rPr>
          <w:sz w:val="20"/>
          <w:szCs w:val="20"/>
          <w:color w:val="auto"/>
        </w:rPr>
      </w:pPr>
      <w:r>
        <w:rPr>
          <w:rFonts w:ascii="Arial" w:cs="Arial" w:eastAsia="Arial" w:hAnsi="Arial"/>
          <w:sz w:val="17"/>
          <w:szCs w:val="17"/>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w:t>
      </w:r>
    </w:p>
    <w:p>
      <w:pPr>
        <w:sectPr>
          <w:pgSz w:w="11900" w:h="16838" w:orient="portrait"/>
          <w:cols w:equalWidth="0" w:num="2">
            <w:col w:w="7780" w:space="112"/>
            <w:col w:w="3248"/>
          </w:cols>
          <w:pgMar w:left="320" w:top="459" w:right="4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60"/>
          </w:cols>
          <w:pgMar w:left="320" w:top="459" w:right="519" w:bottom="1440" w:gutter="0" w:footer="0" w:header="0"/>
        </w:sectPr>
      </w:pPr>
    </w:p>
    <w:p>
      <w:pPr>
        <w:spacing w:after="0" w:line="33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56" w:lineRule="exact"/>
        <w:rPr>
          <w:sz w:val="20"/>
          <w:szCs w:val="20"/>
          <w:color w:val="auto"/>
        </w:rPr>
      </w:pPr>
    </w:p>
    <w:p>
      <w:pPr>
        <w:ind w:left="4220"/>
        <w:spacing w:after="0"/>
        <w:tabs>
          <w:tab w:leader="none" w:pos="45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her being a director or doing, or not</w:t>
      </w:r>
    </w:p>
    <w:p>
      <w:pPr>
        <w:ind w:left="4540"/>
        <w:spacing w:after="0"/>
        <w:rPr>
          <w:sz w:val="20"/>
          <w:szCs w:val="20"/>
          <w:color w:val="auto"/>
        </w:rPr>
      </w:pPr>
      <w:r>
        <w:rPr>
          <w:rFonts w:ascii="Arial" w:cs="Arial" w:eastAsia="Arial" w:hAnsi="Arial"/>
          <w:sz w:val="18"/>
          <w:szCs w:val="18"/>
          <w:color w:val="auto"/>
        </w:rPr>
        <w:t>doing, anything as a director; and</w:t>
      </w:r>
    </w:p>
    <w:p>
      <w:pPr>
        <w:spacing w:after="0" w:line="32" w:lineRule="exact"/>
        <w:rPr>
          <w:sz w:val="20"/>
          <w:szCs w:val="20"/>
          <w:color w:val="auto"/>
        </w:rPr>
      </w:pPr>
    </w:p>
    <w:p>
      <w:pPr>
        <w:ind w:left="4220"/>
        <w:spacing w:after="0"/>
        <w:tabs>
          <w:tab w:leader="none" w:pos="45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a duty to declare any interest that he or</w:t>
      </w:r>
    </w:p>
    <w:p>
      <w:pPr>
        <w:ind w:left="4540"/>
        <w:spacing w:after="0" w:line="234" w:lineRule="auto"/>
        <w:rPr>
          <w:sz w:val="20"/>
          <w:szCs w:val="20"/>
          <w:color w:val="auto"/>
        </w:rPr>
      </w:pPr>
      <w:r>
        <w:rPr>
          <w:rFonts w:ascii="Arial" w:cs="Arial" w:eastAsia="Arial" w:hAnsi="Arial"/>
          <w:sz w:val="18"/>
          <w:szCs w:val="18"/>
          <w:color w:val="auto"/>
        </w:rPr>
        <w:t>she has, whether directly or indirectly, in</w:t>
      </w:r>
    </w:p>
    <w:p>
      <w:pPr>
        <w:ind w:left="4540"/>
        <w:spacing w:after="0" w:line="235" w:lineRule="auto"/>
        <w:rPr>
          <w:sz w:val="20"/>
          <w:szCs w:val="20"/>
          <w:color w:val="auto"/>
        </w:rPr>
      </w:pPr>
      <w:r>
        <w:rPr>
          <w:rFonts w:ascii="Arial" w:cs="Arial" w:eastAsia="Arial" w:hAnsi="Arial"/>
          <w:sz w:val="18"/>
          <w:szCs w:val="18"/>
          <w:color w:val="auto"/>
        </w:rPr>
        <w:t>a proposed or existing transaction or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tabs>
          <w:tab w:leader="none" w:pos="420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w:t>
      </w:r>
    </w:p>
    <w:p>
      <w:pPr>
        <w:ind w:left="4220"/>
        <w:spacing w:after="0" w:line="234" w:lineRule="auto"/>
        <w:rPr>
          <w:sz w:val="20"/>
          <w:szCs w:val="20"/>
          <w:color w:val="auto"/>
        </w:rPr>
      </w:pPr>
      <w:r>
        <w:rPr>
          <w:rFonts w:ascii="Arial" w:cs="Arial" w:eastAsia="Arial" w:hAnsi="Arial"/>
          <w:sz w:val="18"/>
          <w:szCs w:val="18"/>
          <w:color w:val="auto"/>
        </w:rPr>
        <w:t>rather than its shareholders, is the proper</w:t>
      </w:r>
    </w:p>
    <w:p>
      <w:pPr>
        <w:ind w:left="4220"/>
        <w:spacing w:after="0" w:line="235" w:lineRule="auto"/>
        <w:rPr>
          <w:sz w:val="20"/>
          <w:szCs w:val="20"/>
          <w:color w:val="auto"/>
        </w:rPr>
      </w:pPr>
      <w:r>
        <w:rPr>
          <w:rFonts w:ascii="Arial" w:cs="Arial" w:eastAsia="Arial" w:hAnsi="Arial"/>
          <w:sz w:val="18"/>
          <w:szCs w:val="18"/>
          <w:color w:val="auto"/>
        </w:rPr>
        <w:t>claimant in an action in respect of a wrong</w:t>
      </w:r>
    </w:p>
    <w:p>
      <w:pPr>
        <w:ind w:left="4220"/>
        <w:spacing w:after="0" w:line="235" w:lineRule="auto"/>
        <w:rPr>
          <w:sz w:val="20"/>
          <w:szCs w:val="20"/>
          <w:color w:val="auto"/>
        </w:rPr>
      </w:pPr>
      <w:r>
        <w:rPr>
          <w:rFonts w:ascii="Arial" w:cs="Arial" w:eastAsia="Arial" w:hAnsi="Arial"/>
          <w:sz w:val="18"/>
          <w:szCs w:val="18"/>
          <w:color w:val="auto"/>
        </w:rPr>
        <w:t>done to the company or where there is an</w:t>
      </w:r>
    </w:p>
    <w:p>
      <w:pPr>
        <w:ind w:left="4220"/>
        <w:spacing w:after="0" w:line="235" w:lineRule="auto"/>
        <w:rPr>
          <w:sz w:val="20"/>
          <w:szCs w:val="20"/>
          <w:color w:val="auto"/>
        </w:rPr>
      </w:pPr>
      <w:r>
        <w:rPr>
          <w:rFonts w:ascii="Arial" w:cs="Arial" w:eastAsia="Arial" w:hAnsi="Arial"/>
          <w:sz w:val="18"/>
          <w:szCs w:val="18"/>
          <w:color w:val="auto"/>
        </w:rPr>
        <w:t>irregularity in the company’s internal</w:t>
      </w:r>
    </w:p>
    <w:p>
      <w:pPr>
        <w:ind w:left="4220"/>
        <w:spacing w:after="0" w:line="235" w:lineRule="auto"/>
        <w:rPr>
          <w:sz w:val="20"/>
          <w:szCs w:val="20"/>
          <w:color w:val="auto"/>
        </w:rPr>
      </w:pPr>
      <w:r>
        <w:rPr>
          <w:rFonts w:ascii="Arial" w:cs="Arial" w:eastAsia="Arial" w:hAnsi="Arial"/>
          <w:sz w:val="18"/>
          <w:szCs w:val="18"/>
          <w:color w:val="auto"/>
        </w:rPr>
        <w:t>management. Notwithstanding this general</w:t>
      </w:r>
    </w:p>
    <w:p>
      <w:pPr>
        <w:ind w:left="4220"/>
        <w:spacing w:after="0" w:line="234" w:lineRule="auto"/>
        <w:rPr>
          <w:sz w:val="20"/>
          <w:szCs w:val="20"/>
          <w:color w:val="auto"/>
        </w:rPr>
      </w:pPr>
      <w:r>
        <w:rPr>
          <w:rFonts w:ascii="Arial" w:cs="Arial" w:eastAsia="Arial" w:hAnsi="Arial"/>
          <w:sz w:val="18"/>
          <w:szCs w:val="18"/>
          <w:color w:val="auto"/>
        </w:rPr>
        <w:t>position, the U.K. Companies Act 2006</w:t>
      </w:r>
    </w:p>
    <w:p>
      <w:pPr>
        <w:ind w:left="4220"/>
        <w:spacing w:after="0" w:line="235" w:lineRule="auto"/>
        <w:rPr>
          <w:sz w:val="20"/>
          <w:szCs w:val="20"/>
          <w:color w:val="auto"/>
        </w:rPr>
      </w:pPr>
      <w:r>
        <w:rPr>
          <w:rFonts w:ascii="Arial" w:cs="Arial" w:eastAsia="Arial" w:hAnsi="Arial"/>
          <w:sz w:val="18"/>
          <w:szCs w:val="18"/>
          <w:color w:val="auto"/>
        </w:rPr>
        <w:t>provides that (1) a court may allow a</w:t>
      </w:r>
    </w:p>
    <w:p>
      <w:pPr>
        <w:ind w:left="4220"/>
        <w:spacing w:after="0" w:line="235" w:lineRule="auto"/>
        <w:rPr>
          <w:sz w:val="20"/>
          <w:szCs w:val="20"/>
          <w:color w:val="auto"/>
        </w:rPr>
      </w:pPr>
      <w:r>
        <w:rPr>
          <w:rFonts w:ascii="Arial" w:cs="Arial" w:eastAsia="Arial" w:hAnsi="Arial"/>
          <w:sz w:val="18"/>
          <w:szCs w:val="18"/>
          <w:color w:val="auto"/>
        </w:rPr>
        <w:t>shareholder to bring a derivative claim (that</w:t>
      </w:r>
    </w:p>
    <w:p>
      <w:pPr>
        <w:ind w:left="4220"/>
        <w:spacing w:after="0" w:line="235" w:lineRule="auto"/>
        <w:rPr>
          <w:sz w:val="20"/>
          <w:szCs w:val="20"/>
          <w:color w:val="auto"/>
        </w:rPr>
      </w:pPr>
      <w:r>
        <w:rPr>
          <w:rFonts w:ascii="Arial" w:cs="Arial" w:eastAsia="Arial" w:hAnsi="Arial"/>
          <w:sz w:val="18"/>
          <w:szCs w:val="18"/>
          <w:color w:val="auto"/>
        </w:rPr>
        <w:t>is, an action in respect of and on behalf of</w:t>
      </w:r>
    </w:p>
    <w:p>
      <w:pPr>
        <w:ind w:left="4220"/>
        <w:spacing w:after="0"/>
        <w:rPr>
          <w:sz w:val="20"/>
          <w:szCs w:val="20"/>
          <w:color w:val="auto"/>
        </w:rPr>
      </w:pPr>
      <w:r>
        <w:rPr>
          <w:rFonts w:ascii="Arial" w:cs="Arial" w:eastAsia="Arial" w:hAnsi="Arial"/>
          <w:sz w:val="18"/>
          <w:szCs w:val="18"/>
          <w:color w:val="auto"/>
        </w:rPr>
        <w:t>the company) in respect of a cause of action</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08"/>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 w:lineRule="exact"/>
        <w:rPr>
          <w:sz w:val="20"/>
          <w:szCs w:val="20"/>
          <w:color w:val="auto"/>
        </w:rPr>
      </w:pPr>
    </w:p>
    <w:p>
      <w:pPr>
        <w:ind w:left="8"/>
        <w:spacing w:after="0" w:line="250" w:lineRule="auto"/>
        <w:rPr>
          <w:sz w:val="20"/>
          <w:szCs w:val="20"/>
          <w:color w:val="auto"/>
        </w:rPr>
      </w:pPr>
      <w:r>
        <w:rPr>
          <w:rFonts w:ascii="Arial" w:cs="Arial" w:eastAsia="Arial" w:hAnsi="Arial"/>
          <w:sz w:val="17"/>
          <w:szCs w:val="17"/>
          <w:color w:val="auto"/>
        </w:rPr>
        <w:t>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01" w:lineRule="exact"/>
        <w:rPr>
          <w:sz w:val="20"/>
          <w:szCs w:val="20"/>
          <w:color w:val="auto"/>
        </w:rPr>
      </w:pPr>
    </w:p>
    <w:p>
      <w:pPr>
        <w:ind w:left="8" w:right="20"/>
        <w:spacing w:after="0" w:line="236"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113" w:lineRule="exact"/>
        <w:rPr>
          <w:sz w:val="20"/>
          <w:szCs w:val="20"/>
          <w:color w:val="auto"/>
        </w:rPr>
      </w:pPr>
    </w:p>
    <w:p>
      <w:pPr>
        <w:ind w:left="8"/>
        <w:spacing w:after="0" w:line="238"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27" w:lineRule="exact"/>
        <w:rPr>
          <w:sz w:val="20"/>
          <w:szCs w:val="20"/>
          <w:color w:val="auto"/>
        </w:rPr>
      </w:pPr>
    </w:p>
    <w:p>
      <w:pPr>
        <w:ind w:left="328" w:right="160" w:hanging="328"/>
        <w:spacing w:after="0" w:line="253" w:lineRule="auto"/>
        <w:tabs>
          <w:tab w:leader="none" w:pos="337" w:val="left"/>
        </w:tabs>
        <w:numPr>
          <w:ilvl w:val="0"/>
          <w:numId w:val="23"/>
        </w:numPr>
        <w:rPr>
          <w:rFonts w:ascii="MS PGothic" w:cs="MS PGothic" w:eastAsia="MS PGothic" w:hAnsi="MS PGothic"/>
          <w:sz w:val="12"/>
          <w:szCs w:val="12"/>
          <w:color w:val="auto"/>
        </w:rPr>
      </w:pPr>
      <w:r>
        <w:rPr>
          <w:rFonts w:ascii="Arial" w:cs="Arial" w:eastAsia="Arial" w:hAnsi="Arial"/>
          <w:sz w:val="17"/>
          <w:szCs w:val="17"/>
          <w:color w:val="auto"/>
        </w:rPr>
        <w:t>state that the plaintiff was a stockholder at the time of the transaction of which the plaintiff complains or that the plaintiffs shares thereafter devolved on the plaintiff by operation of law; and</w:t>
      </w:r>
    </w:p>
    <w:p>
      <w:pPr>
        <w:sectPr>
          <w:pgSz w:w="11900" w:h="16838" w:orient="portrait"/>
          <w:cols w:equalWidth="0" w:num="2">
            <w:col w:w="7760" w:space="132"/>
            <w:col w:w="3168"/>
          </w:cols>
          <w:pgMar w:left="320" w:top="459" w:right="51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4"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17780</wp:posOffset>
            </wp:positionV>
            <wp:extent cx="2263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arising from a director’s negligence, default,</w:t>
      </w:r>
    </w:p>
    <w:p>
      <w:pPr>
        <w:ind w:left="4220"/>
        <w:spacing w:after="0" w:line="234" w:lineRule="auto"/>
        <w:rPr>
          <w:sz w:val="20"/>
          <w:szCs w:val="20"/>
          <w:color w:val="auto"/>
        </w:rPr>
      </w:pPr>
      <w:r>
        <w:rPr>
          <w:rFonts w:ascii="Arial" w:cs="Arial" w:eastAsia="Arial" w:hAnsi="Arial"/>
          <w:sz w:val="18"/>
          <w:szCs w:val="18"/>
          <w:color w:val="auto"/>
        </w:rPr>
        <w:t>breach of duty or breach of trust and (2) a</w:t>
      </w:r>
    </w:p>
    <w:p>
      <w:pPr>
        <w:ind w:left="4220"/>
        <w:spacing w:after="0" w:line="235" w:lineRule="auto"/>
        <w:rPr>
          <w:sz w:val="20"/>
          <w:szCs w:val="20"/>
          <w:color w:val="auto"/>
        </w:rPr>
      </w:pPr>
      <w:r>
        <w:rPr>
          <w:rFonts w:ascii="Arial" w:cs="Arial" w:eastAsia="Arial" w:hAnsi="Arial"/>
          <w:sz w:val="18"/>
          <w:szCs w:val="18"/>
          <w:color w:val="auto"/>
        </w:rPr>
        <w:t>shareholder may bring a claim for a court</w:t>
      </w:r>
    </w:p>
    <w:p>
      <w:pPr>
        <w:ind w:left="4220"/>
        <w:spacing w:after="0" w:line="235" w:lineRule="auto"/>
        <w:rPr>
          <w:sz w:val="20"/>
          <w:szCs w:val="20"/>
          <w:color w:val="auto"/>
        </w:rPr>
      </w:pPr>
      <w:r>
        <w:rPr>
          <w:rFonts w:ascii="Arial" w:cs="Arial" w:eastAsia="Arial" w:hAnsi="Arial"/>
          <w:sz w:val="18"/>
          <w:szCs w:val="18"/>
          <w:color w:val="auto"/>
        </w:rPr>
        <w:t>order on the ground that the company’s</w:t>
      </w:r>
    </w:p>
    <w:p>
      <w:pPr>
        <w:ind w:left="4220"/>
        <w:spacing w:after="0" w:line="235" w:lineRule="auto"/>
        <w:rPr>
          <w:sz w:val="20"/>
          <w:szCs w:val="20"/>
          <w:color w:val="auto"/>
        </w:rPr>
      </w:pPr>
      <w:r>
        <w:rPr>
          <w:rFonts w:ascii="Arial" w:cs="Arial" w:eastAsia="Arial" w:hAnsi="Arial"/>
          <w:sz w:val="18"/>
          <w:szCs w:val="18"/>
          <w:color w:val="auto"/>
        </w:rPr>
        <w:t>affairs have been or are being conducted in</w:t>
      </w:r>
    </w:p>
    <w:p>
      <w:pPr>
        <w:ind w:left="4220"/>
        <w:spacing w:after="0" w:line="235" w:lineRule="auto"/>
        <w:rPr>
          <w:sz w:val="20"/>
          <w:szCs w:val="20"/>
          <w:color w:val="auto"/>
        </w:rPr>
      </w:pPr>
      <w:r>
        <w:rPr>
          <w:rFonts w:ascii="Arial" w:cs="Arial" w:eastAsia="Arial" w:hAnsi="Arial"/>
          <w:sz w:val="18"/>
          <w:szCs w:val="18"/>
          <w:color w:val="auto"/>
        </w:rPr>
        <w:t>a manner that is unfairly prejudicial</w:t>
      </w:r>
    </w:p>
    <w:p>
      <w:pPr>
        <w:ind w:left="4220"/>
        <w:spacing w:after="0" w:line="234" w:lineRule="auto"/>
        <w:rPr>
          <w:sz w:val="20"/>
          <w:szCs w:val="20"/>
          <w:color w:val="auto"/>
        </w:rPr>
      </w:pPr>
      <w:r>
        <w:rPr>
          <w:rFonts w:ascii="Arial" w:cs="Arial" w:eastAsia="Arial" w:hAnsi="Arial"/>
          <w:sz w:val="18"/>
          <w:szCs w:val="18"/>
          <w:color w:val="auto"/>
        </w:rPr>
        <w:t>to the interests of its shareholders generally</w:t>
      </w:r>
    </w:p>
    <w:p>
      <w:pPr>
        <w:ind w:left="4220"/>
        <w:spacing w:after="0" w:line="235" w:lineRule="auto"/>
        <w:rPr>
          <w:sz w:val="20"/>
          <w:szCs w:val="20"/>
          <w:color w:val="auto"/>
        </w:rPr>
      </w:pPr>
      <w:r>
        <w:rPr>
          <w:rFonts w:ascii="Arial" w:cs="Arial" w:eastAsia="Arial" w:hAnsi="Arial"/>
          <w:sz w:val="18"/>
          <w:szCs w:val="18"/>
          <w:color w:val="auto"/>
        </w:rPr>
        <w:t>or of some of its shareholders, or that an</w:t>
      </w:r>
    </w:p>
    <w:p>
      <w:pPr>
        <w:ind w:left="4220"/>
        <w:spacing w:after="0" w:line="235" w:lineRule="auto"/>
        <w:rPr>
          <w:sz w:val="20"/>
          <w:szCs w:val="20"/>
          <w:color w:val="auto"/>
        </w:rPr>
      </w:pPr>
      <w:r>
        <w:rPr>
          <w:rFonts w:ascii="Arial" w:cs="Arial" w:eastAsia="Arial" w:hAnsi="Arial"/>
          <w:sz w:val="18"/>
          <w:szCs w:val="18"/>
          <w:color w:val="auto"/>
        </w:rPr>
        <w:t>actual or proposed act or omission of the</w:t>
      </w:r>
    </w:p>
    <w:p>
      <w:pPr>
        <w:ind w:left="4220"/>
        <w:spacing w:after="0"/>
        <w:rPr>
          <w:sz w:val="20"/>
          <w:szCs w:val="20"/>
          <w:color w:val="auto"/>
        </w:rPr>
      </w:pPr>
      <w:r>
        <w:rPr>
          <w:rFonts w:ascii="Arial" w:cs="Arial" w:eastAsia="Arial" w:hAnsi="Arial"/>
          <w:sz w:val="18"/>
          <w:szCs w:val="18"/>
          <w:color w:val="auto"/>
        </w:rPr>
        <w:t>company is or would be so prejudicial.</w:t>
      </w:r>
    </w:p>
    <w:p>
      <w:pPr>
        <w:spacing w:after="0" w:line="11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The U.K. Limitation Act 1980 imposes a</w:t>
      </w:r>
    </w:p>
    <w:p>
      <w:pPr>
        <w:ind w:left="4220"/>
        <w:spacing w:after="0" w:line="234" w:lineRule="auto"/>
        <w:rPr>
          <w:sz w:val="20"/>
          <w:szCs w:val="20"/>
          <w:color w:val="auto"/>
        </w:rPr>
      </w:pPr>
      <w:r>
        <w:rPr>
          <w:rFonts w:ascii="Arial" w:cs="Arial" w:eastAsia="Arial" w:hAnsi="Arial"/>
          <w:sz w:val="18"/>
          <w:szCs w:val="18"/>
          <w:color w:val="auto"/>
        </w:rPr>
        <w:t>limitation period, with certain exceptions, in</w:t>
      </w:r>
    </w:p>
    <w:p>
      <w:pPr>
        <w:ind w:left="4220"/>
        <w:spacing w:after="0" w:line="235" w:lineRule="auto"/>
        <w:rPr>
          <w:sz w:val="20"/>
          <w:szCs w:val="20"/>
          <w:color w:val="auto"/>
        </w:rPr>
      </w:pPr>
      <w:r>
        <w:rPr>
          <w:rFonts w:ascii="Arial" w:cs="Arial" w:eastAsia="Arial" w:hAnsi="Arial"/>
          <w:sz w:val="18"/>
          <w:szCs w:val="18"/>
          <w:color w:val="auto"/>
        </w:rPr>
        <w:t>respect of civil claims. The period is six</w:t>
      </w:r>
    </w:p>
    <w:p>
      <w:pPr>
        <w:ind w:left="4220"/>
        <w:spacing w:after="0" w:line="235" w:lineRule="auto"/>
        <w:rPr>
          <w:sz w:val="20"/>
          <w:szCs w:val="20"/>
          <w:color w:val="auto"/>
        </w:rPr>
      </w:pPr>
      <w:r>
        <w:rPr>
          <w:rFonts w:ascii="Arial" w:cs="Arial" w:eastAsia="Arial" w:hAnsi="Arial"/>
          <w:sz w:val="18"/>
          <w:szCs w:val="18"/>
          <w:color w:val="auto"/>
        </w:rPr>
        <w:t>years in respect of actions in contract and</w:t>
      </w:r>
    </w:p>
    <w:p>
      <w:pPr>
        <w:ind w:left="4220"/>
        <w:spacing w:after="0" w:line="235" w:lineRule="auto"/>
        <w:rPr>
          <w:sz w:val="20"/>
          <w:szCs w:val="20"/>
          <w:color w:val="auto"/>
        </w:rPr>
      </w:pPr>
      <w:r>
        <w:rPr>
          <w:rFonts w:ascii="Arial" w:cs="Arial" w:eastAsia="Arial" w:hAnsi="Arial"/>
          <w:sz w:val="18"/>
          <w:szCs w:val="18"/>
          <w:color w:val="auto"/>
        </w:rPr>
        <w:t>tort, and 12 years for “actions on a</w:t>
      </w:r>
    </w:p>
    <w:p>
      <w:pPr>
        <w:ind w:left="4220"/>
        <w:spacing w:after="0" w:line="235" w:lineRule="auto"/>
        <w:rPr>
          <w:sz w:val="20"/>
          <w:szCs w:val="20"/>
          <w:color w:val="auto"/>
        </w:rPr>
      </w:pPr>
      <w:r>
        <w:rPr>
          <w:rFonts w:ascii="Arial" w:cs="Arial" w:eastAsia="Arial" w:hAnsi="Arial"/>
          <w:sz w:val="18"/>
          <w:szCs w:val="18"/>
          <w:color w:val="auto"/>
        </w:rPr>
        <w:t>specialty,” such as a breach of any</w:t>
      </w:r>
    </w:p>
    <w:p>
      <w:pPr>
        <w:ind w:left="4220"/>
        <w:spacing w:after="0"/>
        <w:rPr>
          <w:sz w:val="20"/>
          <w:szCs w:val="20"/>
          <w:color w:val="auto"/>
        </w:rPr>
      </w:pPr>
      <w:r>
        <w:rPr>
          <w:rFonts w:ascii="Arial" w:cs="Arial" w:eastAsia="Arial" w:hAnsi="Arial"/>
          <w:sz w:val="17"/>
          <w:szCs w:val="17"/>
          <w:color w:val="auto"/>
        </w:rPr>
        <w:t>obligation contained in a deed. The limitation</w:t>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period begins to run from the date on which</w:t>
      </w:r>
    </w:p>
    <w:p>
      <w:pPr>
        <w:ind w:left="4220"/>
        <w:spacing w:after="0" w:line="234" w:lineRule="auto"/>
        <w:rPr>
          <w:sz w:val="20"/>
          <w:szCs w:val="20"/>
          <w:color w:val="auto"/>
        </w:rPr>
      </w:pPr>
      <w:r>
        <w:rPr>
          <w:rFonts w:ascii="Arial" w:cs="Arial" w:eastAsia="Arial" w:hAnsi="Arial"/>
          <w:sz w:val="18"/>
          <w:szCs w:val="18"/>
          <w:color w:val="auto"/>
        </w:rPr>
        <w:t>the action accrued. In the case of contract,</w:t>
      </w:r>
    </w:p>
    <w:p>
      <w:pPr>
        <w:ind w:left="4220"/>
        <w:spacing w:after="0" w:line="235" w:lineRule="auto"/>
        <w:rPr>
          <w:sz w:val="20"/>
          <w:szCs w:val="20"/>
          <w:color w:val="auto"/>
        </w:rPr>
      </w:pPr>
      <w:r>
        <w:rPr>
          <w:rFonts w:ascii="Arial" w:cs="Arial" w:eastAsia="Arial" w:hAnsi="Arial"/>
          <w:sz w:val="18"/>
          <w:szCs w:val="18"/>
          <w:color w:val="auto"/>
        </w:rPr>
        <w:t>this is the date on which the breach of</w:t>
      </w:r>
    </w:p>
    <w:p>
      <w:pPr>
        <w:ind w:left="4220"/>
        <w:spacing w:after="0" w:line="235" w:lineRule="auto"/>
        <w:rPr>
          <w:sz w:val="20"/>
          <w:szCs w:val="20"/>
          <w:color w:val="auto"/>
        </w:rPr>
      </w:pPr>
      <w:r>
        <w:rPr>
          <w:rFonts w:ascii="Arial" w:cs="Arial" w:eastAsia="Arial" w:hAnsi="Arial"/>
          <w:sz w:val="18"/>
          <w:szCs w:val="18"/>
          <w:color w:val="auto"/>
        </w:rPr>
        <w:t>contract occurred, and in tort this is the date</w:t>
      </w:r>
    </w:p>
    <w:p>
      <w:pPr>
        <w:ind w:left="4220"/>
        <w:spacing w:after="0"/>
        <w:rPr>
          <w:sz w:val="20"/>
          <w:szCs w:val="20"/>
          <w:color w:val="auto"/>
        </w:rPr>
      </w:pPr>
      <w:r>
        <w:rPr>
          <w:rFonts w:ascii="Arial" w:cs="Arial" w:eastAsia="Arial" w:hAnsi="Arial"/>
          <w:sz w:val="18"/>
          <w:szCs w:val="18"/>
          <w:color w:val="auto"/>
        </w:rPr>
        <w:t>on which the damage is suffered.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08"/>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057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1" w:lineRule="exact"/>
        <w:rPr>
          <w:sz w:val="20"/>
          <w:szCs w:val="20"/>
          <w:color w:val="auto"/>
        </w:rPr>
      </w:pPr>
    </w:p>
    <w:p>
      <w:pPr>
        <w:ind w:left="328" w:right="20" w:hanging="328"/>
        <w:spacing w:after="0" w:line="237" w:lineRule="auto"/>
        <w:tabs>
          <w:tab w:leader="none" w:pos="337" w:val="left"/>
        </w:tabs>
        <w:numPr>
          <w:ilvl w:val="0"/>
          <w:numId w:val="24"/>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9" w:lineRule="exact"/>
        <w:rPr>
          <w:rFonts w:ascii="MS PGothic" w:cs="MS PGothic" w:eastAsia="MS PGothic" w:hAnsi="MS PGothic"/>
          <w:sz w:val="13"/>
          <w:szCs w:val="13"/>
          <w:color w:val="auto"/>
        </w:rPr>
      </w:pPr>
    </w:p>
    <w:p>
      <w:pPr>
        <w:ind w:left="328" w:hanging="328"/>
        <w:spacing w:after="0" w:line="246" w:lineRule="auto"/>
        <w:tabs>
          <w:tab w:leader="none" w:pos="337" w:val="left"/>
        </w:tabs>
        <w:numPr>
          <w:ilvl w:val="0"/>
          <w:numId w:val="24"/>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02" w:lineRule="exact"/>
        <w:rPr>
          <w:sz w:val="20"/>
          <w:szCs w:val="20"/>
          <w:color w:val="auto"/>
        </w:rPr>
      </w:pPr>
    </w:p>
    <w:p>
      <w:pPr>
        <w:ind w:left="8" w:right="120"/>
        <w:spacing w:after="0" w:line="237"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780" w:space="112"/>
            <w:col w:w="3208"/>
          </w:cols>
          <w:pgMar w:left="320" w:top="459" w:right="4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2" w:lineRule="exact"/>
        <w:rPr>
          <w:sz w:val="20"/>
          <w:szCs w:val="20"/>
          <w:color w:val="auto"/>
        </w:rPr>
      </w:pPr>
    </w:p>
    <w:p>
      <w:pPr>
        <w:ind w:left="120" w:right="160" w:firstLine="440"/>
        <w:spacing w:after="0" w:line="234" w:lineRule="auto"/>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will be on file with the SEC under cover of a registration statement on Form F-6 to be filed on the date of prospectus or as soon as practicable thereafter. A copy of the deposit agreement is available from the SEC’s website (www.sec.gov). Please refer to registration number</w:t>
      </w:r>
    </w:p>
    <w:p>
      <w:pPr>
        <w:spacing w:after="0" w:line="2"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333-223890 or 333-249338 when retrieving such copy. “Holder” means the person or persons in whose name an ADS is registered on the register maintained by the depository for such purpose.</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202"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1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97"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320" w:top="459" w:right="5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 Holder if:</w:t>
      </w:r>
    </w:p>
    <w:p>
      <w:pPr>
        <w:spacing w:after="0" w:line="257" w:lineRule="exact"/>
        <w:rPr>
          <w:sz w:val="20"/>
          <w:szCs w:val="20"/>
          <w:color w:val="auto"/>
        </w:rPr>
      </w:pPr>
    </w:p>
    <w:p>
      <w:pPr>
        <w:ind w:left="980" w:right="360" w:hanging="432"/>
        <w:spacing w:after="0" w:line="218"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such Holder or we request that the rights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3" w:lineRule="auto"/>
        <w:tabs>
          <w:tab w:leader="none" w:pos="9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 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203"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26"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7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depositary will not distribute the property to a Holder and will sell the property if:</w:t>
      </w:r>
    </w:p>
    <w:p>
      <w:pPr>
        <w:spacing w:after="0" w:line="239" w:lineRule="exact"/>
        <w:rPr>
          <w:sz w:val="20"/>
          <w:szCs w:val="20"/>
          <w:color w:val="auto"/>
        </w:rPr>
      </w:pPr>
    </w:p>
    <w:p>
      <w:pPr>
        <w:ind w:left="980" w:right="300" w:hanging="432"/>
        <w:spacing w:after="0" w:line="218"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such Holder or if we request that the property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such Holder is not reasonably practicable.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6"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202"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224" w:lineRule="exact"/>
        <w:rPr>
          <w:sz w:val="20"/>
          <w:szCs w:val="20"/>
          <w:color w:val="auto"/>
        </w:rPr>
      </w:pPr>
    </w:p>
    <w:p>
      <w:pPr>
        <w:ind w:left="980" w:right="16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27"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Holder is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23"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202"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ADR holders will be entitled to transfer, combine, or split up such Holder’s ADRs and the ADSs evidenced thereby. For transfers of</w:t>
      </w:r>
    </w:p>
    <w:p>
      <w:pPr>
        <w:ind w:left="120"/>
        <w:spacing w:after="0"/>
        <w:rPr>
          <w:sz w:val="20"/>
          <w:szCs w:val="20"/>
          <w:color w:val="auto"/>
        </w:rPr>
      </w:pPr>
      <w:r>
        <w:rPr>
          <w:rFonts w:ascii="Arial" w:cs="Arial" w:eastAsia="Arial" w:hAnsi="Arial"/>
          <w:sz w:val="18"/>
          <w:szCs w:val="18"/>
          <w:color w:val="auto"/>
        </w:rPr>
        <w:t>ADRs, a Holder will have to surrender the ADRs to be transferred to the depositary and also must:</w:t>
      </w:r>
    </w:p>
    <w:p>
      <w:pPr>
        <w:spacing w:after="0" w:line="202"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20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will have the right to withdraw the securities represented by their ADSs at any time except for:</w:t>
      </w:r>
    </w:p>
    <w:p>
      <w:pPr>
        <w:spacing w:after="0" w:line="239" w:lineRule="exact"/>
        <w:rPr>
          <w:sz w:val="20"/>
          <w:szCs w:val="20"/>
          <w:color w:val="auto"/>
        </w:rPr>
      </w:pPr>
    </w:p>
    <w:p>
      <w:pPr>
        <w:ind w:left="980" w:right="440" w:hanging="432"/>
        <w:spacing w:after="0" w:line="218"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deposit agreement may not be modified to impair a Holder’s right to withdraw the securities represented by such Holder’s ADSs except to comply with mandatory provisions of law.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6"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Holders generally have the right under the deposit agreement to instruct the depositary to exercise the voting rights for the ordinary shares represented by your ADSs. The voting rights of Holders of ordinary shares are described in “Description of Share Capital—Articles of Association” in this prospectus.</w:t>
      </w:r>
    </w:p>
    <w:p>
      <w:pPr>
        <w:spacing w:after="0" w:line="203"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At our request, the depositary will distribute to Holders any notice of shareholders’ meeting received from us together with information explaining how to instruct the depositary to exercise the voting rights of the securities represented by ADSs.</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206" w:lineRule="exact"/>
        <w:rPr>
          <w:sz w:val="20"/>
          <w:szCs w:val="20"/>
          <w:color w:val="auto"/>
        </w:rPr>
      </w:pPr>
    </w:p>
    <w:p>
      <w:pPr>
        <w:ind w:left="980" w:right="140" w:hanging="432"/>
        <w:spacing w:after="0" w:line="230"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8" w:lineRule="exact"/>
        <w:rPr>
          <w:rFonts w:ascii="MS PGothic" w:cs="MS PGothic" w:eastAsia="MS PGothic" w:hAnsi="MS PGothic"/>
          <w:sz w:val="25"/>
          <w:szCs w:val="25"/>
          <w:color w:val="auto"/>
          <w:vertAlign w:val="superscript"/>
        </w:rPr>
      </w:pPr>
    </w:p>
    <w:p>
      <w:pPr>
        <w:ind w:left="980" w:right="220" w:hanging="432"/>
        <w:spacing w:after="0" w:line="231"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20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be required to pay the following fees under the terms of the deposit agreement: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5"/>
                <w:szCs w:val="15"/>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r>
      <w:tr>
        <w:trPr>
          <w:trHeight w:val="20"/>
        </w:trPr>
        <w:tc>
          <w:tcPr>
            <w:tcW w:w="5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75"/>
        </w:trPr>
        <w:tc>
          <w:tcPr>
            <w:tcW w:w="5720" w:type="dxa"/>
            <w:vAlign w:val="bottom"/>
            <w:gridSpan w:val="2"/>
          </w:tcPr>
          <w:p>
            <w:pPr>
              <w:spacing w:after="0" w:line="176" w:lineRule="exact"/>
              <w:rPr>
                <w:sz w:val="20"/>
                <w:szCs w:val="20"/>
                <w:color w:val="auto"/>
              </w:rPr>
            </w:pPr>
            <w:r>
              <w:rPr>
                <w:rFonts w:ascii="Arial" w:cs="Arial" w:eastAsia="Arial" w:hAnsi="Arial"/>
                <w:sz w:val="18"/>
                <w:szCs w:val="18"/>
                <w:color w:val="auto"/>
              </w:rPr>
              <w:t>Issuance of ADSs (e.g., an issuance of ADS upon a deposit of</w:t>
            </w:r>
          </w:p>
        </w:tc>
        <w:tc>
          <w:tcPr>
            <w:tcW w:w="120" w:type="dxa"/>
            <w:vAlign w:val="bottom"/>
          </w:tcPr>
          <w:p>
            <w:pPr>
              <w:spacing w:after="0"/>
              <w:rPr>
                <w:sz w:val="15"/>
                <w:szCs w:val="15"/>
                <w:color w:val="auto"/>
              </w:rPr>
            </w:pPr>
          </w:p>
        </w:tc>
        <w:tc>
          <w:tcPr>
            <w:tcW w:w="5180" w:type="dxa"/>
            <w:vAlign w:val="bottom"/>
          </w:tcPr>
          <w:p>
            <w:pPr>
              <w:spacing w:after="0" w:line="176" w:lineRule="exact"/>
              <w:rPr>
                <w:sz w:val="20"/>
                <w:szCs w:val="20"/>
                <w:color w:val="auto"/>
              </w:rPr>
            </w:pPr>
            <w:r>
              <w:rPr>
                <w:rFonts w:ascii="Arial" w:cs="Arial" w:eastAsia="Arial" w:hAnsi="Arial"/>
                <w:sz w:val="18"/>
                <w:szCs w:val="18"/>
                <w:color w:val="auto"/>
              </w:rPr>
              <w:t>Up to U.S. 5¢ per ADS issued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upon a change in the ADS(s)-to-ordinary share ratio,</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2"/>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 for any other reason), excluding ADS issuances as a result of</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of ordinary shares)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720" w:type="dxa"/>
            <w:vAlign w:val="bottom"/>
            <w:gridSpan w:val="2"/>
          </w:tcPr>
          <w:p>
            <w:pPr>
              <w:spacing w:after="0"/>
              <w:rPr>
                <w:sz w:val="20"/>
                <w:szCs w:val="20"/>
                <w:color w:val="auto"/>
              </w:rPr>
            </w:pPr>
            <w:r>
              <w:rPr>
                <w:rFonts w:ascii="Arial" w:cs="Arial" w:eastAsia="Arial" w:hAnsi="Arial"/>
                <w:sz w:val="18"/>
                <w:szCs w:val="18"/>
                <w:color w:val="auto"/>
              </w:rPr>
              <w:t>Cancellation of ADSs (e.g., a cancellation of ADSs for delivery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cancelled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deposited property, upon a change in the ADS(s)-to-ordinary share</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ratio, or for any other reason)</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cash dividends or other cash distributions (e.g., upon a</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sale of rights and other entitlements)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351"/>
        </w:trPr>
        <w:tc>
          <w:tcPr>
            <w:tcW w:w="5720" w:type="dxa"/>
            <w:vAlign w:val="bottom"/>
            <w:gridSpan w:val="2"/>
          </w:tcPr>
          <w:p>
            <w:pPr>
              <w:ind w:left="54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Service</w:t>
            </w:r>
          </w:p>
        </w:tc>
        <w:tc>
          <w:tcPr>
            <w:tcW w:w="160" w:type="dxa"/>
            <w:vAlign w:val="bottom"/>
          </w:tcPr>
          <w:p>
            <w:pPr>
              <w:spacing w:after="0"/>
              <w:rPr>
                <w:sz w:val="15"/>
                <w:szCs w:val="15"/>
                <w:color w:val="auto"/>
              </w:rPr>
            </w:pPr>
          </w:p>
        </w:tc>
        <w:tc>
          <w:tcPr>
            <w:tcW w:w="51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Fees</w:t>
            </w:r>
          </w:p>
        </w:tc>
      </w:tr>
      <w:tr>
        <w:trPr>
          <w:trHeight w:val="296"/>
        </w:trPr>
        <w:tc>
          <w:tcPr>
            <w:tcW w:w="568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 to purchase</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held</w:t>
            </w: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additional ADSs (e.g., upon a spin-off)</w:t>
            </w:r>
          </w:p>
        </w:tc>
        <w:tc>
          <w:tcPr>
            <w:tcW w:w="1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68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17"/>
        </w:trPr>
        <w:tc>
          <w:tcPr>
            <w:tcW w:w="5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established by the depositary bank</w:t>
            </w:r>
          </w:p>
        </w:tc>
      </w:tr>
      <w:tr>
        <w:trPr>
          <w:trHeight w:val="296"/>
        </w:trPr>
        <w:tc>
          <w:tcPr>
            <w:tcW w:w="5680" w:type="dxa"/>
            <w:vAlign w:val="bottom"/>
            <w:gridSpan w:val="2"/>
          </w:tcPr>
          <w:p>
            <w:pPr>
              <w:spacing w:after="0"/>
              <w:rPr>
                <w:sz w:val="20"/>
                <w:szCs w:val="20"/>
                <w:color w:val="auto"/>
              </w:rPr>
            </w:pPr>
            <w:r>
              <w:rPr>
                <w:rFonts w:ascii="Arial" w:cs="Arial" w:eastAsia="Arial" w:hAnsi="Arial"/>
                <w:sz w:val="18"/>
                <w:szCs w:val="18"/>
                <w:color w:val="auto"/>
              </w:rPr>
              <w:t>Registration of ADS transfers (e.g., upon a registration of the transfer</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(or fraction thereof) transferred</w:t>
            </w: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of registered ownership of ADSs, upon a transfer of ADSs into DTC</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and vice versa, or for any other reason)</w:t>
            </w:r>
          </w:p>
        </w:tc>
        <w:tc>
          <w:tcPr>
            <w:tcW w:w="1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96"/>
        </w:trPr>
        <w:tc>
          <w:tcPr>
            <w:tcW w:w="5680" w:type="dxa"/>
            <w:vAlign w:val="bottom"/>
            <w:gridSpan w:val="2"/>
          </w:tcPr>
          <w:p>
            <w:pPr>
              <w:spacing w:after="0"/>
              <w:rPr>
                <w:sz w:val="20"/>
                <w:szCs w:val="20"/>
                <w:color w:val="auto"/>
              </w:rPr>
            </w:pPr>
            <w:r>
              <w:rPr>
                <w:rFonts w:ascii="Arial" w:cs="Arial" w:eastAsia="Arial" w:hAnsi="Arial"/>
                <w:sz w:val="18"/>
                <w:szCs w:val="18"/>
                <w:color w:val="auto"/>
              </w:rPr>
              <w:t>Conversion of ADSs of one series for ADSs of another series (e.g.,</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Up to U.S. 5¢ per ADS (or fraction thereof) converted</w:t>
            </w: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upon conversion of Partial Entitlement ADSs for Full Entitlement</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ADSs, or upon conversion of Restricted ADSs (each as defined in the</w:t>
            </w: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Deposit Agreement) into freely transferable ADSs, and vice versa).</w:t>
            </w:r>
          </w:p>
        </w:tc>
        <w:tc>
          <w:tcPr>
            <w:tcW w:w="160" w:type="dxa"/>
            <w:vAlign w:val="bottom"/>
          </w:tcPr>
          <w:p>
            <w:pPr>
              <w:spacing w:after="0"/>
              <w:rPr>
                <w:sz w:val="18"/>
                <w:szCs w:val="18"/>
                <w:color w:val="auto"/>
              </w:rPr>
            </w:pPr>
          </w:p>
        </w:tc>
        <w:tc>
          <w:tcPr>
            <w:tcW w:w="5180" w:type="dxa"/>
            <w:vAlign w:val="bottom"/>
          </w:tcPr>
          <w:p>
            <w:pPr>
              <w:spacing w:after="0"/>
              <w:rPr>
                <w:sz w:val="18"/>
                <w:szCs w:val="18"/>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02"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jc w:val="both"/>
        <w:ind w:left="980" w:right="580" w:hanging="432"/>
        <w:spacing w:after="0" w:line="223"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203"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26"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6"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w:t>
      </w:r>
    </w:p>
    <w:p>
      <w:pPr>
        <w:spacing w:after="0" w:line="20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6"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239" w:lineRule="exact"/>
        <w:rPr>
          <w:sz w:val="20"/>
          <w:szCs w:val="20"/>
          <w:color w:val="auto"/>
        </w:rPr>
      </w:pPr>
    </w:p>
    <w:p>
      <w:pPr>
        <w:ind w:left="980" w:right="14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27"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4"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80" w:right="240" w:hanging="432"/>
        <w:spacing w:after="0" w:line="227"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30"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980" w:right="200" w:hanging="432"/>
        <w:spacing w:after="0" w:line="223"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8"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28"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4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ADS holders.</w:t>
      </w:r>
    </w:p>
    <w:p>
      <w:pPr>
        <w:spacing w:after="0" w:line="27" w:lineRule="exact"/>
        <w:rPr>
          <w:rFonts w:ascii="MS PGothic" w:cs="MS PGothic" w:eastAsia="MS PGothic" w:hAnsi="MS PGothic"/>
          <w:sz w:val="25"/>
          <w:szCs w:val="25"/>
          <w:color w:val="auto"/>
          <w:vertAlign w:val="superscript"/>
        </w:rPr>
      </w:pPr>
    </w:p>
    <w:p>
      <w:pPr>
        <w:ind w:left="980" w:right="100" w:hanging="432"/>
        <w:spacing w:after="0" w:line="226"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205" w:lineRule="exact"/>
        <w:rPr>
          <w:sz w:val="20"/>
          <w:szCs w:val="20"/>
          <w:color w:val="auto"/>
        </w:rPr>
      </w:pPr>
    </w:p>
    <w:p>
      <w:pPr>
        <w:ind w:left="120" w:right="860" w:firstLine="440"/>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80" w:right="600" w:hanging="432"/>
        <w:spacing w:after="0" w:line="218"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6"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SHAREHOLDERS</w:t>
      </w:r>
    </w:p>
    <w:p>
      <w:pPr>
        <w:spacing w:after="0" w:line="234" w:lineRule="exact"/>
        <w:rPr>
          <w:sz w:val="20"/>
          <w:szCs w:val="20"/>
          <w:color w:val="auto"/>
        </w:rPr>
      </w:pPr>
    </w:p>
    <w:p>
      <w:pPr>
        <w:ind w:left="120" w:right="200" w:firstLine="440"/>
        <w:spacing w:after="0" w:line="236" w:lineRule="auto"/>
        <w:rPr>
          <w:sz w:val="20"/>
          <w:szCs w:val="20"/>
          <w:color w:val="auto"/>
        </w:rPr>
      </w:pPr>
      <w:r>
        <w:rPr>
          <w:rFonts w:ascii="Arial" w:cs="Arial" w:eastAsia="Arial" w:hAnsi="Arial"/>
          <w:sz w:val="18"/>
          <w:szCs w:val="18"/>
          <w:color w:val="auto"/>
        </w:rPr>
        <w:t>This prospectus also relates to the offer and resale of up to an aggregate of 24,493,416 ordinary shares consisting of (i) 1,349,692 ordinary shares issuable to AstraZeneca pursuant to the exclusive license and option agreement we entered into with AstraZeneca October 28, 2017, as amended (the “AstraZeneca Agreement”); (ii) 18,555,068 ordinary shares underlying convertible loan notes and warrants issuable to Novartis under the convertible loan and warrant instruments dated February 10, 2020, as amended (the “Novartis Agreements”); (iii) 2,487,816 ordinary shares underlying warrants issuable to Silicon Valley Bank and Kreos Capital V (UK) Limited as lenders under previous loan agreements with them dated August 7, 2017 and September 28, 2018, as adjusted on December 15, 2020 that have been fully repaid; and (iv) 2,100,840 ordinary shares issued to Focus Fund in connection with our partnership agreement entered into April 30, 2021. Prior to the cancellation of admission of our ordinary shares to trading on the AIM market of London Stock Exchange plc, these shareholders were, with the exception of Focus Fund, able to sell their shares on the AIM market of London Stock Exchange plc and did not require the ability to resell their ADSs on Nasdaq.</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AstraZeneca Agreement</w:t>
      </w:r>
    </w:p>
    <w:p>
      <w:pPr>
        <w:spacing w:after="0" w:line="126"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In October 2017, our wholly-owned subsidiary Mereo BioPharma 4 Limited entered into an exclusive license and option agreement (the “License Agreement”), to obtain from AstraZeneca an exclusive worldwide, sub-licensable license under AstraZeneca’s intellectual property rights relating to certain products containing a neutrophil elastase inhibitor, including products that contain alvelestat, with an option to acquire such intellectual property rights following commencement of a pivotal trial and payment of related milestone payments, together with the acquisition of certain related assets. Upon entering into the License Agreement, we made a payment of $3.0 million and issued 490,798 ordinary shares to AstraZeneca for an aggregate upfront payment equal to $5.0 million. This share issuance was the first of three share issuances we agreed to as part of the License Agreement. On May 21, 2021, the parties amended their subscription agreement (the “Amended Agreement”) to reflect changes resulting from the cancellation of admission of Mereo’s ordinary shares to trading on the AIM market of London Stock Exchange plc. The Amended Agreement provides that we must allot a total of 269,938 ADSs (equivalent to 1,349,692 ordinary shares) for the second and third equity tranches under the Amended Agreement at the earlier of the relevant milestones under the License Agreement being met or upon a change of control or sale of the Company.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Novartis Agreements</w:t>
      </w:r>
    </w:p>
    <w:p>
      <w:pPr>
        <w:spacing w:after="0" w:line="12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 In connection with the acquisition of the Novartis Assets, we issued 3,849,000 ordinary shares to Novartis pursuant to a subscription agreement. In addition, we paid Novartis $1.5 million for a payment made by Novartis to a third party in full satisfaction of all monetary obligations of Novartis to such third party with respect to acumapimod. 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As part of our relationship with Novartis, we entered into a convertible loan note instrument dated February 10, 2020 with Novartis pursuant to which we created 3,841,479 convertible loan notes at an exercise price of £0.265 and interest payable in the form of ordinary shares at 6% per annum for three years for a total of 17,105,454 ordinary shares or 3,421,090 ADSs and also granted Novartis warrants over 1,449,614 ordinary shares or 289,922 ADSs for a total of 18,555,068 ordinary shares or 3,711,013 ADSs pursuant to the Deed of Consent and Amendment to Note Instrument, dated November 24, 2020 and the Deed of Consent and Amendment to Warrant Instrument, dated November 24, 2020.</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Silicon Valley Bank and Kreos Capital Warrants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(the “Former Lenders”), which provided for total borrowings of £20.0 million and in connection with the borrowings we issued to the Former Lenders warrants to subscribe for our ordinary shares pursuant to a warrant instrument dated August 21, 2017 (the “2017 Warrant Instrument”) and another warrant instrument on substantively similar terms on October 1, 2018 (the “2018 Warrant Instrument”). The 2017 Warrant Instrument and the 2018 Warrant Instrument are referred to as the “Warrant Instruments”.</w:t>
      </w:r>
    </w:p>
    <w:p>
      <w:pPr>
        <w:spacing w:after="0" w:line="202"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Under the Warrant Instruments initial allocations of warrants were issued to the Former Lenders with further issues following adjustment of the warrants from time to time resulting in each of the Former Lenders holding 621,954 warrants with each such warrant being exercisable at a subscription price of £2.95.</w:t>
      </w:r>
    </w:p>
    <w:p>
      <w:pPr>
        <w:spacing w:after="0" w:line="203"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2017 Warrant Instrument will be capable of exercise until August 21, 2027 and the 2018 Warrant Instrument will be capable of exercise until October 1, 2028.</w:t>
      </w:r>
    </w:p>
    <w:p>
      <w:pPr>
        <w:spacing w:after="0" w:line="19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On December 15, 2020, we prepaid all amounts due and owing to the Former Lenders and also issued additional warrants giving each of the Former Lenders the right to subscribe for 621,954 ordinary shares at a price of $0.4144 per ordinary share (the “2020 Warrants”). The 2020 Warrants are an adjustment to the 2017 Warrant Instrument and the 2018 Warrant Instrument and the 2020 Warrants issued to each of the Former Lenders were apportioned between the 2017 Warrant Instrument and 2018 Warrant Instrument in the number of 469,575 and 152,379 respectively for each Former Lender and are subject to the same final exercise date as all prior warrants issued to the Former Lenders being August 21, 2027 for the 2017 Warrant Instrument and October 1, 2028 for the 2018 Warrant Instrument.</w:t>
      </w:r>
    </w:p>
    <w:p>
      <w:pPr>
        <w:spacing w:after="0" w:line="203"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Following these transactions, the Former Lenders have warrants to purchase a total of 1,243,908 ordinary shares at an exercise price of £2.95 per share for the 2017 and 2018 Warrant Instruments and a total of 1,243,908 ordinary shares at an exercise price of $0.4144 per share for the 2020 Warrants.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Focus Fund</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April 30, 2021, we and Focus Fund announced a partnership for a Phase 1b/2 study of etigilimab in clear cell ovarian cancer. The study will be conducted at the University of Texas MD Anderson Cancer Center. The study will be financed by Focus Fund and is in exchange for the upfront consideration of 2,100,840 of our ordinary shares, which was equivalent to $1.5 million and additional payments based on the achievement of certain milestones and which will occur through our subsidiary.</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table below lists the Selling Shareholders and other information regarding the beneficial ownership of the shares held by the Selling Shareholders. The second column lists the number of ordinary shares beneficially owned by the Selling Shareholders, based on their ownership of the shares and warrants as of June 30, 2021, assuming exercise of the warrants on that date, without regard to any limitation on exercise and conversion by the holder of all of their convertible loan notes. The third column lists the percentage of shares beneficially owned by the Selling Shareholders before the offering. The fourth column lists the number of shares being registered in this prospectus by the Selling Shareholders. In accordance with the terms of the registration rights agreement with the Selling Shareholder and certain other holders of our shares and warrants, this prospectus generally covers the resale of that number of shares equal to the number of shares currently held by the Selling Shareholders and the shares issuable upon exercise of the warrants, determined as if such warrants were exercised in full. The fifth column lists the percentage of shares beneficially owned by the Selling Shareholders, assuming the sale of all of the shares registered by the registration statement of which this prospectus forms a part.</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Shareholders may sell all, some or none of their Resale Shares included in this prospectus. See “Plan of Distribution.”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Percentage of</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Number of</w:t>
            </w: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shares</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Number of</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Beneficially</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Shares Being</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62"/>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Shareholder</w:t>
            </w:r>
          </w:p>
        </w:tc>
        <w:tc>
          <w:tcPr>
            <w:tcW w:w="3040" w:type="dxa"/>
            <w:vAlign w:val="bottom"/>
            <w:gridSpan w:val="2"/>
            <w:vMerge w:val="restart"/>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Beneficially</w:t>
            </w:r>
          </w:p>
        </w:tc>
        <w:tc>
          <w:tcPr>
            <w:tcW w:w="16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Owned before</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Registered in</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Owned after the</w:t>
            </w:r>
          </w:p>
        </w:tc>
        <w:tc>
          <w:tcPr>
            <w:tcW w:w="0" w:type="dxa"/>
            <w:vAlign w:val="bottom"/>
          </w:tcPr>
          <w:p>
            <w:pPr>
              <w:spacing w:after="0"/>
              <w:rPr>
                <w:sz w:val="1"/>
                <w:szCs w:val="1"/>
                <w:color w:val="auto"/>
              </w:rPr>
            </w:pPr>
          </w:p>
        </w:tc>
      </w:tr>
      <w:tr>
        <w:trPr>
          <w:trHeight w:val="167"/>
        </w:trPr>
        <w:tc>
          <w:tcPr>
            <w:tcW w:w="1960" w:type="dxa"/>
            <w:vAlign w:val="bottom"/>
            <w:tcBorders>
              <w:bottom w:val="single" w:sz="8" w:color="auto"/>
            </w:tcBorders>
            <w:gridSpan w:val="2"/>
            <w:vMerge w:val="continue"/>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Owned</w:t>
            </w: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the Offering</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the Offering</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50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AstraZeneca AB</w:t>
            </w:r>
          </w:p>
        </w:tc>
        <w:tc>
          <w:tcPr>
            <w:tcW w:w="9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gridSpan w:val="4"/>
            <w:vMerge w:val="continue"/>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1,349,692</w:t>
            </w:r>
          </w:p>
        </w:tc>
        <w:tc>
          <w:tcPr>
            <w:tcW w:w="560" w:type="dxa"/>
            <w:vAlign w:val="bottom"/>
            <w:vMerge w:val="continue"/>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vMerge w:val="continue"/>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1,349,692</w:t>
            </w:r>
          </w:p>
        </w:tc>
        <w:tc>
          <w:tcPr>
            <w:tcW w:w="560" w:type="dxa"/>
            <w:vAlign w:val="bottom"/>
            <w:vMerge w:val="continue"/>
            <w:shd w:val="clear" w:color="auto" w:fill="CCEEFF"/>
          </w:tcPr>
          <w:p>
            <w:pPr>
              <w:spacing w:after="0"/>
              <w:rPr>
                <w:sz w:val="16"/>
                <w:szCs w:val="16"/>
                <w:color w:val="auto"/>
              </w:rPr>
            </w:pPr>
          </w:p>
        </w:tc>
        <w:tc>
          <w:tcPr>
            <w:tcW w:w="1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000" w:type="dxa"/>
            <w:vAlign w:val="bottom"/>
            <w:gridSpan w:val="4"/>
          </w:tcPr>
          <w:p>
            <w:pPr>
              <w:spacing w:after="0" w:line="202" w:lineRule="exact"/>
              <w:rPr>
                <w:sz w:val="20"/>
                <w:szCs w:val="20"/>
                <w:color w:val="auto"/>
              </w:rPr>
            </w:pPr>
            <w:r>
              <w:rPr>
                <w:rFonts w:ascii="Arial" w:cs="Arial" w:eastAsia="Arial" w:hAnsi="Arial"/>
                <w:sz w:val="18"/>
                <w:szCs w:val="18"/>
                <w:color w:val="auto"/>
              </w:rPr>
              <w:t>Silicon Valley Bank</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1,243,908</w:t>
            </w:r>
          </w:p>
        </w:tc>
        <w:tc>
          <w:tcPr>
            <w:tcW w:w="16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1,243,908</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0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Kreos Capital V (UK) Limited</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1,243,908</w:t>
            </w:r>
          </w:p>
        </w:tc>
        <w:tc>
          <w:tcPr>
            <w:tcW w:w="16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1,243,908</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5000" w:type="dxa"/>
            <w:vAlign w:val="bottom"/>
            <w:gridSpan w:val="4"/>
          </w:tcPr>
          <w:p>
            <w:pPr>
              <w:spacing w:after="0" w:line="202" w:lineRule="exact"/>
              <w:rPr>
                <w:sz w:val="20"/>
                <w:szCs w:val="20"/>
                <w:color w:val="auto"/>
              </w:rPr>
            </w:pPr>
            <w:r>
              <w:rPr>
                <w:rFonts w:ascii="Arial" w:cs="Arial" w:eastAsia="Arial" w:hAnsi="Arial"/>
                <w:sz w:val="18"/>
                <w:szCs w:val="18"/>
                <w:color w:val="auto"/>
              </w:rPr>
              <w:t>Novartis Pharma AG</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34,258,939</w:t>
            </w:r>
          </w:p>
        </w:tc>
        <w:tc>
          <w:tcPr>
            <w:tcW w:w="16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6.2%</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18.555,068</w:t>
            </w: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0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Cancer Focus Fund, LP</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2,100,840</w:t>
            </w:r>
          </w:p>
        </w:tc>
        <w:tc>
          <w:tcPr>
            <w:tcW w:w="16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2,100,840</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24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2"/>
          </w:tcPr>
          <w:p>
            <w:pPr>
              <w:spacing w:after="0"/>
              <w:rPr>
                <w:sz w:val="11"/>
                <w:szCs w:val="11"/>
                <w:color w:val="auto"/>
              </w:rPr>
            </w:pPr>
          </w:p>
        </w:tc>
        <w:tc>
          <w:tcPr>
            <w:tcW w:w="2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760" w:type="dxa"/>
            <w:vAlign w:val="bottom"/>
            <w:gridSpan w:val="3"/>
          </w:tcPr>
          <w:p>
            <w:pPr>
              <w:ind w:left="180"/>
              <w:spacing w:after="0"/>
              <w:rPr>
                <w:sz w:val="20"/>
                <w:szCs w:val="20"/>
                <w:color w:val="auto"/>
              </w:rPr>
            </w:pPr>
            <w:r>
              <w:rPr>
                <w:rFonts w:ascii="Arial" w:cs="Arial" w:eastAsia="Arial" w:hAnsi="Arial"/>
                <w:sz w:val="18"/>
                <w:szCs w:val="18"/>
                <w:color w:val="auto"/>
              </w:rPr>
              <w:t>Indicates less than 1%.</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U.S. state, local, or non-U.S. tax considerations, and any tax consequences applicable to U.S. Holders subject to special rules, such as:</w:t>
      </w:r>
    </w:p>
    <w:p>
      <w:pPr>
        <w:ind w:left="980" w:hanging="432"/>
        <w:spacing w:after="0" w:line="231"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 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700" w:firstLine="440"/>
        <w:spacing w:after="0" w:line="246"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 have not sought and do not intend to seek any ruling from the Internal Revenue Service (the “IRS”) with respect to the U.S.</w:t>
      </w:r>
    </w:p>
    <w:p>
      <w:pPr>
        <w:jc w:val="center"/>
        <w:ind w:right="-79"/>
        <w:spacing w:after="0"/>
        <w:rPr>
          <w:sz w:val="20"/>
          <w:szCs w:val="20"/>
          <w:color w:val="auto"/>
        </w:rPr>
      </w:pPr>
      <w:r>
        <w:rPr>
          <w:rFonts w:ascii="Arial" w:cs="Arial" w:eastAsia="Arial" w:hAnsi="Arial"/>
          <w:sz w:val="18"/>
          <w:szCs w:val="18"/>
          <w:color w:val="auto"/>
        </w:rPr>
        <w:t>federal income tax consequences described herein and there can be no assurance that the IRS or a court will not take a contrary position.</w:t>
      </w:r>
    </w:p>
    <w:p>
      <w:pPr>
        <w:spacing w:after="0" w:line="212"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02" w:lineRule="exact"/>
        <w:rPr>
          <w:sz w:val="20"/>
          <w:szCs w:val="20"/>
          <w:color w:val="auto"/>
        </w:rPr>
      </w:pPr>
    </w:p>
    <w:p>
      <w:pPr>
        <w:ind w:left="5520" w:right="5280" w:hanging="4972"/>
        <w:spacing w:after="0" w:line="365" w:lineRule="auto"/>
        <w:tabs>
          <w:tab w:leader="none" w:pos="976"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 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hanging="432"/>
        <w:spacing w:after="0" w:line="218"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120" w:hanging="432"/>
        <w:spacing w:after="0" w:line="223"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6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20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Based on our gross income, the average value of our assets, including goodwill, and the nature of the current stage of our business, we do not believe we were a PFIC for the year ended December 31, 2020. There can be no assurance regarding our PFIC status for the current year 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Accordingly, U.S. Holders should invest in our ADSs only if they are willing to bear the U.S. federal income tax consequences associated with investments in PFICs.</w:t>
      </w:r>
    </w:p>
    <w:p>
      <w:pPr>
        <w:spacing w:after="0" w:line="204"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203"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To avoid the foregoing rules, a U.S. Holder can make a qualified electing fund election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208"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will provide the information necessary for a U.S. Holder to make a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185" w:lineRule="exact"/>
        <w:rPr>
          <w:sz w:val="20"/>
          <w:szCs w:val="20"/>
          <w:color w:val="auto"/>
        </w:rPr>
      </w:pPr>
    </w:p>
    <w:p>
      <w:pPr>
        <w:ind w:left="120" w:right="360" w:firstLine="440"/>
        <w:spacing w:after="0" w:line="242"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202"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208" w:lineRule="exact"/>
        <w:rPr>
          <w:sz w:val="20"/>
          <w:szCs w:val="20"/>
          <w:color w:val="auto"/>
        </w:rPr>
      </w:pPr>
    </w:p>
    <w:p>
      <w:pPr>
        <w:ind w:left="120" w:right="40" w:firstLine="440"/>
        <w:spacing w:after="0" w:line="234"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w:t>
      </w:r>
    </w:p>
    <w:p>
      <w:pPr>
        <w:spacing w:after="0" w:line="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on the sale or retirement of an ADS or an ordinary share.</w:t>
      </w:r>
    </w:p>
    <w:p>
      <w:pPr>
        <w:spacing w:after="0" w:line="206"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6"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should consult their tax advisers regarding any potential foreign currency gain or loss that may have to be recognized.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United Kingdom Tax Considerations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or tax advice to any particular holder. Holders of our ADSs are strongly urged to consult their tax advisers in connection with the U.K.</w:t>
      </w:r>
    </w:p>
    <w:p>
      <w:pPr>
        <w:ind w:left="120"/>
        <w:spacing w:after="0"/>
        <w:rPr>
          <w:sz w:val="20"/>
          <w:szCs w:val="20"/>
          <w:color w:val="auto"/>
        </w:rPr>
      </w:pPr>
      <w:r>
        <w:rPr>
          <w:rFonts w:ascii="Arial" w:cs="Arial" w:eastAsia="Arial" w:hAnsi="Arial"/>
          <w:sz w:val="18"/>
          <w:szCs w:val="18"/>
          <w:color w:val="auto"/>
        </w:rPr>
        <w:t>tax consequences of their investment in our ADSs.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26"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26"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Any such individual holder of our ADSs who is temporarily a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Based on current published HMRC practice and case law,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Transfers of ordinary shares to, or to a nominee or agent for, a person whose business is or includes issuing depositary receipts or to, or to a nominee or agent for, a person whose business is or includes the provision of clearance services, will generally be regarded by HMRC as subject to stamp duty or SDRT at 1.5% of the amount or value of the consideration or, in certain circumstances, the value of the ordinary shares transferred. In practice, this liability for stamp duty or SDRT is in general borne by such person depositing the relevant shares in the depositary receipt system or clearance service.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212"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 transfer on sale of ordinary shares by a written instrument of transfer will generally be liable to U.K. stamp duty at the rate of 0.5% of the amount or value of the consideration for the transfer. The purchaser normally pays the stamp duty.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An agreement to transfer ordinary shares outside a depositary receipt system or a clearance service will generally give rise to a liability on the purchaser to SDRT at the rate of 0.5% of the amount or value of the consideration. Such SDRT is payable on the seventh day of the month following the month in which the charge arises,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Primary Offering</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ADSs in one or more of the following ways (or in any combination) from time to time:</w:t>
      </w:r>
    </w:p>
    <w:p>
      <w:pPr>
        <w:spacing w:after="0" w:line="202" w:lineRule="exact"/>
        <w:rPr>
          <w:sz w:val="20"/>
          <w:szCs w:val="20"/>
          <w:color w:val="auto"/>
        </w:rPr>
      </w:pPr>
    </w:p>
    <w:p>
      <w:pPr>
        <w:ind w:left="980" w:hanging="432"/>
        <w:spacing w:after="0"/>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underwriters or dealers;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directly to a limited number of purchasers or to a single purchaser;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agents;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any other method permitted by applicable law and described in the applicable prospectus supplement.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ADSs, including:</w:t>
      </w:r>
    </w:p>
    <w:p>
      <w:pPr>
        <w:spacing w:after="0" w:line="202" w:lineRule="exact"/>
        <w:rPr>
          <w:sz w:val="20"/>
          <w:szCs w:val="20"/>
          <w:color w:val="auto"/>
        </w:rPr>
      </w:pPr>
    </w:p>
    <w:p>
      <w:pPr>
        <w:ind w:left="980" w:hanging="432"/>
        <w:spacing w:after="0"/>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or names of any underwriters, dealers or agents;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price of such securities and the proceeds to be received by us, if any;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underwriting discounts or agency fees and other items constituting underwriters’ or agents’ compensation;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initial public offering price;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or concessions allowed or reallowed or paid to dealers;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securities exchanges on which the securities may be listed.</w:t>
      </w:r>
    </w:p>
    <w:p>
      <w:pPr>
        <w:spacing w:after="0" w:line="20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Any initial public offering price and any discounts or concessions allowed or reallowed or paid to dealers may be changed from time to time.</w:t>
      </w:r>
    </w:p>
    <w:p>
      <w:pPr>
        <w:spacing w:after="0" w:line="188"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negotiated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 fixed public offering price or prices, which may be changed;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market prices prevailing at the time of sale;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prices related to prevailing market prices;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negotiated prices.</w:t>
      </w:r>
    </w:p>
    <w:p>
      <w:pPr>
        <w:spacing w:after="0" w:line="20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ADSs will be conditioned on customary closing conditions and the underwriters will be obligated to purchase all of such ADSs, if any are purchased.</w:t>
      </w:r>
    </w:p>
    <w:p>
      <w:pPr>
        <w:spacing w:after="0" w:line="19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ADSs may be sold through agents from time to time. The prospectus supplement will name any agent involved in the offer or sale of the ADSs and any commissions paid to them. Generally, any agent will be acting on a best efforts basis for the period of its appointment.</w:t>
      </w:r>
    </w:p>
    <w:p>
      <w:pPr>
        <w:spacing w:after="0" w:line="20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Sales to or through one or more underwriters or agents in at-the-market offerings will be made pursuant to the terms of a sales agreement with the underwriters or agents. Such underwriters or agents may act on an agency basis or on a principal basis. During the term of any such agreement, ADSs may be sold on a daily basis on any stock exchange, market or trading facility on which the ADSs are traded, in privately negotiated transactions or otherwise as agreed with the underwriters or agents. The distribution agreement will provide that any ADSs sold will be sold at negotiated prices or at prices related to the then prevailing market prices for our ADSs. Therefore, exact figures regarding proceeds that will be raised or commissions to be paid cannot be determined at this time and will be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described in a prospectus supplement. Pursuant to the terms of the distribution agreement, we may also agree to sell, and the relevant underwriters or agents may agree to solicit offers to purchase, blocks of our ADSs. The terms of each such distribution agreement will be described in a prospectus supplement.</w:t>
      </w:r>
    </w:p>
    <w:p>
      <w:pPr>
        <w:spacing w:after="0" w:line="203" w:lineRule="exact"/>
        <w:rPr>
          <w:sz w:val="20"/>
          <w:szCs w:val="20"/>
          <w:color w:val="auto"/>
        </w:rPr>
      </w:pPr>
    </w:p>
    <w:p>
      <w:pPr>
        <w:jc w:val="both"/>
        <w:ind w:left="120" w:right="60" w:firstLine="440"/>
        <w:spacing w:after="0" w:line="238"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ADSs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05"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203" w:lineRule="exact"/>
        <w:rPr>
          <w:sz w:val="20"/>
          <w:szCs w:val="20"/>
          <w:color w:val="auto"/>
        </w:rPr>
      </w:pPr>
    </w:p>
    <w:p>
      <w:pPr>
        <w:jc w:val="both"/>
        <w:ind w:left="120" w:right="580" w:firstLine="440"/>
        <w:spacing w:after="0"/>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203"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97"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Any underwriters to whom ADSs are sold for public offering and sale may make a market in the securities, but such underwriters will not be obligated to do so and may discontinue any market making at any time without notice.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Secondary Offering</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registration statement of which this prospectus forms a part has been filed in part in respect of, an aggregate of 24,493,416 shares (including those issuable upon the exercise of warrants or conversion of convertible loan notes) consisting of (i) 1,349,692 ordinary shares issuable to AstraZeneca pursuant to the exclusive license and option agreement we entered into with AstraZeneca October 28, 2017, as amended; (ii) 18,555,068 ordinary shares underlying convertible loan notes and warrants issuable to Novartis under the convertible loan and warrant instruments dated February 10, 2020, as amended; (iii) 2,487,816 ordinary shares underlying warrants issuable to Silicon Valley Bank and Kreos Capital V (UK) Limited as lenders under previous loan agreements with them dated August 7, 2017 and September 28, 2018, as adjusted on December 15, 2020 that have been fully repaid; and (iv) 2,100,840 ordinary shares issued to Focus Fund in connection with our partnership agreement entered into April 30, 2021. The holders of such ordinary shares are identified in this prospectus as Selling Shareholders. Any ordinary shares offered and sold in the United States by the Selling Shareholders will be in the form of ADSs. The Selling Shareholders are also permitted to sell ordinary shares not represented by ADSs in private or offshore transactions, which resales are not covered by this prospectus. The Selling Shareholders may, or may not, elect to sell their ordinary shares represented by ADSs as and to the extent that each may individually determine. Such sales, if any, will be made through brokerage transactions on Nasdaq or other securities exchange in the United States at prevailing market prices.</w:t>
      </w:r>
    </w:p>
    <w:p>
      <w:pPr>
        <w:spacing w:after="0" w:line="203" w:lineRule="exact"/>
        <w:rPr>
          <w:sz w:val="20"/>
          <w:szCs w:val="20"/>
          <w:color w:val="auto"/>
        </w:rPr>
      </w:pPr>
    </w:p>
    <w:p>
      <w:pPr>
        <w:jc w:val="both"/>
        <w:ind w:left="120" w:right="320" w:firstLine="440"/>
        <w:spacing w:after="0"/>
        <w:rPr>
          <w:sz w:val="20"/>
          <w:szCs w:val="20"/>
          <w:color w:val="auto"/>
        </w:rPr>
      </w:pPr>
      <w:r>
        <w:rPr>
          <w:rFonts w:ascii="Arial" w:cs="Arial" w:eastAsia="Arial" w:hAnsi="Arial"/>
          <w:sz w:val="18"/>
          <w:szCs w:val="18"/>
          <w:color w:val="auto"/>
        </w:rPr>
        <w:t>The Selling Shareholders may dispose of all or a portion of their ordinary shares in the form of ADSs from time to time directly or through one or more underwriters, broker-dealers or agents. If ADSs representing our ordinary shares are sold through underwriters or broker-dealers, the Selling Shareholders will be responsible for any applicable underwriting discounts or commissions or agent’s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commissions. ADSs representing our ordinary shares may be sold on Nasdaq or any other national securities exchange or quotation service on which the securities may be listed or quoted at the time of disposition, in the over-the-counter market or in transactions otherwise than on these exchanges or systems or in the over-the-counter market and in one or more transactions at fixed prices, at prevailing market prices at the time of the disposition, at varying prices determined at the time of disposition, or at negotiated prices. These dispositions may be effected in transactions, which may involve crosses or block transactions. The Selling Shareholders may use any one or more of the following methods when disposing of their ADSs:</w:t>
      </w:r>
    </w:p>
    <w:p>
      <w:pPr>
        <w:spacing w:after="0" w:line="195"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brokerage transactions and transactions in which the broker-dealer solicits purchasers;</w:t>
      </w:r>
    </w:p>
    <w:p>
      <w:pPr>
        <w:spacing w:after="0" w:line="26" w:lineRule="exact"/>
        <w:rPr>
          <w:rFonts w:ascii="MS PGothic" w:cs="MS PGothic" w:eastAsia="MS PGothic" w:hAnsi="MS PGothic"/>
          <w:sz w:val="25"/>
          <w:szCs w:val="25"/>
          <w:color w:val="auto"/>
          <w:vertAlign w:val="superscript"/>
        </w:rPr>
      </w:pPr>
    </w:p>
    <w:p>
      <w:pPr>
        <w:ind w:left="980" w:right="10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block trades in which the broker-dealer will attempt to sell the ADSs as agent but may position and resell a portion of the block as principal to facilitate the transaction;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purchases by a broker-dealer as principal and resale by the broker-dealer for its account;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exchange distribution in accordance with the rules of the applicable exchange;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privately negotiated transactions and offshore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broker-dealers may agree with the Selling Shareholder to sell a specified number of such ADSs at a stipulated price per ADS;</w:t>
      </w:r>
    </w:p>
    <w:p>
      <w:pPr>
        <w:spacing w:after="0" w:line="26" w:lineRule="exact"/>
        <w:rPr>
          <w:rFonts w:ascii="MS PGothic" w:cs="MS PGothic" w:eastAsia="MS PGothic" w:hAnsi="MS PGothic"/>
          <w:sz w:val="25"/>
          <w:szCs w:val="25"/>
          <w:color w:val="auto"/>
          <w:vertAlign w:val="superscript"/>
        </w:rPr>
      </w:pPr>
    </w:p>
    <w:p>
      <w:pPr>
        <w:ind w:left="980" w:right="62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the writing or settlement of options or other hedging transactions, whether such options are listed on an options exchange or otherwise;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combination of any such methods of disposition;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other method permitted pursuant to applicable law.</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Selling Shareholders also may resell all or a portion of their ordinary shares in offshore transactions or open market transactions in reliance upon Regulation S under the Securities Act, if available, rather than under this prospectus, provided that they meet the criteria and conform to the requirements of those provisions.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Broker-dealers engaged by the Selling Shareholders may arrange for other broker-dealers to participate in dispositions. If the Selling Shareholders effects such transactions by selling ADSs representing our ordinary shares to or through underwriters, broker-dealers or agents, such underwriters, broker-dealers or agents may receive applicable commissions in the form of discounts, concessions or commissions from the Selling Shareholders or commissions from purchasers of ADSs representing our ordinary shares for whom they may act as agent or to whom they may sell as principal. Such commissions, which shall be payable by the Selling Shareholders, will be in amounts to be negotiated, but, except as set forth in a supplement to this prospectus, in the case of an agency transaction will not be in excess of a customary brokerage commission in compliance with applicable FINRA rules and regulations.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dispositions of ADSs representing their ordinary shares, the Selling Shareholders may enter into hedging transactions with broker-dealers or other financial institutions, which may in turn engage in short sales of ADSs representing their ordinary shares in the course of hedging in positions they assume. The Selling Shareholders may also sell ADSs representing their ordinary shares short and, if such short sale shall take place after the date that the registration statement of which this prospectus forms a part is declared effective by the Securities and Exchange Commission, the Selling Shareholders may deliver ADSs representing such shares to close out short positions and to return borrowed shares in connection with such short sales. The Selling Shareholders may also loan or pledge ADSs representing their ordinary shares to broker-dealers that in turn may sell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ADSs, which ADSs such broker-dealer or other financial institution may resell pursuant to this prospectus (as supplemented or amended to reflect such transaction). Notwithstanding the foregoing, the Selling Shareholders have been advised that it may not use their ADSs to cover short sales of our ADSs made prior to the date the registration statement of which this prospectus forms a part has been declared effective by the SEC.</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Selling Shareholders and any broker-dealer or agents participating in the distribution of the ADSs representing their ordinary shares may be deemed to be “underwriters” within the meaning of Section 2(a)(11) of the Securities Act in connection with such dispositions. In such event, any commissions paid, or any discounts or concessions allowed to, any such broker-dealer or agent and any profit on the resale of the ADSs representing our ordinary shares purchased by them may be deemed to be underwriting commissions or discounts under the Securities Act. If the Selling Shareholders are “underwriters” within the meaning of Section 2(a)(11) of the Securities Act they will be subject to the applicable prospectus delivery requirements of the Securities Act including Rule 172 thereunder and may be subject to certain statutory liabilities thereof, including but not limited to, Sections 11, 12 and 17 of the Securities Act and Rule 10b-5 under the Securities Exchange Act of 1934, as amended, or the Exchange Act.</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EXPENSES</w:t>
      </w:r>
    </w:p>
    <w:p>
      <w:pPr>
        <w:spacing w:after="0" w:line="2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28,675.25</w:t>
            </w: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3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39,925.18</w:t>
            </w:r>
            <w:r>
              <w:rPr>
                <w:rFonts w:ascii="Arial" w:cs="Arial" w:eastAsia="Arial" w:hAnsi="Arial"/>
                <w:sz w:val="15"/>
                <w:szCs w:val="15"/>
                <w:color w:val="auto"/>
              </w:rPr>
              <w:t>**</w:t>
            </w: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expenses</w:t>
            </w: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2" w:lineRule="exact"/>
        <w:rPr>
          <w:sz w:val="20"/>
          <w:szCs w:val="20"/>
          <w:color w:val="auto"/>
        </w:rPr>
      </w:pPr>
    </w:p>
    <w:p>
      <w:pPr>
        <w:ind w:left="120" w:right="80" w:hanging="4"/>
        <w:spacing w:after="0" w:line="248" w:lineRule="auto"/>
        <w:tabs>
          <w:tab w:leader="none" w:pos="5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the $9,218 previously paid in connection with unsold securities as set forth in the calculation of registration fee table above. ** Includes the $12,673.88 previously paid in connection with unsold securities as set forth in the calculation of registration fee table</w:t>
      </w:r>
    </w:p>
    <w:p>
      <w:pPr>
        <w:spacing w:after="0" w:line="1" w:lineRule="exact"/>
        <w:rPr>
          <w:rFonts w:ascii="Arial" w:cs="Arial" w:eastAsia="Arial" w:hAnsi="Arial"/>
          <w:sz w:val="17"/>
          <w:szCs w:val="17"/>
          <w:color w:val="auto"/>
        </w:rPr>
      </w:pPr>
    </w:p>
    <w:p>
      <w:pPr>
        <w:ind w:left="540"/>
        <w:spacing w:after="0" w:line="234" w:lineRule="auto"/>
        <w:rPr>
          <w:rFonts w:ascii="Arial" w:cs="Arial" w:eastAsia="Arial" w:hAnsi="Arial"/>
          <w:sz w:val="17"/>
          <w:szCs w:val="17"/>
          <w:color w:val="auto"/>
        </w:rPr>
      </w:pPr>
      <w:r>
        <w:rPr>
          <w:rFonts w:ascii="Arial" w:cs="Arial" w:eastAsia="Arial" w:hAnsi="Arial"/>
          <w:sz w:val="18"/>
          <w:szCs w:val="18"/>
          <w:color w:val="auto"/>
        </w:rPr>
        <w:t>above.</w:t>
      </w:r>
    </w:p>
    <w:p>
      <w:pPr>
        <w:spacing w:after="0" w:line="1" w:lineRule="exact"/>
        <w:rPr>
          <w:sz w:val="20"/>
          <w:szCs w:val="20"/>
          <w:color w:val="auto"/>
        </w:rPr>
      </w:pPr>
    </w:p>
    <w:p>
      <w:pPr>
        <w:jc w:val="center"/>
        <w:ind w:left="5520" w:right="780" w:hanging="5404"/>
        <w:spacing w:after="0" w:line="418" w:lineRule="auto"/>
        <w:tabs>
          <w:tab w:leader="none" w:pos="5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provided by a prospectus supplement or a Report on Form 6–K that is incorporated by reference into this prospectus. 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 Any underwriters, dealers or agents will be advised by their own legal counsel concerning issues relating to any offering.</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jc w:val="center"/>
        <w:ind w:right="220"/>
        <w:spacing w:after="0" w:line="41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and our website address is included in this prospectus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w:t>
      </w:r>
    </w:p>
    <w:p>
      <w:pPr>
        <w:spacing w:after="0" w:line="193" w:lineRule="exact"/>
        <w:rPr>
          <w:sz w:val="20"/>
          <w:szCs w:val="20"/>
          <w:color w:val="auto"/>
        </w:rPr>
      </w:pPr>
    </w:p>
    <w:p>
      <w:pPr>
        <w:ind w:left="980" w:hanging="432"/>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6">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31, 2021;</w:t>
      </w:r>
    </w:p>
    <w:p>
      <w:pPr>
        <w:spacing w:after="0" w:line="26" w:lineRule="exact"/>
        <w:rPr>
          <w:rFonts w:ascii="Arial" w:cs="Arial" w:eastAsia="Arial" w:hAnsi="Arial"/>
          <w:sz w:val="18"/>
          <w:szCs w:val="18"/>
          <w:color w:val="auto"/>
        </w:rPr>
      </w:pPr>
    </w:p>
    <w:p>
      <w:pPr>
        <w:ind w:left="980" w:hanging="432"/>
        <w:spacing w:after="0" w:line="205"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report on </w:t>
      </w:r>
      <w:hyperlink r:id="rId107">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SEC on July 20, 2021; and</w:t>
      </w:r>
    </w:p>
    <w:p>
      <w:pPr>
        <w:spacing w:after="0" w:line="26"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47"/>
        </w:numPr>
        <w:rPr>
          <w:rFonts w:ascii="Arial" w:cs="Arial" w:eastAsia="Arial" w:hAnsi="Arial"/>
          <w:sz w:val="18"/>
          <w:szCs w:val="18"/>
          <w:color w:val="0000EE"/>
        </w:rPr>
      </w:pPr>
      <w:r>
        <w:rPr>
          <w:rFonts w:ascii="Arial" w:cs="Arial" w:eastAsia="Arial" w:hAnsi="Arial"/>
          <w:sz w:val="18"/>
          <w:szCs w:val="18"/>
          <w:color w:val="auto"/>
        </w:rPr>
        <w:t xml:space="preserve">The description of our ordinary shares contained in Item 1 of the Registration Statement on </w:t>
      </w:r>
      <w:hyperlink r:id="rId108">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w:t>
      </w:r>
      <w:hyperlink r:id="rId109">
        <w:r>
          <w:rPr>
            <w:rFonts w:ascii="Arial" w:cs="Arial" w:eastAsia="Arial" w:hAnsi="Arial"/>
            <w:sz w:val="18"/>
            <w:szCs w:val="18"/>
            <w:color w:val="auto"/>
          </w:rPr>
          <w:t xml:space="preserve">originally filed with the SEC on April 9, 2018 and subsequently amended on April 15, 2019, as updated by </w:t>
        </w:r>
        <w:r>
          <w:rPr>
            <w:rFonts w:ascii="Arial" w:cs="Arial" w:eastAsia="Arial" w:hAnsi="Arial"/>
            <w:sz w:val="18"/>
            <w:szCs w:val="18"/>
            <w:u w:val="single" w:color="auto"/>
            <w:color w:val="0000EE"/>
          </w:rPr>
          <w:t>Exhibit 2.2 to the</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2020 Form 20-F</w:t>
        </w:r>
        <w:r>
          <w:rPr>
            <w:rFonts w:ascii="Arial" w:cs="Arial" w:eastAsia="Arial" w:hAnsi="Arial"/>
            <w:sz w:val="18"/>
            <w:szCs w:val="18"/>
            <w:color w:val="000000"/>
          </w:rPr>
          <w:t>, including the “Description of Ordinary Shares” and the “Description of American Depositary Shares” contained</w:t>
        </w:r>
      </w:hyperlink>
      <w:r>
        <w:rPr>
          <w:rFonts w:ascii="Arial" w:cs="Arial" w:eastAsia="Arial" w:hAnsi="Arial"/>
          <w:sz w:val="18"/>
          <w:szCs w:val="18"/>
          <w:color w:val="0000EE"/>
        </w:rPr>
        <w:t xml:space="preserve"> </w:t>
      </w:r>
      <w:r>
        <w:rPr>
          <w:rFonts w:ascii="Arial" w:cs="Arial" w:eastAsia="Arial" w:hAnsi="Arial"/>
          <w:sz w:val="18"/>
          <w:szCs w:val="18"/>
          <w:color w:val="000000"/>
        </w:rPr>
        <w:t>therein and any amendment or report filed for the purpose of further updating such descriptions.</w:t>
      </w:r>
    </w:p>
    <w:p>
      <w:pPr>
        <w:spacing w:after="0" w:line="203" w:lineRule="exact"/>
        <w:rPr>
          <w:rFonts w:ascii="Arial" w:cs="Arial" w:eastAsia="Arial" w:hAnsi="Arial"/>
          <w:sz w:val="18"/>
          <w:szCs w:val="18"/>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w:t>
      </w:r>
    </w:p>
    <w:p>
      <w:pPr>
        <w:spacing w:after="0" w:line="203" w:lineRule="exact"/>
        <w:rPr>
          <w:rFonts w:ascii="Arial" w:cs="Arial" w:eastAsia="Arial" w:hAnsi="Arial"/>
          <w:sz w:val="18"/>
          <w:szCs w:val="18"/>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205" w:lineRule="exact"/>
        <w:rPr>
          <w:rFonts w:ascii="Arial" w:cs="Arial" w:eastAsia="Arial" w:hAnsi="Arial"/>
          <w:sz w:val="18"/>
          <w:szCs w:val="18"/>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84" w:lineRule="exact"/>
        <w:rPr>
          <w:rFonts w:ascii="Arial" w:cs="Arial" w:eastAsia="Arial" w:hAnsi="Arial"/>
          <w:sz w:val="18"/>
          <w:szCs w:val="18"/>
          <w:color w:val="auto"/>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144"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D6284A"/>
        </w:rPr>
        <w:t>The information in this prospectus supplement is not complete and may be changed. We may not sell these securities until the registration statement filed with the Securities and Exchange Commission is effective. This prospectus supplement is not an offer to sell these securities, and we are not soliciting an offer to buy these securities in any state where the offer or sale is not permitted.</w:t>
      </w:r>
    </w:p>
    <w:p>
      <w:pPr>
        <w:spacing w:after="0" w:line="113" w:lineRule="exact"/>
        <w:rPr>
          <w:sz w:val="20"/>
          <w:szCs w:val="20"/>
          <w:color w:val="auto"/>
        </w:rPr>
      </w:pPr>
    </w:p>
    <w:p>
      <w:pPr>
        <w:ind w:left="120"/>
        <w:spacing w:after="0"/>
        <w:tabs>
          <w:tab w:leader="none" w:pos="9300" w:val="left"/>
        </w:tabs>
        <w:rPr>
          <w:sz w:val="20"/>
          <w:szCs w:val="20"/>
          <w:color w:val="auto"/>
        </w:rPr>
      </w:pPr>
      <w:r>
        <w:rPr>
          <w:rFonts w:ascii="Arial" w:cs="Arial" w:eastAsia="Arial" w:hAnsi="Arial"/>
          <w:sz w:val="18"/>
          <w:szCs w:val="18"/>
          <w:b w:val="1"/>
          <w:bCs w:val="1"/>
          <w:color w:val="D6284A"/>
        </w:rPr>
        <w:t>PROSPECTUS SUPPLEMENT (Subject to completion)</w:t>
      </w:r>
      <w:r>
        <w:rPr>
          <w:sz w:val="20"/>
          <w:szCs w:val="20"/>
          <w:color w:val="auto"/>
        </w:rPr>
        <w:tab/>
      </w:r>
      <w:r>
        <w:rPr>
          <w:rFonts w:ascii="Arial" w:cs="Arial" w:eastAsia="Arial" w:hAnsi="Arial"/>
          <w:sz w:val="17"/>
          <w:szCs w:val="17"/>
          <w:b w:val="1"/>
          <w:bCs w:val="1"/>
          <w:color w:val="D6284A"/>
        </w:rPr>
        <w:t>Dated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542925</wp:posOffset>
            </wp:positionV>
            <wp:extent cx="2468880" cy="900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Up to $50,000,000 American Depositary Shares</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Representing Ordinary Shares</w:t>
      </w:r>
    </w:p>
    <w:p>
      <w:pPr>
        <w:spacing w:after="0" w:line="200" w:lineRule="exact"/>
        <w:rPr>
          <w:sz w:val="20"/>
          <w:szCs w:val="20"/>
          <w:color w:val="auto"/>
        </w:rPr>
      </w:pPr>
    </w:p>
    <w:p>
      <w:pPr>
        <w:spacing w:after="0" w:line="26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(the “Sale Agreement”) with Jefferies LLC, or Jefferies, relating to the American Depository Shares (the “ADSs”) offered by this prospectus supplement and the accompanying prospectus. In accordance with the terms of the sales agreement, under this prospectus supplement, we may offer and sell our ADSs having an aggregate offering price of up to $50,000,000 from time to time through Jefferies acting as our agent.</w:t>
      </w:r>
    </w:p>
    <w:p>
      <w:pPr>
        <w:spacing w:after="0" w:line="204"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Our ADSs are traded on the Nasdaq Global Market, or the Nasdaq, under the symbol “MREO.” On August 4, 2021, the last reported sale price of our ADSs on the Nasdaq was $2.60 per ADS.</w:t>
      </w:r>
    </w:p>
    <w:p>
      <w:pPr>
        <w:spacing w:after="0" w:line="19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Sales of our ADSs, if any, under this prospectus supplement will be made by any method deemed to be an “at-the-market offering, as defined in Rule 415(a)(4) promulgated under the Securities Act of 1933, as amended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20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compensation to Jefferies for sales of ADSs sold pursuant to the sales agreement will be an amount equal to 3% of the gross proceeds of any ADSs sold under the sales agreement. In connection with the sale of the ADSs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See “Plan of Distribution” beginning on page S-18 for additional information regarding the compensation to be paid to Jefferies.</w:t>
      </w:r>
    </w:p>
    <w:p>
      <w:pPr>
        <w:spacing w:after="0" w:line="20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We are both an “emerging growth company” and a “foreign private issuer” as defined under the Securities Act, and, as such, are subject to reduced public company reporting requirements.</w:t>
      </w:r>
    </w:p>
    <w:p>
      <w:pPr>
        <w:spacing w:after="0" w:line="175" w:lineRule="exact"/>
        <w:rPr>
          <w:sz w:val="20"/>
          <w:szCs w:val="20"/>
          <w:color w:val="auto"/>
        </w:rPr>
      </w:pPr>
    </w:p>
    <w:p>
      <w:pPr>
        <w:ind w:left="120" w:right="4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ADSs involves a high degree of risk. See “</w:t>
      </w:r>
      <w:hyperlink w:anchor="page7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S-8 of this prospectus supplement and in the documents incorporated by reference into this prospectus supplement concerning factors you should consider before investing in our ADSs.</w:t>
      </w:r>
    </w:p>
    <w:p>
      <w:pPr>
        <w:spacing w:after="0" w:line="16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Jefferies</w:t>
      </w:r>
    </w:p>
    <w:p>
      <w:pPr>
        <w:spacing w:after="0" w:line="237" w:lineRule="exact"/>
        <w:rPr>
          <w:sz w:val="20"/>
          <w:szCs w:val="20"/>
          <w:color w:val="auto"/>
        </w:rPr>
      </w:pPr>
    </w:p>
    <w:tbl>
      <w:tblPr>
        <w:tblLayout w:type="fixed"/>
        <w:tblInd w:w="3140" w:type="dxa"/>
        <w:tblCellMar>
          <w:top w:w="0" w:type="dxa"/>
          <w:left w:w="0" w:type="dxa"/>
          <w:bottom w:w="0" w:type="dxa"/>
          <w:right w:w="0" w:type="dxa"/>
        </w:tblCellMar>
      </w:tblPr>
      <w:tr>
        <w:trPr>
          <w:trHeight w:val="239"/>
        </w:trPr>
        <w:tc>
          <w:tcPr>
            <w:tcW w:w="4020" w:type="dxa"/>
            <w:vAlign w:val="bottom"/>
          </w:tcPr>
          <w:p>
            <w:pPr>
              <w:spacing w:after="0"/>
              <w:rPr>
                <w:sz w:val="20"/>
                <w:szCs w:val="20"/>
                <w:color w:val="auto"/>
              </w:rPr>
            </w:pPr>
            <w:r>
              <w:rPr>
                <w:rFonts w:ascii="Arial" w:cs="Arial" w:eastAsia="Arial" w:hAnsi="Arial"/>
                <w:sz w:val="18"/>
                <w:szCs w:val="18"/>
                <w:b w:val="1"/>
                <w:bCs w:val="1"/>
                <w:color w:val="auto"/>
              </w:rPr>
              <w:t>The date of this prospectus supplement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40"/>
          </w:cols>
          <w:pgMar w:left="320" w:top="459" w:right="4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60" w:type="dxa"/>
            <w:vAlign w:val="bottom"/>
            <w:gridSpan w:val="15"/>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4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40" w:type="dxa"/>
            <w:vAlign w:val="bottom"/>
            <w:gridSpan w:val="2"/>
          </w:tcPr>
          <w:p>
            <w:pPr>
              <w:ind w:left="6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4"/>
                <w:szCs w:val="24"/>
                <w:color w:val="auto"/>
              </w:rPr>
            </w:pPr>
          </w:p>
        </w:tc>
      </w:tr>
      <w:tr>
        <w:trPr>
          <w:trHeight w:val="527"/>
        </w:trPr>
        <w:tc>
          <w:tcPr>
            <w:tcW w:w="120" w:type="dxa"/>
            <w:vAlign w:val="bottom"/>
          </w:tcPr>
          <w:p>
            <w:pPr>
              <w:spacing w:after="0"/>
              <w:rPr>
                <w:sz w:val="24"/>
                <w:szCs w:val="24"/>
                <w:color w:val="auto"/>
              </w:rPr>
            </w:pPr>
          </w:p>
        </w:tc>
        <w:tc>
          <w:tcPr>
            <w:tcW w:w="36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9">
              <w:r>
                <w:rPr>
                  <w:rFonts w:ascii="Arial" w:cs="Arial" w:eastAsia="Arial" w:hAnsi="Arial"/>
                  <w:sz w:val="18"/>
                  <w:szCs w:val="18"/>
                  <w:color w:val="0000EE"/>
                  <w:w w:val="99"/>
                </w:rPr>
                <w:t>ABOUT THIS PROSPECTUS SUPPLEMENT</w:t>
              </w:r>
            </w:hyperlink>
          </w:p>
        </w:tc>
        <w:tc>
          <w:tcPr>
            <w:tcW w:w="4900" w:type="dxa"/>
            <w:vAlign w:val="bottom"/>
            <w:gridSpan w:val="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83"/>
        </w:trPr>
        <w:tc>
          <w:tcPr>
            <w:tcW w:w="120" w:type="dxa"/>
            <w:vAlign w:val="bottom"/>
          </w:tcPr>
          <w:p>
            <w:pPr>
              <w:spacing w:after="0"/>
              <w:rPr>
                <w:sz w:val="15"/>
                <w:szCs w:val="15"/>
                <w:color w:val="auto"/>
              </w:rPr>
            </w:pPr>
          </w:p>
        </w:tc>
        <w:tc>
          <w:tcPr>
            <w:tcW w:w="8540" w:type="dxa"/>
            <w:vAlign w:val="bottom"/>
            <w:gridSpan w:val="1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CAUTIONARY STATEMENT REGARDING FORWARD-LOOKING STATEMENTS</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S-2</w:t>
            </w:r>
          </w:p>
        </w:tc>
      </w:tr>
      <w:tr>
        <w:trPr>
          <w:trHeight w:val="183"/>
        </w:trPr>
        <w:tc>
          <w:tcPr>
            <w:tcW w:w="12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PROSPECTUS SUPPLEMENT SUMMARY</w:t>
              </w:r>
            </w:hyperlink>
          </w:p>
        </w:tc>
        <w:tc>
          <w:tcPr>
            <w:tcW w:w="3020" w:type="dxa"/>
            <w:vAlign w:val="bottom"/>
            <w:tcBorders>
              <w:top w:val="single" w:sz="8" w:color="0000EE"/>
            </w:tcBorders>
            <w:gridSpan w:val="3"/>
          </w:tcPr>
          <w:p>
            <w:pPr>
              <w:spacing w:after="0"/>
              <w:rPr>
                <w:sz w:val="15"/>
                <w:szCs w:val="15"/>
                <w:color w:val="auto"/>
              </w:rPr>
            </w:pPr>
          </w:p>
        </w:tc>
        <w:tc>
          <w:tcPr>
            <w:tcW w:w="2040" w:type="dxa"/>
            <w:vAlign w:val="bottom"/>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S-4</w:t>
            </w:r>
          </w:p>
        </w:tc>
      </w:tr>
      <w:tr>
        <w:trPr>
          <w:trHeight w:val="182"/>
        </w:trPr>
        <w:tc>
          <w:tcPr>
            <w:tcW w:w="120" w:type="dxa"/>
            <w:vAlign w:val="bottom"/>
          </w:tcPr>
          <w:p>
            <w:pPr>
              <w:spacing w:after="0"/>
              <w:rPr>
                <w:sz w:val="15"/>
                <w:szCs w:val="15"/>
                <w:color w:val="auto"/>
              </w:rPr>
            </w:pPr>
          </w:p>
        </w:tc>
        <w:tc>
          <w:tcPr>
            <w:tcW w:w="134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75">
              <w:r>
                <w:rPr>
                  <w:rFonts w:ascii="Arial" w:cs="Arial" w:eastAsia="Arial" w:hAnsi="Arial"/>
                  <w:sz w:val="18"/>
                  <w:szCs w:val="18"/>
                  <w:color w:val="0000EE"/>
                  <w:w w:val="98"/>
                </w:rPr>
                <w:t>THE OFFERING</w:t>
              </w:r>
            </w:hyperlink>
          </w:p>
        </w:tc>
        <w:tc>
          <w:tcPr>
            <w:tcW w:w="7200" w:type="dxa"/>
            <w:vAlign w:val="bottom"/>
            <w:gridSpan w:val="9"/>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S-7</w:t>
            </w:r>
          </w:p>
        </w:tc>
      </w:tr>
      <w:tr>
        <w:trPr>
          <w:trHeight w:val="183"/>
        </w:trPr>
        <w:tc>
          <w:tcPr>
            <w:tcW w:w="12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76">
              <w:r>
                <w:rPr>
                  <w:rFonts w:ascii="Arial" w:cs="Arial" w:eastAsia="Arial" w:hAnsi="Arial"/>
                  <w:sz w:val="18"/>
                  <w:szCs w:val="18"/>
                  <w:color w:val="0000EE"/>
                  <w:w w:val="97"/>
                </w:rPr>
                <w:t>RISK FACTORS</w:t>
              </w:r>
            </w:hyperlink>
          </w:p>
        </w:tc>
        <w:tc>
          <w:tcPr>
            <w:tcW w:w="7220" w:type="dxa"/>
            <w:vAlign w:val="bottom"/>
            <w:gridSpan w:val="10"/>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S-8</w:t>
            </w:r>
          </w:p>
        </w:tc>
      </w:tr>
      <w:tr>
        <w:trPr>
          <w:trHeight w:val="183"/>
        </w:trPr>
        <w:tc>
          <w:tcPr>
            <w:tcW w:w="120" w:type="dxa"/>
            <w:vAlign w:val="bottom"/>
          </w:tcPr>
          <w:p>
            <w:pPr>
              <w:spacing w:after="0"/>
              <w:rPr>
                <w:sz w:val="15"/>
                <w:szCs w:val="15"/>
                <w:color w:val="auto"/>
              </w:rPr>
            </w:pPr>
          </w:p>
        </w:tc>
        <w:tc>
          <w:tcPr>
            <w:tcW w:w="8540" w:type="dxa"/>
            <w:vAlign w:val="bottom"/>
            <w:gridSpan w:val="14"/>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USE OF PROCEEDS</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S-10</w:t>
            </w:r>
          </w:p>
        </w:tc>
      </w:tr>
      <w:tr>
        <w:trPr>
          <w:trHeight w:val="183"/>
        </w:trPr>
        <w:tc>
          <w:tcPr>
            <w:tcW w:w="120" w:type="dxa"/>
            <w:vAlign w:val="bottom"/>
          </w:tcPr>
          <w:p>
            <w:pPr>
              <w:spacing w:after="0"/>
              <w:rPr>
                <w:sz w:val="15"/>
                <w:szCs w:val="15"/>
                <w:color w:val="auto"/>
              </w:rPr>
            </w:pPr>
          </w:p>
        </w:tc>
        <w:tc>
          <w:tcPr>
            <w:tcW w:w="8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DILUTION</w:t>
              </w:r>
            </w:hyperlink>
          </w:p>
        </w:tc>
        <w:tc>
          <w:tcPr>
            <w:tcW w:w="860" w:type="dxa"/>
            <w:vAlign w:val="bottom"/>
            <w:tcBorders>
              <w:top w:val="single" w:sz="8" w:color="0000EE"/>
            </w:tcBorders>
            <w:gridSpan w:val="5"/>
          </w:tcPr>
          <w:p>
            <w:pPr>
              <w:spacing w:after="0"/>
              <w:rPr>
                <w:sz w:val="15"/>
                <w:szCs w:val="15"/>
                <w:color w:val="auto"/>
              </w:rPr>
            </w:pPr>
          </w:p>
        </w:tc>
        <w:tc>
          <w:tcPr>
            <w:tcW w:w="6820" w:type="dxa"/>
            <w:vAlign w:val="bottom"/>
            <w:gridSpan w:val="7"/>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S-11</w:t>
            </w:r>
          </w:p>
        </w:tc>
      </w:tr>
      <w:tr>
        <w:trPr>
          <w:trHeight w:val="183"/>
        </w:trPr>
        <w:tc>
          <w:tcPr>
            <w:tcW w:w="120" w:type="dxa"/>
            <w:vAlign w:val="bottom"/>
          </w:tcPr>
          <w:p>
            <w:pPr>
              <w:spacing w:after="0"/>
              <w:rPr>
                <w:sz w:val="15"/>
                <w:szCs w:val="15"/>
                <w:color w:val="auto"/>
              </w:rPr>
            </w:pPr>
          </w:p>
        </w:tc>
        <w:tc>
          <w:tcPr>
            <w:tcW w:w="8540" w:type="dxa"/>
            <w:vAlign w:val="bottom"/>
            <w:gridSpan w:val="14"/>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PLAN OF DISTRIBUTION</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S-12</w:t>
            </w:r>
          </w:p>
        </w:tc>
      </w:tr>
      <w:tr>
        <w:trPr>
          <w:trHeight w:val="183"/>
        </w:trPr>
        <w:tc>
          <w:tcPr>
            <w:tcW w:w="12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LEGAL MATTERS</w:t>
              </w:r>
            </w:hyperlink>
          </w:p>
        </w:tc>
        <w:tc>
          <w:tcPr>
            <w:tcW w:w="600" w:type="dxa"/>
            <w:vAlign w:val="bottom"/>
            <w:tcBorders>
              <w:top w:val="single" w:sz="8" w:color="0000EE"/>
            </w:tcBorders>
            <w:gridSpan w:val="2"/>
          </w:tcPr>
          <w:p>
            <w:pPr>
              <w:spacing w:after="0"/>
              <w:rPr>
                <w:sz w:val="15"/>
                <w:szCs w:val="15"/>
                <w:color w:val="auto"/>
              </w:rPr>
            </w:pPr>
          </w:p>
        </w:tc>
        <w:tc>
          <w:tcPr>
            <w:tcW w:w="6460" w:type="dxa"/>
            <w:vAlign w:val="bottom"/>
            <w:gridSpan w:val="6"/>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S-14</w:t>
            </w:r>
          </w:p>
        </w:tc>
      </w:tr>
      <w:tr>
        <w:trPr>
          <w:trHeight w:val="183"/>
        </w:trPr>
        <w:tc>
          <w:tcPr>
            <w:tcW w:w="120" w:type="dxa"/>
            <w:vAlign w:val="bottom"/>
          </w:tcPr>
          <w:p>
            <w:pPr>
              <w:spacing w:after="0"/>
              <w:rPr>
                <w:sz w:val="15"/>
                <w:szCs w:val="15"/>
                <w:color w:val="auto"/>
              </w:rPr>
            </w:pPr>
          </w:p>
        </w:tc>
        <w:tc>
          <w:tcPr>
            <w:tcW w:w="84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EXPERTS</w:t>
              </w:r>
            </w:hyperlink>
          </w:p>
        </w:tc>
        <w:tc>
          <w:tcPr>
            <w:tcW w:w="7700" w:type="dxa"/>
            <w:vAlign w:val="bottom"/>
            <w:gridSpan w:val="13"/>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S-15</w:t>
            </w:r>
          </w:p>
        </w:tc>
      </w:tr>
      <w:tr>
        <w:trPr>
          <w:trHeight w:val="183"/>
        </w:trPr>
        <w:tc>
          <w:tcPr>
            <w:tcW w:w="120" w:type="dxa"/>
            <w:vAlign w:val="bottom"/>
          </w:tcPr>
          <w:p>
            <w:pPr>
              <w:spacing w:after="0"/>
              <w:rPr>
                <w:sz w:val="15"/>
                <w:szCs w:val="15"/>
                <w:color w:val="auto"/>
              </w:rPr>
            </w:pPr>
          </w:p>
        </w:tc>
        <w:tc>
          <w:tcPr>
            <w:tcW w:w="39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WHERE YOU CAN FIND MORE INFORMATION</w:t>
              </w:r>
            </w:hyperlink>
          </w:p>
        </w:tc>
        <w:tc>
          <w:tcPr>
            <w:tcW w:w="4640" w:type="dxa"/>
            <w:vAlign w:val="bottom"/>
            <w:gridSpan w:val="2"/>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S-16</w:t>
            </w:r>
          </w:p>
        </w:tc>
      </w:tr>
      <w:tr>
        <w:trPr>
          <w:trHeight w:val="183"/>
        </w:trPr>
        <w:tc>
          <w:tcPr>
            <w:tcW w:w="120" w:type="dxa"/>
            <w:vAlign w:val="bottom"/>
          </w:tcPr>
          <w:p>
            <w:pPr>
              <w:spacing w:after="0"/>
              <w:rPr>
                <w:sz w:val="15"/>
                <w:szCs w:val="15"/>
                <w:color w:val="auto"/>
              </w:rPr>
            </w:pPr>
          </w:p>
        </w:tc>
        <w:tc>
          <w:tcPr>
            <w:tcW w:w="296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85">
              <w:r>
                <w:rPr>
                  <w:rFonts w:ascii="Arial" w:cs="Arial" w:eastAsia="Arial" w:hAnsi="Arial"/>
                  <w:sz w:val="18"/>
                  <w:szCs w:val="18"/>
                  <w:color w:val="0000EE"/>
                  <w:w w:val="98"/>
                </w:rPr>
                <w:t>INCORPORATION BY REFERENCE</w:t>
              </w:r>
            </w:hyperlink>
          </w:p>
        </w:tc>
        <w:tc>
          <w:tcPr>
            <w:tcW w:w="5580" w:type="dxa"/>
            <w:vAlign w:val="bottom"/>
            <w:gridSpan w:val="5"/>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S-17</w:t>
            </w:r>
          </w:p>
        </w:tc>
      </w:tr>
    </w:tbl>
    <w:p>
      <w:pPr>
        <w:sectPr>
          <w:pgSz w:w="11900" w:h="16838" w:orient="portrait"/>
          <w:cols w:equalWidth="0" w:num="1">
            <w:col w:w="11060"/>
          </w:cols>
          <w:pgMar w:left="320" w:top="446"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ADSs having an aggregate offering price of up to $50,000,000 under this prospectus supplement at prices and on terms to be determined by market conditions at the time of the offering.</w:t>
      </w:r>
    </w:p>
    <w:p>
      <w:pPr>
        <w:spacing w:after="0" w:line="202" w:lineRule="exact"/>
        <w:rPr>
          <w:sz w:val="20"/>
          <w:szCs w:val="20"/>
          <w:color w:val="auto"/>
        </w:rPr>
      </w:pPr>
    </w:p>
    <w:p>
      <w:pPr>
        <w:ind w:left="120" w:right="540" w:firstLine="440"/>
        <w:spacing w:after="0" w:line="238" w:lineRule="auto"/>
        <w:rPr>
          <w:sz w:val="20"/>
          <w:szCs w:val="20"/>
          <w:color w:val="auto"/>
        </w:rPr>
      </w:pPr>
      <w:r>
        <w:rPr>
          <w:rFonts w:ascii="Arial" w:cs="Arial" w:eastAsia="Arial" w:hAnsi="Arial"/>
          <w:sz w:val="18"/>
          <w:szCs w:val="18"/>
          <w:color w:val="auto"/>
        </w:rPr>
        <w:t>Before buying any of the ADSs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and any related free writing prospectus filed by us with the SEC. We have not, and Jefferies LLC has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8"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9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120" w:right="340" w:firstLine="440"/>
        <w:spacing w:after="0"/>
        <w:rPr>
          <w:sz w:val="20"/>
          <w:szCs w:val="20"/>
          <w:color w:val="auto"/>
        </w:rPr>
      </w:pPr>
      <w:r>
        <w:rPr>
          <w:rFonts w:ascii="Arial" w:cs="Arial" w:eastAsia="Arial" w:hAnsi="Arial"/>
          <w:sz w:val="18"/>
          <w:szCs w:val="18"/>
          <w:color w:val="auto"/>
        </w:rPr>
        <w:t>This prospectus supplement, the accompanying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supplement, the accompanying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60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980" w:right="88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delays to clinical trial supplies,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980" w:right="240" w:hanging="432"/>
        <w:spacing w:after="0" w:line="223"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may adversely impact our ability to obtain regulatory approvals of our product candidates in the European Union and may require us to incur additional expenses in order to develop, manufacture and commercialize our product candidates in the European Union;</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You should read this prospectus supplement, the accompanying prospectus and the documents that we incorporate by reference in this prospectus supplement, the accompanying prospectus and have filed as exhibits to the registration statement, of which this prospectus supplement is a part, completely and with the understanding that our actual future results may be materially different from what we expect. We qualify all of our forward-looking statements by these cautionary statements.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300" w:right="6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or incorporated by reference herein. This summary may not contain all the information that may be important to you, and we urge you to read this entire prospectus supplement carefully, including the risks related to our business, our industry, investing in our ordinary shares, that we describe under “Risk Factors” and our consolidated financial statements, including the notes thereto, included and incorporated by reference in this prospectus supplement, before deciding to invest in our ADSs.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firstLine="426"/>
        <w:spacing w:after="0" w:line="235"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Our existing portfolio consists of six clinical stage product candidates two of which are in ongoing clinical studies, two are partnered for further development and the remaining two will be further developed by a partner. Our lead oncology product candidate, etigilimab (an “anti-TIGIT”), has completed a Phase 1a dose escalation clinical trial in patients with advanced solid tumors and has been evaluated in a Phase 1b study in combination with nivolumab in select tumor types. We recently initiated a Phase1b/2 basket study for etigilimab in combination with an anti-PD-1 in three rare tumors, including sarcoma, several gynecological carcinomas including cervical and endometrial carcinomas and tumors with high mutation burden. On April 30, 2021 we and Cancer Focus Fund, LP (“Focus Fund”), a unique venture capital fund established in collaboration with The University of Texas MD Anderson Cancer Center (“MD Anderson”) announced a partnership to evaluate Mereo’s etigilimab, in clear cell ovarian cancer, a rare cancer that accounts for approximately 5–10% of all ovarian carcinomas in North America. Our other rare disease product candidates are alvelestat, which is being investigated in an ongoing Phase 2 proof-of-concept study for the treatment of severe AATD,in an investigator-initiated study in hospitalized COVID-19 and in an investigator-initiated study in Bronchiolitis Obliterans Syndrome (“BOS”), and setrusumab for the treatment of OI. Following the announcement of the results for setrusumab in a Phase 2b study in adults with OI which demonstrated a dose dependent increase in bone mineral density and bone strength and alignment with the FDA and the EMA following scientific advice on the pivotal study design for children with OI, we announced a strategic partnership with Ultragenyx Pharmaceutical, Inc. (“Ultragenyx”) in December 2020 for the development of setrusumab in children and adults with OI. Ultragenyx have announced their intention to initiate a Phase 2/3 study in children with OI in the second half of 2021 following additional discussions with the regulators.</w:t>
      </w:r>
    </w:p>
    <w:p>
      <w:pPr>
        <w:spacing w:after="0" w:line="213" w:lineRule="exact"/>
        <w:rPr>
          <w:sz w:val="20"/>
          <w:szCs w:val="20"/>
          <w:color w:val="auto"/>
        </w:rPr>
      </w:pPr>
    </w:p>
    <w:p>
      <w:pPr>
        <w:ind w:left="300" w:right="340" w:firstLine="426"/>
        <w:spacing w:after="0"/>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where it makes sense to do so strategically but also in select cases to develop through regulatory approval and potentially commercialization.</w:t>
      </w:r>
    </w:p>
    <w:p>
      <w:pPr>
        <w:spacing w:after="0" w:line="203" w:lineRule="exact"/>
        <w:rPr>
          <w:sz w:val="20"/>
          <w:szCs w:val="20"/>
          <w:color w:val="auto"/>
        </w:rPr>
      </w:pPr>
    </w:p>
    <w:p>
      <w:pPr>
        <w:ind w:left="300" w:right="120" w:firstLine="426"/>
        <w:spacing w:after="0" w:line="246" w:lineRule="auto"/>
        <w:rPr>
          <w:sz w:val="20"/>
          <w:szCs w:val="20"/>
          <w:color w:val="auto"/>
        </w:rPr>
      </w:pPr>
      <w:r>
        <w:rPr>
          <w:rFonts w:ascii="Arial" w:cs="Arial" w:eastAsia="Arial" w:hAnsi="Arial"/>
          <w:sz w:val="18"/>
          <w:szCs w:val="18"/>
          <w:color w:val="auto"/>
        </w:rPr>
        <w:t>Our second oncology product, navicixizumab for the treatment of late line ovarian cancer, has completed a Phase 1b study and has been partnered for further development with OncXerna Therapeutics, Inc. (“OncXerna”) on a global basis.</w:t>
      </w:r>
    </w:p>
    <w:p>
      <w:pPr>
        <w:spacing w:after="0" w:line="197" w:lineRule="exact"/>
        <w:rPr>
          <w:sz w:val="20"/>
          <w:szCs w:val="20"/>
          <w:color w:val="auto"/>
        </w:rPr>
      </w:pPr>
    </w:p>
    <w:p>
      <w:pPr>
        <w:jc w:val="both"/>
        <w:ind w:left="300" w:right="200" w:firstLine="426"/>
        <w:spacing w:after="0" w:line="274" w:lineRule="auto"/>
        <w:rPr>
          <w:sz w:val="20"/>
          <w:szCs w:val="20"/>
          <w:color w:val="auto"/>
        </w:rPr>
      </w:pPr>
      <w:r>
        <w:rPr>
          <w:rFonts w:ascii="Arial" w:cs="Arial" w:eastAsia="Arial" w:hAnsi="Arial"/>
          <w:sz w:val="17"/>
          <w:szCs w:val="17"/>
          <w:color w:val="auto"/>
        </w:rPr>
        <w:t>We plan to partner or sell our other two product candidates acumapimod for the treatment of AECOPD and leflutrozole for the treatment of infertility and HH in obese men, recognizing the need for greater resources to take these product candidates to market.</w:t>
      </w:r>
    </w:p>
    <w:p>
      <w:pPr>
        <w:spacing w:after="0" w:line="175"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44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80"/>
        <w:spacing w:after="0" w:line="257" w:lineRule="auto"/>
        <w:rPr>
          <w:sz w:val="20"/>
          <w:szCs w:val="20"/>
          <w:color w:val="auto"/>
        </w:rPr>
      </w:pPr>
      <w:r>
        <w:rPr>
          <w:rFonts w:ascii="Arial" w:cs="Arial" w:eastAsia="Arial" w:hAnsi="Arial"/>
          <w:sz w:val="17"/>
          <w:szCs w:val="17"/>
          <w:color w:val="auto"/>
        </w:rPr>
        <w:t>packages. Since our formation in March 2015, we have successfully executed on this strategy by acquiring six clinical-stage product candidates of which four were in oncology and rare diseases. Four of our six clinical-stage product candidates were acquired from large pharmaceutical companies and two were acquired in the Merger. We aim to efficiently develop our product candidates through the clinic and have successfully commenced or completed large, randomized Phase 2 clinical trials for five of our product candidates.</w:t>
      </w:r>
    </w:p>
    <w:p>
      <w:pPr>
        <w:spacing w:after="0" w:line="189"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205"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including oncology and rare diseases.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6" w:lineRule="exact"/>
        <w:rPr>
          <w:sz w:val="20"/>
          <w:szCs w:val="20"/>
          <w:color w:val="auto"/>
        </w:rPr>
      </w:pPr>
    </w:p>
    <w:p>
      <w:pPr>
        <w:ind w:left="300" w:right="16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right="60" w:hanging="407"/>
        <w:spacing w:after="0" w:line="223" w:lineRule="auto"/>
        <w:tabs>
          <w:tab w:leader="none" w:pos="112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60" w:hanging="407"/>
        <w:spacing w:after="0" w:line="218" w:lineRule="auto"/>
        <w:tabs>
          <w:tab w:leader="none" w:pos="112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420" w:hanging="407"/>
        <w:spacing w:after="0" w:line="223" w:lineRule="auto"/>
        <w:tabs>
          <w:tab w:leader="none" w:pos="112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200" w:firstLine="426"/>
        <w:spacing w:after="0" w:line="238"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ADSs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4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40" w:hanging="407"/>
        <w:spacing w:after="0" w:line="218" w:lineRule="auto"/>
        <w:tabs>
          <w:tab w:leader="none" w:pos="112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50"/>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certain issuances of equity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supplement. Our agent for service of process in the United States is Mereo US Holdings Inc.</w:t>
      </w:r>
    </w:p>
    <w:p>
      <w:pPr>
        <w:spacing w:after="0" w:line="3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880"/>
          </w:cols>
          <w:pgMar w:left="320" w:top="459" w:right="6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7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THE OFFERING</w:t>
            </w:r>
          </w:p>
        </w:tc>
      </w:tr>
      <w:tr>
        <w:trPr>
          <w:trHeight w:val="446"/>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Us</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ADSs having an aggregate offering price of up to $50,000,000.</w:t>
            </w:r>
          </w:p>
        </w:tc>
      </w:tr>
      <w:tr>
        <w:trPr>
          <w:trHeight w:val="445"/>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Plan of Distribution</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“At the market offering” that may be made from time to time through</w:t>
            </w:r>
          </w:p>
        </w:tc>
      </w:tr>
      <w:tr>
        <w:trPr>
          <w:trHeight w:val="217"/>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our sales agent, Jefferies. See “Plan of Distribution.”</w:t>
            </w:r>
          </w:p>
        </w:tc>
      </w:tr>
      <w:tr>
        <w:trPr>
          <w:trHeight w:val="431"/>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We intend to use the net proceeds from this offering, if any, for</w:t>
            </w:r>
          </w:p>
        </w:tc>
      </w:tr>
      <w:tr>
        <w:trPr>
          <w:trHeight w:val="203"/>
        </w:trPr>
        <w:tc>
          <w:tcPr>
            <w:tcW w:w="37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1660"/>
              <w:spacing w:after="0" w:line="202" w:lineRule="exact"/>
              <w:rPr>
                <w:sz w:val="20"/>
                <w:szCs w:val="20"/>
                <w:color w:val="auto"/>
              </w:rPr>
            </w:pPr>
            <w:r>
              <w:rPr>
                <w:rFonts w:ascii="Arial" w:cs="Arial" w:eastAsia="Arial" w:hAnsi="Arial"/>
                <w:sz w:val="18"/>
                <w:szCs w:val="18"/>
                <w:color w:val="auto"/>
              </w:rPr>
              <w:t>general corporate purposes, which may include research and</w:t>
            </w:r>
          </w:p>
        </w:tc>
      </w:tr>
      <w:tr>
        <w:trPr>
          <w:trHeight w:val="203"/>
        </w:trPr>
        <w:tc>
          <w:tcPr>
            <w:tcW w:w="37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1660"/>
              <w:spacing w:after="0" w:line="202" w:lineRule="exact"/>
              <w:rPr>
                <w:sz w:val="20"/>
                <w:szCs w:val="20"/>
                <w:color w:val="auto"/>
              </w:rPr>
            </w:pPr>
            <w:r>
              <w:rPr>
                <w:rFonts w:ascii="Arial" w:cs="Arial" w:eastAsia="Arial" w:hAnsi="Arial"/>
                <w:sz w:val="18"/>
                <w:szCs w:val="18"/>
                <w:color w:val="auto"/>
              </w:rPr>
              <w:t>development expenses, working capital and general and</w:t>
            </w:r>
          </w:p>
        </w:tc>
      </w:tr>
      <w:tr>
        <w:trPr>
          <w:trHeight w:val="217"/>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administrative expenses. See “Use of Proceeds.”</w:t>
            </w:r>
          </w:p>
        </w:tc>
      </w:tr>
      <w:tr>
        <w:trPr>
          <w:trHeight w:val="431"/>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You should read the “Risk Factors” section of this prospectus</w:t>
            </w:r>
          </w:p>
        </w:tc>
      </w:tr>
      <w:tr>
        <w:trPr>
          <w:trHeight w:val="203"/>
        </w:trPr>
        <w:tc>
          <w:tcPr>
            <w:tcW w:w="3720" w:type="dxa"/>
            <w:vAlign w:val="bottom"/>
            <w:tcBorders>
              <w:left w:val="single" w:sz="8" w:color="auto"/>
            </w:tcBorders>
          </w:tcPr>
          <w:p>
            <w:pPr>
              <w:spacing w:after="0"/>
              <w:rPr>
                <w:sz w:val="17"/>
                <w:szCs w:val="17"/>
                <w:color w:val="auto"/>
              </w:rPr>
            </w:pPr>
          </w:p>
        </w:tc>
        <w:tc>
          <w:tcPr>
            <w:tcW w:w="7300" w:type="dxa"/>
            <w:vAlign w:val="bottom"/>
            <w:tcBorders>
              <w:right w:val="single" w:sz="8" w:color="auto"/>
            </w:tcBorders>
          </w:tcPr>
          <w:p>
            <w:pPr>
              <w:ind w:left="1660"/>
              <w:spacing w:after="0" w:line="202" w:lineRule="exact"/>
              <w:rPr>
                <w:sz w:val="20"/>
                <w:szCs w:val="20"/>
                <w:color w:val="auto"/>
              </w:rPr>
            </w:pPr>
            <w:r>
              <w:rPr>
                <w:rFonts w:ascii="Arial" w:cs="Arial" w:eastAsia="Arial" w:hAnsi="Arial"/>
                <w:sz w:val="18"/>
                <w:szCs w:val="18"/>
                <w:color w:val="auto"/>
              </w:rPr>
              <w:t>supplement for a discussion of factors to consider carefully before</w:t>
            </w:r>
          </w:p>
        </w:tc>
      </w:tr>
      <w:tr>
        <w:trPr>
          <w:trHeight w:val="217"/>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deciding to purchase our ADSs.</w:t>
            </w:r>
          </w:p>
        </w:tc>
      </w:tr>
      <w:tr>
        <w:trPr>
          <w:trHeight w:val="446"/>
        </w:trPr>
        <w:tc>
          <w:tcPr>
            <w:tcW w:w="37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Nasdaq Global Market Symbol</w:t>
            </w:r>
          </w:p>
        </w:tc>
        <w:tc>
          <w:tcPr>
            <w:tcW w:w="730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MREO</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361"/>
        </w:trPr>
        <w:tc>
          <w:tcPr>
            <w:tcW w:w="3720" w:type="dxa"/>
            <w:vAlign w:val="bottom"/>
          </w:tcPr>
          <w:p>
            <w:pPr>
              <w:spacing w:after="0"/>
              <w:rPr>
                <w:sz w:val="24"/>
                <w:szCs w:val="24"/>
                <w:color w:val="auto"/>
              </w:rPr>
            </w:pPr>
          </w:p>
        </w:tc>
        <w:tc>
          <w:tcPr>
            <w:tcW w:w="7300" w:type="dxa"/>
            <w:vAlign w:val="bottom"/>
          </w:tcPr>
          <w:p>
            <w:pPr>
              <w:ind w:left="164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under “Risk Factors” under Item 3.D.—“Risk Factors” in our most recent Annual Report on Form 20-F, and any updates in our Reports on Form 6-K, together with all of the other information appearing in this prospectus supplement, the accompanying prospectus or incorporated by reference into this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and the accompanying prospectus.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ADSs</w:t>
      </w:r>
    </w:p>
    <w:p>
      <w:pPr>
        <w:spacing w:after="0" w:line="212"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The ADSs offered under this prospectus supplement and the accompanying prospectus may be sold in “at-the-market offerings,” and investors who buy ADSs at different times will likely pay different prices.</w:t>
      </w:r>
    </w:p>
    <w:p>
      <w:pPr>
        <w:spacing w:after="0" w:line="68"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Investors who purchase ADSs under this prospectus supplement and the accompanying prospectus at different times will likely pay different prices, and so may experience different outcomes in their investment results. We will have discretion, subject to market demand and the terms of the sales agreement, to vary the timing, prices, and numbers of ADSs sold, and there is no minimum or maximum sales price. Investors may experience declines in the value of their shares as a result of ADS sales made at prices lower than the prices they paid.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ADSs we sell, if any, under the sales agreement and the resulting gross proceeds is uncertain.</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sales notice to Jefferies at any time throughout the term of the sales agreement. The number of ADSs that are sold by Jefferies after delivering a sales notice will fluctuate based on the market price of ADSs during the sales period and limits we set with Jefferies, as well as any limits under applicable law or exchange listing rules. Because the price per each ADS sold, if any, will fluctuate based on the market price of the ADSs during the terms of the sales agreement, it is not possible at this stage to predict the number of ADSs that will ultimately be issued, if any.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we may not use them effectively.</w:t>
      </w:r>
    </w:p>
    <w:p>
      <w:pPr>
        <w:spacing w:after="0" w:line="126"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We currently intend to use the net proceeds from this offering as described in “Use of Proceeds.” However, our board of directors and our management retains broad discretion in the application of the net proceeds from this offering and could spend the proceeds in ways that do not improve our results of operations or enhance the value of our ADSs. Our failure to apply these funds effectively could result in financial losses, which could have a material adverse effect on our business, results of operations, financial condition and prospects.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ADSs could depress the market price of ADSs.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If holders of ADSs sell, or indicate an intent to sell, substantial amounts of ADSs in the public markets, the trading price of our ADSs could decline significantly. These sales might also make it more difficult for us to sell equity securities at a time and price that we otherwise would deem appropriate.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ADSs or ordinary shares in the foreseeable future, capital appreciation, if any, will be your sole source of gains and you may never receive a return on your investment.</w:t>
      </w:r>
    </w:p>
    <w:p>
      <w:pPr>
        <w:spacing w:after="0" w:line="6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Further, we intend to retain future earnings, if any, for use in our business and do not anticipate paying any cash dividends in the foreseeable future. As a result, capital appreciation, if any, on ADSs or ordinary shares will be your sole source of gains for the foreseeable future.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ADSs purchased in the offering.</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ADSs sold in this offering, if any, will be sold from time to time at various prices. However, we expect that the offering price of our ADSs will be substantially higher than the net tangible book value per ADS, and per each underlying ordinary share, prior to this offering. After giving effect to the sale of ADSs in the aggregate amount of $ 50.0 million at an assumed offering price of $2.60 per ADS, the last reported sale price of our ADSs on August 4, 2021 on the Nasdaq, and after deducting commissions and estimated offering expenses, our as adjusted net tangible book value as of December 31, 2021 would have been £(11.5) million or £(0.03) per ordinary share, equivalent to $(0.04) per ordinary share and $(0.18) per ADS. This represents an immediate increase in net tangible book value of approximately $0.76 per ADS to our existing shareholders and an immediate dilution in as adjusted net tangible book value of $2.78 per ADS to purchasers of ADSs in this offering. See the section titled “Dilution” for a more detailed illustration of the dilution you would incur if you participate in this offering.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order to raise additional capital, we may in the future offer additional ADSs. We cannot assure you that we will be able to sell ADSs or other securities in any other offering at a price per ADS that is equal to or greater than the price per ADS paid by investors in this offering, and investors purchasing ADSs or other securities in the future could have rights superior to existing shareholders. The price per ADS at which we sell additional ADSs in future transactions may be higher or lower than the price per ADS in this offering.</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may issue and sell our ADSs having aggregate sales proceeds of up to $50,000,000 from time to time. Because there is no minimum offering amount required as a condition to close this offering, the actual total public offering amount, commissions and proceeds to us, if any, are not determinable at this time. We intend to use the net proceeds from this offering, if any, for general corporate purposes, which may include research and development expenses, working capital and general and administrative expenses. Our expected use of net proceeds from this offering represents our current intentions based upon our present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40"/>
          </w:cols>
          <w:pgMar w:left="320" w:top="459" w:right="5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If you invest in our ADSs, your interest will be diluted to the extent of the difference between the price per ADS you pay in this offering and the net tangible book value per ADS immediately after this offering.</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As of December 31, 2020, our net tangible book value was £(46.6) million, or £ (0.14) per ordinary share, equivalent to $(0.19) per ordinary share and $(0.94) per ADS, with each ADS representing 5 ordinary shares. Net tangible book value per ordinary share is equal to our total assets minus intangible assets and total liabilities, divided by 338,953,141, the total number of ordinary shares outstanding as of December 31, 2020.</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After giving effect to the sale of our ADSs in the aggregate amount of $50.0 million at an assumed offering price of $2.60 per ADS, the last reported sale price of our ADSs on the Nasdaq on August 4, 2021, and after deducting commissions and estimated offering expenses payable by us, our as adjusted net tangible book value as of December 31, 2020 would have been £(11.5) million, or £(0.03) per ordinary share, equivalent to $ (0.04) per ordinary share and $(0.18) per ADS. This represents an immediate increase in net tangible book value of $0.76 per ADS to our existing shareholders and an immediate dilution in net tangible book value of $2.78 per ADS to new investors in this offering.</w:t>
      </w:r>
    </w:p>
    <w:p>
      <w:pPr>
        <w:spacing w:after="0" w:line="205" w:lineRule="exact"/>
        <w:rPr>
          <w:sz w:val="20"/>
          <w:szCs w:val="20"/>
          <w:color w:val="auto"/>
        </w:rPr>
      </w:pPr>
    </w:p>
    <w:p>
      <w:pPr>
        <w:ind w:left="120" w:right="240" w:firstLine="440"/>
        <w:spacing w:after="0" w:line="261" w:lineRule="auto"/>
        <w:rPr>
          <w:sz w:val="20"/>
          <w:szCs w:val="20"/>
          <w:color w:val="auto"/>
        </w:rPr>
      </w:pPr>
      <w:r>
        <w:rPr>
          <w:rFonts w:ascii="Arial" w:cs="Arial" w:eastAsia="Arial" w:hAnsi="Arial"/>
          <w:sz w:val="17"/>
          <w:szCs w:val="17"/>
          <w:color w:val="auto"/>
        </w:rPr>
        <w:t>The following table illustrates this calculation on a per ADS basis. The as adjusted information is illustrative only and will adjust based on the actual price to the public, the actual number of ADSs sold and other terms of the offering determined at the time our ADSs are sold pursuant to this prospectus supplement. The ADSs sold in this offering, if any, will be sold from time to time at various prices.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500" w:type="dxa"/>
            <w:vAlign w:val="bottom"/>
          </w:tcPr>
          <w:p>
            <w:pPr>
              <w:spacing w:after="0"/>
              <w:rPr>
                <w:sz w:val="20"/>
                <w:szCs w:val="20"/>
                <w:color w:val="auto"/>
              </w:rPr>
            </w:pPr>
            <w:r>
              <w:rPr>
                <w:rFonts w:ascii="Arial" w:cs="Arial" w:eastAsia="Arial" w:hAnsi="Arial"/>
                <w:sz w:val="18"/>
                <w:szCs w:val="18"/>
                <w:color w:val="auto"/>
              </w:rPr>
              <w:t>Assumed public offering price per ADS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7"/>
                <w:szCs w:val="17"/>
                <w:color w:val="auto"/>
              </w:rPr>
            </w:pPr>
          </w:p>
        </w:tc>
      </w:tr>
      <w:tr>
        <w:trPr>
          <w:trHeight w:val="203"/>
        </w:trPr>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tangible book value per ADS as of December 31, 2020</w:t>
            </w:r>
          </w:p>
        </w:tc>
        <w:tc>
          <w:tcPr>
            <w:tcW w:w="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$(0.94)</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9500" w:type="dxa"/>
            <w:vAlign w:val="bottom"/>
          </w:tcPr>
          <w:p>
            <w:pPr>
              <w:spacing w:after="0" w:line="202" w:lineRule="exact"/>
              <w:rPr>
                <w:sz w:val="20"/>
                <w:szCs w:val="20"/>
                <w:color w:val="auto"/>
              </w:rPr>
            </w:pPr>
            <w:r>
              <w:rPr>
                <w:rFonts w:ascii="Arial" w:cs="Arial" w:eastAsia="Arial" w:hAnsi="Arial"/>
                <w:sz w:val="18"/>
                <w:szCs w:val="18"/>
                <w:color w:val="auto"/>
              </w:rPr>
              <w:t>Increase in net tangible book value per ADS attributable to the offering</w:t>
            </w:r>
          </w:p>
        </w:tc>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$ 0.76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adjusted net tangible book value per ADS after giving effect to the offering</w:t>
            </w: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(0.18)</w:t>
            </w:r>
          </w:p>
        </w:tc>
      </w:tr>
      <w:tr>
        <w:trPr>
          <w:trHeight w:val="210"/>
        </w:trPr>
        <w:tc>
          <w:tcPr>
            <w:tcW w:w="9500" w:type="dxa"/>
            <w:vAlign w:val="bottom"/>
          </w:tcPr>
          <w:p>
            <w:pPr>
              <w:spacing w:after="0"/>
              <w:rPr>
                <w:sz w:val="20"/>
                <w:szCs w:val="20"/>
                <w:color w:val="auto"/>
              </w:rPr>
            </w:pPr>
            <w:r>
              <w:rPr>
                <w:rFonts w:ascii="Arial" w:cs="Arial" w:eastAsia="Arial" w:hAnsi="Arial"/>
                <w:sz w:val="18"/>
                <w:szCs w:val="18"/>
                <w:color w:val="auto"/>
              </w:rPr>
              <w:t>Dilution per ADS to new investors participating in the offering</w:t>
            </w:r>
          </w:p>
        </w:tc>
        <w:tc>
          <w:tcPr>
            <w:tcW w:w="860" w:type="dxa"/>
            <w:vAlign w:val="bottom"/>
            <w:gridSpan w:val="2"/>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$ 2.78</w:t>
            </w:r>
          </w:p>
        </w:tc>
        <w:tc>
          <w:tcPr>
            <w:tcW w:w="120" w:type="dxa"/>
            <w:vAlign w:val="bottom"/>
          </w:tcPr>
          <w:p>
            <w:pPr>
              <w:spacing w:after="0"/>
              <w:rPr>
                <w:sz w:val="18"/>
                <w:szCs w:val="18"/>
                <w:color w:val="auto"/>
              </w:rPr>
            </w:pPr>
          </w:p>
        </w:tc>
      </w:tr>
      <w:tr>
        <w:trPr>
          <w:trHeight w:val="20"/>
        </w:trPr>
        <w:tc>
          <w:tcPr>
            <w:tcW w:w="9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discussion and table are based on 338,953,141 ordinary shares outstanding as of December 31, 2020 and excludes:</w:t>
      </w:r>
    </w:p>
    <w:p>
      <w:pPr>
        <w:spacing w:after="0" w:line="202" w:lineRule="exact"/>
        <w:rPr>
          <w:sz w:val="20"/>
          <w:szCs w:val="20"/>
          <w:color w:val="auto"/>
        </w:rPr>
      </w:pPr>
    </w:p>
    <w:p>
      <w:pPr>
        <w:ind w:left="980" w:hanging="432"/>
        <w:spacing w:after="0"/>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18,483,624 ordinary shares issuable upon exercise of outstanding options under our equity plans as of December 31, 2020;</w:t>
      </w:r>
    </w:p>
    <w:p>
      <w:pPr>
        <w:spacing w:after="0" w:line="107"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310,539,920 ordinary shares issuable upon the exercise of warrants, convertible notes and other committed equity outstanding as of December 31, 2020; and</w:t>
      </w:r>
    </w:p>
    <w:p>
      <w:pPr>
        <w:spacing w:after="0" w:line="108" w:lineRule="exact"/>
        <w:rPr>
          <w:rFonts w:ascii="MS PGothic" w:cs="MS PGothic" w:eastAsia="MS PGothic" w:hAnsi="MS PGothic"/>
          <w:sz w:val="25"/>
          <w:szCs w:val="25"/>
          <w:color w:val="auto"/>
          <w:vertAlign w:val="superscript"/>
        </w:rPr>
      </w:pPr>
    </w:p>
    <w:p>
      <w:pPr>
        <w:ind w:left="980" w:right="720" w:hanging="432"/>
        <w:spacing w:after="0" w:line="218"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39,675,000 ADSs representing 198,375,000 ordinary shares sold by us in an underwritten public offering completed on February 12, 2021.</w:t>
      </w:r>
    </w:p>
    <w:p>
      <w:pPr>
        <w:spacing w:after="0" w:line="20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To the extent that outstanding options or warrants are exercised or convertible notes converted,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securities, the issuance of these securities may result in further dilution to our shareholders.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We have entered into the Sale Agreement with Jefferies, under which we may offer and sell our ADSs from time to time through Jefferies acting as agent. Pursuant to this prospectus supplement we may offer and sell up to $50,000,000 of our ADSs. Sales of our ADSs, if any, under this prospectus supplement and the accompanying prospectus will be made by any method that is deemed to be an “at the market offering” as defined in Rule 415(a)(4) under the Securities Act.</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Each time we wish to issue and sell ADSs under the Sale Agreement, we will notify Jefferies of the number of ADSs to be issued, the dates on which such sales are anticipated to be made, any limitation on the number of ADSs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ADSs up to the amount specified on such terms. The obligations of Jefferies under the Sale Agreement to sell our ADSs are subject to a number of conditions that we must meet.</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settlement of sales of ADSs between us and Jefferies is generally anticipated to occur on the second trading day following the date on which the sale was made. Sales of our ADSs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will pay Jefferies a commission equal to 3.0% of the aggregate gross proceeds we receive from each sale of our ADSs.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in an amount not to exceed $125,000, in addition to certain ongoing disbursements of its legal counsel, unless Jefferies otherwise agrees. In addition, we estimate that the total expenses for the offering, excluding any commissions or expense reimbursement payable to Jefferies under the terms of the sales agreement and ADS issuance fees payable to the depositary bank, will be approximately $300,000. The remaining sale proceeds, after deducting any other transaction fees, will equal our net proceeds from the sale of such ADSs.</w:t>
      </w:r>
    </w:p>
    <w:p>
      <w:pPr>
        <w:spacing w:after="0" w:line="208" w:lineRule="exact"/>
        <w:rPr>
          <w:sz w:val="20"/>
          <w:szCs w:val="20"/>
          <w:color w:val="auto"/>
        </w:rPr>
      </w:pPr>
    </w:p>
    <w:p>
      <w:pPr>
        <w:jc w:val="both"/>
        <w:ind w:left="120" w:right="360" w:firstLine="440"/>
        <w:spacing w:after="0"/>
        <w:rPr>
          <w:sz w:val="20"/>
          <w:szCs w:val="20"/>
          <w:color w:val="auto"/>
        </w:rPr>
      </w:pPr>
      <w:r>
        <w:rPr>
          <w:rFonts w:ascii="Arial" w:cs="Arial" w:eastAsia="Arial" w:hAnsi="Arial"/>
          <w:sz w:val="18"/>
          <w:szCs w:val="18"/>
          <w:color w:val="auto"/>
        </w:rPr>
        <w:t>Jefferies will provide written confirmation to us before the open on the Nasdaq on the day following each day on which ADSs are sold under the sales agreement. Each confirmation will include the number of ADSs sold on that day, the aggregate gross proceeds of such sales and the proceeds to us.</w:t>
      </w:r>
    </w:p>
    <w:p>
      <w:pPr>
        <w:spacing w:after="0" w:line="203" w:lineRule="exact"/>
        <w:rPr>
          <w:sz w:val="20"/>
          <w:szCs w:val="20"/>
          <w:color w:val="auto"/>
        </w:rPr>
      </w:pPr>
    </w:p>
    <w:p>
      <w:pPr>
        <w:ind w:left="120" w:right="480" w:firstLine="440"/>
        <w:spacing w:after="0" w:line="238" w:lineRule="auto"/>
        <w:rPr>
          <w:sz w:val="20"/>
          <w:szCs w:val="20"/>
          <w:color w:val="auto"/>
        </w:rPr>
      </w:pPr>
      <w:r>
        <w:rPr>
          <w:rFonts w:ascii="Arial" w:cs="Arial" w:eastAsia="Arial" w:hAnsi="Arial"/>
          <w:sz w:val="18"/>
          <w:szCs w:val="18"/>
          <w:color w:val="auto"/>
        </w:rPr>
        <w:t>In connection with the sale of the ADSs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20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offering of our ADSs pursuant to the sales agreement will terminate upon the earlier of (i) the sale of all ADSs subject to the sales agreement and (ii) the termination of the sales agreement as permitted therein.</w:t>
      </w:r>
    </w:p>
    <w:p>
      <w:pPr>
        <w:spacing w:after="0" w:line="197"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20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address of Jefferies LLC is 520 Madison Avenue New York, New York 10022.</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supplement will be passed upon for us by Mayer Brown International LLP. Jefferies LLC is being represented in connection with this offering by Cooley LLP, New York, New York with respect to U.S. law and Cooley (UK) LLP with respect to certain matters of English law.</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jc w:val="center"/>
        <w:ind w:right="220"/>
        <w:spacing w:after="0" w:line="41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S-15</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supplement and our website address is included in this prospectus supplement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other documents which we have filed or will file with the SEC. We are incorporating by reference in this prospectus supplement the documents listed below and all amendments or supplements we may file to such documents, as well as any future filings we may make with the SEC on Form 20-F under the Exchange Act before the time that all of the securities offered by this prospectus supplement have been sold or de-registered:</w:t>
      </w:r>
    </w:p>
    <w:p>
      <w:pPr>
        <w:spacing w:after="0" w:line="193" w:lineRule="exact"/>
        <w:rPr>
          <w:sz w:val="20"/>
          <w:szCs w:val="20"/>
          <w:color w:val="auto"/>
        </w:rPr>
      </w:pPr>
    </w:p>
    <w:p>
      <w:pPr>
        <w:ind w:left="980" w:hanging="432"/>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6">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31, 2021;</w:t>
      </w:r>
    </w:p>
    <w:p>
      <w:pPr>
        <w:spacing w:after="0" w:line="26" w:lineRule="exact"/>
        <w:rPr>
          <w:rFonts w:ascii="Arial" w:cs="Arial" w:eastAsia="Arial" w:hAnsi="Arial"/>
          <w:sz w:val="18"/>
          <w:szCs w:val="18"/>
          <w:color w:val="auto"/>
        </w:rPr>
      </w:pPr>
    </w:p>
    <w:p>
      <w:pPr>
        <w:ind w:left="980" w:hanging="432"/>
        <w:spacing w:after="0" w:line="205"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report on </w:t>
      </w:r>
      <w:hyperlink r:id="rId107">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furnished to the SEC on July 20, 2021; and</w:t>
      </w:r>
    </w:p>
    <w:p>
      <w:pPr>
        <w:spacing w:after="0" w:line="26" w:lineRule="exact"/>
        <w:rPr>
          <w:rFonts w:ascii="Arial" w:cs="Arial" w:eastAsia="Arial" w:hAnsi="Arial"/>
          <w:sz w:val="18"/>
          <w:szCs w:val="18"/>
          <w:color w:val="auto"/>
        </w:rPr>
      </w:pPr>
    </w:p>
    <w:p>
      <w:pPr>
        <w:ind w:left="980" w:right="20" w:hanging="432"/>
        <w:spacing w:after="0" w:line="226" w:lineRule="auto"/>
        <w:tabs>
          <w:tab w:leader="none" w:pos="980" w:val="left"/>
        </w:tabs>
        <w:numPr>
          <w:ilvl w:val="0"/>
          <w:numId w:val="52"/>
        </w:numPr>
        <w:rPr>
          <w:rFonts w:ascii="Arial" w:cs="Arial" w:eastAsia="Arial" w:hAnsi="Arial"/>
          <w:sz w:val="18"/>
          <w:szCs w:val="18"/>
          <w:color w:val="0000EE"/>
        </w:rPr>
      </w:pPr>
      <w:r>
        <w:rPr>
          <w:rFonts w:ascii="Arial" w:cs="Arial" w:eastAsia="Arial" w:hAnsi="Arial"/>
          <w:sz w:val="18"/>
          <w:szCs w:val="18"/>
          <w:color w:val="auto"/>
        </w:rPr>
        <w:t xml:space="preserve">The description of our ordinary shares contained in Item 1 of the Registration Statement on </w:t>
      </w:r>
      <w:hyperlink r:id="rId108">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w:t>
      </w:r>
      <w:hyperlink r:id="rId109">
        <w:r>
          <w:rPr>
            <w:rFonts w:ascii="Arial" w:cs="Arial" w:eastAsia="Arial" w:hAnsi="Arial"/>
            <w:sz w:val="18"/>
            <w:szCs w:val="18"/>
            <w:color w:val="auto"/>
          </w:rPr>
          <w:t xml:space="preserve">originally filed with the SEC on April 9, 2018 and subsequently amended on April 15, 2019, as updated by </w:t>
        </w:r>
        <w:r>
          <w:rPr>
            <w:rFonts w:ascii="Arial" w:cs="Arial" w:eastAsia="Arial" w:hAnsi="Arial"/>
            <w:sz w:val="18"/>
            <w:szCs w:val="18"/>
            <w:u w:val="single" w:color="auto"/>
            <w:color w:val="0000EE"/>
          </w:rPr>
          <w:t>Exhibit 2.2 to the</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EE"/>
          </w:rPr>
          <w:t>2020 Form 20-F</w:t>
        </w:r>
        <w:r>
          <w:rPr>
            <w:rFonts w:ascii="Arial" w:cs="Arial" w:eastAsia="Arial" w:hAnsi="Arial"/>
            <w:sz w:val="18"/>
            <w:szCs w:val="18"/>
            <w:color w:val="000000"/>
          </w:rPr>
          <w:t>, including the “Description of Ordinary Shares” and the “Description of American Depositary Shares” contained</w:t>
        </w:r>
      </w:hyperlink>
      <w:r>
        <w:rPr>
          <w:rFonts w:ascii="Arial" w:cs="Arial" w:eastAsia="Arial" w:hAnsi="Arial"/>
          <w:sz w:val="18"/>
          <w:szCs w:val="18"/>
          <w:color w:val="0000EE"/>
        </w:rPr>
        <w:t xml:space="preserve"> </w:t>
      </w:r>
      <w:r>
        <w:rPr>
          <w:rFonts w:ascii="Arial" w:cs="Arial" w:eastAsia="Arial" w:hAnsi="Arial"/>
          <w:sz w:val="18"/>
          <w:szCs w:val="18"/>
          <w:color w:val="000000"/>
        </w:rPr>
        <w:t>therein and any amendment or report filed for the purpose of further updating such descriptions.</w:t>
      </w:r>
    </w:p>
    <w:p>
      <w:pPr>
        <w:spacing w:after="0" w:line="203" w:lineRule="exact"/>
        <w:rPr>
          <w:rFonts w:ascii="Arial" w:cs="Arial" w:eastAsia="Arial" w:hAnsi="Arial"/>
          <w:sz w:val="18"/>
          <w:szCs w:val="18"/>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supplement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supplement forms a part, shall be considered to be incorporated into this prospectus supplement by reference and shall be considered a part of this prospectus supplement from the date of filing or submission of such documents.</w:t>
      </w:r>
    </w:p>
    <w:p>
      <w:pPr>
        <w:spacing w:after="0" w:line="208" w:lineRule="exact"/>
        <w:rPr>
          <w:rFonts w:ascii="Arial" w:cs="Arial" w:eastAsia="Arial" w:hAnsi="Arial"/>
          <w:sz w:val="18"/>
          <w:szCs w:val="18"/>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supplement, you should rely on the statements made in the most recent document. All information appearing in this prospectus supplement is qualified in its entirety by the information and financial statements, including the notes thereto, contained in the documents incorporated by reference herein.</w:t>
      </w:r>
    </w:p>
    <w:p>
      <w:pPr>
        <w:spacing w:after="0" w:line="205" w:lineRule="exact"/>
        <w:rPr>
          <w:rFonts w:ascii="Arial" w:cs="Arial" w:eastAsia="Arial" w:hAnsi="Arial"/>
          <w:sz w:val="18"/>
          <w:szCs w:val="18"/>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supplement is delivered, a copy of these filings, at no cost, upon written or oral request to us at the following address:</w:t>
      </w:r>
    </w:p>
    <w:p>
      <w:pPr>
        <w:spacing w:after="0" w:line="192" w:lineRule="exact"/>
        <w:rPr>
          <w:rFonts w:ascii="Arial" w:cs="Arial" w:eastAsia="Arial" w:hAnsi="Arial"/>
          <w:sz w:val="18"/>
          <w:szCs w:val="18"/>
          <w:color w:val="auto"/>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212" w:lineRule="exact"/>
        <w:rPr>
          <w:rFonts w:ascii="Arial" w:cs="Arial" w:eastAsia="Arial" w:hAnsi="Arial"/>
          <w:sz w:val="18"/>
          <w:szCs w:val="18"/>
          <w:color w:val="auto"/>
        </w:rPr>
      </w:pPr>
    </w:p>
    <w:p>
      <w:pPr>
        <w:ind w:left="120" w:firstLine="440"/>
        <w:spacing w:after="0" w:line="238"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authorized anyone else to provide you with different or additional information. An offer of these securities is not being made in any jurisdiction where the offer or sale is not permitted. You should not assume that the information in this prospectus supplement is accurate as of any date other than the date on the front of those documents.</w:t>
      </w:r>
    </w:p>
    <w:p>
      <w:pPr>
        <w:spacing w:after="0" w:line="137"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522605</wp:posOffset>
            </wp:positionV>
            <wp:extent cx="2468880" cy="900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Up to $50,000,000 American Depositary Shares</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4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 2021</w:t>
      </w:r>
    </w:p>
    <w:p>
      <w:pPr>
        <w:sectPr>
          <w:pgSz w:w="11900" w:h="16838" w:orient="portrait"/>
          <w:cols w:equalWidth="0" w:num="1">
            <w:col w:w="10139"/>
          </w:cols>
          <w:pgMar w:left="320" w:top="459"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205"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Exhibits and financial statements</w:t>
      </w:r>
    </w:p>
    <w:p>
      <w:pPr>
        <w:spacing w:after="0" w:line="212" w:lineRule="exact"/>
        <w:rPr>
          <w:sz w:val="20"/>
          <w:szCs w:val="20"/>
          <w:color w:val="auto"/>
        </w:rPr>
      </w:pPr>
    </w:p>
    <w:p>
      <w:pPr>
        <w:ind w:left="120" w:right="160" w:firstLine="436"/>
        <w:spacing w:after="0" w:line="271" w:lineRule="auto"/>
        <w:tabs>
          <w:tab w:leader="none" w:pos="83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120" w:right="260" w:firstLine="436"/>
        <w:spacing w:after="0" w:line="271" w:lineRule="auto"/>
        <w:tabs>
          <w:tab w:leader="none" w:pos="83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 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Undertakings</w:t>
      </w:r>
    </w:p>
    <w:p>
      <w:pPr>
        <w:spacing w:after="0" w:line="139" w:lineRule="exact"/>
        <w:rPr>
          <w:sz w:val="20"/>
          <w:szCs w:val="20"/>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420" w:right="760" w:hanging="427"/>
        <w:spacing w:after="0" w:line="246" w:lineRule="auto"/>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860" w:right="300" w:hanging="435"/>
        <w:spacing w:after="0"/>
        <w:tabs>
          <w:tab w:leader="none" w:pos="18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80" w:right="180"/>
        <w:spacing w:after="0" w:line="237" w:lineRule="auto"/>
        <w:rPr>
          <w:sz w:val="20"/>
          <w:szCs w:val="20"/>
          <w:color w:val="auto"/>
        </w:rPr>
      </w:pPr>
      <w:r>
        <w:rPr>
          <w:rFonts w:ascii="Arial" w:cs="Arial" w:eastAsia="Arial" w:hAnsi="Arial"/>
          <w:sz w:val="18"/>
          <w:szCs w:val="18"/>
          <w:color w:val="auto"/>
        </w:rPr>
        <w:t>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10" w:lineRule="exact"/>
        <w:rPr>
          <w:sz w:val="20"/>
          <w:szCs w:val="20"/>
          <w:color w:val="auto"/>
        </w:rPr>
      </w:pPr>
    </w:p>
    <w:p>
      <w:pPr>
        <w:ind w:left="1860" w:right="80" w:hanging="435"/>
        <w:spacing w:after="0" w:line="237" w:lineRule="auto"/>
        <w:tabs>
          <w:tab w:leader="none" w:pos="18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(a)(1)(ii) and a(l)(iii)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8" w:lineRule="exact"/>
        <w:rPr>
          <w:rFonts w:ascii="Arial" w:cs="Arial" w:eastAsia="Arial" w:hAnsi="Arial"/>
          <w:sz w:val="18"/>
          <w:szCs w:val="18"/>
          <w:color w:val="auto"/>
        </w:rPr>
      </w:pPr>
    </w:p>
    <w:p>
      <w:pPr>
        <w:ind w:left="1420" w:right="280" w:hanging="427"/>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Arial" w:cs="Arial" w:eastAsia="Arial" w:hAnsi="Arial"/>
          <w:sz w:val="18"/>
          <w:szCs w:val="18"/>
          <w:color w:val="auto"/>
        </w:rPr>
      </w:pPr>
    </w:p>
    <w:p>
      <w:pPr>
        <w:ind w:left="1420" w:right="120" w:hanging="427"/>
        <w:spacing w:after="0" w:line="246"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420" w:right="20" w:hanging="427"/>
        <w:spacing w:after="0" w:line="236"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Exchange Act of 1934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if such financial statements and information are contained in periodic reports filed with or furnished to the SEC by the registrant pursuant to Section 13 or Section 15(d) of the Securities Exchange Act of 1934 that are incorporated by reference in this Form F-3.</w:t>
      </w:r>
    </w:p>
    <w:p>
      <w:pPr>
        <w:spacing w:after="0" w:line="111" w:lineRule="exact"/>
        <w:rPr>
          <w:rFonts w:ascii="Arial" w:cs="Arial" w:eastAsia="Arial" w:hAnsi="Arial"/>
          <w:sz w:val="18"/>
          <w:szCs w:val="18"/>
          <w:color w:val="auto"/>
        </w:rPr>
      </w:pPr>
    </w:p>
    <w:p>
      <w:pPr>
        <w:ind w:left="1420" w:hanging="427"/>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860" w:hanging="435"/>
        <w:spacing w:after="0"/>
        <w:tabs>
          <w:tab w:leader="none" w:pos="18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2300" w:right="220" w:hanging="429"/>
        <w:spacing w:after="0"/>
        <w:tabs>
          <w:tab w:leader="none" w:pos="23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Arial" w:cs="Arial" w:eastAsia="Arial" w:hAnsi="Arial"/>
          <w:sz w:val="18"/>
          <w:szCs w:val="18"/>
          <w:color w:val="auto"/>
        </w:rPr>
      </w:pPr>
    </w:p>
    <w:p>
      <w:pPr>
        <w:ind w:left="2300" w:hanging="429"/>
        <w:spacing w:after="0" w:line="238" w:lineRule="auto"/>
        <w:tabs>
          <w:tab w:leader="none" w:pos="23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320" w:right="20"/>
        <w:spacing w:after="0" w:line="236" w:lineRule="auto"/>
        <w:rPr>
          <w:sz w:val="20"/>
          <w:szCs w:val="20"/>
          <w:color w:val="auto"/>
        </w:rPr>
      </w:pPr>
      <w:r>
        <w:rPr>
          <w:rFonts w:ascii="Arial" w:cs="Arial" w:eastAsia="Arial" w:hAnsi="Arial"/>
          <w:sz w:val="18"/>
          <w:szCs w:val="18"/>
          <w:color w:val="auto"/>
        </w:rPr>
        <w:t>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1" w:lineRule="exact"/>
        <w:rPr>
          <w:sz w:val="20"/>
          <w:szCs w:val="20"/>
          <w:color w:val="auto"/>
        </w:rPr>
      </w:pPr>
    </w:p>
    <w:p>
      <w:pPr>
        <w:ind w:left="1860" w:right="20" w:hanging="435"/>
        <w:spacing w:after="0" w:line="236" w:lineRule="auto"/>
        <w:tabs>
          <w:tab w:leader="none" w:pos="18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rFonts w:ascii="Arial" w:cs="Arial" w:eastAsia="Arial" w:hAnsi="Arial"/>
          <w:sz w:val="18"/>
          <w:szCs w:val="18"/>
          <w:color w:val="auto"/>
        </w:rPr>
      </w:pPr>
    </w:p>
    <w:p>
      <w:pPr>
        <w:ind w:left="1420" w:hanging="427"/>
        <w:spacing w:after="0" w:line="246"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02" w:lineRule="exact"/>
        <w:rPr>
          <w:rFonts w:ascii="Arial" w:cs="Arial" w:eastAsia="Arial" w:hAnsi="Arial"/>
          <w:sz w:val="18"/>
          <w:szCs w:val="18"/>
          <w:color w:val="auto"/>
        </w:rPr>
      </w:pPr>
    </w:p>
    <w:p>
      <w:pPr>
        <w:ind w:left="1420" w:right="320"/>
        <w:spacing w:after="0" w:line="238"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8"/>
          <w:szCs w:val="18"/>
          <w:color w:val="auto"/>
        </w:rPr>
      </w:pPr>
    </w:p>
    <w:p>
      <w:pPr>
        <w:ind w:left="1860" w:right="280" w:hanging="435"/>
        <w:spacing w:after="0" w:line="246" w:lineRule="auto"/>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1860" w:right="100" w:hanging="435"/>
        <w:spacing w:after="0" w:line="246" w:lineRule="auto"/>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ind w:left="1860" w:right="400" w:hanging="435"/>
        <w:spacing w:after="0" w:line="246" w:lineRule="auto"/>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980" w:right="120" w:hanging="432"/>
        <w:spacing w:after="0" w:line="238"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therein, and the offering of such securities at that time shall be deemed to be the initial bona fide offering thereof.</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(c)-(g) Not applicable.</w:t>
      </w:r>
    </w:p>
    <w:p>
      <w:pPr>
        <w:spacing w:after="0" w:line="117" w:lineRule="exact"/>
        <w:rPr>
          <w:sz w:val="20"/>
          <w:szCs w:val="20"/>
          <w:color w:val="auto"/>
        </w:rPr>
      </w:pPr>
    </w:p>
    <w:p>
      <w:pPr>
        <w:ind w:left="980" w:hanging="432"/>
        <w:spacing w:after="0" w:line="251"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referred to in Item 8,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20" w:type="dxa"/>
            <w:vAlign w:val="bottom"/>
            <w:gridSpan w:val="22"/>
          </w:tcPr>
          <w:p>
            <w:pPr>
              <w:ind w:left="18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320" w:type="dxa"/>
            <w:vAlign w:val="bottom"/>
            <w:gridSpan w:val="22"/>
          </w:tcPr>
          <w:p>
            <w:pPr>
              <w:ind w:left="780"/>
              <w:spacing w:after="0"/>
              <w:rPr>
                <w:sz w:val="20"/>
                <w:szCs w:val="20"/>
                <w:color w:val="auto"/>
              </w:rPr>
            </w:pPr>
            <w:r>
              <w:rPr>
                <w:rFonts w:ascii="Arial" w:cs="Arial" w:eastAsia="Arial" w:hAnsi="Arial"/>
                <w:sz w:val="14"/>
                <w:szCs w:val="14"/>
                <w:b w:val="1"/>
                <w:bCs w:val="1"/>
                <w:color w:val="auto"/>
              </w:rPr>
              <w:t>Exhibit Description</w:t>
            </w:r>
          </w:p>
        </w:tc>
      </w:tr>
      <w:tr>
        <w:trPr>
          <w:trHeight w:val="318"/>
        </w:trPr>
        <w:tc>
          <w:tcPr>
            <w:tcW w:w="40" w:type="dxa"/>
            <w:vAlign w:val="bottom"/>
          </w:tcPr>
          <w:p>
            <w:pPr>
              <w:spacing w:after="0"/>
              <w:rPr>
                <w:sz w:val="24"/>
                <w:szCs w:val="24"/>
                <w:color w:val="auto"/>
              </w:rPr>
            </w:pPr>
          </w:p>
        </w:tc>
        <w:tc>
          <w:tcPr>
            <w:tcW w:w="560" w:type="dxa"/>
            <w:vAlign w:val="bottom"/>
            <w:tcBorders>
              <w:top w:val="single" w:sz="8" w:color="auto"/>
            </w:tcBorders>
          </w:tcPr>
          <w:p>
            <w:pPr>
              <w:jc w:val="right"/>
              <w:ind w:right="102"/>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rPr>
              <w:t>Form of Underwriting Agreement.</w:t>
            </w:r>
          </w:p>
        </w:tc>
        <w:tc>
          <w:tcPr>
            <w:tcW w:w="1320" w:type="dxa"/>
            <w:vAlign w:val="bottom"/>
            <w:tcBorders>
              <w:top w:val="single" w:sz="8" w:color="auto"/>
            </w:tcBorders>
            <w:gridSpan w:val="5"/>
          </w:tcPr>
          <w:p>
            <w:pPr>
              <w:spacing w:after="0"/>
              <w:rPr>
                <w:sz w:val="24"/>
                <w:szCs w:val="24"/>
                <w:color w:val="auto"/>
              </w:rPr>
            </w:pPr>
          </w:p>
        </w:tc>
        <w:tc>
          <w:tcPr>
            <w:tcW w:w="4220" w:type="dxa"/>
            <w:vAlign w:val="bottom"/>
            <w:gridSpan w:val="16"/>
          </w:tcPr>
          <w:p>
            <w:pPr>
              <w:spacing w:after="0"/>
              <w:rPr>
                <w:sz w:val="24"/>
                <w:szCs w:val="24"/>
                <w:color w:val="auto"/>
              </w:rPr>
            </w:pPr>
          </w:p>
        </w:tc>
      </w:tr>
      <w:tr>
        <w:trPr>
          <w:trHeight w:val="243"/>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1"/>
                <w:szCs w:val="21"/>
                <w:color w:val="auto"/>
              </w:rPr>
            </w:pPr>
          </w:p>
        </w:tc>
        <w:tc>
          <w:tcPr>
            <w:tcW w:w="2380" w:type="dxa"/>
            <w:vAlign w:val="bottom"/>
            <w:gridSpan w:val="2"/>
          </w:tcPr>
          <w:p>
            <w:pPr>
              <w:spacing w:after="0"/>
              <w:rPr>
                <w:rFonts w:ascii="Arial" w:cs="Arial" w:eastAsia="Arial" w:hAnsi="Arial"/>
                <w:sz w:val="18"/>
                <w:szCs w:val="18"/>
                <w:color w:val="0000EE"/>
                <w:w w:val="99"/>
              </w:rPr>
            </w:pPr>
            <w:hyperlink r:id="rId142">
              <w:r>
                <w:rPr>
                  <w:rFonts w:ascii="Arial" w:cs="Arial" w:eastAsia="Arial" w:hAnsi="Arial"/>
                  <w:sz w:val="18"/>
                  <w:szCs w:val="18"/>
                  <w:color w:val="0000EE"/>
                  <w:w w:val="99"/>
                </w:rPr>
                <w:t>Open Market Sale Agreement</w:t>
              </w:r>
            </w:hyperlink>
          </w:p>
        </w:tc>
        <w:tc>
          <w:tcPr>
            <w:tcW w:w="220" w:type="dxa"/>
            <w:vAlign w:val="bottom"/>
            <w:tcBorders>
              <w:bottom w:val="single" w:sz="8" w:color="0000EE"/>
            </w:tcBorders>
            <w:gridSpan w:val="2"/>
          </w:tcPr>
          <w:p>
            <w:pPr>
              <w:spacing w:after="0"/>
              <w:rPr>
                <w:rFonts w:ascii="Arial" w:cs="Arial" w:eastAsia="Arial" w:hAnsi="Arial"/>
                <w:sz w:val="15"/>
                <w:szCs w:val="15"/>
                <w:color w:val="0000EE"/>
                <w:w w:val="88"/>
              </w:rPr>
            </w:pPr>
            <w:hyperlink r:id="rId142">
              <w:r>
                <w:rPr>
                  <w:rFonts w:ascii="Arial" w:cs="Arial" w:eastAsia="Arial" w:hAnsi="Arial"/>
                  <w:sz w:val="15"/>
                  <w:szCs w:val="15"/>
                  <w:color w:val="0000EE"/>
                  <w:w w:val="88"/>
                </w:rPr>
                <w:t>SM</w:t>
              </w:r>
            </w:hyperlink>
          </w:p>
        </w:tc>
        <w:tc>
          <w:tcPr>
            <w:tcW w:w="7200" w:type="dxa"/>
            <w:vAlign w:val="bottom"/>
            <w:gridSpan w:val="24"/>
          </w:tcPr>
          <w:p>
            <w:pPr>
              <w:spacing w:after="0"/>
              <w:rPr>
                <w:rFonts w:ascii="Arial" w:cs="Arial" w:eastAsia="Arial" w:hAnsi="Arial"/>
                <w:sz w:val="18"/>
                <w:szCs w:val="18"/>
                <w:color w:val="0000EE"/>
              </w:rPr>
            </w:pPr>
            <w:hyperlink r:id="rId142">
              <w:r>
                <w:rPr>
                  <w:rFonts w:ascii="Arial" w:cs="Arial" w:eastAsia="Arial" w:hAnsi="Arial"/>
                  <w:sz w:val="18"/>
                  <w:szCs w:val="18"/>
                  <w:color w:val="0000EE"/>
                </w:rPr>
                <w:t>, dated August 5, 2021, by and between Mereo BioPharma Group plc and Jefferies LLC.</w:t>
              </w:r>
            </w:hyperlink>
          </w:p>
        </w:tc>
      </w:tr>
      <w:tr>
        <w:trPr>
          <w:trHeight w:val="20"/>
        </w:trPr>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18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480" w:type="dxa"/>
            <w:vAlign w:val="bottom"/>
            <w:tcBorders>
              <w:bottom w:val="single" w:sz="8" w:color="0000EE"/>
            </w:tcBorders>
            <w:gridSpan w:val="2"/>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000" w:type="dxa"/>
            <w:vAlign w:val="bottom"/>
            <w:tcBorders>
              <w:bottom w:val="single" w:sz="8" w:color="0000EE"/>
            </w:tcBorders>
            <w:gridSpan w:val="2"/>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154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700" w:type="dxa"/>
            <w:vAlign w:val="bottom"/>
            <w:tcBorders>
              <w:bottom w:val="single" w:sz="8" w:color="0000EE"/>
            </w:tcBorders>
            <w:gridSpan w:val="27"/>
          </w:tcPr>
          <w:p>
            <w:pPr>
              <w:spacing w:after="0"/>
              <w:rPr>
                <w:rFonts w:ascii="Arial" w:cs="Arial" w:eastAsia="Arial" w:hAnsi="Arial"/>
                <w:sz w:val="18"/>
                <w:szCs w:val="18"/>
                <w:color w:val="0000EE"/>
                <w:w w:val="99"/>
              </w:rPr>
            </w:pPr>
            <w:hyperlink r:id="rId143">
              <w:r>
                <w:rPr>
                  <w:rFonts w:ascii="Arial" w:cs="Arial" w:eastAsia="Arial" w:hAnsi="Arial"/>
                  <w:sz w:val="18"/>
                  <w:szCs w:val="18"/>
                  <w:color w:val="0000EE"/>
                  <w:w w:val="99"/>
                </w:rPr>
                <w:t>Form of Deposit Agreement (incorporated by reference to Exhibit 4.2 to the registrant’s registration statement on Form F-4</w:t>
              </w:r>
            </w:hyperlink>
          </w:p>
        </w:tc>
        <w:tc>
          <w:tcPr>
            <w:tcW w:w="10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0" w:type="dxa"/>
            <w:vAlign w:val="bottom"/>
            <w:gridSpan w:val="28"/>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filed with the SEC on January, 25, 2019 (File No. 333-229351)).</w:t>
              </w:r>
            </w:hyperlink>
          </w:p>
        </w:tc>
      </w:tr>
      <w:tr>
        <w:trPr>
          <w:trHeight w:val="291"/>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5040" w:type="dxa"/>
            <w:vAlign w:val="bottom"/>
            <w:tcBorders>
              <w:top w:val="single" w:sz="8" w:color="0000EE"/>
            </w:tcBorders>
            <w:gridSpan w:val="9"/>
          </w:tcPr>
          <w:p>
            <w:pPr>
              <w:spacing w:after="0"/>
              <w:rPr>
                <w:rFonts w:ascii="Arial" w:cs="Arial" w:eastAsia="Arial" w:hAnsi="Arial"/>
                <w:sz w:val="18"/>
                <w:szCs w:val="18"/>
                <w:color w:val="0000EE"/>
              </w:rPr>
            </w:pPr>
            <w:hyperlink r:id="rId143">
              <w:r>
                <w:rPr>
                  <w:rFonts w:ascii="Arial" w:cs="Arial" w:eastAsia="Arial" w:hAnsi="Arial"/>
                  <w:sz w:val="18"/>
                  <w:szCs w:val="18"/>
                  <w:color w:val="0000EE"/>
                </w:rPr>
                <w:t>Form of American Depositary Receipt (included in Exhibit 4.1).</w:t>
              </w:r>
            </w:hyperlink>
          </w:p>
        </w:tc>
        <w:tc>
          <w:tcPr>
            <w:tcW w:w="4760" w:type="dxa"/>
            <w:vAlign w:val="bottom"/>
            <w:gridSpan w:val="19"/>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0"/>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r:id="rId144">
              <w:r>
                <w:rPr>
                  <w:rFonts w:ascii="Arial" w:cs="Arial" w:eastAsia="Arial" w:hAnsi="Arial"/>
                  <w:sz w:val="18"/>
                  <w:szCs w:val="18"/>
                  <w:color w:val="0000EE"/>
                </w:rPr>
                <w:t>Deed of Amendment and Restatement relating to a Subscription Deed, dated May 21, 2021, by and between Mereo</w:t>
              </w:r>
            </w:hyperlink>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BioPharma Group plc and AstraZeneca AB.</w:t>
              </w:r>
            </w:hyperlink>
          </w:p>
        </w:tc>
        <w:tc>
          <w:tcPr>
            <w:tcW w:w="5760" w:type="dxa"/>
            <w:vAlign w:val="bottom"/>
            <w:tcBorders>
              <w:top w:val="single" w:sz="8" w:color="0000EE"/>
            </w:tcBorders>
            <w:gridSpan w:val="11"/>
          </w:tcPr>
          <w:p>
            <w:pPr>
              <w:spacing w:after="0"/>
              <w:rPr>
                <w:sz w:val="15"/>
                <w:szCs w:val="15"/>
                <w:color w:val="auto"/>
              </w:rPr>
            </w:pPr>
          </w:p>
        </w:tc>
        <w:tc>
          <w:tcPr>
            <w:tcW w:w="560" w:type="dxa"/>
            <w:vAlign w:val="bottom"/>
            <w:gridSpan w:val="11"/>
          </w:tcPr>
          <w:p>
            <w:pPr>
              <w:spacing w:after="0"/>
              <w:rPr>
                <w:sz w:val="15"/>
                <w:szCs w:val="15"/>
                <w:color w:val="auto"/>
              </w:rPr>
            </w:pPr>
          </w:p>
        </w:tc>
      </w:tr>
      <w:tr>
        <w:trPr>
          <w:trHeight w:val="291"/>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r:id="rId145">
              <w:r>
                <w:rPr>
                  <w:rFonts w:ascii="Arial" w:cs="Arial" w:eastAsia="Arial" w:hAnsi="Arial"/>
                  <w:sz w:val="18"/>
                  <w:szCs w:val="18"/>
                  <w:color w:val="0000EE"/>
                </w:rPr>
                <w:t>Deed of Consent and Amendment to Warrant Instruments, dated December 15, 2020, by and between Mereo Biopharma</w:t>
              </w:r>
            </w:hyperlink>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145">
              <w:r>
                <w:rPr>
                  <w:rFonts w:ascii="Arial" w:cs="Arial" w:eastAsia="Arial" w:hAnsi="Arial"/>
                  <w:sz w:val="18"/>
                  <w:szCs w:val="18"/>
                  <w:color w:val="0000EE"/>
                  <w:w w:val="99"/>
                </w:rPr>
                <w:t>Group plc, Kreos Capital V (UK) Limited and Silicon Valley Bank.</w:t>
              </w:r>
            </w:hyperlink>
          </w:p>
        </w:tc>
        <w:tc>
          <w:tcPr>
            <w:tcW w:w="4520" w:type="dxa"/>
            <w:vAlign w:val="bottom"/>
            <w:tcBorders>
              <w:top w:val="single" w:sz="8" w:color="0000EE"/>
            </w:tcBorders>
            <w:gridSpan w:val="16"/>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90"/>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r:id="rId146">
              <w:r>
                <w:rPr>
                  <w:rFonts w:ascii="Arial" w:cs="Arial" w:eastAsia="Arial" w:hAnsi="Arial"/>
                  <w:sz w:val="18"/>
                  <w:szCs w:val="18"/>
                  <w:color w:val="0000EE"/>
                </w:rPr>
                <w:t>Deed of Consent and Amendment to Note Instrument, dated November 24, 2020, between Mereo BioPharma Group plc</w:t>
              </w:r>
            </w:hyperlink>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0" w:type="dxa"/>
            <w:vAlign w:val="bottom"/>
            <w:gridSpan w:val="28"/>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and Novartis Pharma AG (incorporated by reference to Exhibit 4.30 to the registrant’s Annual Report on Form 20-F for the</w:t>
              </w:r>
            </w:hyperlink>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year ended December 31, 2020, filed with the SEC on March 31, 2021 (File No. 001-38452)).</w:t>
              </w:r>
            </w:hyperlink>
          </w:p>
        </w:tc>
        <w:tc>
          <w:tcPr>
            <w:tcW w:w="2200" w:type="dxa"/>
            <w:vAlign w:val="bottom"/>
            <w:tcBorders>
              <w:top w:val="single" w:sz="8" w:color="0000EE"/>
            </w:tcBorders>
            <w:gridSpan w:val="11"/>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91"/>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4"/>
                <w:szCs w:val="24"/>
                <w:color w:val="auto"/>
              </w:rPr>
            </w:pPr>
          </w:p>
        </w:tc>
        <w:tc>
          <w:tcPr>
            <w:tcW w:w="9580" w:type="dxa"/>
            <w:vAlign w:val="bottom"/>
            <w:tcBorders>
              <w:bottom w:val="single" w:sz="8" w:color="0000EE"/>
            </w:tcBorders>
            <w:gridSpan w:val="23"/>
          </w:tcPr>
          <w:p>
            <w:pPr>
              <w:spacing w:after="0"/>
              <w:rPr>
                <w:rFonts w:ascii="Arial" w:cs="Arial" w:eastAsia="Arial" w:hAnsi="Arial"/>
                <w:sz w:val="18"/>
                <w:szCs w:val="18"/>
                <w:color w:val="0000EE"/>
              </w:rPr>
            </w:pPr>
            <w:hyperlink r:id="rId147">
              <w:r>
                <w:rPr>
                  <w:rFonts w:ascii="Arial" w:cs="Arial" w:eastAsia="Arial" w:hAnsi="Arial"/>
                  <w:sz w:val="18"/>
                  <w:szCs w:val="18"/>
                  <w:color w:val="0000EE"/>
                </w:rPr>
                <w:t>Deed of Consent and Amendment to Warrant Instrument, dated November 24, 2020, between Mereo BioPharma Group</w:t>
              </w:r>
            </w:hyperlink>
          </w:p>
        </w:tc>
        <w:tc>
          <w:tcPr>
            <w:tcW w:w="220" w:type="dxa"/>
            <w:vAlign w:val="bottom"/>
            <w:gridSpan w:val="5"/>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0" w:type="dxa"/>
            <w:vAlign w:val="bottom"/>
            <w:gridSpan w:val="28"/>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plc and Novartis Pharma AG (incorporated by reference to Exhibit 4.31 to the registrant’s Annual Report on Form 20-F for</w:t>
              </w:r>
            </w:hyperlink>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the year ended December 31, 2020, filed with the SEC on March 31, 2021 (File No. 001-38452)).</w:t>
              </w:r>
            </w:hyperlink>
          </w:p>
        </w:tc>
        <w:tc>
          <w:tcPr>
            <w:tcW w:w="160" w:type="dxa"/>
            <w:vAlign w:val="bottom"/>
            <w:gridSpan w:val="3"/>
          </w:tcPr>
          <w:p>
            <w:pPr>
              <w:spacing w:after="0"/>
              <w:rPr>
                <w:sz w:val="15"/>
                <w:szCs w:val="15"/>
                <w:color w:val="auto"/>
              </w:rPr>
            </w:pPr>
          </w:p>
        </w:tc>
      </w:tr>
      <w:tr>
        <w:trPr>
          <w:trHeight w:val="20"/>
        </w:trPr>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290"/>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9480" w:type="dxa"/>
            <w:vAlign w:val="bottom"/>
            <w:tcBorders>
              <w:bottom w:val="single" w:sz="8" w:color="0000EE"/>
            </w:tcBorders>
            <w:gridSpan w:val="22"/>
          </w:tcPr>
          <w:p>
            <w:pPr>
              <w:spacing w:after="0"/>
              <w:rPr>
                <w:rFonts w:ascii="Arial" w:cs="Arial" w:eastAsia="Arial" w:hAnsi="Arial"/>
                <w:sz w:val="18"/>
                <w:szCs w:val="18"/>
                <w:color w:val="0000EE"/>
              </w:rPr>
            </w:pPr>
            <w:hyperlink r:id="rId148">
              <w:r>
                <w:rPr>
                  <w:rFonts w:ascii="Arial" w:cs="Arial" w:eastAsia="Arial" w:hAnsi="Arial"/>
                  <w:sz w:val="18"/>
                  <w:szCs w:val="18"/>
                  <w:color w:val="0000EE"/>
                </w:rPr>
                <w:t>Loan Agreement, dated September 28, 2018, by and among Mereo BioPharma Group plc, as borrower, the guarantors</w:t>
              </w:r>
            </w:hyperlink>
          </w:p>
        </w:tc>
        <w:tc>
          <w:tcPr>
            <w:tcW w:w="320" w:type="dxa"/>
            <w:vAlign w:val="bottom"/>
            <w:gridSpan w:val="6"/>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6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party thereto, Silicon Valley Bank, as a lender, and Kreos Capital V (UK) Limited, as a lender, agent and security agent.</w:t>
              </w:r>
            </w:hyperlink>
          </w:p>
        </w:tc>
        <w:tc>
          <w:tcPr>
            <w:tcW w:w="340" w:type="dxa"/>
            <w:vAlign w:val="bottom"/>
            <w:gridSpan w:val="7"/>
          </w:tcPr>
          <w:p>
            <w:pPr>
              <w:spacing w:after="0"/>
              <w:rPr>
                <w:sz w:val="15"/>
                <w:szCs w:val="15"/>
                <w:color w:val="auto"/>
              </w:rPr>
            </w:pPr>
          </w:p>
        </w:tc>
      </w:tr>
      <w:tr>
        <w:trPr>
          <w:trHeight w:val="291"/>
        </w:trPr>
        <w:tc>
          <w:tcPr>
            <w:tcW w:w="1180" w:type="dxa"/>
            <w:vAlign w:val="bottom"/>
            <w:gridSpan w:val="3"/>
          </w:tcPr>
          <w:p>
            <w:pPr>
              <w:ind w:left="100"/>
              <w:spacing w:after="0"/>
              <w:rPr>
                <w:sz w:val="20"/>
                <w:szCs w:val="20"/>
                <w:color w:val="auto"/>
              </w:rPr>
            </w:pPr>
            <w:r>
              <w:rPr>
                <w:rFonts w:ascii="Arial" w:cs="Arial" w:eastAsia="Arial" w:hAnsi="Arial"/>
                <w:sz w:val="18"/>
                <w:szCs w:val="18"/>
                <w:color w:val="auto"/>
              </w:rPr>
              <w:t>4.7.1**</w:t>
            </w:r>
          </w:p>
        </w:tc>
        <w:tc>
          <w:tcPr>
            <w:tcW w:w="9440" w:type="dxa"/>
            <w:vAlign w:val="bottom"/>
            <w:tcBorders>
              <w:bottom w:val="single" w:sz="8" w:color="0000EE"/>
            </w:tcBorders>
            <w:gridSpan w:val="20"/>
          </w:tcPr>
          <w:p>
            <w:pPr>
              <w:spacing w:after="0"/>
              <w:rPr>
                <w:rFonts w:ascii="Arial" w:cs="Arial" w:eastAsia="Arial" w:hAnsi="Arial"/>
                <w:sz w:val="18"/>
                <w:szCs w:val="18"/>
                <w:color w:val="0000EE"/>
              </w:rPr>
            </w:pPr>
            <w:hyperlink r:id="rId149">
              <w:r>
                <w:rPr>
                  <w:rFonts w:ascii="Arial" w:cs="Arial" w:eastAsia="Arial" w:hAnsi="Arial"/>
                  <w:sz w:val="18"/>
                  <w:szCs w:val="18"/>
                  <w:color w:val="0000EE"/>
                </w:rPr>
                <w:t>Deed of Consent and Amendment, dated April 17, 2019, by and among Mereo BioPharma Group plc, as borrower, the</w:t>
              </w:r>
            </w:hyperlink>
          </w:p>
        </w:tc>
        <w:tc>
          <w:tcPr>
            <w:tcW w:w="360" w:type="dxa"/>
            <w:vAlign w:val="bottom"/>
            <w:gridSpan w:val="8"/>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r:id="rId149">
              <w:r>
                <w:rPr>
                  <w:rFonts w:ascii="Arial" w:cs="Arial" w:eastAsia="Arial" w:hAnsi="Arial"/>
                  <w:sz w:val="18"/>
                  <w:szCs w:val="18"/>
                  <w:color w:val="0000EE"/>
                  <w:w w:val="99"/>
                </w:rPr>
                <w:t>guarantors party thereto, Silicon Valley Bank, as a lender, and Kreos Capital V (UK) Limited, as a lender, agent and security</w:t>
              </w:r>
            </w:hyperlink>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Borders>
              <w:bottom w:val="single" w:sz="8" w:color="0000EE"/>
            </w:tcBorders>
          </w:tcPr>
          <w:p>
            <w:pPr>
              <w:spacing w:after="0" w:line="182" w:lineRule="exact"/>
              <w:rPr>
                <w:rFonts w:ascii="Arial" w:cs="Arial" w:eastAsia="Arial" w:hAnsi="Arial"/>
                <w:sz w:val="18"/>
                <w:szCs w:val="18"/>
                <w:color w:val="0000EE"/>
                <w:w w:val="95"/>
              </w:rPr>
            </w:pPr>
            <w:hyperlink r:id="rId149">
              <w:r>
                <w:rPr>
                  <w:rFonts w:ascii="Arial" w:cs="Arial" w:eastAsia="Arial" w:hAnsi="Arial"/>
                  <w:sz w:val="18"/>
                  <w:szCs w:val="18"/>
                  <w:color w:val="0000EE"/>
                  <w:w w:val="95"/>
                </w:rPr>
                <w:t>agent.</w:t>
              </w:r>
            </w:hyperlink>
          </w:p>
        </w:tc>
        <w:tc>
          <w:tcPr>
            <w:tcW w:w="9300" w:type="dxa"/>
            <w:vAlign w:val="bottom"/>
            <w:gridSpan w:val="27"/>
          </w:tcPr>
          <w:p>
            <w:pPr>
              <w:spacing w:after="0"/>
              <w:rPr>
                <w:sz w:val="15"/>
                <w:szCs w:val="15"/>
                <w:color w:val="auto"/>
              </w:rPr>
            </w:pPr>
          </w:p>
        </w:tc>
      </w:tr>
      <w:tr>
        <w:trPr>
          <w:trHeight w:val="290"/>
        </w:trPr>
        <w:tc>
          <w:tcPr>
            <w:tcW w:w="600" w:type="dxa"/>
            <w:vAlign w:val="bottom"/>
            <w:gridSpan w:val="2"/>
          </w:tcPr>
          <w:p>
            <w:pPr>
              <w:jc w:val="right"/>
              <w:ind w:right="42"/>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r:id="rId150">
              <w:r>
                <w:rPr>
                  <w:rFonts w:ascii="Arial" w:cs="Arial" w:eastAsia="Arial" w:hAnsi="Arial"/>
                  <w:sz w:val="18"/>
                  <w:szCs w:val="18"/>
                  <w:color w:val="0000EE"/>
                </w:rPr>
                <w:t>Exclusive License and Option Agreement, dated October 28, 2017, by and between Mereo BioPharma 4 Limited and</w:t>
              </w:r>
            </w:hyperlink>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3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150">
              <w:r>
                <w:rPr>
                  <w:rFonts w:ascii="Arial" w:cs="Arial" w:eastAsia="Arial" w:hAnsi="Arial"/>
                  <w:sz w:val="18"/>
                  <w:szCs w:val="18"/>
                  <w:color w:val="0000EE"/>
                  <w:w w:val="99"/>
                </w:rPr>
                <w:t>AstraZeneca AB (incorporated by reference to Exhibit 4.13 to the registrant’s Annual Report on Form 20-F for the year</w:t>
              </w:r>
            </w:hyperlink>
          </w:p>
        </w:tc>
        <w:tc>
          <w:tcPr>
            <w:tcW w:w="420" w:type="dxa"/>
            <w:vAlign w:val="bottom"/>
            <w:gridSpan w:val="9"/>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60" w:type="dxa"/>
            <w:vAlign w:val="bottom"/>
            <w:tcBorders>
              <w:bottom w:val="single" w:sz="8" w:color="0000EE"/>
            </w:tcBorders>
            <w:gridSpan w:val="14"/>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ended December 31, 2020, filed with the SEC on March 31, 2021 (File No. 001-38452)).</w:t>
              </w:r>
            </w:hyperlink>
          </w:p>
        </w:tc>
        <w:tc>
          <w:tcPr>
            <w:tcW w:w="2740" w:type="dxa"/>
            <w:vAlign w:val="bottom"/>
            <w:gridSpan w:val="14"/>
          </w:tcPr>
          <w:p>
            <w:pPr>
              <w:spacing w:after="0"/>
              <w:rPr>
                <w:sz w:val="15"/>
                <w:szCs w:val="15"/>
                <w:color w:val="auto"/>
              </w:rPr>
            </w:pPr>
          </w:p>
        </w:tc>
      </w:tr>
      <w:tr>
        <w:trPr>
          <w:trHeight w:val="290"/>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336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95">
              <w:r>
                <w:rPr>
                  <w:rFonts w:ascii="Arial" w:cs="Arial" w:eastAsia="Arial" w:hAnsi="Arial"/>
                  <w:sz w:val="18"/>
                  <w:szCs w:val="18"/>
                  <w:color w:val="0000EE"/>
                  <w:w w:val="98"/>
                </w:rPr>
                <w:t>Opinion of Mayer Brown International LLP.</w:t>
              </w:r>
            </w:hyperlink>
          </w:p>
        </w:tc>
        <w:tc>
          <w:tcPr>
            <w:tcW w:w="6440" w:type="dxa"/>
            <w:vAlign w:val="bottom"/>
            <w:gridSpan w:val="23"/>
          </w:tcPr>
          <w:p>
            <w:pPr>
              <w:spacing w:after="0"/>
              <w:rPr>
                <w:sz w:val="24"/>
                <w:szCs w:val="24"/>
                <w:color w:val="auto"/>
              </w:rPr>
            </w:pPr>
          </w:p>
        </w:tc>
      </w:tr>
      <w:tr>
        <w:trPr>
          <w:trHeight w:val="290"/>
        </w:trPr>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23.1***</w:t>
            </w:r>
          </w:p>
        </w:tc>
        <w:tc>
          <w:tcPr>
            <w:tcW w:w="58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Consent of Ernst &amp; Young LLP, Independent Registered Public Accounting Firm.</w:t>
              </w:r>
            </w:hyperlink>
          </w:p>
        </w:tc>
      </w:tr>
      <w:tr>
        <w:trPr>
          <w:trHeight w:val="290"/>
        </w:trPr>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23.2***</w:t>
            </w:r>
          </w:p>
        </w:tc>
        <w:tc>
          <w:tcPr>
            <w:tcW w:w="580" w:type="dxa"/>
            <w:vAlign w:val="bottom"/>
          </w:tcPr>
          <w:p>
            <w:pPr>
              <w:spacing w:after="0"/>
              <w:rPr>
                <w:sz w:val="24"/>
                <w:szCs w:val="24"/>
                <w:color w:val="auto"/>
              </w:rPr>
            </w:pPr>
          </w:p>
        </w:tc>
        <w:tc>
          <w:tcPr>
            <w:tcW w:w="53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95">
              <w:r>
                <w:rPr>
                  <w:rFonts w:ascii="Arial" w:cs="Arial" w:eastAsia="Arial" w:hAnsi="Arial"/>
                  <w:sz w:val="18"/>
                  <w:szCs w:val="18"/>
                  <w:color w:val="0000EE"/>
                  <w:w w:val="99"/>
                </w:rPr>
                <w:t>Consent of Mayer Brown International LLP (included in Exhibit 5.1).</w:t>
              </w:r>
            </w:hyperlink>
          </w:p>
        </w:tc>
        <w:tc>
          <w:tcPr>
            <w:tcW w:w="1000" w:type="dxa"/>
            <w:vAlign w:val="bottom"/>
            <w:tcBorders>
              <w:top w:val="single" w:sz="8" w:color="0000EE"/>
            </w:tcBorders>
            <w:gridSpan w:val="2"/>
          </w:tcPr>
          <w:p>
            <w:pPr>
              <w:spacing w:after="0"/>
              <w:rPr>
                <w:sz w:val="24"/>
                <w:szCs w:val="24"/>
                <w:color w:val="auto"/>
              </w:rPr>
            </w:pPr>
          </w:p>
        </w:tc>
        <w:tc>
          <w:tcPr>
            <w:tcW w:w="3440" w:type="dxa"/>
            <w:vAlign w:val="bottom"/>
            <w:gridSpan w:val="1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2" w:lineRule="exact"/>
        <w:rPr>
          <w:sz w:val="20"/>
          <w:szCs w:val="20"/>
          <w:color w:val="auto"/>
        </w:rPr>
      </w:pPr>
    </w:p>
    <w:p>
      <w:pPr>
        <w:ind w:left="120" w:right="1440" w:hanging="4"/>
        <w:spacing w:after="0" w:line="234" w:lineRule="auto"/>
        <w:tabs>
          <w:tab w:leader="none" w:pos="5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be subsequently filed, if applicable, by an amendment to this registration statement or by a Report on Form 6-K. ** Previously filed.</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London, the United Kingdom on September 7, 2021.</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BIOPHARMA GROUP PLC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__________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-1905</wp:posOffset>
            </wp:positionV>
            <wp:extent cx="1920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ind w:left="8100"/>
        <w:spacing w:after="0"/>
        <w:tabs>
          <w:tab w:leader="none" w:pos="8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Denise Scots-Knight, Ph.D.</w:t>
      </w:r>
    </w:p>
    <w:p>
      <w:pPr>
        <w:ind w:left="8100"/>
        <w:spacing w:after="0"/>
        <w:tabs>
          <w:tab w:leader="none" w:pos="8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Denise Scots-Knight, Ph.D.,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as amended,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20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September 7, 2021 in the capacities indicated:</w:t>
      </w:r>
    </w:p>
    <w:p>
      <w:pPr>
        <w:spacing w:after="0" w:line="211" w:lineRule="exact"/>
        <w:rPr>
          <w:sz w:val="20"/>
          <w:szCs w:val="20"/>
          <w:color w:val="auto"/>
        </w:rPr>
      </w:pPr>
    </w:p>
    <w:tbl>
      <w:tblPr>
        <w:tblLayout w:type="fixed"/>
        <w:tblInd w:w="78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58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rPr>
              <w:t>Title</w:t>
            </w:r>
          </w:p>
        </w:tc>
      </w:tr>
      <w:tr>
        <w:trPr>
          <w:trHeight w:val="20"/>
        </w:trPr>
        <w:tc>
          <w:tcPr>
            <w:tcW w:w="2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1"/>
        </w:trPr>
        <w:tc>
          <w:tcPr>
            <w:tcW w:w="42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9"/>
              </w:rPr>
              <w:t>/s/ Denise Scots-Knight, Ph.D.</w:t>
            </w: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4200" w:type="dxa"/>
            <w:vAlign w:val="bottom"/>
            <w:gridSpan w:val="3"/>
          </w:tcPr>
          <w:p>
            <w:pPr>
              <w:jc w:val="center"/>
              <w:ind w:left="650"/>
              <w:spacing w:after="0"/>
              <w:rPr>
                <w:sz w:val="20"/>
                <w:szCs w:val="20"/>
                <w:color w:val="auto"/>
              </w:rPr>
            </w:pPr>
            <w:r>
              <w:rPr>
                <w:rFonts w:ascii="Arial" w:cs="Arial" w:eastAsia="Arial" w:hAnsi="Arial"/>
                <w:sz w:val="18"/>
                <w:szCs w:val="18"/>
                <w:color w:val="auto"/>
                <w:w w:val="99"/>
              </w:rPr>
              <w:t>Denise Scots-Knight, Ph.D.</w:t>
            </w:r>
          </w:p>
        </w:tc>
        <w:tc>
          <w:tcPr>
            <w:tcW w:w="760" w:type="dxa"/>
            <w:vAlign w:val="bottom"/>
          </w:tcPr>
          <w:p>
            <w:pPr>
              <w:spacing w:after="0"/>
              <w:rPr>
                <w:sz w:val="18"/>
                <w:szCs w:val="18"/>
                <w:color w:val="auto"/>
              </w:rPr>
            </w:pPr>
          </w:p>
        </w:tc>
        <w:tc>
          <w:tcPr>
            <w:tcW w:w="4580" w:type="dxa"/>
            <w:vAlign w:val="bottom"/>
            <w:gridSpan w:val="3"/>
          </w:tcPr>
          <w:p>
            <w:pPr>
              <w:jc w:val="center"/>
              <w:ind w:left="232"/>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42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9"/>
              </w:rPr>
              <w:t>/s/ Christine Fox</w:t>
            </w: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32"/>
              <w:spacing w:after="0"/>
              <w:rPr>
                <w:sz w:val="20"/>
                <w:szCs w:val="20"/>
                <w:color w:val="auto"/>
              </w:rPr>
            </w:pPr>
            <w:r>
              <w:rPr>
                <w:rFonts w:ascii="Arial" w:cs="Arial" w:eastAsia="Arial" w:hAnsi="Arial"/>
                <w:sz w:val="18"/>
                <w:szCs w:val="18"/>
                <w:color w:val="auto"/>
                <w:w w:val="99"/>
              </w:rPr>
              <w:t>Chief Financial Officer (Principal Financial Officer and</w:t>
            </w:r>
          </w:p>
        </w:tc>
      </w:tr>
      <w:tr>
        <w:trPr>
          <w:trHeight w:val="211"/>
        </w:trPr>
        <w:tc>
          <w:tcPr>
            <w:tcW w:w="4200" w:type="dxa"/>
            <w:vAlign w:val="bottom"/>
            <w:gridSpan w:val="3"/>
          </w:tcPr>
          <w:p>
            <w:pPr>
              <w:jc w:val="center"/>
              <w:ind w:left="650"/>
              <w:spacing w:after="0"/>
              <w:rPr>
                <w:sz w:val="20"/>
                <w:szCs w:val="20"/>
                <w:color w:val="auto"/>
              </w:rPr>
            </w:pPr>
            <w:r>
              <w:rPr>
                <w:rFonts w:ascii="Arial" w:cs="Arial" w:eastAsia="Arial" w:hAnsi="Arial"/>
                <w:sz w:val="18"/>
                <w:szCs w:val="18"/>
                <w:color w:val="auto"/>
                <w:w w:val="99"/>
              </w:rPr>
              <w:t>Christine Fox</w:t>
            </w:r>
          </w:p>
        </w:tc>
        <w:tc>
          <w:tcPr>
            <w:tcW w:w="760" w:type="dxa"/>
            <w:vAlign w:val="bottom"/>
          </w:tcPr>
          <w:p>
            <w:pPr>
              <w:spacing w:after="0"/>
              <w:rPr>
                <w:sz w:val="18"/>
                <w:szCs w:val="18"/>
                <w:color w:val="auto"/>
              </w:rPr>
            </w:pPr>
          </w:p>
        </w:tc>
        <w:tc>
          <w:tcPr>
            <w:tcW w:w="4580" w:type="dxa"/>
            <w:vAlign w:val="bottom"/>
            <w:gridSpan w:val="3"/>
          </w:tcPr>
          <w:p>
            <w:pPr>
              <w:jc w:val="center"/>
              <w:ind w:left="232"/>
              <w:spacing w:after="0" w:line="197" w:lineRule="exact"/>
              <w:rPr>
                <w:sz w:val="20"/>
                <w:szCs w:val="20"/>
                <w:color w:val="auto"/>
              </w:rPr>
            </w:pPr>
            <w:r>
              <w:rPr>
                <w:rFonts w:ascii="Arial" w:cs="Arial" w:eastAsia="Arial" w:hAnsi="Arial"/>
                <w:sz w:val="18"/>
                <w:szCs w:val="18"/>
                <w:color w:val="auto"/>
                <w:w w:val="99"/>
              </w:rPr>
              <w:t>Principal Accounting Officer)</w:t>
            </w:r>
          </w:p>
        </w:tc>
      </w:tr>
      <w:tr>
        <w:trPr>
          <w:trHeight w:val="418"/>
        </w:trPr>
        <w:tc>
          <w:tcPr>
            <w:tcW w:w="268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w w:val="84"/>
              </w:rPr>
              <w:t>*</w:t>
            </w:r>
          </w:p>
        </w:tc>
        <w:tc>
          <w:tcPr>
            <w:tcW w:w="1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Chairman of the Board</w:t>
            </w:r>
          </w:p>
        </w:tc>
      </w:tr>
      <w:tr>
        <w:trPr>
          <w:trHeight w:val="210"/>
        </w:trPr>
        <w:tc>
          <w:tcPr>
            <w:tcW w:w="4200" w:type="dxa"/>
            <w:vAlign w:val="bottom"/>
            <w:gridSpan w:val="3"/>
          </w:tcPr>
          <w:p>
            <w:pPr>
              <w:jc w:val="center"/>
              <w:ind w:left="650"/>
              <w:spacing w:after="0"/>
              <w:rPr>
                <w:sz w:val="20"/>
                <w:szCs w:val="20"/>
                <w:color w:val="auto"/>
              </w:rPr>
            </w:pPr>
            <w:r>
              <w:rPr>
                <w:rFonts w:ascii="Arial" w:cs="Arial" w:eastAsia="Arial" w:hAnsi="Arial"/>
                <w:sz w:val="18"/>
                <w:szCs w:val="18"/>
                <w:color w:val="auto"/>
                <w:w w:val="99"/>
              </w:rPr>
              <w:t>Peter Fellner, Ph.D.</w:t>
            </w:r>
          </w:p>
        </w:tc>
        <w:tc>
          <w:tcPr>
            <w:tcW w:w="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268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w w:val="84"/>
              </w:rPr>
              <w:t>*</w:t>
            </w:r>
          </w:p>
        </w:tc>
        <w:tc>
          <w:tcPr>
            <w:tcW w:w="1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00" w:type="dxa"/>
            <w:vAlign w:val="bottom"/>
            <w:gridSpan w:val="3"/>
          </w:tcPr>
          <w:p>
            <w:pPr>
              <w:jc w:val="center"/>
              <w:ind w:left="650"/>
              <w:spacing w:after="0"/>
              <w:rPr>
                <w:sz w:val="20"/>
                <w:szCs w:val="20"/>
                <w:color w:val="auto"/>
              </w:rPr>
            </w:pPr>
            <w:r>
              <w:rPr>
                <w:rFonts w:ascii="Arial" w:cs="Arial" w:eastAsia="Arial" w:hAnsi="Arial"/>
                <w:sz w:val="18"/>
                <w:szCs w:val="18"/>
                <w:color w:val="auto"/>
              </w:rPr>
              <w:t>Peter Bains</w:t>
            </w:r>
          </w:p>
        </w:tc>
        <w:tc>
          <w:tcPr>
            <w:tcW w:w="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2680" w:type="dxa"/>
            <w:vAlign w:val="bottom"/>
            <w:tcBorders>
              <w:bottom w:val="single" w:sz="8" w:color="auto"/>
            </w:tcBorders>
            <w:gridSpan w:val="2"/>
          </w:tcPr>
          <w:p>
            <w:pPr>
              <w:jc w:val="center"/>
              <w:ind w:left="2170"/>
              <w:spacing w:after="0"/>
              <w:rPr>
                <w:sz w:val="20"/>
                <w:szCs w:val="20"/>
                <w:color w:val="auto"/>
              </w:rPr>
            </w:pPr>
            <w:r>
              <w:rPr>
                <w:rFonts w:ascii="Arial" w:cs="Arial" w:eastAsia="Arial" w:hAnsi="Arial"/>
                <w:sz w:val="18"/>
                <w:szCs w:val="18"/>
                <w:color w:val="auto"/>
                <w:w w:val="84"/>
              </w:rPr>
              <w:t>*</w:t>
            </w:r>
          </w:p>
        </w:tc>
        <w:tc>
          <w:tcPr>
            <w:tcW w:w="1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200" w:type="dxa"/>
            <w:vAlign w:val="bottom"/>
            <w:gridSpan w:val="3"/>
          </w:tcPr>
          <w:p>
            <w:pPr>
              <w:jc w:val="center"/>
              <w:ind w:left="670"/>
              <w:spacing w:after="0"/>
              <w:rPr>
                <w:sz w:val="20"/>
                <w:szCs w:val="20"/>
                <w:color w:val="auto"/>
              </w:rPr>
            </w:pPr>
            <w:r>
              <w:rPr>
                <w:rFonts w:ascii="Arial" w:cs="Arial" w:eastAsia="Arial" w:hAnsi="Arial"/>
                <w:sz w:val="18"/>
                <w:szCs w:val="18"/>
                <w:color w:val="auto"/>
                <w:w w:val="99"/>
              </w:rPr>
              <w:t>Jeremy Bender, Ph.D.</w:t>
            </w:r>
          </w:p>
        </w:tc>
        <w:tc>
          <w:tcPr>
            <w:tcW w:w="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64"/>
        </w:trPr>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340" w:type="dxa"/>
            <w:vAlign w:val="bottom"/>
            <w:gridSpan w:val="4"/>
          </w:tcPr>
          <w:p>
            <w:pPr>
              <w:ind w:left="52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40" w:type="dxa"/>
            <w:vAlign w:val="bottom"/>
            <w:gridSpan w:val="3"/>
          </w:tcPr>
          <w:p>
            <w:pPr>
              <w:jc w:val="center"/>
              <w:ind w:left="1133"/>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spacing w:after="0"/>
              <w:rPr>
                <w:sz w:val="15"/>
                <w:szCs w:val="15"/>
                <w:color w:val="auto"/>
              </w:rPr>
            </w:pPr>
          </w:p>
        </w:tc>
        <w:tc>
          <w:tcPr>
            <w:tcW w:w="3300" w:type="dxa"/>
            <w:vAlign w:val="bottom"/>
            <w:gridSpan w:val="3"/>
          </w:tcPr>
          <w:p>
            <w:pPr>
              <w:jc w:val="center"/>
              <w:ind w:left="1513"/>
              <w:spacing w:after="0"/>
              <w:rPr>
                <w:sz w:val="20"/>
                <w:szCs w:val="20"/>
                <w:color w:val="auto"/>
              </w:rPr>
            </w:pPr>
            <w:r>
              <w:rPr>
                <w:rFonts w:ascii="Arial" w:cs="Arial" w:eastAsia="Arial" w:hAnsi="Arial"/>
                <w:sz w:val="14"/>
                <w:szCs w:val="14"/>
                <w:b w:val="1"/>
                <w:bCs w:val="1"/>
                <w:color w:val="auto"/>
              </w:rPr>
              <w:t>Title</w:t>
            </w: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940" w:type="dxa"/>
            <w:vAlign w:val="bottom"/>
            <w:gridSpan w:val="3"/>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3"/>
              <w:spacing w:after="0"/>
              <w:rPr>
                <w:sz w:val="20"/>
                <w:szCs w:val="20"/>
                <w:color w:val="auto"/>
              </w:rPr>
            </w:pPr>
            <w:r>
              <w:rPr>
                <w:rFonts w:ascii="Arial" w:cs="Arial" w:eastAsia="Arial" w:hAnsi="Arial"/>
                <w:sz w:val="18"/>
                <w:szCs w:val="18"/>
                <w:color w:val="auto"/>
              </w:rPr>
              <w:t>Anders Ekblom, M.D., Ph.D.</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3"/>
              <w:spacing w:after="0"/>
              <w:rPr>
                <w:sz w:val="20"/>
                <w:szCs w:val="20"/>
                <w:color w:val="auto"/>
              </w:rPr>
            </w:pPr>
            <w:r>
              <w:rPr>
                <w:rFonts w:ascii="Arial" w:cs="Arial" w:eastAsia="Arial" w:hAnsi="Arial"/>
                <w:sz w:val="18"/>
                <w:szCs w:val="18"/>
                <w:color w:val="auto"/>
              </w:rPr>
              <w:t>Kunal Kashyap</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3"/>
              <w:spacing w:after="0"/>
              <w:rPr>
                <w:sz w:val="20"/>
                <w:szCs w:val="20"/>
                <w:color w:val="auto"/>
              </w:rPr>
            </w:pPr>
            <w:r>
              <w:rPr>
                <w:rFonts w:ascii="Arial" w:cs="Arial" w:eastAsia="Arial" w:hAnsi="Arial"/>
                <w:sz w:val="18"/>
                <w:szCs w:val="18"/>
                <w:color w:val="auto"/>
              </w:rPr>
              <w:t>Deepika R. Pakianathan, Ph.D.</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3"/>
              <w:spacing w:after="0"/>
              <w:rPr>
                <w:sz w:val="20"/>
                <w:szCs w:val="20"/>
                <w:color w:val="auto"/>
              </w:rPr>
            </w:pPr>
            <w:r>
              <w:rPr>
                <w:rFonts w:ascii="Arial" w:cs="Arial" w:eastAsia="Arial" w:hAnsi="Arial"/>
                <w:sz w:val="18"/>
                <w:szCs w:val="18"/>
                <w:color w:val="auto"/>
              </w:rPr>
              <w:t>Brian Schwartz</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gridSpan w:val="3"/>
          </w:tcPr>
          <w:p>
            <w:pPr>
              <w:jc w:val="center"/>
              <w:ind w:left="1533"/>
              <w:spacing w:after="0"/>
              <w:rPr>
                <w:sz w:val="20"/>
                <w:szCs w:val="20"/>
                <w:color w:val="auto"/>
              </w:rPr>
            </w:pPr>
            <w:r>
              <w:rPr>
                <w:rFonts w:ascii="Arial" w:cs="Arial" w:eastAsia="Arial" w:hAnsi="Arial"/>
                <w:sz w:val="18"/>
                <w:szCs w:val="18"/>
                <w:color w:val="auto"/>
                <w:w w:val="98"/>
              </w:rPr>
              <w:t>Deputy Chair</w:t>
            </w:r>
          </w:p>
        </w:tc>
      </w:tr>
      <w:tr>
        <w:trPr>
          <w:trHeight w:val="209"/>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3"/>
              <w:spacing w:after="0"/>
              <w:rPr>
                <w:sz w:val="20"/>
                <w:szCs w:val="20"/>
                <w:color w:val="auto"/>
              </w:rPr>
            </w:pPr>
            <w:r>
              <w:rPr>
                <w:rFonts w:ascii="Arial" w:cs="Arial" w:eastAsia="Arial" w:hAnsi="Arial"/>
                <w:sz w:val="18"/>
                <w:szCs w:val="18"/>
                <w:color w:val="auto"/>
                <w:w w:val="99"/>
              </w:rPr>
              <w:t>Michael Wyzga</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4400" w:type="dxa"/>
            <w:vAlign w:val="bottom"/>
            <w:gridSpan w:val="5"/>
          </w:tcPr>
          <w:p>
            <w:pPr>
              <w:jc w:val="center"/>
              <w:ind w:right="1640"/>
              <w:spacing w:after="0" w:line="203" w:lineRule="exact"/>
              <w:rPr>
                <w:sz w:val="20"/>
                <w:szCs w:val="20"/>
                <w:color w:val="auto"/>
              </w:rPr>
            </w:pPr>
            <w:r>
              <w:rPr>
                <w:rFonts w:ascii="Arial" w:cs="Arial" w:eastAsia="Arial" w:hAnsi="Arial"/>
                <w:sz w:val="18"/>
                <w:szCs w:val="18"/>
                <w:color w:val="auto"/>
              </w:rPr>
              <w:t>By: /s/ Denise Scots-Knight, Ph.D.</w:t>
            </w:r>
          </w:p>
        </w:tc>
        <w:tc>
          <w:tcPr>
            <w:tcW w:w="1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9"/>
        </w:trPr>
        <w:tc>
          <w:tcPr>
            <w:tcW w:w="340" w:type="dxa"/>
            <w:vAlign w:val="bottom"/>
          </w:tcPr>
          <w:p>
            <w:pPr>
              <w:spacing w:after="0"/>
              <w:rPr>
                <w:sz w:val="18"/>
                <w:szCs w:val="18"/>
                <w:color w:val="auto"/>
              </w:rPr>
            </w:pPr>
          </w:p>
        </w:tc>
        <w:tc>
          <w:tcPr>
            <w:tcW w:w="4060" w:type="dxa"/>
            <w:vAlign w:val="bottom"/>
            <w:tcBorders>
              <w:top w:val="single" w:sz="8" w:color="auto"/>
            </w:tcBorders>
            <w:gridSpan w:val="4"/>
          </w:tcPr>
          <w:p>
            <w:pPr>
              <w:jc w:val="center"/>
              <w:ind w:right="1940"/>
              <w:spacing w:after="0"/>
              <w:rPr>
                <w:sz w:val="20"/>
                <w:szCs w:val="20"/>
                <w:color w:val="auto"/>
              </w:rPr>
            </w:pPr>
            <w:r>
              <w:rPr>
                <w:rFonts w:ascii="Arial" w:cs="Arial" w:eastAsia="Arial" w:hAnsi="Arial"/>
                <w:sz w:val="18"/>
                <w:szCs w:val="18"/>
                <w:color w:val="auto"/>
                <w:w w:val="99"/>
              </w:rPr>
              <w:t>Denise Scots-Knight Ph.D.</w:t>
            </w:r>
          </w:p>
        </w:tc>
        <w:tc>
          <w:tcPr>
            <w:tcW w:w="1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4060" w:type="dxa"/>
            <w:vAlign w:val="bottom"/>
            <w:gridSpan w:val="4"/>
          </w:tcPr>
          <w:p>
            <w:pPr>
              <w:ind w:left="60"/>
              <w:spacing w:after="0"/>
              <w:rPr>
                <w:sz w:val="20"/>
                <w:szCs w:val="20"/>
                <w:color w:val="auto"/>
              </w:rPr>
            </w:pPr>
            <w:r>
              <w:rPr>
                <w:rFonts w:ascii="Arial" w:cs="Arial" w:eastAsia="Arial" w:hAnsi="Arial"/>
                <w:sz w:val="18"/>
                <w:szCs w:val="18"/>
                <w:color w:val="auto"/>
              </w:rPr>
              <w:t>Attorney-in-Fact</w:t>
            </w:r>
          </w:p>
        </w:tc>
        <w:tc>
          <w:tcPr>
            <w:tcW w:w="1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51"/>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gridSpan w:val="4"/>
          </w:tcPr>
          <w:p>
            <w:pPr>
              <w:ind w:left="98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0139"/>
          </w:cols>
          <w:pgMar w:left="32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September 7, 2021.</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US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-1905</wp:posOffset>
            </wp:positionV>
            <wp:extent cx="25717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Denise Scots-Knight, Ph.D.</w:t>
      </w:r>
    </w:p>
    <w:p>
      <w:pPr>
        <w:ind w:left="7080"/>
        <w:spacing w:after="0"/>
        <w:tabs>
          <w:tab w:leader="none" w:pos="7720" w:val="left"/>
        </w:tabs>
        <w:rPr>
          <w:sz w:val="20"/>
          <w:szCs w:val="20"/>
          <w:color w:val="auto"/>
        </w:rPr>
      </w:pPr>
      <w:r>
        <w:rPr>
          <w:rFonts w:ascii="Arial" w:cs="Arial" w:eastAsia="Arial" w:hAnsi="Arial"/>
          <w:sz w:val="18"/>
          <w:szCs w:val="18"/>
          <w:color w:val="auto"/>
        </w:rPr>
        <w:t>Title:</w:t>
        <w:tab/>
        <w:t>President</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960"/>
          </w:cols>
          <w:pgMar w:left="320" w:top="459" w:right="6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2237105" cy="3860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22371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Mayer Brown International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 Bishopsgate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 EC2M 3AF</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+44 20 3130 3000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+44 20 3130 3001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www.mayerbrown.com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DX 556 London and City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Fourth Floor</w:t>
      </w:r>
    </w:p>
    <w:p>
      <w:pPr>
        <w:spacing w:after="0" w:line="9" w:lineRule="exact"/>
        <w:rPr>
          <w:sz w:val="20"/>
          <w:szCs w:val="20"/>
          <w:color w:val="auto"/>
        </w:rPr>
      </w:pPr>
    </w:p>
    <w:p>
      <w:pPr>
        <w:ind w:left="4"/>
        <w:spacing w:after="0"/>
        <w:tabs>
          <w:tab w:leader="none" w:pos="9684" w:val="left"/>
        </w:tabs>
        <w:rPr>
          <w:sz w:val="20"/>
          <w:szCs w:val="20"/>
          <w:color w:val="auto"/>
        </w:rPr>
      </w:pPr>
      <w:r>
        <w:rPr>
          <w:rFonts w:ascii="Arial" w:cs="Arial" w:eastAsia="Arial" w:hAnsi="Arial"/>
          <w:sz w:val="18"/>
          <w:szCs w:val="18"/>
          <w:color w:val="auto"/>
        </w:rPr>
        <w:t>One Cavendish Place</w:t>
      </w:r>
      <w:r>
        <w:rPr>
          <w:sz w:val="20"/>
          <w:szCs w:val="20"/>
          <w:color w:val="auto"/>
        </w:rPr>
        <w:tab/>
      </w:r>
      <w:r>
        <w:rPr>
          <w:rFonts w:ascii="Arial" w:cs="Arial" w:eastAsia="Arial" w:hAnsi="Arial"/>
          <w:sz w:val="16"/>
          <w:szCs w:val="16"/>
          <w:color w:val="auto"/>
        </w:rPr>
        <w:t>7 September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W1G 0QF</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Our ref:</w:t>
            </w:r>
          </w:p>
        </w:tc>
        <w:tc>
          <w:tcPr>
            <w:tcW w:w="1420" w:type="dxa"/>
            <w:vAlign w:val="bottom"/>
          </w:tcPr>
          <w:p>
            <w:pPr>
              <w:jc w:val="right"/>
              <w:spacing w:after="0"/>
              <w:rPr>
                <w:sz w:val="20"/>
                <w:szCs w:val="20"/>
                <w:color w:val="auto"/>
              </w:rPr>
            </w:pPr>
            <w:r>
              <w:rPr>
                <w:rFonts w:ascii="Arial" w:cs="Arial" w:eastAsia="Arial" w:hAnsi="Arial"/>
                <w:sz w:val="18"/>
                <w:szCs w:val="18"/>
                <w:color w:val="auto"/>
              </w:rPr>
              <w:t>20456/19623354</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Registration Statement on Form F-3</w:t>
      </w:r>
    </w:p>
    <w:p>
      <w:pPr>
        <w:spacing w:after="0" w:line="131" w:lineRule="exact"/>
        <w:rPr>
          <w:sz w:val="20"/>
          <w:szCs w:val="20"/>
          <w:color w:val="auto"/>
        </w:rPr>
      </w:pPr>
    </w:p>
    <w:p>
      <w:pPr>
        <w:ind w:left="544" w:hanging="544"/>
        <w:spacing w:after="0"/>
        <w:tabs>
          <w:tab w:leader="none" w:pos="544"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17" w:lineRule="exact"/>
        <w:rPr>
          <w:rFonts w:ascii="Arial" w:cs="Arial" w:eastAsia="Arial" w:hAnsi="Arial"/>
          <w:sz w:val="18"/>
          <w:szCs w:val="18"/>
          <w:color w:val="auto"/>
        </w:rPr>
      </w:pPr>
    </w:p>
    <w:p>
      <w:pPr>
        <w:ind w:left="544" w:right="40"/>
        <w:spacing w:after="0" w:line="287" w:lineRule="auto"/>
        <w:rPr>
          <w:rFonts w:ascii="Arial" w:cs="Arial" w:eastAsia="Arial" w:hAnsi="Arial"/>
          <w:sz w:val="18"/>
          <w:szCs w:val="18"/>
          <w:color w:val="auto"/>
        </w:rPr>
      </w:pPr>
      <w:r>
        <w:rPr>
          <w:rFonts w:ascii="Arial" w:cs="Arial" w:eastAsia="Arial" w:hAnsi="Arial"/>
          <w:sz w:val="16"/>
          <w:szCs w:val="16"/>
          <w:color w:val="auto"/>
        </w:rPr>
        <w:t xml:space="preserve">We have acted for Mereo BioPharma Group plc, a public limited company incorporated under the laws of England and Wales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as its legal advisers in England in connection with the Amendment No.1 to the registration statement on Form F-3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to be filed on or about 7 September 2021 by the Company with the U.S. Securities and Exchange Commission under the 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and the rules and regulations promulgated thereunder (the </w:t>
      </w:r>
      <w:r>
        <w:rPr>
          <w:rFonts w:ascii="Arial" w:cs="Arial" w:eastAsia="Arial" w:hAnsi="Arial"/>
          <w:sz w:val="16"/>
          <w:szCs w:val="16"/>
          <w:b w:val="1"/>
          <w:bCs w:val="1"/>
          <w:color w:val="auto"/>
        </w:rPr>
        <w:t>“Rules”</w:t>
      </w:r>
      <w:r>
        <w:rPr>
          <w:rFonts w:ascii="Arial" w:cs="Arial" w:eastAsia="Arial" w:hAnsi="Arial"/>
          <w:sz w:val="16"/>
          <w:szCs w:val="16"/>
          <w:color w:val="auto"/>
        </w:rPr>
        <w:t>). The Registration Statement relates to (i) the offering, issuance and sale by the Company from time to time of up to $250,000,000 of indeterminate numbers of ordinary shares of £0.003 each in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 xml:space="preserve">), as may from time to time be offered and sold at indeterminate prices pursuant to the Registration Statement (the </w:t>
      </w:r>
      <w:r>
        <w:rPr>
          <w:rFonts w:ascii="Arial" w:cs="Arial" w:eastAsia="Arial" w:hAnsi="Arial"/>
          <w:sz w:val="16"/>
          <w:szCs w:val="16"/>
          <w:b w:val="1"/>
          <w:bCs w:val="1"/>
          <w:color w:val="auto"/>
        </w:rPr>
        <w:t>“Public Offering Shares”</w:t>
      </w:r>
      <w:r>
        <w:rPr>
          <w:rFonts w:ascii="Arial" w:cs="Arial" w:eastAsia="Arial" w:hAnsi="Arial"/>
          <w:sz w:val="16"/>
          <w:szCs w:val="16"/>
          <w:color w:val="auto"/>
        </w:rPr>
        <w:t xml:space="preserve">) and (ii) the resale by the selling shareholders named in the Registration Statement (the </w:t>
      </w:r>
      <w:r>
        <w:rPr>
          <w:rFonts w:ascii="Arial" w:cs="Arial" w:eastAsia="Arial" w:hAnsi="Arial"/>
          <w:sz w:val="16"/>
          <w:szCs w:val="16"/>
          <w:b w:val="1"/>
          <w:bCs w:val="1"/>
          <w:color w:val="auto"/>
        </w:rPr>
        <w:t>“Selling Shareholders”</w:t>
      </w:r>
      <w:r>
        <w:rPr>
          <w:rFonts w:ascii="Arial" w:cs="Arial" w:eastAsia="Arial" w:hAnsi="Arial"/>
          <w:sz w:val="16"/>
          <w:szCs w:val="16"/>
          <w:color w:val="auto"/>
        </w:rPr>
        <w:t xml:space="preserve">) of 24,493,416 Ordinary Shares described in the Registration Statement that may be offered and sold by such selling shareholders from time to time in the manner set forth in the Registration Statement (the </w:t>
      </w:r>
      <w:r>
        <w:rPr>
          <w:rFonts w:ascii="Arial" w:cs="Arial" w:eastAsia="Arial" w:hAnsi="Arial"/>
          <w:sz w:val="16"/>
          <w:szCs w:val="16"/>
          <w:b w:val="1"/>
          <w:bCs w:val="1"/>
          <w:color w:val="auto"/>
        </w:rPr>
        <w:t>“Selling Shareholder</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The Public Offering Shares and the Selling Shareholder Shares together are referred to in this opinion as the</w:t>
      </w:r>
      <w:r>
        <w:rPr>
          <w:rFonts w:ascii="Arial" w:cs="Arial" w:eastAsia="Arial" w:hAnsi="Arial"/>
          <w:sz w:val="16"/>
          <w:szCs w:val="16"/>
          <w:b w:val="1"/>
          <w:bCs w:val="1"/>
          <w:color w:val="auto"/>
        </w:rPr>
        <w:t xml:space="preserve"> “Offered Shares”</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Shares are to be offered or sold in the form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xml:space="preserve">). Each ADS represents 5 Ordinary Shares. Up to $50,000,000 of the ADSs representing Public Offering Shares may be offered, issued and sold by the Company, inter alia, under an open market sale agreement dated 5 August 2021 by and between the Company and Jefferies LLC (the </w:t>
      </w:r>
      <w:r>
        <w:rPr>
          <w:rFonts w:ascii="Arial" w:cs="Arial" w:eastAsia="Arial" w:hAnsi="Arial"/>
          <w:sz w:val="16"/>
          <w:szCs w:val="16"/>
          <w:b w:val="1"/>
          <w:bCs w:val="1"/>
          <w:color w:val="auto"/>
        </w:rPr>
        <w:t>“Sales Agreement”</w:t>
      </w:r>
      <w:r>
        <w:rPr>
          <w:rFonts w:ascii="Arial" w:cs="Arial" w:eastAsia="Arial" w:hAnsi="Arial"/>
          <w:sz w:val="16"/>
          <w:szCs w:val="16"/>
          <w:color w:val="auto"/>
        </w:rPr>
        <w:t>).</w:t>
      </w:r>
    </w:p>
    <w:p>
      <w:pPr>
        <w:spacing w:after="0" w:line="276" w:lineRule="exact"/>
        <w:rPr>
          <w:sz w:val="20"/>
          <w:szCs w:val="20"/>
          <w:color w:val="auto"/>
        </w:rPr>
      </w:pPr>
    </w:p>
    <w:p>
      <w:pPr>
        <w:jc w:val="center"/>
        <w:ind w:left="440" w:right="100"/>
        <w:spacing w:after="0" w:line="258" w:lineRule="auto"/>
        <w:rPr>
          <w:sz w:val="20"/>
          <w:szCs w:val="20"/>
          <w:color w:val="auto"/>
        </w:rPr>
      </w:pPr>
      <w:r>
        <w:rPr>
          <w:rFonts w:ascii="Arial" w:cs="Arial" w:eastAsia="Arial" w:hAnsi="Arial"/>
          <w:sz w:val="18"/>
          <w:szCs w:val="18"/>
          <w:color w:val="auto"/>
        </w:rPr>
        <w:t>This is a legal communication, not a financial communication. Neither this nor any other communication from this firm is intended to be, or should be construed as, an invitation or inducement (direct or indirect) to any person to engage in investment activity.</w:t>
      </w:r>
    </w:p>
    <w:p>
      <w:pPr>
        <w:spacing w:after="0" w:line="1" w:lineRule="exact"/>
        <w:rPr>
          <w:sz w:val="20"/>
          <w:szCs w:val="20"/>
          <w:color w:val="auto"/>
        </w:rPr>
      </w:pPr>
    </w:p>
    <w:p>
      <w:pPr>
        <w:jc w:val="center"/>
        <w:ind w:left="440" w:right="20"/>
        <w:spacing w:after="0" w:line="250" w:lineRule="auto"/>
        <w:rPr>
          <w:sz w:val="20"/>
          <w:szCs w:val="20"/>
          <w:color w:val="auto"/>
        </w:rPr>
      </w:pPr>
      <w:r>
        <w:rPr>
          <w:rFonts w:ascii="Arial" w:cs="Arial" w:eastAsia="Arial" w:hAnsi="Arial"/>
          <w:sz w:val="18"/>
          <w:szCs w:val="18"/>
          <w:color w:val="auto"/>
        </w:rPr>
        <w:t>Mayer Brown International LLP is a limited liability partnership (registered in England and Wales number OC303359), which is authorised and regulated by the Solicitors Regulation Authority with SRA number 369822. 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We use the term “partner” to refer to a member of Mayer Brown International LLP, or an employee or consultant who is a lawyer with equivalent</w:t>
      </w:r>
    </w:p>
    <w:p>
      <w:pPr>
        <w:spacing w:after="0" w:line="21" w:lineRule="exact"/>
        <w:rPr>
          <w:sz w:val="20"/>
          <w:szCs w:val="20"/>
          <w:color w:val="auto"/>
        </w:rPr>
      </w:pPr>
    </w:p>
    <w:p>
      <w:pPr>
        <w:jc w:val="center"/>
        <w:ind w:right="16"/>
        <w:spacing w:after="0" w:line="255" w:lineRule="auto"/>
        <w:rPr>
          <w:sz w:val="20"/>
          <w:szCs w:val="20"/>
          <w:color w:val="auto"/>
        </w:rPr>
      </w:pPr>
      <w:r>
        <w:rPr>
          <w:rFonts w:ascii="Arial" w:cs="Arial" w:eastAsia="Arial" w:hAnsi="Arial"/>
          <w:sz w:val="18"/>
          <w:szCs w:val="18"/>
          <w:color w:val="auto"/>
        </w:rPr>
        <w:t>standing and qualifications and to a partner of or lawyer with equivalent status in another Mayer Brown entity. A list of the names of members of Mayer Brown International LLP and their respective professional qualifications may be inspected at our registered office, 201 Bishopsgate, London EC2M 3AF, England or on www.mayerbrown.com.</w:t>
      </w:r>
    </w:p>
    <w:p>
      <w:pPr>
        <w:sectPr>
          <w:pgSz w:w="11900" w:h="16838" w:orient="portrait"/>
          <w:cols w:equalWidth="0" w:num="1">
            <w:col w:w="11024"/>
          </w:cols>
          <w:pgMar w:left="436" w:top="121" w:right="439" w:bottom="1440" w:gutter="0" w:footer="0" w:header="0"/>
        </w:sectPr>
      </w:pPr>
    </w:p>
    <w:bookmarkStart w:id="95" w:name="page96"/>
    <w:bookmarkEnd w:id="95"/>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Registration Statement, we have been asked to provide an opinion on certain matters, as set out below.</w:t>
      </w:r>
    </w:p>
    <w:p>
      <w:pPr>
        <w:spacing w:after="0" w:line="370" w:lineRule="exact"/>
        <w:rPr>
          <w:sz w:val="20"/>
          <w:szCs w:val="20"/>
          <w:color w:val="auto"/>
        </w:rPr>
      </w:pPr>
    </w:p>
    <w:p>
      <w:pPr>
        <w:ind w:left="544" w:hanging="544"/>
        <w:spacing w:after="0"/>
        <w:tabs>
          <w:tab w:leader="none" w:pos="544"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Examination and enquiries</w:t>
      </w:r>
    </w:p>
    <w:p>
      <w:pPr>
        <w:spacing w:after="0" w:line="134" w:lineRule="exact"/>
        <w:rPr>
          <w:rFonts w:ascii="Arial" w:cs="Arial" w:eastAsia="Arial" w:hAnsi="Arial"/>
          <w:sz w:val="18"/>
          <w:szCs w:val="18"/>
          <w:color w:val="auto"/>
        </w:rPr>
      </w:pPr>
    </w:p>
    <w:p>
      <w:pPr>
        <w:ind w:left="1184" w:hanging="644"/>
        <w:spacing w:after="0"/>
        <w:tabs>
          <w:tab w:leader="none" w:pos="11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 the purpose of giving this opinion, we have examined:</w:t>
      </w:r>
    </w:p>
    <w:p>
      <w:pPr>
        <w:spacing w:after="0" w:line="130" w:lineRule="exact"/>
        <w:rPr>
          <w:rFonts w:ascii="Arial" w:cs="Arial" w:eastAsia="Arial" w:hAnsi="Arial"/>
          <w:sz w:val="18"/>
          <w:szCs w:val="18"/>
          <w:color w:val="auto"/>
        </w:rPr>
      </w:pPr>
    </w:p>
    <w:p>
      <w:pPr>
        <w:ind w:left="1744" w:right="160" w:hanging="543"/>
        <w:spacing w:after="0" w:line="277" w:lineRule="auto"/>
        <w:tabs>
          <w:tab w:leader="none" w:pos="1744"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copy of the Registration Statement (excluding its exhibits and any documents incorporated by reference into the Registration Statement);</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copy of the Sales Agreement;</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2"/>
          <w:numId w:val="63"/>
        </w:numPr>
        <w:rPr>
          <w:rFonts w:ascii="Arial" w:cs="Arial" w:eastAsia="Arial" w:hAnsi="Arial"/>
          <w:sz w:val="18"/>
          <w:szCs w:val="18"/>
          <w:color w:val="auto"/>
        </w:rPr>
      </w:pPr>
      <w:r>
        <w:rPr>
          <w:rFonts w:ascii="Arial" w:cs="Arial" w:eastAsia="Arial" w:hAnsi="Arial"/>
          <w:sz w:val="18"/>
          <w:szCs w:val="18"/>
          <w:color w:val="auto"/>
        </w:rPr>
        <w:t>a copy of each of:</w:t>
      </w:r>
    </w:p>
    <w:p>
      <w:pPr>
        <w:spacing w:after="0" w:line="130" w:lineRule="exact"/>
        <w:rPr>
          <w:rFonts w:ascii="Arial" w:cs="Arial" w:eastAsia="Arial" w:hAnsi="Arial"/>
          <w:sz w:val="18"/>
          <w:szCs w:val="18"/>
          <w:color w:val="auto"/>
        </w:rPr>
      </w:pPr>
    </w:p>
    <w:p>
      <w:pPr>
        <w:ind w:left="2404" w:right="120" w:hanging="649"/>
        <w:spacing w:after="0" w:line="342" w:lineRule="auto"/>
        <w:tabs>
          <w:tab w:leader="none" w:pos="2404" w:val="left"/>
        </w:tabs>
        <w:numPr>
          <w:ilvl w:val="3"/>
          <w:numId w:val="63"/>
        </w:numPr>
        <w:rPr>
          <w:rFonts w:ascii="Arial" w:cs="Arial" w:eastAsia="Arial" w:hAnsi="Arial"/>
          <w:sz w:val="16"/>
          <w:szCs w:val="16"/>
          <w:color w:val="auto"/>
        </w:rPr>
      </w:pPr>
      <w:r>
        <w:rPr>
          <w:rFonts w:ascii="Arial" w:cs="Arial" w:eastAsia="Arial" w:hAnsi="Arial"/>
          <w:sz w:val="16"/>
          <w:szCs w:val="16"/>
          <w:color w:val="auto"/>
        </w:rPr>
        <w:t>a subscription deed between AstraZeneca AB and the Company dated 28 October 2017 and a deed of amendment and restatement between AstraZeneca AB and the Company dated 21 May 2021 relating to that subscription deed;</w:t>
      </w:r>
    </w:p>
    <w:p>
      <w:pPr>
        <w:spacing w:after="0" w:line="29" w:lineRule="exact"/>
        <w:rPr>
          <w:rFonts w:ascii="Arial" w:cs="Arial" w:eastAsia="Arial" w:hAnsi="Arial"/>
          <w:sz w:val="16"/>
          <w:szCs w:val="16"/>
          <w:color w:val="auto"/>
        </w:rPr>
      </w:pPr>
    </w:p>
    <w:p>
      <w:pPr>
        <w:ind w:left="2404" w:right="80" w:hanging="649"/>
        <w:spacing w:after="0" w:line="259" w:lineRule="auto"/>
        <w:tabs>
          <w:tab w:leader="none" w:pos="2404" w:val="left"/>
        </w:tabs>
        <w:numPr>
          <w:ilvl w:val="3"/>
          <w:numId w:val="63"/>
        </w:numPr>
        <w:rPr>
          <w:rFonts w:ascii="Arial" w:cs="Arial" w:eastAsia="Arial" w:hAnsi="Arial"/>
          <w:sz w:val="18"/>
          <w:szCs w:val="18"/>
          <w:color w:val="auto"/>
        </w:rPr>
      </w:pPr>
      <w:r>
        <w:rPr>
          <w:rFonts w:ascii="Arial" w:cs="Arial" w:eastAsia="Arial" w:hAnsi="Arial"/>
          <w:sz w:val="18"/>
          <w:szCs w:val="18"/>
          <w:color w:val="auto"/>
        </w:rPr>
        <w:t>a warrant instrument of the Company dated 10 February 2020, a convertible loan note instrument of the Company dated 10 February 2020, a deed of consent and amendment to warrant instrument between the Company and Novartis Pharma AG dated 24 November 2020 and a deed of consent and amendment to note instrument between the Company and Novartis Pharma AG dated 24 November 2020;</w:t>
      </w:r>
    </w:p>
    <w:p>
      <w:pPr>
        <w:spacing w:after="0" w:line="92" w:lineRule="exact"/>
        <w:rPr>
          <w:rFonts w:ascii="Arial" w:cs="Arial" w:eastAsia="Arial" w:hAnsi="Arial"/>
          <w:sz w:val="18"/>
          <w:szCs w:val="18"/>
          <w:color w:val="auto"/>
        </w:rPr>
      </w:pPr>
    </w:p>
    <w:p>
      <w:pPr>
        <w:ind w:left="2404" w:right="140" w:hanging="649"/>
        <w:spacing w:after="0" w:line="259" w:lineRule="auto"/>
        <w:tabs>
          <w:tab w:leader="none" w:pos="2404" w:val="left"/>
        </w:tabs>
        <w:numPr>
          <w:ilvl w:val="3"/>
          <w:numId w:val="63"/>
        </w:numPr>
        <w:rPr>
          <w:rFonts w:ascii="Arial" w:cs="Arial" w:eastAsia="Arial" w:hAnsi="Arial"/>
          <w:sz w:val="18"/>
          <w:szCs w:val="18"/>
          <w:color w:val="auto"/>
        </w:rPr>
      </w:pPr>
      <w:r>
        <w:rPr>
          <w:rFonts w:ascii="Arial" w:cs="Arial" w:eastAsia="Arial" w:hAnsi="Arial"/>
          <w:sz w:val="18"/>
          <w:szCs w:val="18"/>
          <w:color w:val="auto"/>
        </w:rPr>
        <w:t>a warrant instrument of the Company made on 21 August 2017 (as amended on 15 December 2020), a warrant instrument of the Company made on 1 October 2018 (as amended on 15 December 2020) and a deed of consent and amendment between the Company, Kreos Capital V (UK) Limited and Silicon Valley Bank dated 15 December 2020; and</w:t>
      </w:r>
    </w:p>
    <w:p>
      <w:pPr>
        <w:spacing w:after="0" w:line="92" w:lineRule="exact"/>
        <w:rPr>
          <w:rFonts w:ascii="Arial" w:cs="Arial" w:eastAsia="Arial" w:hAnsi="Arial"/>
          <w:sz w:val="18"/>
          <w:szCs w:val="18"/>
          <w:color w:val="auto"/>
        </w:rPr>
      </w:pPr>
    </w:p>
    <w:p>
      <w:pPr>
        <w:ind w:left="2404" w:hanging="649"/>
        <w:spacing w:after="0" w:line="277" w:lineRule="auto"/>
        <w:tabs>
          <w:tab w:leader="none" w:pos="2404" w:val="left"/>
        </w:tabs>
        <w:numPr>
          <w:ilvl w:val="3"/>
          <w:numId w:val="63"/>
        </w:numPr>
        <w:rPr>
          <w:rFonts w:ascii="Arial" w:cs="Arial" w:eastAsia="Arial" w:hAnsi="Arial"/>
          <w:sz w:val="18"/>
          <w:szCs w:val="18"/>
          <w:color w:val="auto"/>
        </w:rPr>
      </w:pPr>
      <w:r>
        <w:rPr>
          <w:rFonts w:ascii="Arial" w:cs="Arial" w:eastAsia="Arial" w:hAnsi="Arial"/>
          <w:sz w:val="18"/>
          <w:szCs w:val="18"/>
          <w:color w:val="auto"/>
        </w:rPr>
        <w:t>a milestone payment and share purchase agreement between Mereo BioPharma 5, Inc., the Company and Cancer Focus Fund, LP dated 30 April 2021,</w:t>
      </w:r>
    </w:p>
    <w:p>
      <w:pPr>
        <w:spacing w:after="0" w:line="58"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 xml:space="preserve">(together the </w:t>
      </w:r>
      <w:r>
        <w:rPr>
          <w:rFonts w:ascii="Arial" w:cs="Arial" w:eastAsia="Arial" w:hAnsi="Arial"/>
          <w:sz w:val="18"/>
          <w:szCs w:val="18"/>
          <w:b w:val="1"/>
          <w:bCs w:val="1"/>
          <w:color w:val="auto"/>
        </w:rPr>
        <w:t>“Selling Shareholder Agreements”</w:t>
      </w:r>
      <w:r>
        <w:rPr>
          <w:rFonts w:ascii="Arial" w:cs="Arial" w:eastAsia="Arial" w:hAnsi="Arial"/>
          <w:sz w:val="18"/>
          <w:szCs w:val="18"/>
          <w:color w:val="auto"/>
        </w:rPr>
        <w:t>); and</w:t>
      </w:r>
    </w:p>
    <w:p>
      <w:pPr>
        <w:spacing w:after="0" w:line="135" w:lineRule="exact"/>
        <w:rPr>
          <w:sz w:val="20"/>
          <w:szCs w:val="20"/>
          <w:color w:val="auto"/>
        </w:rPr>
      </w:pPr>
    </w:p>
    <w:p>
      <w:pPr>
        <w:ind w:left="1744" w:right="20" w:hanging="543"/>
        <w:spacing w:after="0" w:line="263" w:lineRule="auto"/>
        <w:tabs>
          <w:tab w:leader="none" w:pos="17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certificate dated 7 September 2021 signed by the company secretary of the Company relating to certain factual matters and having annexed thereto copies (certified by the company secretary as being true, complete, accurate and up-to-date in each case) of the following documents:</w:t>
      </w:r>
    </w:p>
    <w:p>
      <w:pPr>
        <w:spacing w:after="0" w:line="89" w:lineRule="exact"/>
        <w:rPr>
          <w:rFonts w:ascii="Arial" w:cs="Arial" w:eastAsia="Arial" w:hAnsi="Arial"/>
          <w:sz w:val="18"/>
          <w:szCs w:val="18"/>
          <w:color w:val="auto"/>
        </w:rPr>
      </w:pPr>
    </w:p>
    <w:p>
      <w:pPr>
        <w:ind w:left="2404" w:right="100" w:hanging="649"/>
        <w:spacing w:after="0" w:line="277" w:lineRule="auto"/>
        <w:tabs>
          <w:tab w:leader="none" w:pos="24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Company’s certificate of incorporation, certificate of incorporation on re-registration, memorandum of association and articles of association;</w:t>
      </w:r>
    </w:p>
    <w:p>
      <w:pPr>
        <w:spacing w:after="0" w:line="75" w:lineRule="exact"/>
        <w:rPr>
          <w:rFonts w:ascii="Arial" w:cs="Arial" w:eastAsia="Arial" w:hAnsi="Arial"/>
          <w:sz w:val="18"/>
          <w:szCs w:val="18"/>
          <w:color w:val="auto"/>
        </w:rPr>
      </w:pPr>
    </w:p>
    <w:p>
      <w:pPr>
        <w:ind w:left="2404" w:right="200" w:hanging="649"/>
        <w:spacing w:after="0" w:line="286" w:lineRule="auto"/>
        <w:tabs>
          <w:tab w:leader="none" w:pos="2404" w:val="left"/>
        </w:tabs>
        <w:numPr>
          <w:ilvl w:val="1"/>
          <w:numId w:val="64"/>
        </w:numPr>
        <w:rPr>
          <w:rFonts w:ascii="Arial" w:cs="Arial" w:eastAsia="Arial" w:hAnsi="Arial"/>
          <w:sz w:val="17"/>
          <w:szCs w:val="17"/>
          <w:color w:val="auto"/>
        </w:rPr>
      </w:pPr>
      <w:r>
        <w:rPr>
          <w:rFonts w:ascii="Arial" w:cs="Arial" w:eastAsia="Arial" w:hAnsi="Arial"/>
          <w:sz w:val="17"/>
          <w:szCs w:val="17"/>
          <w:color w:val="auto"/>
        </w:rPr>
        <w:t>written resolutions of the directors of the Company passed on 2 August 2021 pursuant to which it was resolved, inter alia, to approve the filing of the registration statement on Form F-3 filed with the U.S. Securities and Exchange Commission on 5 August 2021 and to authorise the execution of the Sales Agreement; and</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96" w:name="page97"/>
    <w:bookmarkEnd w:id="96"/>
    <w:p>
      <w:pPr>
        <w:ind w:left="1400" w:right="20" w:hanging="649"/>
        <w:spacing w:after="0" w:line="263"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minutes of meetings of the directors of the Company held on each of 25 October 2017 and 3 December 2020 at which, inter alia, resolutions were passed in connection with the arrangements with AstraZeneca AB referred to at paragraph 2(a)(iii)(A);</w:t>
      </w:r>
    </w:p>
    <w:p>
      <w:pPr>
        <w:spacing w:after="0" w:line="89" w:lineRule="exact"/>
        <w:rPr>
          <w:rFonts w:ascii="Arial" w:cs="Arial" w:eastAsia="Arial" w:hAnsi="Arial"/>
          <w:sz w:val="18"/>
          <w:szCs w:val="18"/>
          <w:color w:val="auto"/>
        </w:rPr>
      </w:pPr>
    </w:p>
    <w:p>
      <w:pPr>
        <w:ind w:left="1400" w:right="240" w:hanging="649"/>
        <w:spacing w:after="0" w:line="342" w:lineRule="auto"/>
        <w:tabs>
          <w:tab w:leader="none" w:pos="14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minutes of a meeting of the directors of the Company held on 8 February 2020 at which, inter alia, resolutions were passed in connection with the arrangements with Novartis Pharma AG referred to at paragraph 2(a)(iii)(B);</w:t>
      </w:r>
    </w:p>
    <w:p>
      <w:pPr>
        <w:spacing w:after="0" w:line="29" w:lineRule="exact"/>
        <w:rPr>
          <w:rFonts w:ascii="Arial" w:cs="Arial" w:eastAsia="Arial" w:hAnsi="Arial"/>
          <w:sz w:val="16"/>
          <w:szCs w:val="16"/>
          <w:color w:val="auto"/>
        </w:rPr>
      </w:pPr>
    </w:p>
    <w:p>
      <w:pPr>
        <w:ind w:left="1400" w:hanging="649"/>
        <w:spacing w:after="0"/>
        <w:tabs>
          <w:tab w:leader="none" w:pos="14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minutes of meetings of the directors of the Company held on each of 27 June 2017, 26 September 2018 and</w:t>
      </w:r>
    </w:p>
    <w:p>
      <w:pPr>
        <w:spacing w:after="0" w:line="34" w:lineRule="exact"/>
        <w:rPr>
          <w:rFonts w:ascii="Arial" w:cs="Arial" w:eastAsia="Arial" w:hAnsi="Arial"/>
          <w:sz w:val="17"/>
          <w:szCs w:val="17"/>
          <w:color w:val="auto"/>
        </w:rPr>
      </w:pPr>
    </w:p>
    <w:p>
      <w:pPr>
        <w:jc w:val="both"/>
        <w:ind w:left="1400" w:right="100"/>
        <w:spacing w:after="0" w:line="255" w:lineRule="auto"/>
        <w:rPr>
          <w:rFonts w:ascii="Arial" w:cs="Arial" w:eastAsia="Arial" w:hAnsi="Arial"/>
          <w:sz w:val="17"/>
          <w:szCs w:val="17"/>
          <w:color w:val="auto"/>
        </w:rPr>
      </w:pPr>
      <w:r>
        <w:rPr>
          <w:rFonts w:ascii="Arial" w:cs="Arial" w:eastAsia="Arial" w:hAnsi="Arial"/>
          <w:sz w:val="18"/>
          <w:szCs w:val="18"/>
          <w:color w:val="auto"/>
        </w:rPr>
        <w:t>3 December 2020 and of a committee of the directors of the Company held on 4 August 2017 and 26 September 2018 at which, inter alia, resolutions were passed in connection with the arrangements with Kreos Capital V (UK) Limited and Silicon Valley Bank referred to at paragraph 2(a)(iii)(C);</w:t>
      </w:r>
    </w:p>
    <w:p>
      <w:pPr>
        <w:spacing w:after="0" w:line="95" w:lineRule="exact"/>
        <w:rPr>
          <w:rFonts w:ascii="Arial" w:cs="Arial" w:eastAsia="Arial" w:hAnsi="Arial"/>
          <w:sz w:val="17"/>
          <w:szCs w:val="17"/>
          <w:color w:val="auto"/>
        </w:rPr>
      </w:pPr>
    </w:p>
    <w:p>
      <w:pPr>
        <w:ind w:left="1400" w:hanging="649"/>
        <w:spacing w:after="0" w:line="263"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minutes of meetings of the directors of the Company held on 3 December 2020 and 14 April 2021 at which, inter alia, resolutions were passed in connection with the arrangements with Cancer Focus Fund, LP referred to at paragraph 2(a) (iii)(D);</w:t>
      </w:r>
    </w:p>
    <w:p>
      <w:pPr>
        <w:spacing w:after="0" w:line="89" w:lineRule="exact"/>
        <w:rPr>
          <w:rFonts w:ascii="Arial" w:cs="Arial" w:eastAsia="Arial" w:hAnsi="Arial"/>
          <w:sz w:val="18"/>
          <w:szCs w:val="18"/>
          <w:color w:val="auto"/>
        </w:rPr>
      </w:pPr>
    </w:p>
    <w:p>
      <w:pPr>
        <w:ind w:left="1400" w:right="360" w:hanging="649"/>
        <w:spacing w:after="0" w:line="277"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written resolutions of a committee of the directors of the Company passed on 13 May 2021 in connection with the arrangements with AstraZeneca AB referred to at paragraph 2(a)(iii)(A);</w:t>
      </w:r>
    </w:p>
    <w:p>
      <w:pPr>
        <w:spacing w:after="0" w:line="75" w:lineRule="exact"/>
        <w:rPr>
          <w:rFonts w:ascii="Arial" w:cs="Arial" w:eastAsia="Arial" w:hAnsi="Arial"/>
          <w:sz w:val="18"/>
          <w:szCs w:val="18"/>
          <w:color w:val="auto"/>
        </w:rPr>
      </w:pPr>
    </w:p>
    <w:p>
      <w:pPr>
        <w:ind w:left="1400" w:right="40" w:hanging="649"/>
        <w:spacing w:after="0" w:line="277"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written resolutions of the directors of the Company passed on 10 November 2020 in connection with the arrangements with Novartis Pharma AG referred to at paragraph 2(a)(iii)(B);</w:t>
      </w:r>
    </w:p>
    <w:p>
      <w:pPr>
        <w:spacing w:after="0" w:line="75" w:lineRule="exact"/>
        <w:rPr>
          <w:rFonts w:ascii="Arial" w:cs="Arial" w:eastAsia="Arial" w:hAnsi="Arial"/>
          <w:sz w:val="18"/>
          <w:szCs w:val="18"/>
          <w:color w:val="auto"/>
        </w:rPr>
      </w:pPr>
    </w:p>
    <w:p>
      <w:pPr>
        <w:ind w:left="1400" w:right="200" w:hanging="649"/>
        <w:spacing w:after="0" w:line="342" w:lineRule="auto"/>
        <w:tabs>
          <w:tab w:leader="none" w:pos="14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written resolutions of a committee of the directors of the Company passed on 12 December 2020 in connection with the arrangements with Kreos Capital V (UK) Limited and Silicon Valley Bank referred to at paragraph 2(a)(iii)(C);</w:t>
      </w:r>
    </w:p>
    <w:p>
      <w:pPr>
        <w:spacing w:after="0" w:line="29" w:lineRule="exact"/>
        <w:rPr>
          <w:rFonts w:ascii="Arial" w:cs="Arial" w:eastAsia="Arial" w:hAnsi="Arial"/>
          <w:sz w:val="16"/>
          <w:szCs w:val="16"/>
          <w:color w:val="auto"/>
        </w:rPr>
      </w:pPr>
    </w:p>
    <w:p>
      <w:pPr>
        <w:ind w:left="1400" w:right="320" w:hanging="649"/>
        <w:spacing w:after="0" w:line="277"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written resolutions of a committee of the directors of the Company passed on 29 April 2021 in connection with the arrangements with Cancer Focus Fund, LP referred to at paragraph 2(a)(iii)(D);</w:t>
      </w:r>
    </w:p>
    <w:p>
      <w:pPr>
        <w:spacing w:after="0" w:line="75" w:lineRule="exact"/>
        <w:rPr>
          <w:rFonts w:ascii="Arial" w:cs="Arial" w:eastAsia="Arial" w:hAnsi="Arial"/>
          <w:sz w:val="18"/>
          <w:szCs w:val="18"/>
          <w:color w:val="auto"/>
        </w:rPr>
      </w:pPr>
    </w:p>
    <w:p>
      <w:pPr>
        <w:ind w:left="1400" w:hanging="649"/>
        <w:spacing w:after="0"/>
        <w:tabs>
          <w:tab w:leader="none" w:pos="14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resolutions of the Company passed at the general meeting or annual general meeting held on each of 19 June 2019,</w:t>
      </w:r>
    </w:p>
    <w:p>
      <w:pPr>
        <w:spacing w:after="0" w:line="46" w:lineRule="exact"/>
        <w:rPr>
          <w:rFonts w:ascii="Arial" w:cs="Arial" w:eastAsia="Arial" w:hAnsi="Arial"/>
          <w:sz w:val="16"/>
          <w:szCs w:val="16"/>
          <w:color w:val="auto"/>
        </w:rPr>
      </w:pPr>
    </w:p>
    <w:p>
      <w:pPr>
        <w:ind w:left="1400"/>
        <w:spacing w:after="0" w:line="253" w:lineRule="auto"/>
        <w:rPr>
          <w:rFonts w:ascii="Arial" w:cs="Arial" w:eastAsia="Arial" w:hAnsi="Arial"/>
          <w:sz w:val="16"/>
          <w:szCs w:val="16"/>
          <w:color w:val="auto"/>
        </w:rPr>
      </w:pPr>
      <w:r>
        <w:rPr>
          <w:rFonts w:ascii="Arial" w:cs="Arial" w:eastAsia="Arial" w:hAnsi="Arial"/>
          <w:sz w:val="18"/>
          <w:szCs w:val="18"/>
          <w:color w:val="auto"/>
        </w:rPr>
        <w:t>29 June 2020 and 1 February 2021 and written resolutions of the shareholders of the Company passed on 2 June 2016, pursuant to which the directors of the Company were (A) authorised under s551 Companies Act 2006 to allot Ordinary Shares and (B) empowered under s570 Companies Act 2006 to allot the Ordinary Shares as if s561 of that Act did not apply to the allotment; and</w:t>
      </w:r>
    </w:p>
    <w:p>
      <w:pPr>
        <w:spacing w:after="0" w:line="98" w:lineRule="exact"/>
        <w:rPr>
          <w:rFonts w:ascii="Arial" w:cs="Arial" w:eastAsia="Arial" w:hAnsi="Arial"/>
          <w:sz w:val="16"/>
          <w:szCs w:val="16"/>
          <w:color w:val="auto"/>
        </w:rPr>
      </w:pPr>
    </w:p>
    <w:p>
      <w:pPr>
        <w:ind w:left="1400" w:right="60" w:hanging="649"/>
        <w:spacing w:after="0" w:line="277" w:lineRule="auto"/>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extract of the register of members of the Company (showing the number of shares held by Cancer Focus Fund, LP) as at 3 September 2021.</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60"/>
          </w:cols>
          <w:pgMar w:left="1440" w:top="274" w:right="499" w:bottom="1440" w:gutter="0" w:footer="0" w:header="0"/>
        </w:sectPr>
      </w:pPr>
    </w:p>
    <w:bookmarkStart w:id="97" w:name="page98"/>
    <w:bookmarkEnd w:id="97"/>
    <w:p>
      <w:pPr>
        <w:ind w:left="1184" w:hanging="644"/>
        <w:spacing w:after="0"/>
        <w:tabs>
          <w:tab w:leader="none" w:pos="1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 of giving this opinion, we have:</w:t>
      </w:r>
    </w:p>
    <w:p>
      <w:pPr>
        <w:spacing w:after="0" w:line="130" w:lineRule="exact"/>
        <w:rPr>
          <w:rFonts w:ascii="Arial" w:cs="Arial" w:eastAsia="Arial" w:hAnsi="Arial"/>
          <w:sz w:val="18"/>
          <w:szCs w:val="18"/>
          <w:color w:val="auto"/>
        </w:rPr>
      </w:pPr>
    </w:p>
    <w:p>
      <w:pPr>
        <w:ind w:left="1744" w:right="300" w:hanging="543"/>
        <w:spacing w:after="0" w:line="277" w:lineRule="auto"/>
        <w:tabs>
          <w:tab w:leader="none" w:pos="17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7 September 2021 an online search of the register kept by the Registrar of Companies in respect of the Company (the </w:t>
      </w:r>
      <w:r>
        <w:rPr>
          <w:rFonts w:ascii="Arial" w:cs="Arial" w:eastAsia="Arial" w:hAnsi="Arial"/>
          <w:sz w:val="18"/>
          <w:szCs w:val="18"/>
          <w:b w:val="1"/>
          <w:bCs w:val="1"/>
          <w:color w:val="auto"/>
        </w:rPr>
        <w:t>“Company Search”</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744" w:right="160" w:hanging="543"/>
        <w:spacing w:after="0" w:line="263" w:lineRule="auto"/>
        <w:tabs>
          <w:tab w:leader="none" w:pos="17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7 September 2021 at approximately 10 a.m. (BST) an online search in respect of the Company of the Central Registry of Winding Up Petitions (the </w:t>
      </w:r>
      <w:r>
        <w:rPr>
          <w:rFonts w:ascii="Arial" w:cs="Arial" w:eastAsia="Arial" w:hAnsi="Arial"/>
          <w:sz w:val="18"/>
          <w:szCs w:val="18"/>
          <w:b w:val="1"/>
          <w:bCs w:val="1"/>
          <w:color w:val="auto"/>
        </w:rPr>
        <w:t>“Central Registry Enquiry”</w:t>
      </w:r>
      <w:r>
        <w:rPr>
          <w:rFonts w:ascii="Arial" w:cs="Arial" w:eastAsia="Arial" w:hAnsi="Arial"/>
          <w:sz w:val="18"/>
          <w:szCs w:val="18"/>
          <w:color w:val="auto"/>
        </w:rPr>
        <w:t xml:space="preserve"> and, together with the Company Search,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72"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 xml:space="preserve">and reviewed the information we received from our agents from the Searches (the </w:t>
      </w:r>
      <w:r>
        <w:rPr>
          <w:rFonts w:ascii="Arial" w:cs="Arial" w:eastAsia="Arial" w:hAnsi="Arial"/>
          <w:sz w:val="18"/>
          <w:szCs w:val="18"/>
          <w:b w:val="1"/>
          <w:bCs w:val="1"/>
          <w:color w:val="auto"/>
        </w:rPr>
        <w:t>“Search Results”</w:t>
      </w:r>
      <w:r>
        <w:rPr>
          <w:rFonts w:ascii="Arial" w:cs="Arial" w:eastAsia="Arial" w:hAnsi="Arial"/>
          <w:sz w:val="18"/>
          <w:szCs w:val="18"/>
          <w:color w:val="auto"/>
        </w:rPr>
        <w:t>).</w:t>
      </w:r>
    </w:p>
    <w:p>
      <w:pPr>
        <w:spacing w:after="0" w:line="135" w:lineRule="exact"/>
        <w:rPr>
          <w:sz w:val="20"/>
          <w:szCs w:val="20"/>
          <w:color w:val="auto"/>
        </w:rPr>
      </w:pPr>
    </w:p>
    <w:p>
      <w:pPr>
        <w:ind w:left="1184" w:hanging="644"/>
        <w:spacing w:after="0" w:line="263" w:lineRule="auto"/>
        <w:tabs>
          <w:tab w:leader="none" w:pos="1184"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the purposes of giving this opinion, we have only examined and relied on those documents referred to in paragraphs 2(a) and arranged or obtained the Searches and reviewed the Search Results. We have made no further enquiries concerning the Company or any other matter in connection with the giving of this opinion.</w:t>
      </w:r>
    </w:p>
    <w:p>
      <w:pPr>
        <w:spacing w:after="0" w:line="89" w:lineRule="exact"/>
        <w:rPr>
          <w:rFonts w:ascii="Arial" w:cs="Arial" w:eastAsia="Arial" w:hAnsi="Arial"/>
          <w:sz w:val="18"/>
          <w:szCs w:val="18"/>
          <w:color w:val="auto"/>
        </w:rPr>
      </w:pPr>
    </w:p>
    <w:p>
      <w:pPr>
        <w:ind w:left="1184" w:right="80" w:hanging="644"/>
        <w:spacing w:after="0" w:line="308" w:lineRule="auto"/>
        <w:tabs>
          <w:tab w:leader="none" w:pos="1184" w:val="left"/>
        </w:tabs>
        <w:numPr>
          <w:ilvl w:val="1"/>
          <w:numId w:val="67"/>
        </w:numPr>
        <w:rPr>
          <w:rFonts w:ascii="Arial" w:cs="Arial" w:eastAsia="Arial" w:hAnsi="Arial"/>
          <w:sz w:val="17"/>
          <w:szCs w:val="17"/>
          <w:color w:val="auto"/>
        </w:rPr>
      </w:pPr>
      <w:r>
        <w:rPr>
          <w:rFonts w:ascii="Arial" w:cs="Arial" w:eastAsia="Arial" w:hAnsi="Arial"/>
          <w:sz w:val="17"/>
          <w:szCs w:val="17"/>
          <w:color w:val="auto"/>
        </w:rPr>
        <w:t>We have made no enquiry, and express no opinion, as to any matter of fact. As to matters of fact which are material to this opinion, we have relied entirely and without further enquiry on statements made in the documents listed in paragraph 2(a).</w:t>
      </w:r>
    </w:p>
    <w:p>
      <w:pPr>
        <w:spacing w:after="0" w:line="290" w:lineRule="exact"/>
        <w:rPr>
          <w:rFonts w:ascii="Arial" w:cs="Arial" w:eastAsia="Arial" w:hAnsi="Arial"/>
          <w:sz w:val="17"/>
          <w:szCs w:val="17"/>
          <w:color w:val="auto"/>
        </w:rPr>
      </w:pPr>
    </w:p>
    <w:p>
      <w:pPr>
        <w:ind w:left="544" w:hanging="544"/>
        <w:spacing w:after="0"/>
        <w:tabs>
          <w:tab w:leader="none" w:pos="54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34" w:lineRule="exact"/>
        <w:rPr>
          <w:rFonts w:ascii="Arial" w:cs="Arial" w:eastAsia="Arial" w:hAnsi="Arial"/>
          <w:sz w:val="18"/>
          <w:szCs w:val="18"/>
          <w:color w:val="auto"/>
        </w:rPr>
      </w:pPr>
    </w:p>
    <w:p>
      <w:pPr>
        <w:ind w:left="1184" w:hanging="644"/>
        <w:spacing w:after="0"/>
        <w:tabs>
          <w:tab w:leader="none" w:pos="1184"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giving this opinion we have assumed:</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genuineness of all signatures, seals and stamps;</w:t>
      </w:r>
    </w:p>
    <w:p>
      <w:pPr>
        <w:spacing w:after="0" w:line="130" w:lineRule="exact"/>
        <w:rPr>
          <w:rFonts w:ascii="Arial" w:cs="Arial" w:eastAsia="Arial" w:hAnsi="Arial"/>
          <w:sz w:val="18"/>
          <w:szCs w:val="18"/>
          <w:color w:val="auto"/>
        </w:rPr>
      </w:pPr>
    </w:p>
    <w:p>
      <w:pPr>
        <w:ind w:left="1744" w:right="40" w:hanging="543"/>
        <w:spacing w:after="0" w:line="277" w:lineRule="auto"/>
        <w:tabs>
          <w:tab w:leader="none" w:pos="1744"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that each of the individuals who signs as, or otherwise claims to be, an officer of the Company is the individual whom he or she claims to be and holds the office he or she claims to hold;</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1744" w:right="80" w:hanging="543"/>
        <w:spacing w:after="0" w:line="277" w:lineRule="auto"/>
        <w:tabs>
          <w:tab w:leader="none" w:pos="1744"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conformity with the original documents of all documents reviewed by us as drafts, specimens, pro formas or copies and the authenticity and completeness of all such original documents;</w:t>
      </w:r>
    </w:p>
    <w:p>
      <w:pPr>
        <w:spacing w:after="0" w:line="75" w:lineRule="exact"/>
        <w:rPr>
          <w:rFonts w:ascii="Arial" w:cs="Arial" w:eastAsia="Arial" w:hAnsi="Arial"/>
          <w:sz w:val="18"/>
          <w:szCs w:val="18"/>
          <w:color w:val="auto"/>
        </w:rPr>
      </w:pPr>
    </w:p>
    <w:p>
      <w:pPr>
        <w:ind w:left="1744" w:right="140" w:hanging="543"/>
        <w:spacing w:after="0" w:line="275" w:lineRule="auto"/>
        <w:tabs>
          <w:tab w:leader="none" w:pos="1744" w:val="left"/>
        </w:tabs>
        <w:numPr>
          <w:ilvl w:val="2"/>
          <w:numId w:val="68"/>
        </w:numPr>
        <w:rPr>
          <w:rFonts w:ascii="Arial" w:cs="Arial" w:eastAsia="Arial" w:hAnsi="Arial"/>
          <w:sz w:val="17"/>
          <w:szCs w:val="17"/>
          <w:color w:val="auto"/>
        </w:rPr>
      </w:pPr>
      <w:r>
        <w:rPr>
          <w:rFonts w:ascii="Arial" w:cs="Arial" w:eastAsia="Arial" w:hAnsi="Arial"/>
          <w:sz w:val="17"/>
          <w:szCs w:val="17"/>
          <w:color w:val="auto"/>
        </w:rPr>
        <w:t>that in relation to each written resolution referred to in paragraphs 2(a)(iv)(B) and (G) to (J) (</w:t>
      </w:r>
      <w:r>
        <w:rPr>
          <w:rFonts w:ascii="Arial" w:cs="Arial" w:eastAsia="Arial" w:hAnsi="Arial"/>
          <w:sz w:val="17"/>
          <w:szCs w:val="17"/>
          <w:i w:val="1"/>
          <w:iCs w:val="1"/>
          <w:color w:val="auto"/>
        </w:rPr>
        <w:t>Examination and enquiries</w:t>
      </w:r>
      <w:r>
        <w:rPr>
          <w:rFonts w:ascii="Arial" w:cs="Arial" w:eastAsia="Arial" w:hAnsi="Arial"/>
          <w:sz w:val="17"/>
          <w:szCs w:val="17"/>
          <w:color w:val="auto"/>
        </w:rPr>
        <w:t>) such resolution was duly passed in accordance with all applicable laws and regulations, including compliance with the articles of association of the Company; and that in particular, but without limitation, in relation to each such resolution each provision contained in the Companies Act 2006 or the articles of association of the Company relating to the declaration of directors’ interests or the power of interested directors to vote was duly observed;</w:t>
      </w:r>
    </w:p>
    <w:p>
      <w:pPr>
        <w:spacing w:after="0" w:line="81" w:lineRule="exact"/>
        <w:rPr>
          <w:rFonts w:ascii="Arial" w:cs="Arial" w:eastAsia="Arial" w:hAnsi="Arial"/>
          <w:sz w:val="17"/>
          <w:szCs w:val="17"/>
          <w:color w:val="auto"/>
        </w:rPr>
      </w:pPr>
    </w:p>
    <w:p>
      <w:pPr>
        <w:ind w:left="1744" w:right="280" w:hanging="543"/>
        <w:spacing w:after="0" w:line="263" w:lineRule="auto"/>
        <w:tabs>
          <w:tab w:leader="none" w:pos="1744"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that in relation to each meeting of the board, a committee of the board or the shareholders of the Company referred to in paragraphs 2(a)(iv)(C) to (F) and (K)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such meeting was duly convened, constituted and held in accordance with all applicable laws and regulation,</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98" w:name="page99"/>
    <w:bookmarkEnd w:id="98"/>
    <w:p>
      <w:pPr>
        <w:ind w:left="760"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compliance with the articles of association of the Company; that in particular, but without limitation, a duly qualified quorum of directors or, as the case may be, shareholders was present in each case throughout the meeting and voted in favour of the resolutions; in the case of a board or board committee meeting, each provision contained in the Companies Act 2006 or the articles of association of the Company relating to the declaration of directors’ interests or the power of interested directors to vote was duly observed; and the minutes are a true record of the proceedings of the relevant meeting or, as the case may be, the copy resolutions are a true record of the resolutions passed;</w:t>
      </w:r>
    </w:p>
    <w:p>
      <w:pPr>
        <w:spacing w:after="0" w:line="83" w:lineRule="exact"/>
        <w:rPr>
          <w:sz w:val="20"/>
          <w:szCs w:val="20"/>
          <w:color w:val="auto"/>
        </w:rPr>
      </w:pPr>
    </w:p>
    <w:p>
      <w:pPr>
        <w:ind w:left="740" w:right="260" w:hanging="543"/>
        <w:spacing w:after="0" w:line="277" w:lineRule="auto"/>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in relation to the written resolutions of the shareholders referred to in paragraph 2(a)(iv)(K)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such resolutions were duly passed in accordance with all applicable laws and regulations;</w:t>
      </w:r>
    </w:p>
    <w:p>
      <w:pPr>
        <w:spacing w:after="0" w:line="75" w:lineRule="exact"/>
        <w:rPr>
          <w:rFonts w:ascii="Arial" w:cs="Arial" w:eastAsia="Arial" w:hAnsi="Arial"/>
          <w:sz w:val="18"/>
          <w:szCs w:val="18"/>
          <w:color w:val="auto"/>
        </w:rPr>
      </w:pPr>
    </w:p>
    <w:p>
      <w:pPr>
        <w:ind w:left="740" w:right="120" w:hanging="543"/>
        <w:spacing w:after="0" w:line="259" w:lineRule="auto"/>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in relation to each written resolution referred to in paragraphs 2(a)(iv)(B) and (G) to (J)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each resolution recorded in the minutes referred to in paragraphs 2(a)(iv)(C) to (F)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and each resolution referred to in paragraph 2(a)(iv)(K)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such resolution has not been amended or rescinded and remains in full force and effect;</w:t>
      </w:r>
    </w:p>
    <w:p>
      <w:pPr>
        <w:spacing w:after="0" w:line="92" w:lineRule="exact"/>
        <w:rPr>
          <w:rFonts w:ascii="Arial" w:cs="Arial" w:eastAsia="Arial" w:hAnsi="Arial"/>
          <w:sz w:val="18"/>
          <w:szCs w:val="18"/>
          <w:color w:val="auto"/>
        </w:rPr>
      </w:pPr>
    </w:p>
    <w:p>
      <w:pPr>
        <w:ind w:left="740" w:right="220" w:hanging="543"/>
        <w:spacing w:after="0" w:line="311" w:lineRule="auto"/>
        <w:tabs>
          <w:tab w:leader="none" w:pos="7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that the directors of the Company acted in accordance with ss171 to 174 Companies Act 2006 in approving the resolutions referred to in, or recorded in the minutes referred to in, paragraphs 2(a)(iv)(B) to (J)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and that all actions to be carried out by the Company pursuant to those resolutions are in its commercial interests;</w:t>
      </w:r>
    </w:p>
    <w:p>
      <w:pPr>
        <w:spacing w:after="0" w:line="54" w:lineRule="exact"/>
        <w:rPr>
          <w:rFonts w:ascii="Arial" w:cs="Arial" w:eastAsia="Arial" w:hAnsi="Arial"/>
          <w:sz w:val="16"/>
          <w:szCs w:val="16"/>
          <w:color w:val="auto"/>
        </w:rPr>
      </w:pPr>
    </w:p>
    <w:p>
      <w:pPr>
        <w:ind w:left="740" w:right="120" w:hanging="543"/>
        <w:spacing w:after="0" w:line="301" w:lineRule="auto"/>
        <w:tabs>
          <w:tab w:leader="none" w:pos="7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that, in relation to each of (A) the Sales Agreement, (B) any agreement to be entered into from time to time relating to the offer and sale of Offered Shares contemplated by the Registration Statement, and (C) the Selling Shareholder Agreements (together the </w:t>
      </w:r>
      <w:r>
        <w:rPr>
          <w:rFonts w:ascii="Arial" w:cs="Arial" w:eastAsia="Arial" w:hAnsi="Arial"/>
          <w:sz w:val="16"/>
          <w:szCs w:val="16"/>
          <w:b w:val="1"/>
          <w:bCs w:val="1"/>
          <w:color w:val="auto"/>
        </w:rPr>
        <w:t>“Relevant Agreements”</w:t>
      </w:r>
      <w:r>
        <w:rPr>
          <w:rFonts w:ascii="Arial" w:cs="Arial" w:eastAsia="Arial" w:hAnsi="Arial"/>
          <w:sz w:val="16"/>
          <w:szCs w:val="16"/>
          <w:color w:val="auto"/>
        </w:rPr>
        <w:t>), that Relevant Agreement and the obligations created by it constitute or will constitute the legal, valid, binding and enforceable obligations of each of the parties to it under the laws by which it is expressed to be governed;</w:t>
      </w:r>
    </w:p>
    <w:p>
      <w:pPr>
        <w:spacing w:after="0" w:line="62" w:lineRule="exact"/>
        <w:rPr>
          <w:rFonts w:ascii="Arial" w:cs="Arial" w:eastAsia="Arial" w:hAnsi="Arial"/>
          <w:sz w:val="16"/>
          <w:szCs w:val="16"/>
          <w:color w:val="auto"/>
        </w:rPr>
      </w:pPr>
    </w:p>
    <w:p>
      <w:pPr>
        <w:ind w:left="740" w:hanging="543"/>
        <w:spacing w:after="0" w:line="271" w:lineRule="auto"/>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that warrants and loan notes have been issued to Selling Shareholders to the full extent stated in the documents referred to in paragraph 2(a)(iii)(B) and (C), comprising (A) warrants to subscribe for 1,449,614 Ordinary Shares pursuant to the warrant instrument of the Company dated 10 February 2020 (as amended); (B) loan notes in an aggregate principal amount of £3,841,479 convertible into Ordinary Shares at the conversion price of 26.5 pence per Ordinary Share pursuant to the convertible loan note instrument of the Company dated 10 February 2020 (as amended); (C) warrants to subscribe for 1,878,300 Ordinary Shares pursuant to the warrant instrument of the Company made on 21 August 2017 (as amended); and (D) warrants to subscribe for 609,516 Ordinary Shares pursuant to the warrant instrument of the Company made on 1 October 2018 (as amended); and that such warrants and notes remain in issue and valid;</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00"/>
          </w:cols>
          <w:pgMar w:left="1440" w:top="274" w:right="459" w:bottom="1440" w:gutter="0" w:footer="0" w:header="0"/>
        </w:sectPr>
      </w:pPr>
    </w:p>
    <w:bookmarkStart w:id="99" w:name="page100"/>
    <w:bookmarkEnd w:id="99"/>
    <w:p>
      <w:pPr>
        <w:ind w:left="740" w:right="120" w:hanging="543"/>
        <w:spacing w:after="0" w:line="263"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89" w:lineRule="exact"/>
        <w:rPr>
          <w:rFonts w:ascii="Arial" w:cs="Arial" w:eastAsia="Arial" w:hAnsi="Arial"/>
          <w:sz w:val="18"/>
          <w:szCs w:val="18"/>
          <w:color w:val="auto"/>
        </w:rPr>
      </w:pPr>
    </w:p>
    <w:p>
      <w:pPr>
        <w:jc w:val="both"/>
        <w:ind w:left="740" w:right="260" w:hanging="543"/>
        <w:spacing w:after="0" w:line="263"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each consent, licence, approval, authorisation or order of any governmental authority or other person required under any applicable law in connection with the transactions contemplated by the Relevant Agreements and the Registration Statement, has been or will have been obtained and is or will be in full force and effect;</w:t>
      </w:r>
    </w:p>
    <w:p>
      <w:pPr>
        <w:spacing w:after="0" w:line="89" w:lineRule="exact"/>
        <w:rPr>
          <w:rFonts w:ascii="Arial" w:cs="Arial" w:eastAsia="Arial" w:hAnsi="Arial"/>
          <w:sz w:val="18"/>
          <w:szCs w:val="18"/>
          <w:color w:val="auto"/>
        </w:rPr>
      </w:pPr>
    </w:p>
    <w:p>
      <w:pPr>
        <w:ind w:left="740" w:right="320" w:hanging="543"/>
        <w:spacing w:after="0" w:line="342"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that the Company was and will at all relevant times remain in compliance with all applicable anti-corruption, anti-money laundering, anti-terrorism, sanctions, exchange control and human rights laws and regulations of any applicable jurisdiction;</w:t>
      </w:r>
    </w:p>
    <w:p>
      <w:pPr>
        <w:spacing w:after="0" w:line="29" w:lineRule="exact"/>
        <w:rPr>
          <w:rFonts w:ascii="Arial" w:cs="Arial" w:eastAsia="Arial" w:hAnsi="Arial"/>
          <w:sz w:val="16"/>
          <w:szCs w:val="16"/>
          <w:color w:val="auto"/>
        </w:rPr>
      </w:pPr>
    </w:p>
    <w:p>
      <w:pPr>
        <w:ind w:left="740" w:right="180" w:hanging="543"/>
        <w:spacing w:after="0" w:line="259"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no agreement, document or obligation to or by which the Company (or its assets) is a party or bound and no injunction or other court order against or affecting the Company would be breached or infringed by the performance of actions to be carried out pursuant to, or any other aspect of the transactions contemplated by, any of the Relevant Agreements and the Registration Statement;</w:t>
      </w:r>
    </w:p>
    <w:p>
      <w:pPr>
        <w:spacing w:after="0" w:line="92" w:lineRule="exact"/>
        <w:rPr>
          <w:rFonts w:ascii="Arial" w:cs="Arial" w:eastAsia="Arial" w:hAnsi="Arial"/>
          <w:sz w:val="18"/>
          <w:szCs w:val="18"/>
          <w:color w:val="auto"/>
        </w:rPr>
      </w:pPr>
    </w:p>
    <w:p>
      <w:pPr>
        <w:ind w:left="740" w:right="280" w:hanging="543"/>
        <w:spacing w:after="0" w:line="277"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the information included in the Search Results is true, accurate, complete and up-to-date and that there is no information which, for any reason, should have been disclosed by those Searches and was not;</w:t>
      </w:r>
    </w:p>
    <w:p>
      <w:pPr>
        <w:spacing w:after="0" w:line="75" w:lineRule="exact"/>
        <w:rPr>
          <w:rFonts w:ascii="Arial" w:cs="Arial" w:eastAsia="Arial" w:hAnsi="Arial"/>
          <w:sz w:val="18"/>
          <w:szCs w:val="18"/>
          <w:color w:val="auto"/>
        </w:rPr>
      </w:pPr>
    </w:p>
    <w:p>
      <w:pPr>
        <w:ind w:left="740" w:right="60" w:hanging="543"/>
        <w:spacing w:after="0" w:line="311"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that all applicable laws (for the avoidance of doubt, as in force at all relevant times) have been and will be complied with with respect to anything done in relation to the offering, sale, issue and (where applicable) allotment of the Offered Shares, including without limitation the Financial Services and Markets Act 2000 and Part 18, Chapter 2 Companies Act 2006;</w:t>
      </w:r>
    </w:p>
    <w:p>
      <w:pPr>
        <w:spacing w:after="0" w:line="54" w:lineRule="exact"/>
        <w:rPr>
          <w:rFonts w:ascii="Arial" w:cs="Arial" w:eastAsia="Arial" w:hAnsi="Arial"/>
          <w:sz w:val="16"/>
          <w:szCs w:val="16"/>
          <w:color w:val="auto"/>
        </w:rPr>
      </w:pPr>
    </w:p>
    <w:p>
      <w:pPr>
        <w:ind w:left="740" w:right="20" w:hanging="543"/>
        <w:spacing w:after="0" w:line="287" w:lineRule="auto"/>
        <w:tabs>
          <w:tab w:leader="none" w:pos="7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that Offered Shares allotted after the date of this opinion will be duly allotted by a valid resolution of the board of directors of the Company duly passed in accordance with the Company’s articles of association (for the avoidance of doubt, as in force at all relevant times) and the Companies Act 2006, and pursuant to (A) a valid authorisation under s551 Companies Act 2006 and</w:t>
      </w:r>
    </w:p>
    <w:p>
      <w:pPr>
        <w:spacing w:after="0" w:line="2" w:lineRule="exact"/>
        <w:rPr>
          <w:rFonts w:ascii="Arial" w:cs="Arial" w:eastAsia="Arial" w:hAnsi="Arial"/>
          <w:sz w:val="16"/>
          <w:szCs w:val="16"/>
          <w:color w:val="auto"/>
        </w:rPr>
      </w:pPr>
    </w:p>
    <w:p>
      <w:pPr>
        <w:ind w:left="740" w:right="560"/>
        <w:spacing w:after="0" w:line="323" w:lineRule="auto"/>
        <w:rPr>
          <w:rFonts w:ascii="Arial" w:cs="Arial" w:eastAsia="Arial" w:hAnsi="Arial"/>
          <w:sz w:val="16"/>
          <w:szCs w:val="16"/>
          <w:color w:val="auto"/>
        </w:rPr>
      </w:pPr>
      <w:r>
        <w:rPr>
          <w:rFonts w:ascii="Arial" w:cs="Arial" w:eastAsia="Arial" w:hAnsi="Arial"/>
          <w:sz w:val="16"/>
          <w:szCs w:val="16"/>
          <w:color w:val="auto"/>
        </w:rPr>
        <w:t>(B) a valid power under s570 Companies Act 2006 to allot the Ordinary Shares as if s561 of that Act did not apply to the allotment; and that those sections of the Companies Act 2006 will continue in force unamended at all relevant times;</w:t>
      </w:r>
    </w:p>
    <w:p>
      <w:pPr>
        <w:spacing w:after="0" w:line="43" w:lineRule="exact"/>
        <w:rPr>
          <w:rFonts w:ascii="Arial" w:cs="Arial" w:eastAsia="Arial" w:hAnsi="Arial"/>
          <w:sz w:val="16"/>
          <w:szCs w:val="16"/>
          <w:color w:val="auto"/>
        </w:rPr>
      </w:pPr>
    </w:p>
    <w:p>
      <w:pPr>
        <w:ind w:left="740" w:hanging="543"/>
        <w:spacing w:after="0" w:line="271"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that at the time the Company agreed to allot, or granted any rights to subscribe for, or to convert securities into, Ordinary Shares pursuant to any of the Selling Shareholder Agreements, such agreement or grant was pursuant to (A) the relevant authorisation under s551 Companies Act 2006 and (B) the relevant power under s570 Companies Act 2006 in each case certified by the company secretary in the certificate referred to in paragraph 2(a)(iv) (</w:t>
      </w:r>
      <w:r>
        <w:rPr>
          <w:rFonts w:ascii="Arial" w:cs="Arial" w:eastAsia="Arial" w:hAnsi="Arial"/>
          <w:sz w:val="17"/>
          <w:szCs w:val="17"/>
          <w:i w:val="1"/>
          <w:iCs w:val="1"/>
          <w:color w:val="auto"/>
        </w:rPr>
        <w:t>Examination and enquiries</w:t>
      </w:r>
      <w:r>
        <w:rPr>
          <w:rFonts w:ascii="Arial" w:cs="Arial" w:eastAsia="Arial" w:hAnsi="Arial"/>
          <w:sz w:val="17"/>
          <w:szCs w:val="17"/>
          <w:color w:val="auto"/>
        </w:rPr>
        <w:t>) and that such authorisation and power remained unutilised at that time to a sufficient extent for the purposes of such agreement or grant and (where necessary) the Company otherwise has maintained and will at all times maintain sufficient shareholder authority to satisfy in full outstanding rights of conversion under the relevant Selling Shareholder Agreements without first having to offer the shares arising on conversion to any existing shareholder or other person;</w:t>
      </w:r>
    </w:p>
    <w:p>
      <w:pPr>
        <w:spacing w:after="0" w:line="1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4" w:right="459" w:bottom="1440" w:gutter="0" w:footer="0" w:header="0"/>
        </w:sectPr>
      </w:pPr>
    </w:p>
    <w:bookmarkStart w:id="100" w:name="page101"/>
    <w:bookmarkEnd w:id="100"/>
    <w:p>
      <w:pPr>
        <w:ind w:left="740" w:right="100" w:hanging="543"/>
        <w:spacing w:after="0" w:line="263" w:lineRule="auto"/>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no pre-emptive rights or similar rights exist or have been created over or in respect of any Ordinary Shares other than pre-emption rights arising under s561 Companies Act 2006, or any such rights that exist or have been created have been or will be validly disapplied or waived;</w:t>
      </w:r>
    </w:p>
    <w:p>
      <w:pPr>
        <w:spacing w:after="0" w:line="89" w:lineRule="exact"/>
        <w:rPr>
          <w:rFonts w:ascii="Arial" w:cs="Arial" w:eastAsia="Arial" w:hAnsi="Arial"/>
          <w:sz w:val="18"/>
          <w:szCs w:val="18"/>
          <w:color w:val="auto"/>
        </w:rPr>
      </w:pPr>
    </w:p>
    <w:p>
      <w:pPr>
        <w:jc w:val="both"/>
        <w:ind w:left="740" w:right="120" w:hanging="543"/>
        <w:spacing w:after="0" w:line="311"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that as at each date on which the Company allots and issues any Offered Shares the documents examined, and the results of the searches and enquiries made, as set out in paragraph 2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would not be rendered untrue, inaccurate, incomplete or out-of-date in any relevant respect by reference to subsequent facts, matters, circumstances or events;</w:t>
      </w:r>
    </w:p>
    <w:p>
      <w:pPr>
        <w:spacing w:after="0" w:line="54" w:lineRule="exact"/>
        <w:rPr>
          <w:rFonts w:ascii="Arial" w:cs="Arial" w:eastAsia="Arial" w:hAnsi="Arial"/>
          <w:sz w:val="16"/>
          <w:szCs w:val="16"/>
          <w:color w:val="auto"/>
        </w:rPr>
      </w:pPr>
    </w:p>
    <w:p>
      <w:pPr>
        <w:ind w:left="740" w:right="20" w:hanging="543"/>
        <w:spacing w:after="0" w:line="279"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that as at each date on which the Company allotted and issued, or allots and issues any Offered Shares, the Company received or will have received the aggregate consideration payable for those Ordinary Shares as “cash consideration” (as defined in s583(3) Companies Act 2006), such aggregate consideration being not less than the nominal value of those Ordinary Shares; and that s583 Companies Act 2006 will continue in force unamended at all relevant times;</w:t>
      </w:r>
    </w:p>
    <w:p>
      <w:pPr>
        <w:spacing w:after="0" w:line="76" w:lineRule="exact"/>
        <w:rPr>
          <w:rFonts w:ascii="Arial" w:cs="Arial" w:eastAsia="Arial" w:hAnsi="Arial"/>
          <w:sz w:val="17"/>
          <w:szCs w:val="17"/>
          <w:color w:val="auto"/>
        </w:rPr>
      </w:pPr>
    </w:p>
    <w:p>
      <w:pPr>
        <w:ind w:left="740" w:hanging="543"/>
        <w:spacing w:after="0" w:line="311"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that Offered Shares allotted after the date of this opinion will be allotted and issued in accordance the terms of any Relevant Agreement, and the right of any Selling Shareholder to exercise warrants or convert loan notes into, or to subscribe for, Ordinary Shares will be exercised in accordance with the terms of the relevant Selling Shareholder Agreements;</w:t>
      </w:r>
    </w:p>
    <w:p>
      <w:pPr>
        <w:spacing w:after="0" w:line="54" w:lineRule="exact"/>
        <w:rPr>
          <w:rFonts w:ascii="Arial" w:cs="Arial" w:eastAsia="Arial" w:hAnsi="Arial"/>
          <w:sz w:val="16"/>
          <w:szCs w:val="16"/>
          <w:color w:val="auto"/>
        </w:rPr>
      </w:pPr>
    </w:p>
    <w:p>
      <w:pPr>
        <w:ind w:left="740" w:hanging="543"/>
        <w:spacing w:after="0" w:line="296"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that there is and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and no additional document between any relevant parties which in either case would or might affect this opinion and which was not revealed to us by the documents examined or the searches and enquiries made by us in connection with the giving of this opinion;</w:t>
      </w:r>
    </w:p>
    <w:p>
      <w:pPr>
        <w:spacing w:after="0" w:line="66" w:lineRule="exact"/>
        <w:rPr>
          <w:rFonts w:ascii="Arial" w:cs="Arial" w:eastAsia="Arial" w:hAnsi="Arial"/>
          <w:sz w:val="16"/>
          <w:szCs w:val="16"/>
          <w:color w:val="auto"/>
        </w:rPr>
      </w:pPr>
    </w:p>
    <w:p>
      <w:pPr>
        <w:ind w:left="740" w:right="400" w:hanging="543"/>
        <w:spacing w:after="0" w:line="277" w:lineRule="auto"/>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that no allotment of Offered Shares will result in a requirement to make a mandatory offer under rule 9 of the City Code on Takeovers and Mergers; and</w:t>
      </w:r>
    </w:p>
    <w:p>
      <w:pPr>
        <w:spacing w:after="0" w:line="75" w:lineRule="exact"/>
        <w:rPr>
          <w:rFonts w:ascii="Arial" w:cs="Arial" w:eastAsia="Arial" w:hAnsi="Arial"/>
          <w:sz w:val="18"/>
          <w:szCs w:val="18"/>
          <w:color w:val="auto"/>
        </w:rPr>
      </w:pPr>
    </w:p>
    <w:p>
      <w:pPr>
        <w:ind w:left="740" w:right="20" w:hanging="543"/>
        <w:spacing w:after="0" w:line="293"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that resolutions of the board of directors of the Company referred to paragraph 3(a)(xviii) will be passed in accordance with all applicable laws and regulations; in particular, but without limitation, that each provision contained in the Companies Act 2006 or the articles of association of the Company relating to the declaration of directors’ interests or the power of interested directors to vote will be duly observed; that in approving those resolutions the directors will act in accordance with ss171 to 174 Companies Act 2006; that actions to be carried out by the Company pursuant to those resolutions will be in its commercial interests; and that such resolutions will not be amended or rescinded and will remain in full force and effect.</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00"/>
          </w:cols>
          <w:pgMar w:left="1440" w:top="274" w:right="459" w:bottom="1440" w:gutter="0" w:footer="0" w:header="0"/>
        </w:sectPr>
      </w:pPr>
    </w:p>
    <w:bookmarkStart w:id="101" w:name="page102"/>
    <w:bookmarkEnd w:id="101"/>
    <w:p>
      <w:pPr>
        <w:ind w:left="1184" w:right="420" w:hanging="644"/>
        <w:spacing w:after="0" w:line="277" w:lineRule="auto"/>
        <w:tabs>
          <w:tab w:leader="none" w:pos="1184"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relation to paragraph 3(a)(xvi), it should be noted that this information included in the Search Results may not be true, accurate, complete or up-to-date. In particular, but without limitation:</w:t>
      </w:r>
    </w:p>
    <w:p>
      <w:pPr>
        <w:spacing w:after="0" w:line="75" w:lineRule="exact"/>
        <w:rPr>
          <w:rFonts w:ascii="Arial" w:cs="Arial" w:eastAsia="Arial" w:hAnsi="Arial"/>
          <w:sz w:val="18"/>
          <w:szCs w:val="18"/>
          <w:color w:val="auto"/>
        </w:rPr>
      </w:pPr>
    </w:p>
    <w:p>
      <w:pPr>
        <w:ind w:left="1744" w:right="20" w:hanging="543"/>
        <w:spacing w:after="0" w:line="308" w:lineRule="auto"/>
        <w:tabs>
          <w:tab w:leader="none" w:pos="1744" w:val="left"/>
        </w:tabs>
        <w:numPr>
          <w:ilvl w:val="2"/>
          <w:numId w:val="72"/>
        </w:numPr>
        <w:rPr>
          <w:rFonts w:ascii="Arial" w:cs="Arial" w:eastAsia="Arial" w:hAnsi="Arial"/>
          <w:sz w:val="17"/>
          <w:szCs w:val="17"/>
          <w:color w:val="auto"/>
        </w:rPr>
      </w:pPr>
      <w:r>
        <w:rPr>
          <w:rFonts w:ascii="Arial" w:cs="Arial" w:eastAsia="Arial" w:hAnsi="Arial"/>
          <w:sz w:val="17"/>
          <w:szCs w:val="17"/>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51" w:lineRule="exact"/>
        <w:rPr>
          <w:rFonts w:ascii="Arial" w:cs="Arial" w:eastAsia="Arial" w:hAnsi="Arial"/>
          <w:sz w:val="17"/>
          <w:szCs w:val="17"/>
          <w:color w:val="auto"/>
        </w:rPr>
      </w:pPr>
    </w:p>
    <w:p>
      <w:pPr>
        <w:ind w:left="1744" w:right="80" w:hanging="543"/>
        <w:spacing w:after="0" w:line="275" w:lineRule="auto"/>
        <w:tabs>
          <w:tab w:leader="none" w:pos="1744" w:val="left"/>
        </w:tabs>
        <w:numPr>
          <w:ilvl w:val="2"/>
          <w:numId w:val="72"/>
        </w:numPr>
        <w:rPr>
          <w:rFonts w:ascii="Arial" w:cs="Arial" w:eastAsia="Arial" w:hAnsi="Arial"/>
          <w:sz w:val="17"/>
          <w:szCs w:val="17"/>
          <w:color w:val="auto"/>
        </w:rPr>
      </w:pPr>
      <w:r>
        <w:rPr>
          <w:rFonts w:ascii="Arial" w:cs="Arial" w:eastAsia="Arial" w:hAnsi="Arial"/>
          <w:sz w:val="17"/>
          <w:szCs w:val="17"/>
          <w:color w:val="auto"/>
        </w:rPr>
        <w:t>there is no requirement to register with the Registrar of Companies notice of a petition for the winding-up of, or application for an administration order in respect of, a company. Such a notice or notice of a winding-up or administration order having been made, a resolution having been passed for the winding-up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81" w:lineRule="exact"/>
        <w:rPr>
          <w:rFonts w:ascii="Arial" w:cs="Arial" w:eastAsia="Arial" w:hAnsi="Arial"/>
          <w:sz w:val="17"/>
          <w:szCs w:val="17"/>
          <w:color w:val="auto"/>
        </w:rPr>
      </w:pPr>
    </w:p>
    <w:p>
      <w:pPr>
        <w:ind w:left="1744" w:hanging="543"/>
        <w:spacing w:after="0" w:line="257" w:lineRule="auto"/>
        <w:tabs>
          <w:tab w:leader="none" w:pos="1744" w:val="left"/>
        </w:tabs>
        <w:numPr>
          <w:ilvl w:val="2"/>
          <w:numId w:val="72"/>
        </w:numPr>
        <w:rPr>
          <w:rFonts w:ascii="Arial" w:cs="Arial" w:eastAsia="Arial" w:hAnsi="Arial"/>
          <w:sz w:val="18"/>
          <w:szCs w:val="18"/>
          <w:color w:val="auto"/>
        </w:rPr>
      </w:pPr>
      <w:r>
        <w:rPr>
          <w:rFonts w:ascii="Arial" w:cs="Arial" w:eastAsia="Arial" w:hAnsi="Arial"/>
          <w:sz w:val="18"/>
          <w:szCs w:val="18"/>
          <w:color w:val="auto"/>
        </w:rPr>
        <w:t>the results of the Central Registry Enquiry relate only to petitions for the compulsory winding up of, or applications for an administration order in respect of, the Company presented prior to the enquiry and entered on the records of the Central Registry of Winding Up Petitions. The presentation of such a petition, or the making of such an application, may not have been notified to the Central Registry or entered on its records immediately or, if presented to a County Court or Chancery District Registry, at all; and</w:t>
      </w:r>
    </w:p>
    <w:p>
      <w:pPr>
        <w:spacing w:after="0" w:line="93" w:lineRule="exact"/>
        <w:rPr>
          <w:rFonts w:ascii="Arial" w:cs="Arial" w:eastAsia="Arial" w:hAnsi="Arial"/>
          <w:sz w:val="18"/>
          <w:szCs w:val="18"/>
          <w:color w:val="auto"/>
        </w:rPr>
      </w:pPr>
    </w:p>
    <w:p>
      <w:pPr>
        <w:ind w:left="1744" w:hanging="543"/>
        <w:spacing w:after="0"/>
        <w:tabs>
          <w:tab w:leader="none" w:pos="1744" w:val="left"/>
        </w:tabs>
        <w:numPr>
          <w:ilvl w:val="2"/>
          <w:numId w:val="72"/>
        </w:numPr>
        <w:rPr>
          <w:rFonts w:ascii="Arial" w:cs="Arial" w:eastAsia="Arial" w:hAnsi="Arial"/>
          <w:sz w:val="17"/>
          <w:szCs w:val="17"/>
          <w:color w:val="auto"/>
        </w:rPr>
      </w:pPr>
      <w:r>
        <w:rPr>
          <w:rFonts w:ascii="Arial" w:cs="Arial" w:eastAsia="Arial" w:hAnsi="Arial"/>
          <w:sz w:val="17"/>
          <w:szCs w:val="17"/>
          <w:color w:val="auto"/>
        </w:rPr>
        <w:t>in each case, further information might have become available on the relevant register after the Searches were made.</w:t>
      </w:r>
    </w:p>
    <w:p>
      <w:pPr>
        <w:spacing w:after="0" w:line="381" w:lineRule="exact"/>
        <w:rPr>
          <w:rFonts w:ascii="Arial" w:cs="Arial" w:eastAsia="Arial" w:hAnsi="Arial"/>
          <w:sz w:val="17"/>
          <w:szCs w:val="17"/>
          <w:color w:val="auto"/>
        </w:rPr>
      </w:pPr>
    </w:p>
    <w:p>
      <w:pPr>
        <w:ind w:left="544" w:hanging="544"/>
        <w:spacing w:after="0"/>
        <w:tabs>
          <w:tab w:leader="none" w:pos="544"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134" w:lineRule="exact"/>
        <w:rPr>
          <w:rFonts w:ascii="Arial" w:cs="Arial" w:eastAsia="Arial" w:hAnsi="Arial"/>
          <w:sz w:val="18"/>
          <w:szCs w:val="18"/>
          <w:color w:val="auto"/>
        </w:rPr>
      </w:pPr>
    </w:p>
    <w:p>
      <w:pPr>
        <w:ind w:left="1184" w:right="400" w:hanging="644"/>
        <w:spacing w:after="0" w:line="342" w:lineRule="auto"/>
        <w:tabs>
          <w:tab w:leader="none" w:pos="1184" w:val="left"/>
        </w:tabs>
        <w:numPr>
          <w:ilvl w:val="1"/>
          <w:numId w:val="73"/>
        </w:numPr>
        <w:rPr>
          <w:rFonts w:ascii="Arial" w:cs="Arial" w:eastAsia="Arial" w:hAnsi="Arial"/>
          <w:sz w:val="16"/>
          <w:szCs w:val="16"/>
          <w:color w:val="auto"/>
        </w:rPr>
      </w:pPr>
      <w:r>
        <w:rPr>
          <w:rFonts w:ascii="Arial" w:cs="Arial" w:eastAsia="Arial" w:hAnsi="Arial"/>
          <w:sz w:val="16"/>
          <w:szCs w:val="16"/>
          <w:color w:val="auto"/>
        </w:rPr>
        <w:t>On the basis of the examination and enquiries referred to in paragraph 2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and the assumptions made in paragraph 3 (</w:t>
      </w:r>
      <w:r>
        <w:rPr>
          <w:rFonts w:ascii="Arial" w:cs="Arial" w:eastAsia="Arial" w:hAnsi="Arial"/>
          <w:sz w:val="16"/>
          <w:szCs w:val="16"/>
          <w:i w:val="1"/>
          <w:iCs w:val="1"/>
          <w:color w:val="auto"/>
        </w:rPr>
        <w:t>Assumptions</w:t>
      </w:r>
      <w:r>
        <w:rPr>
          <w:rFonts w:ascii="Arial" w:cs="Arial" w:eastAsia="Arial" w:hAnsi="Arial"/>
          <w:sz w:val="16"/>
          <w:szCs w:val="16"/>
          <w:color w:val="auto"/>
        </w:rPr>
        <w:t>) and subject to the qualifications set out in paragraph 5 (</w:t>
      </w:r>
      <w:r>
        <w:rPr>
          <w:rFonts w:ascii="Arial" w:cs="Arial" w:eastAsia="Arial" w:hAnsi="Arial"/>
          <w:sz w:val="16"/>
          <w:szCs w:val="16"/>
          <w:i w:val="1"/>
          <w:iCs w:val="1"/>
          <w:color w:val="auto"/>
        </w:rPr>
        <w:t>Qualifications</w:t>
      </w:r>
      <w:r>
        <w:rPr>
          <w:rFonts w:ascii="Arial" w:cs="Arial" w:eastAsia="Arial" w:hAnsi="Arial"/>
          <w:sz w:val="16"/>
          <w:szCs w:val="16"/>
          <w:color w:val="auto"/>
        </w:rPr>
        <w:t>), we are of the opinion that:</w:t>
      </w:r>
    </w:p>
    <w:p>
      <w:pPr>
        <w:spacing w:after="0" w:line="29" w:lineRule="exact"/>
        <w:rPr>
          <w:rFonts w:ascii="Arial" w:cs="Arial" w:eastAsia="Arial" w:hAnsi="Arial"/>
          <w:sz w:val="16"/>
          <w:szCs w:val="16"/>
          <w:color w:val="auto"/>
        </w:rPr>
      </w:pPr>
    </w:p>
    <w:p>
      <w:pPr>
        <w:ind w:left="1744" w:hanging="543"/>
        <w:spacing w:after="0"/>
        <w:tabs>
          <w:tab w:leader="none" w:pos="1744"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under English law;</w:t>
      </w:r>
    </w:p>
    <w:p>
      <w:pPr>
        <w:spacing w:after="0" w:line="130" w:lineRule="exact"/>
        <w:rPr>
          <w:rFonts w:ascii="Arial" w:cs="Arial" w:eastAsia="Arial" w:hAnsi="Arial"/>
          <w:sz w:val="18"/>
          <w:szCs w:val="18"/>
          <w:color w:val="auto"/>
        </w:rPr>
      </w:pPr>
    </w:p>
    <w:p>
      <w:pPr>
        <w:ind w:left="1744" w:hanging="543"/>
        <w:spacing w:after="0" w:line="257" w:lineRule="auto"/>
        <w:tabs>
          <w:tab w:leader="none" w:pos="1744"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Company Search indicates that the Company is validly existing and does not reveal any order or resolution for its winding up or any notice of the appointment of a receiver, administrative receiver or administrator in respect of it or any of its assets. The Central Registry Enquiry does not reveal that any petition for the winding-up of the Company has been presented, that any application for administration of the Company has been made or that any notice of appointment, or of intention to appoint an administrator, has been filed in respect of the Company;</w:t>
      </w:r>
    </w:p>
    <w:p>
      <w:pPr>
        <w:spacing w:after="0" w:line="93" w:lineRule="exact"/>
        <w:rPr>
          <w:rFonts w:ascii="Arial" w:cs="Arial" w:eastAsia="Arial" w:hAnsi="Arial"/>
          <w:sz w:val="18"/>
          <w:szCs w:val="18"/>
          <w:color w:val="auto"/>
        </w:rPr>
      </w:pPr>
    </w:p>
    <w:p>
      <w:pPr>
        <w:ind w:left="1744" w:right="120" w:hanging="543"/>
        <w:spacing w:after="0" w:line="259" w:lineRule="auto"/>
        <w:tabs>
          <w:tab w:leader="none" w:pos="1744" w:val="left"/>
        </w:tabs>
        <w:numPr>
          <w:ilvl w:val="2"/>
          <w:numId w:val="73"/>
        </w:numPr>
        <w:rPr>
          <w:rFonts w:ascii="Arial" w:cs="Arial" w:eastAsia="Arial" w:hAnsi="Arial"/>
          <w:sz w:val="18"/>
          <w:szCs w:val="18"/>
          <w:color w:val="auto"/>
        </w:rPr>
      </w:pPr>
      <w:r>
        <w:rPr>
          <w:rFonts w:ascii="Arial" w:cs="Arial" w:eastAsia="Arial" w:hAnsi="Arial"/>
          <w:sz w:val="18"/>
          <w:szCs w:val="18"/>
          <w:color w:val="auto"/>
        </w:rPr>
        <w:t>in connection with the 2,100,840 Selling Shareholder Shares issued prior to the date of this opinion, upon receipt of the aggregate consideration for such Ordinary Shares and the entry of the names of the appropriate persons in the Company’s register of members, the relevant Ordinary Shares were validly issued, fully paid and no further amount may be called thereon; and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02" w:name="page103"/>
    <w:bookmarkEnd w:id="102"/>
    <w:p>
      <w:pPr>
        <w:ind w:left="1744" w:right="60" w:hanging="543"/>
        <w:spacing w:after="0" w:line="301" w:lineRule="auto"/>
        <w:tabs>
          <w:tab w:leader="none" w:pos="1744" w:val="left"/>
        </w:tabs>
        <w:numPr>
          <w:ilvl w:val="2"/>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 relevant issuance (as defined below and including, without limitation, the allotment and issue of the 22,392,576 Selling Shareholder Shares issuable pursuant to the Selling Shareholder Agreements), upon receipt of the aggregate consideration for the relevant Offered Shares and entry of the names of the appropriate persons in the Company’s register of members, the relevant Ordinary Shares will be validly issued, fully paid and no further amount may be called thereon.</w:t>
      </w:r>
    </w:p>
    <w:p>
      <w:pPr>
        <w:spacing w:after="0" w:line="62" w:lineRule="exact"/>
        <w:rPr>
          <w:rFonts w:ascii="Arial" w:cs="Arial" w:eastAsia="Arial" w:hAnsi="Arial"/>
          <w:sz w:val="16"/>
          <w:szCs w:val="16"/>
          <w:color w:val="auto"/>
        </w:rPr>
      </w:pPr>
    </w:p>
    <w:p>
      <w:pPr>
        <w:ind w:left="1184" w:hanging="644"/>
        <w:spacing w:after="0"/>
        <w:tabs>
          <w:tab w:leader="none" w:pos="1184"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the purpose of paragraphs 4(a)(i) and (ii):</w:t>
      </w:r>
    </w:p>
    <w:p>
      <w:pPr>
        <w:spacing w:after="0" w:line="126" w:lineRule="exact"/>
        <w:rPr>
          <w:rFonts w:ascii="Arial" w:cs="Arial" w:eastAsia="Arial" w:hAnsi="Arial"/>
          <w:sz w:val="18"/>
          <w:szCs w:val="18"/>
          <w:color w:val="auto"/>
        </w:rPr>
      </w:pPr>
    </w:p>
    <w:p>
      <w:pPr>
        <w:ind w:left="1744" w:hanging="543"/>
        <w:spacing w:after="0" w:line="266" w:lineRule="auto"/>
        <w:tabs>
          <w:tab w:leader="none" w:pos="1744" w:val="left"/>
        </w:tabs>
        <w:numPr>
          <w:ilvl w:val="2"/>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“duly incorporated” </w:t>
      </w:r>
      <w:r>
        <w:rPr>
          <w:rFonts w:ascii="Arial" w:cs="Arial" w:eastAsia="Arial" w:hAnsi="Arial"/>
          <w:sz w:val="18"/>
          <w:szCs w:val="18"/>
          <w:color w:val="auto"/>
        </w:rPr>
        <w:t>means that the requirements of the Companies Act in force at the date of incorporation of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registration and all matters precedent and incidental to it have been complied with by the Company and that the Company is authorised to be registered and is duly registered under that Act; and</w:t>
      </w:r>
    </w:p>
    <w:p>
      <w:pPr>
        <w:spacing w:after="0" w:line="81" w:lineRule="exact"/>
        <w:rPr>
          <w:rFonts w:ascii="Arial" w:cs="Arial" w:eastAsia="Arial" w:hAnsi="Arial"/>
          <w:sz w:val="18"/>
          <w:szCs w:val="18"/>
          <w:color w:val="auto"/>
        </w:rPr>
      </w:pPr>
    </w:p>
    <w:p>
      <w:pPr>
        <w:jc w:val="both"/>
        <w:ind w:left="1744" w:right="60" w:hanging="543"/>
        <w:spacing w:after="0" w:line="266" w:lineRule="auto"/>
        <w:tabs>
          <w:tab w:leader="none" w:pos="1744" w:val="left"/>
        </w:tabs>
        <w:numPr>
          <w:ilvl w:val="2"/>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“validly existing” </w:t>
      </w:r>
      <w:r>
        <w:rPr>
          <w:rFonts w:ascii="Arial" w:cs="Arial" w:eastAsia="Arial" w:hAnsi="Arial"/>
          <w:sz w:val="18"/>
          <w:szCs w:val="18"/>
          <w:color w:val="auto"/>
        </w:rPr>
        <w:t>means that the Company is subsisting at the date of this opinion and has not been struck off the register kept</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Registrar of Companies, dissolved or ceased to exist by reason of any merger, consolidation or limitation on the duration of its existence.</w:t>
      </w:r>
    </w:p>
    <w:p>
      <w:pPr>
        <w:spacing w:after="0" w:line="81" w:lineRule="exact"/>
        <w:rPr>
          <w:rFonts w:ascii="Arial" w:cs="Arial" w:eastAsia="Arial" w:hAnsi="Arial"/>
          <w:sz w:val="18"/>
          <w:szCs w:val="18"/>
          <w:color w:val="auto"/>
        </w:rPr>
      </w:pPr>
    </w:p>
    <w:p>
      <w:pPr>
        <w:ind w:left="1184" w:right="300" w:hanging="644"/>
        <w:spacing w:after="0" w:line="266" w:lineRule="auto"/>
        <w:tabs>
          <w:tab w:leader="none" w:pos="1184"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For the purpose of paragraphs 4(a)(iv), a </w:t>
      </w:r>
      <w:r>
        <w:rPr>
          <w:rFonts w:ascii="Arial" w:cs="Arial" w:eastAsia="Arial" w:hAnsi="Arial"/>
          <w:sz w:val="18"/>
          <w:szCs w:val="18"/>
          <w:b w:val="1"/>
          <w:bCs w:val="1"/>
          <w:color w:val="auto"/>
        </w:rPr>
        <w:t>“relevant issuance”</w:t>
      </w:r>
      <w:r>
        <w:rPr>
          <w:rFonts w:ascii="Arial" w:cs="Arial" w:eastAsia="Arial" w:hAnsi="Arial"/>
          <w:sz w:val="18"/>
          <w:szCs w:val="18"/>
          <w:color w:val="auto"/>
        </w:rPr>
        <w:t xml:space="preserve"> means an allotment and issue after the date of this opinion of Offered Shares in accordance with the assumptions made in paragraph 3 (</w:t>
      </w:r>
      <w:r>
        <w:rPr>
          <w:rFonts w:ascii="Arial" w:cs="Arial" w:eastAsia="Arial" w:hAnsi="Arial"/>
          <w:sz w:val="18"/>
          <w:szCs w:val="18"/>
          <w:i w:val="1"/>
          <w:iCs w:val="1"/>
          <w:color w:val="auto"/>
        </w:rPr>
        <w:t>Assumptions</w:t>
      </w:r>
      <w:r>
        <w:rPr>
          <w:rFonts w:ascii="Arial" w:cs="Arial" w:eastAsia="Arial" w:hAnsi="Arial"/>
          <w:sz w:val="18"/>
          <w:szCs w:val="18"/>
          <w:color w:val="auto"/>
        </w:rPr>
        <w:t>) and in particular but without limitation those assumptions in paragraphs 3(a)(xviii), (xxi) and (xxii).</w:t>
      </w:r>
    </w:p>
    <w:p>
      <w:pPr>
        <w:spacing w:after="0" w:line="85" w:lineRule="exact"/>
        <w:rPr>
          <w:rFonts w:ascii="Arial" w:cs="Arial" w:eastAsia="Arial" w:hAnsi="Arial"/>
          <w:sz w:val="18"/>
          <w:szCs w:val="18"/>
          <w:color w:val="auto"/>
        </w:rPr>
      </w:pPr>
    </w:p>
    <w:p>
      <w:pPr>
        <w:ind w:left="1184" w:right="80" w:hanging="644"/>
        <w:spacing w:after="0" w:line="277" w:lineRule="auto"/>
        <w:tabs>
          <w:tab w:leader="none" w:pos="118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This opinion is strictly limited to the matters expressly stated in this paragraph 4 and is not to be construed as extending by implication to any other matter.</w:t>
      </w:r>
    </w:p>
    <w:p>
      <w:pPr>
        <w:spacing w:after="0" w:line="314" w:lineRule="exact"/>
        <w:rPr>
          <w:rFonts w:ascii="Arial" w:cs="Arial" w:eastAsia="Arial" w:hAnsi="Arial"/>
          <w:sz w:val="18"/>
          <w:szCs w:val="18"/>
          <w:color w:val="auto"/>
        </w:rPr>
      </w:pPr>
    </w:p>
    <w:p>
      <w:pPr>
        <w:ind w:left="544" w:hanging="544"/>
        <w:spacing w:after="0"/>
        <w:tabs>
          <w:tab w:leader="none" w:pos="54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34" w:lineRule="exact"/>
        <w:rPr>
          <w:rFonts w:ascii="Arial" w:cs="Arial" w:eastAsia="Arial" w:hAnsi="Arial"/>
          <w:sz w:val="18"/>
          <w:szCs w:val="18"/>
          <w:color w:val="auto"/>
        </w:rPr>
      </w:pPr>
    </w:p>
    <w:p>
      <w:pPr>
        <w:ind w:left="1184" w:hanging="644"/>
        <w:spacing w:after="0"/>
        <w:tabs>
          <w:tab w:leader="none" w:pos="118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opinions set out in paragraph 4 (</w:t>
      </w:r>
      <w:r>
        <w:rPr>
          <w:rFonts w:ascii="Arial" w:cs="Arial" w:eastAsia="Arial" w:hAnsi="Arial"/>
          <w:sz w:val="18"/>
          <w:szCs w:val="18"/>
          <w:i w:val="1"/>
          <w:iCs w:val="1"/>
          <w:color w:val="auto"/>
        </w:rPr>
        <w:t>Opinions</w:t>
      </w:r>
      <w:r>
        <w:rPr>
          <w:rFonts w:ascii="Arial" w:cs="Arial" w:eastAsia="Arial" w:hAnsi="Arial"/>
          <w:sz w:val="18"/>
          <w:szCs w:val="18"/>
          <w:color w:val="auto"/>
        </w:rPr>
        <w:t>) are subject to the qualifications set out in the remainder of this paragraph 5.</w:t>
      </w:r>
    </w:p>
    <w:p>
      <w:pPr>
        <w:spacing w:after="0" w:line="130" w:lineRule="exact"/>
        <w:rPr>
          <w:rFonts w:ascii="Arial" w:cs="Arial" w:eastAsia="Arial" w:hAnsi="Arial"/>
          <w:sz w:val="18"/>
          <w:szCs w:val="18"/>
          <w:color w:val="auto"/>
        </w:rPr>
      </w:pPr>
    </w:p>
    <w:p>
      <w:pPr>
        <w:ind w:left="1184" w:right="180" w:hanging="644"/>
        <w:spacing w:after="0" w:line="311" w:lineRule="auto"/>
        <w:tabs>
          <w:tab w:leader="none" w:pos="1184" w:val="left"/>
        </w:tabs>
        <w:numPr>
          <w:ilvl w:val="1"/>
          <w:numId w:val="76"/>
        </w:numPr>
        <w:rPr>
          <w:rFonts w:ascii="Arial" w:cs="Arial" w:eastAsia="Arial" w:hAnsi="Arial"/>
          <w:sz w:val="16"/>
          <w:szCs w:val="16"/>
          <w:color w:val="auto"/>
        </w:rPr>
      </w:pPr>
      <w:r>
        <w:rPr>
          <w:rFonts w:ascii="Arial" w:cs="Arial" w:eastAsia="Arial" w:hAnsi="Arial"/>
          <w:sz w:val="16"/>
          <w:szCs w:val="16"/>
          <w:color w:val="auto"/>
        </w:rPr>
        <w:t>We express no opinion as to matters of United Kingdom taxation or any liability to tax (including, without limitation, stamp duty and stamp duty reserve tax) which may arise or be incurred as a result of or in connection with the Ordinary Shares or the transactions contemplated by the Selling Shareholder Agreements, Sales Agreement and the Registration Statement, or as to tax matters generally.</w:t>
      </w:r>
    </w:p>
    <w:p>
      <w:pPr>
        <w:spacing w:after="0" w:line="54" w:lineRule="exact"/>
        <w:rPr>
          <w:rFonts w:ascii="Arial" w:cs="Arial" w:eastAsia="Arial" w:hAnsi="Arial"/>
          <w:sz w:val="16"/>
          <w:szCs w:val="16"/>
          <w:color w:val="auto"/>
        </w:rPr>
      </w:pPr>
    </w:p>
    <w:p>
      <w:pPr>
        <w:ind w:left="1184" w:right="660" w:hanging="644"/>
        <w:spacing w:after="0" w:line="277" w:lineRule="auto"/>
        <w:tabs>
          <w:tab w:leader="none" w:pos="1184" w:val="left"/>
        </w:tabs>
        <w:numPr>
          <w:ilvl w:val="1"/>
          <w:numId w:val="76"/>
        </w:numPr>
        <w:rPr>
          <w:rFonts w:ascii="Arial" w:cs="Arial" w:eastAsia="Arial" w:hAnsi="Arial"/>
          <w:sz w:val="18"/>
          <w:szCs w:val="18"/>
          <w:color w:val="auto"/>
        </w:rPr>
      </w:pPr>
      <w:r>
        <w:rPr>
          <w:rFonts w:ascii="Arial" w:cs="Arial" w:eastAsia="Arial" w:hAnsi="Arial"/>
          <w:sz w:val="18"/>
          <w:szCs w:val="18"/>
          <w:color w:val="auto"/>
        </w:rPr>
        <w:t>Other than the opinion set out in paragraph 4(a)(iii) (</w:t>
      </w:r>
      <w:r>
        <w:rPr>
          <w:rFonts w:ascii="Arial" w:cs="Arial" w:eastAsia="Arial" w:hAnsi="Arial"/>
          <w:sz w:val="18"/>
          <w:szCs w:val="18"/>
          <w:i w:val="1"/>
          <w:iCs w:val="1"/>
          <w:color w:val="auto"/>
        </w:rPr>
        <w:t>Opinions</w:t>
      </w:r>
      <w:r>
        <w:rPr>
          <w:rFonts w:ascii="Arial" w:cs="Arial" w:eastAsia="Arial" w:hAnsi="Arial"/>
          <w:sz w:val="18"/>
          <w:szCs w:val="18"/>
          <w:color w:val="auto"/>
        </w:rPr>
        <w:t>), we express no opinion in respect of any Ordinary Shares of the Company in issue at the date of this opinion.</w:t>
      </w:r>
    </w:p>
    <w:p>
      <w:pPr>
        <w:spacing w:after="0" w:line="75" w:lineRule="exact"/>
        <w:rPr>
          <w:rFonts w:ascii="Arial" w:cs="Arial" w:eastAsia="Arial" w:hAnsi="Arial"/>
          <w:sz w:val="18"/>
          <w:szCs w:val="18"/>
          <w:color w:val="auto"/>
        </w:rPr>
      </w:pPr>
    </w:p>
    <w:p>
      <w:pPr>
        <w:ind w:left="1184" w:right="80" w:hanging="644"/>
        <w:spacing w:after="0" w:line="277" w:lineRule="auto"/>
        <w:tabs>
          <w:tab w:leader="none" w:pos="118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opinion set out in paragraph 4(a)(iii) (</w:t>
      </w:r>
      <w:r>
        <w:rPr>
          <w:rFonts w:ascii="Arial" w:cs="Arial" w:eastAsia="Arial" w:hAnsi="Arial"/>
          <w:sz w:val="18"/>
          <w:szCs w:val="18"/>
          <w:i w:val="1"/>
          <w:iCs w:val="1"/>
          <w:color w:val="auto"/>
        </w:rPr>
        <w:t>Opinions</w:t>
      </w:r>
      <w:r>
        <w:rPr>
          <w:rFonts w:ascii="Arial" w:cs="Arial" w:eastAsia="Arial" w:hAnsi="Arial"/>
          <w:sz w:val="18"/>
          <w:szCs w:val="18"/>
          <w:color w:val="auto"/>
        </w:rPr>
        <w:t>) is qualified to the effect that pursuant to s125 Companies Act 2006, the court may order rectification of the register of members of a company if:</w:t>
      </w:r>
    </w:p>
    <w:p>
      <w:pPr>
        <w:spacing w:after="0" w:line="75" w:lineRule="exact"/>
        <w:rPr>
          <w:rFonts w:ascii="Arial" w:cs="Arial" w:eastAsia="Arial" w:hAnsi="Arial"/>
          <w:sz w:val="18"/>
          <w:szCs w:val="18"/>
          <w:color w:val="auto"/>
        </w:rPr>
      </w:pPr>
    </w:p>
    <w:p>
      <w:pPr>
        <w:ind w:left="1744" w:hanging="543"/>
        <w:spacing w:after="0"/>
        <w:tabs>
          <w:tab w:leader="none" w:pos="1744"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name of a person, without sufficient cause, was entered in or omitted from the register of members; or</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103" w:name="page104"/>
    <w:bookmarkEnd w:id="103"/>
    <w:p>
      <w:pPr>
        <w:ind w:left="1324" w:hanging="123"/>
        <w:spacing w:after="0" w:line="383" w:lineRule="auto"/>
        <w:tabs>
          <w:tab w:leader="none" w:pos="1744" w:val="left"/>
        </w:tabs>
        <w:numPr>
          <w:ilvl w:val="2"/>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is made or unnecessary delay takes place in entering on the register the fact of any person having ceased to be a member. We cannot confirm that the register of members of the Company will not be subject to rectification.</w:t>
      </w:r>
    </w:p>
    <w:p>
      <w:pPr>
        <w:ind w:left="1184" w:hanging="644"/>
        <w:spacing w:after="0" w:line="257" w:lineRule="auto"/>
        <w:tabs>
          <w:tab w:leader="none" w:pos="1184"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Notwithstanding the resolutions of the shareholders of the Company referred to in paragraph 2(a)(iv)(K)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a particular allotment of Offered Shares after the date of this opinion may require resolutions of shareholders of the Company to be passed to (A) authorise the directors of the Company under s551 Companies Act 2006 to allot Ordinary Shares and (B) empower the directors of the Company under s570 Companies Act 2006 to allot the Ordinary Shares as if s561 of that Act did not apply to the allotment.</w:t>
      </w:r>
    </w:p>
    <w:p>
      <w:pPr>
        <w:spacing w:after="0" w:line="332" w:lineRule="exact"/>
        <w:rPr>
          <w:rFonts w:ascii="Arial" w:cs="Arial" w:eastAsia="Arial" w:hAnsi="Arial"/>
          <w:sz w:val="18"/>
          <w:szCs w:val="18"/>
          <w:color w:val="auto"/>
        </w:rPr>
      </w:pPr>
    </w:p>
    <w:p>
      <w:pPr>
        <w:ind w:left="544" w:hanging="544"/>
        <w:spacing w:after="0"/>
        <w:tabs>
          <w:tab w:leader="none" w:pos="544"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Law</w:t>
      </w:r>
    </w:p>
    <w:p>
      <w:pPr>
        <w:spacing w:after="0" w:line="134" w:lineRule="exact"/>
        <w:rPr>
          <w:rFonts w:ascii="Arial" w:cs="Arial" w:eastAsia="Arial" w:hAnsi="Arial"/>
          <w:sz w:val="18"/>
          <w:szCs w:val="18"/>
          <w:color w:val="auto"/>
        </w:rPr>
      </w:pPr>
    </w:p>
    <w:p>
      <w:pPr>
        <w:ind w:left="1184" w:right="140" w:hanging="644"/>
        <w:spacing w:after="0" w:line="277" w:lineRule="auto"/>
        <w:tabs>
          <w:tab w:leader="none" w:pos="118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opinion and any non-contractual obligations arising out of or in connection with this opinion shall be governed by, and construed in accordance with, English law.</w:t>
      </w:r>
    </w:p>
    <w:p>
      <w:pPr>
        <w:spacing w:after="0" w:line="71" w:lineRule="exact"/>
        <w:rPr>
          <w:rFonts w:ascii="Arial" w:cs="Arial" w:eastAsia="Arial" w:hAnsi="Arial"/>
          <w:sz w:val="18"/>
          <w:szCs w:val="18"/>
          <w:color w:val="auto"/>
        </w:rPr>
      </w:pPr>
    </w:p>
    <w:p>
      <w:pPr>
        <w:ind w:left="1184" w:right="120" w:hanging="644"/>
        <w:spacing w:after="0" w:line="261" w:lineRule="auto"/>
        <w:tabs>
          <w:tab w:leader="none" w:pos="118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This opinion relates only to English law as applied by the English courts as at today’s date (</w:t>
      </w:r>
      <w:r>
        <w:rPr>
          <w:rFonts w:ascii="Arial" w:cs="Arial" w:eastAsia="Arial" w:hAnsi="Arial"/>
          <w:sz w:val="18"/>
          <w:szCs w:val="18"/>
          <w:b w:val="1"/>
          <w:bCs w:val="1"/>
          <w:color w:val="auto"/>
        </w:rPr>
        <w:t>“Applicable Law”</w:t>
      </w:r>
      <w:r>
        <w:rPr>
          <w:rFonts w:ascii="Arial" w:cs="Arial" w:eastAsia="Arial" w:hAnsi="Arial"/>
          <w:sz w:val="18"/>
          <w:szCs w:val="18"/>
          <w:color w:val="auto"/>
        </w:rPr>
        <w:t>). By “English law” we mean (except to the extent we make specific reference to an English law “conflict of law” (private international law) rule or principle) English domestic law on the assumption that English domestic law applies to all relevant issues. In construing any European Union directive or regulation, we have read only the English version.</w:t>
      </w:r>
    </w:p>
    <w:p>
      <w:pPr>
        <w:spacing w:after="0" w:line="89" w:lineRule="exact"/>
        <w:rPr>
          <w:rFonts w:ascii="Arial" w:cs="Arial" w:eastAsia="Arial" w:hAnsi="Arial"/>
          <w:sz w:val="18"/>
          <w:szCs w:val="18"/>
          <w:color w:val="auto"/>
        </w:rPr>
      </w:pPr>
    </w:p>
    <w:p>
      <w:pPr>
        <w:ind w:left="1184" w:right="680" w:hanging="644"/>
        <w:spacing w:after="0" w:line="277" w:lineRule="auto"/>
        <w:tabs>
          <w:tab w:leader="none" w:pos="1184"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Except to the extent, if any, specifically stated in it, this opinion takes no account of any proposed changes as at today’s date in Applicable Law.</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79"/>
        </w:numPr>
        <w:rPr>
          <w:rFonts w:ascii="Arial" w:cs="Arial" w:eastAsia="Arial" w:hAnsi="Arial"/>
          <w:sz w:val="16"/>
          <w:szCs w:val="16"/>
          <w:color w:val="auto"/>
        </w:rPr>
      </w:pPr>
      <w:r>
        <w:rPr>
          <w:rFonts w:ascii="Arial" w:cs="Arial" w:eastAsia="Arial" w:hAnsi="Arial"/>
          <w:sz w:val="16"/>
          <w:szCs w:val="16"/>
          <w:color w:val="auto"/>
        </w:rPr>
        <w:t>We do not undertake or accept any obligation to update this opinion to reflect subsequent changes in English law or factual matters.</w:t>
      </w:r>
    </w:p>
    <w:p>
      <w:pPr>
        <w:spacing w:after="0" w:line="153" w:lineRule="exact"/>
        <w:rPr>
          <w:rFonts w:ascii="Arial" w:cs="Arial" w:eastAsia="Arial" w:hAnsi="Arial"/>
          <w:sz w:val="16"/>
          <w:szCs w:val="16"/>
          <w:color w:val="auto"/>
        </w:rPr>
      </w:pPr>
    </w:p>
    <w:p>
      <w:pPr>
        <w:ind w:left="1184" w:right="60" w:hanging="644"/>
        <w:spacing w:after="0" w:line="259" w:lineRule="auto"/>
        <w:tabs>
          <w:tab w:leader="none" w:pos="1184" w:val="left"/>
        </w:tabs>
        <w:numPr>
          <w:ilvl w:val="1"/>
          <w:numId w:val="79"/>
        </w:numPr>
        <w:rPr>
          <w:rFonts w:ascii="Arial" w:cs="Arial" w:eastAsia="Arial" w:hAnsi="Arial"/>
          <w:sz w:val="18"/>
          <w:szCs w:val="18"/>
          <w:color w:val="auto"/>
        </w:rPr>
      </w:pPr>
      <w:r>
        <w:rPr>
          <w:rFonts w:ascii="Arial" w:cs="Arial" w:eastAsia="Arial" w:hAnsi="Arial"/>
          <w:sz w:val="18"/>
          <w:szCs w:val="18"/>
          <w:color w:val="auto"/>
        </w:rPr>
        <w:t>We express no opinion as to, and we have not investigated for the purposes of this opinion, the laws of any jurisdiction other than England. It is assumed that no foreign law which may apply to the matters contemplated by the Registration Statement, or any document relating to, or any party to, any transaction contemplated by the Selling Shareholder Agreements, the Sales Agreement or the Registration Statement, would or might affect this opinion.</w:t>
      </w:r>
    </w:p>
    <w:p>
      <w:pPr>
        <w:spacing w:after="0" w:line="187"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 Mayer Brown International LLP</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F-3) and related Prospectus of Mereo BioPharma Group plc for the registration of American Depositary Shares representing ordinary shares offered by selling shareholders and to the incorporation by reference therein of our report dated March 31, 2021, with respect to the consolidated financial statements of Mereo BioPharma Group plc included in its Annual Report (Form 20-F) for the year ended December 31, 2020,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2021</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1)"/>
      <w:numFmt w:val="lowerLetter"/>
      <w:start w:val="1"/>
    </w:lvl>
  </w:abstractNum>
  <w:abstractNum w:abstractNumId="16">
    <w:nsid w:val="7644A45C"/>
    <w:multiLevelType w:val="hybridMultilevel"/>
    <w:lvl w:ilvl="0">
      <w:lvlJc w:val="left"/>
      <w:lvlText w:val="(%1)"/>
      <w:numFmt w:val="lowerLetter"/>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4">
    <w:nsid w:val="1F48EAA1"/>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55">
    <w:nsid w:val="1381823A"/>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56">
    <w:nsid w:val="5DB70AE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57">
    <w:nsid w:val="100F8FCA"/>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58">
    <w:nsid w:val="6590700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9">
    <w:nsid w:val="15014ACB"/>
    <w:multiLevelType w:val="hybridMultilevel"/>
    <w:lvl w:ilvl="0">
      <w:lvlJc w:val="left"/>
      <w:lvlText w:val="(%1)"/>
      <w:numFmt w:val="lowerLetter"/>
      <w:start w:val="8"/>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3">
    <w:nsid w:val="6B94764"/>
    <w:multiLevelType w:val="hybridMultilevel"/>
    <w:lvl w:ilvl="0">
      <w:lvlJc w:val="left"/>
      <w:lvlText w:val="(%1)"/>
      <w:numFmt w:val="lowerRoman"/>
      <w:start w:val="4"/>
    </w:lvl>
    <w:lvl w:ilvl="1">
      <w:lvlJc w:val="left"/>
      <w:lvlText w:val="(%2)"/>
      <w:numFmt w:val="upperLetter"/>
      <w:start w:val="1"/>
    </w:lvl>
  </w:abstractNum>
  <w:abstractNum w:abstractNumId="64">
    <w:nsid w:val="42C296BD"/>
    <w:multiLevelType w:val="hybridMultilevel"/>
    <w:lvl w:ilvl="0">
      <w:lvlJc w:val="left"/>
      <w:lvlText w:val="(%1)"/>
      <w:numFmt w:val="upperLetter"/>
      <w:start w:val="3"/>
    </w:lvl>
  </w:abstractNum>
  <w:abstractNum w:abstractNumId="65">
    <w:nsid w:val="168E121F"/>
    <w:multiLevelType w:val="hybridMultilevel"/>
    <w:lvl w:ilvl="0">
      <w:lvlJc w:val="left"/>
      <w:lvlText w:val="(%1)"/>
      <w:numFmt w:val="lowerLetter"/>
      <w:start w:val="2"/>
    </w:lvl>
    <w:lvl w:ilvl="1">
      <w:lvlJc w:val="left"/>
      <w:lvlText w:val="(%2)"/>
      <w:numFmt w:val="lowerRoman"/>
      <w:start w:val="1"/>
    </w:lvl>
  </w:abstractNum>
  <w:abstractNum w:abstractNumId="66">
    <w:nsid w:val="1EBA5D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7">
    <w:nsid w:val="661E3F1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8">
    <w:nsid w:val="5DC79EA8"/>
    <w:multiLevelType w:val="hybridMultilevel"/>
    <w:lvl w:ilvl="0">
      <w:lvlJc w:val="left"/>
      <w:lvlText w:val="(%1)"/>
      <w:numFmt w:val="lowerRoman"/>
      <w:start w:val="7"/>
    </w:lvl>
  </w:abstractNum>
  <w:abstractNum w:abstractNumId="69">
    <w:nsid w:val="540A471C"/>
    <w:multiLevelType w:val="hybridMultilevel"/>
    <w:lvl w:ilvl="0">
      <w:lvlJc w:val="left"/>
      <w:lvlText w:val="(%1)"/>
      <w:numFmt w:val="lowerRoman"/>
      <w:start w:val="12"/>
    </w:lvl>
  </w:abstractNum>
  <w:abstractNum w:abstractNumId="70">
    <w:nsid w:val="7BD3EE7B"/>
    <w:multiLevelType w:val="hybridMultilevel"/>
    <w:lvl w:ilvl="0">
      <w:lvlJc w:val="left"/>
      <w:lvlText w:val="(%1)"/>
      <w:numFmt w:val="lowerRoman"/>
      <w:start w:val="20"/>
    </w:lvl>
  </w:abstractNum>
  <w:abstractNum w:abstractNumId="71">
    <w:nsid w:val="51D9C5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2">
    <w:nsid w:val="613EFDC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3">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4">
    <w:nsid w:val="11447B7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42963E5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7">
    <w:nsid w:val="8F2B15E"/>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78">
    <w:nsid w:val="1A32234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jpe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jpe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jpe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06" Type="http://schemas.openxmlformats.org/officeDocument/2006/relationships/hyperlink" Target="http://www.sec.gov/Archives/edgar/data/1719714/000119312521102416/d60415d20f.htm" TargetMode="External"/><Relationship Id="rId107" Type="http://schemas.openxmlformats.org/officeDocument/2006/relationships/hyperlink" Target="http://www.sec.gov/Archives/edgar/data/1719714/000119312521219651/d188395d6k.htm" TargetMode="External"/><Relationship Id="rId108" Type="http://schemas.openxmlformats.org/officeDocument/2006/relationships/hyperlink" Target="http://www.sec.gov/Archives/edgar/data/1719714/000119312518111700/d566514d8a12b.htm" TargetMode="External"/><Relationship Id="rId109" Type="http://schemas.openxmlformats.org/officeDocument/2006/relationships/hyperlink" Target="http://www.sec.gov/Archives/edgar/data/1719714/000119312521102416/d60415dex22.htm" TargetMode="External"/><Relationship Id="rId142" Type="http://schemas.openxmlformats.org/officeDocument/2006/relationships/hyperlink" Target="http://www.sec.gov/Archives/edgar/data/0001719714/000119312521237790/d159178dex12.htm" TargetMode="External"/><Relationship Id="rId143" Type="http://schemas.openxmlformats.org/officeDocument/2006/relationships/hyperlink" Target="http://www.sec.gov/Archives/edgar/data/1719714/000119312519016112/d680874dex42.htm" TargetMode="External"/><Relationship Id="rId144" Type="http://schemas.openxmlformats.org/officeDocument/2006/relationships/hyperlink" Target="http://www.sec.gov/Archives/edgar/data/0001719714/000119312521237790/d159178dex43.htm" TargetMode="External"/><Relationship Id="rId145" Type="http://schemas.openxmlformats.org/officeDocument/2006/relationships/hyperlink" Target="http://www.sec.gov/Archives/edgar/data/0001719714/000119312521237790/d159178dex44.htm" TargetMode="External"/><Relationship Id="rId146" Type="http://schemas.openxmlformats.org/officeDocument/2006/relationships/hyperlink" Target="http://www.sec.gov/Archives/edgar/data/1719714/000119312521102416/d60415dex430.htm" TargetMode="External"/><Relationship Id="rId147" Type="http://schemas.openxmlformats.org/officeDocument/2006/relationships/hyperlink" Target="http://www.sec.gov/Archives/edgar/data/1719714/000119312521102416/d60415dex431.htm" TargetMode="External"/><Relationship Id="rId148" Type="http://schemas.openxmlformats.org/officeDocument/2006/relationships/hyperlink" Target="http://www.sec.gov/Archives/edgar/data/1719714/000119312519016112/d680874dex1025.htm" TargetMode="External"/><Relationship Id="rId149" Type="http://schemas.openxmlformats.org/officeDocument/2006/relationships/hyperlink" Target="http://www.sec.gov/Archives/edgar/data/1719714/000119312519125560/d734372dex4131.htm" TargetMode="External"/><Relationship Id="rId150" Type="http://schemas.openxmlformats.org/officeDocument/2006/relationships/hyperlink" Target="http://www.sec.gov/Archives/edgar/data/1719714/000119312519016112/d680874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2021-09-07T15:09:00Z</dcterms:created>
  <dcterms:modified xsi:type="dcterms:W3CDTF">2021-09-07T15:09:00Z</dcterms:modified>
</cp:coreProperties>
</file>