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5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10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25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Annual General Meeting.</w:t>
      </w:r>
    </w:p>
    <w:p>
      <w:pPr>
        <w:sectPr>
          <w:pgSz w:w="11900" w:h="16838" w:orient="portrait"/>
          <w:cols w:equalWidth="0" w:num="1">
            <w:col w:w="10019"/>
          </w:cols>
          <w:pgMar w:left="440" w:top="274"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London and Redwood City, Calif., May 27,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clinical-stage biopharmaceutical company focused on oncology and rare diseases, today announces, as per its ‘Annual General Meeting’ announcement, released on May 22, 2020, that its Annual General Meeting (AGM) is to be held on June 29, 2020 at 3:00 p.m. at 1 Cavendish Place, London W1G 0QF, United Kingdom. A copy of the Notice of AGM is available on the Company’s website: </w:t>
      </w:r>
      <w:r>
        <w:rPr>
          <w:rFonts w:ascii="Arial" w:cs="Arial" w:eastAsia="Arial" w:hAnsi="Arial"/>
          <w:sz w:val="18"/>
          <w:szCs w:val="18"/>
          <w:u w:val="single" w:color="auto"/>
          <w:color w:val="auto"/>
        </w:rPr>
        <w:t>www.mereobiopharma.com/news-and-events/press-releases/2020/notice-of-agm/notice-of-agm/</w:t>
      </w:r>
      <w:r>
        <w:rPr>
          <w:rFonts w:ascii="Arial" w:cs="Arial" w:eastAsia="Arial" w:hAnsi="Arial"/>
          <w:sz w:val="18"/>
          <w:szCs w:val="18"/>
          <w:color w:val="auto"/>
        </w:rPr>
        <w:t xml:space="preserve"> and the Notice of AGM (or a notification of the availability of the Notice of AGM) will be posted to shareholders shortly, where appropriate.</w:t>
      </w:r>
    </w:p>
    <w:p>
      <w:pPr>
        <w:spacing w:after="0" w:line="19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Due to COVID-19 and the current social distancing measures set out by the Government, Mereo’s AGM will be a closed meeting. As iterated in the release on May 22, 2020, this means that ordinary shareholders will not be allowed to attend the AGM in person and any ordinary shareholder seeking to attend the AGM in person will be refused entry.</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Under the Companies Act 2006, the directors of a public company are required to lay its annual accounts and reports before the company in general meeting (an “accounts meeting”) by no later than the end of the period for the filing of those accounts and reports with the Registrar of Companies. The period for filing the annual accounts and reports is ordinarily six months from the accounting reference date. There is a separate requirement under the Companies Act 2006 for a public company to hold an AGM within the period of six months from its accounting reference date.</w:t>
      </w:r>
    </w:p>
    <w:p>
      <w:pPr>
        <w:spacing w:after="0" w:line="15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Ordinarily the Company’s AGM would also serve as its accounts meeting. However, in response to the COVID-19 pandemic, Companies House has allowed companies to apply for a three-month extension of time to file their accounts. The Company has applied for, and been granted, such an extension in respect of its annual accounts and reports for the financial year ended December 31, 2019 (the “Annual Accounts”). The Company is still aiming to announce and publish the Annual Accounts by June 30, 2020, however the extension allows until September 30, 2020, if required.</w:t>
      </w:r>
    </w:p>
    <w:p>
      <w:pPr>
        <w:spacing w:after="0" w:line="157"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In light of this extension, the Company’s accounts meeting may now be held as a general meeting no later than September 30, 2020. However, the Company is currently still required to hold its AGM by June 30, 2020, hence the meeting going ahead as stated above. It is noted that the Annual Accounts will not be able to be sent out to shareholders in sufficient time ahead of the AGM and therefore will not be laid before the AGM.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The Company also acquired two clinical stage oncology products as a result of the merger with Oncomed Pharmaceuticals Inc. in 2019.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Mereo’s lead oncology product candidate, etigilimab, an anti-TIGIT, has entered Phase 1b for a range of solid tumor types and the second product candidate, navicixizumab, has been licensed to Oncologie Inc. for up to $300M in milestone payments. Following successful completion of Phase 2, Mereo is seeking partnerships for it’s two additional clinical-stage product candidates; acumapimod for the treatment of acute exacerbations of chronic obstructive</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pulmonary disease (“AECOPD”), leflutrozole for the treatment of hypogonadotropic hypogonadism (“HH”) in obese men. Mereo continues to evaluate financing options through a combination of partnering and equity offering alongside prioritisation of the product candidate portfolio.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423"/>
        </w:trPr>
        <w:tc>
          <w:tcPr>
            <w:tcW w:w="5740" w:type="dxa"/>
            <w:vAlign w:val="bottom"/>
          </w:tcPr>
          <w:p>
            <w:pPr>
              <w:spacing w:after="0"/>
              <w:rPr>
                <w:sz w:val="20"/>
                <w:szCs w:val="20"/>
                <w:color w:val="auto"/>
              </w:rPr>
            </w:pPr>
            <w:r>
              <w:rPr>
                <w:rFonts w:ascii="Arial" w:cs="Arial" w:eastAsia="Arial" w:hAnsi="Arial"/>
                <w:sz w:val="20"/>
                <w:szCs w:val="20"/>
                <w:b w:val="1"/>
                <w:bCs w:val="1"/>
                <w:color w:val="auto"/>
              </w:rPr>
              <w:t>Cantor Fitzgerald Europe (Nominated Adviser and Broker to</w:t>
            </w:r>
          </w:p>
        </w:tc>
        <w:tc>
          <w:tcPr>
            <w:tcW w:w="2380" w:type="dxa"/>
            <w:vAlign w:val="bottom"/>
          </w:tcPr>
          <w:p>
            <w:pPr>
              <w:spacing w:after="0"/>
              <w:rPr>
                <w:sz w:val="24"/>
                <w:szCs w:val="24"/>
                <w:color w:val="auto"/>
              </w:rPr>
            </w:pPr>
          </w:p>
        </w:tc>
      </w:tr>
      <w:tr>
        <w:trPr>
          <w:trHeight w:val="238"/>
        </w:trPr>
        <w:tc>
          <w:tcPr>
            <w:tcW w:w="574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(0)20 7894 7000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431"/>
        </w:trPr>
        <w:tc>
          <w:tcPr>
            <w:tcW w:w="574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(0)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431"/>
        </w:trPr>
        <w:tc>
          <w:tcPr>
            <w:tcW w:w="574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405"/>
        </w:trPr>
        <w:tc>
          <w:tcPr>
            <w:tcW w:w="574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2020-05-27T06:39:18Z</dcterms:created>
  <dcterms:modified xsi:type="dcterms:W3CDTF">2020-05-27T06:39:18Z</dcterms:modified>
</cp:coreProperties>
</file>