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30075d20f.htm"/>
        <w:bookmarkStart w:id="1" w:name="ksd430075d20f"/>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before="8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FORM 20-F </w:t>
      </w:r>
    </w:p>
    <w:p>
      <w:pPr>
        <w:pStyle w:val="TextBody"/>
        <w:spacing w:before="0" w:after="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REGISTRATION STATEMENT PURSUANT TO SECTION 12(b) OR (g) OF THE SECURITIES EXCHANGE ACT OF 1934 </w:t>
            </w:r>
          </w:p>
        </w:tc>
      </w:tr>
    </w:tbl>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OR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For the fiscal year ended December 31, 2022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OR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For the transition period from </w:t>
      </w:r>
    </w:p>
    <w:p>
      <w:pPr>
        <w:pStyle w:val="TextBody"/>
        <w:spacing w:before="240" w:after="0"/>
        <w:jc w:val="center"/>
        <w:rPr>
          <w:spacing w:val="0"/>
          <w:highlight w:val="white"/>
          <w:u w:val="single"/>
        </w:rPr>
      </w:pPr>
      <w:r>
        <w:rPr>
          <w:spacing w:val="0"/>
          <w:highlight w:val="white"/>
          <w:u w:val="single"/>
        </w:rPr>
        <w:t>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to </w:t>
      </w:r>
    </w:p>
    <w:p>
      <w:pPr>
        <w:pStyle w:val="TextBody"/>
        <w:spacing w:before="240" w:after="0"/>
        <w:jc w:val="center"/>
        <w:rPr>
          <w:spacing w:val="0"/>
          <w:highlight w:val="white"/>
          <w:u w:val="single"/>
        </w:rPr>
      </w:pPr>
      <w:r>
        <w:rPr>
          <w:spacing w:val="0"/>
          <w:highlight w:val="white"/>
          <w:u w:val="single"/>
        </w:rPr>
        <w:t>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OR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SHELL COMPANY REPORT PURSUANT TO SECTION 13 OR 15(d) OF THE SECURITIES EXCHANGE ACT OF 1934 </w:t>
            </w:r>
          </w:p>
        </w:tc>
      </w:tr>
    </w:tbl>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Date of event requiring this shell company report </w:t>
      </w:r>
    </w:p>
    <w:p>
      <w:pPr>
        <w:pStyle w:val="TextBody"/>
        <w:spacing w:before="240" w:after="0"/>
        <w:jc w:val="center"/>
        <w:rPr>
          <w:spacing w:val="0"/>
          <w:highlight w:val="white"/>
          <w:u w:val="single"/>
        </w:rPr>
      </w:pPr>
      <w:r>
        <w:rPr>
          <w:spacing w:val="0"/>
          <w:highlight w:val="white"/>
          <w:u w:val="single"/>
        </w:rPr>
        <w:t>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Commission file number: 001-38452 </w:t>
      </w:r>
    </w:p>
    <w:p>
      <w:pPr>
        <w:pStyle w:val="TextBody"/>
        <w:spacing w:before="0" w:after="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48"/>
          <w:highlight w:val="white"/>
        </w:rPr>
      </w:pPr>
      <w:r>
        <w:rPr>
          <w:rFonts w:ascii="Times New Roman" w:hAnsi="Times New Roman"/>
          <w:b/>
          <w:sz w:val="48"/>
          <w:highlight w:val="white"/>
        </w:rPr>
        <w:t xml:space="preserve">MEREO BIOPHARMA GROUP PLC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(Exact name of Registrant as specified in its charter) </w:t>
      </w:r>
    </w:p>
    <w:p>
      <w:pPr>
        <w:pStyle w:val="TextBody"/>
        <w:spacing w:before="0" w:after="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England and Wales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(Jurisdiction of incorporation or organization)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One Cavendish Place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4th Floor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London, W1G 0QF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United Kingdom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Tel: +44-333-023-7300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(Address of principal executive offices)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Charles Sermon, General Counsel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Tel: +44-333-023-7300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Email: cs@mereobiopharma.com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1 Cavendish Place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4th Floor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London, W1G 0QF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United Kingdom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(Name, Telephone, E-mail and/or Facsimile number and Address of Company Contact Person)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Securities registered or to be registered pursuant to Section 12(b) of the Act: </w:t>
      </w:r>
    </w:p>
    <w:p>
      <w:pPr>
        <w:pStyle w:val="TextBody"/>
        <w:spacing w:before="0" w:after="0"/>
        <w:jc w:val="left"/>
        <w:rPr>
          <w:highlight w:val="white"/>
        </w:rPr>
      </w:pPr>
      <w:r>
        <w:rPr>
          <w:highlight w:val="white"/>
        </w:rPr>
        <w:t> </w:t>
      </w:r>
    </w:p>
    <w:tbl>
      <w:tblPr>
        <w:tblW w:w="8370" w:type="dxa"/>
        <w:jc w:val="left"/>
        <w:tblInd w:w="0" w:type="dxa"/>
        <w:tblCellMar>
          <w:top w:w="0" w:type="dxa"/>
          <w:left w:w="0" w:type="dxa"/>
          <w:bottom w:w="0" w:type="dxa"/>
          <w:right w:w="0" w:type="dxa"/>
        </w:tblCellMar>
      </w:tblPr>
      <w:tblGrid>
        <w:gridCol w:w="4055"/>
        <w:gridCol w:w="60"/>
        <w:gridCol w:w="770"/>
        <w:gridCol w:w="60"/>
        <w:gridCol w:w="3425"/>
      </w:tblGrid>
      <w:tr>
        <w:trPr/>
        <w:tc>
          <w:tcPr>
            <w:tcW w:w="4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5" w:type="dxa"/>
            <w:tcBorders/>
            <w:shd w:fill="auto"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Symbol</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on which registered</w:t>
            </w:r>
          </w:p>
        </w:tc>
      </w:tr>
      <w:tr>
        <w:trPr/>
        <w:tc>
          <w:tcPr>
            <w:tcW w:w="405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American Depositary Shares, each representing</w:t>
            </w:r>
          </w:p>
          <w:p>
            <w:pPr>
              <w:pStyle w:val="TableContents"/>
              <w:spacing w:before="0" w:after="0"/>
              <w:jc w:val="center"/>
              <w:rPr>
                <w:rFonts w:ascii="Times New Roman" w:hAnsi="Times New Roman"/>
                <w:b/>
                <w:sz w:val="20"/>
              </w:rPr>
            </w:pPr>
            <w:r>
              <w:rPr>
                <w:rFonts w:ascii="Times New Roman" w:hAnsi="Times New Roman"/>
                <w:b/>
                <w:sz w:val="20"/>
              </w:rPr>
              <w:t>five ordinary shares, nominal value of £0.003</w:t>
            </w:r>
          </w:p>
          <w:p>
            <w:pPr>
              <w:pStyle w:val="TableContents"/>
              <w:spacing w:before="0" w:after="20"/>
              <w:jc w:val="center"/>
              <w:rPr>
                <w:rFonts w:ascii="Times New Roman" w:hAnsi="Times New Roman"/>
                <w:b/>
                <w:sz w:val="20"/>
              </w:rPr>
            </w:pPr>
            <w:r>
              <w:rPr>
                <w:rFonts w:ascii="Times New Roman" w:hAnsi="Times New Roman"/>
                <w:b/>
                <w:sz w:val="20"/>
              </w:rPr>
              <w:t>per share</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0"/>
              <w:jc w:val="center"/>
              <w:rPr>
                <w:b/>
                <w:spacing w:val="0"/>
              </w:rPr>
            </w:pPr>
            <w:r>
              <w:rPr>
                <w:b/>
                <w:spacing w:val="0"/>
              </w:rPr>
              <w:t>MREO</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center"/>
              <w:rPr>
                <w:b/>
                <w:spacing w:val="0"/>
              </w:rPr>
            </w:pPr>
            <w:r>
              <w:rPr>
                <w:b/>
                <w:spacing w:val="0"/>
              </w:rPr>
              <w:t>The Nasdaq Stock Market LLC</w:t>
            </w:r>
          </w:p>
        </w:tc>
      </w:tr>
      <w:tr>
        <w:trPr/>
        <w:tc>
          <w:tcPr>
            <w:tcW w:w="405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Ordinary Shares, nominal value of £0.003 per</w:t>
            </w:r>
          </w:p>
          <w:p>
            <w:pPr>
              <w:pStyle w:val="TableContents"/>
              <w:spacing w:before="0" w:after="20"/>
              <w:jc w:val="center"/>
              <w:rPr>
                <w:rFonts w:ascii="Times New Roman" w:hAnsi="Times New Roman"/>
                <w:b/>
                <w:sz w:val="20"/>
              </w:rPr>
            </w:pPr>
            <w:r>
              <w:rPr>
                <w:rFonts w:ascii="Times New Roman" w:hAnsi="Times New Roman"/>
                <w:b/>
                <w:sz w:val="20"/>
              </w:rPr>
              <w:t>share</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center"/>
              <w:rPr>
                <w:b/>
                <w:spacing w:val="0"/>
              </w:rPr>
            </w:pPr>
            <w:r>
              <w:rPr>
                <w:b/>
                <w:spacing w:val="0"/>
              </w:rPr>
              <w:t>The Nasdaq Stock Market LLC*</w:t>
            </w:r>
          </w:p>
        </w:tc>
      </w:tr>
    </w:tbl>
    <w:p>
      <w:pPr>
        <w:pStyle w:val="TextBody"/>
        <w:spacing w:before="0" w:after="0"/>
        <w:jc w:val="left"/>
        <w:rPr>
          <w:highlight w:val="white"/>
        </w:rPr>
      </w:pPr>
      <w:r>
        <w:rPr>
          <w:highlight w:val="white"/>
        </w:rPr>
        <w:t> </w:t>
      </w:r>
    </w:p>
    <w:p>
      <w:pPr>
        <w:pStyle w:val="TextBody"/>
        <w:spacing w:lineRule="atLeast" w:line="160" w:before="0" w:after="0"/>
        <w:jc w:val="left"/>
        <w:rPr>
          <w:highlight w:val="white"/>
          <w:bdr w:val="single" w:sz="2" w:space="1" w:color="000000"/>
        </w:rPr>
      </w:pPr>
      <w:r>
        <w:rPr>
          <w:highlight w:val="white"/>
          <w:bdr w:val="single" w:sz="2" w:space="1" w:color="000000"/>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Not for trading, but only in connection with the registration of American Depositary Shares representing such Ordinary Shares pursuant to the requirements of the U.S. Securities and Exchange Commission. </w:t>
            </w:r>
          </w:p>
        </w:tc>
      </w:tr>
    </w:tbl>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Securities registered or to be registered pursuant to Section 12(g) of the Act: None </w:t>
      </w:r>
    </w:p>
    <w:p>
      <w:pPr>
        <w:pStyle w:val="TextBody"/>
        <w:spacing w:before="240" w:after="0"/>
        <w:jc w:val="center"/>
        <w:rPr>
          <w:rFonts w:ascii="Times New Roman" w:hAnsi="Times New Roman"/>
          <w:b/>
          <w:sz w:val="24"/>
          <w:highlight w:val="white"/>
        </w:rPr>
      </w:pPr>
      <w:r>
        <w:rPr>
          <w:rFonts w:ascii="Times New Roman" w:hAnsi="Times New Roman"/>
          <w:b/>
          <w:sz w:val="24"/>
          <w:highlight w:val="white"/>
        </w:rPr>
        <w:t xml:space="preserve">Securities for which there is a reporting obligation pursuant to Section 15(d) of the Act: None </w:t>
      </w:r>
    </w:p>
    <w:p>
      <w:pPr>
        <w:pStyle w:val="TextBody"/>
        <w:spacing w:before="0" w:after="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the number of outstanding shares of each of the issuer’s classes of capital or common stock as of the close of the period covered by the annual report. </w:t>
      </w:r>
    </w:p>
    <w:p>
      <w:pPr>
        <w:pStyle w:val="TextBody"/>
        <w:spacing w:before="240" w:after="0"/>
        <w:jc w:val="left"/>
        <w:rPr>
          <w:rFonts w:ascii="Times New Roman" w:hAnsi="Times New Roman"/>
          <w:sz w:val="24"/>
          <w:highlight w:val="white"/>
        </w:rPr>
      </w:pPr>
      <w:r>
        <w:rPr>
          <w:rFonts w:ascii="Times New Roman" w:hAnsi="Times New Roman"/>
          <w:sz w:val="24"/>
          <w:highlight w:val="white"/>
        </w:rPr>
        <w:t>The number of outstanding shares as of December 31, 202</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2</w:t>
      </w:r>
    </w:p>
    <w:p>
      <w:pPr>
        <w:pStyle w:val="TextBody"/>
        <w:spacing w:before="240" w:after="0"/>
        <w:jc w:val="left"/>
        <w:rPr>
          <w:highlight w:val="white"/>
        </w:rPr>
      </w:pPr>
      <w:r>
        <w:rPr>
          <w:highlight w:val="white"/>
        </w:rPr>
        <w:t> </w:t>
      </w:r>
      <w:r>
        <w:rPr>
          <w:rFonts w:ascii="Times New Roman" w:hAnsi="Times New Roman"/>
          <w:sz w:val="24"/>
          <w:highlight w:val="white"/>
        </w:rPr>
        <w:t xml:space="preserve">was: </w:t>
      </w:r>
    </w:p>
    <w:p>
      <w:pPr>
        <w:pStyle w:val="TextBody"/>
        <w:spacing w:before="0" w:after="0"/>
        <w:jc w:val="left"/>
        <w:rPr>
          <w:highlight w:val="white"/>
        </w:rPr>
      </w:pPr>
      <w:r>
        <w:rPr>
          <w:highlight w:val="white"/>
        </w:rPr>
        <w:t> </w:t>
      </w:r>
    </w:p>
    <w:tbl>
      <w:tblPr>
        <w:tblW w:w="8770" w:type="dxa"/>
        <w:jc w:val="left"/>
        <w:tblInd w:w="0" w:type="dxa"/>
        <w:tblCellMar>
          <w:top w:w="0" w:type="dxa"/>
          <w:left w:w="0" w:type="dxa"/>
          <w:bottom w:w="0" w:type="dxa"/>
          <w:right w:w="0" w:type="dxa"/>
        </w:tblCellMar>
      </w:tblPr>
      <w:tblGrid>
        <w:gridCol w:w="4880"/>
        <w:gridCol w:w="60"/>
        <w:gridCol w:w="3830"/>
      </w:tblGrid>
      <w:tr>
        <w:trPr/>
        <w:tc>
          <w:tcPr>
            <w:tcW w:w="4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0" w:type="dxa"/>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Number of Shares Outstanding at December 31, 202</w:t>
            </w:r>
          </w:p>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2</w:t>
            </w:r>
          </w:p>
        </w:tc>
      </w:tr>
      <w:tr>
        <w:trPr/>
        <w:tc>
          <w:tcPr>
            <w:tcW w:w="4880" w:type="dxa"/>
            <w:tcBorders/>
            <w:shd w:fill="auto" w:val="clear"/>
            <w:vAlign w:val="center"/>
          </w:tcPr>
          <w:p>
            <w:pPr>
              <w:pStyle w:val="TableContents"/>
              <w:spacing w:before="0" w:after="283"/>
              <w:jc w:val="center"/>
              <w:rPr/>
            </w:pPr>
            <w:r>
              <w:rPr/>
              <w:t>Ordinary shares, nominal value of £0.003 per share</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20"/>
              <w:jc w:val="center"/>
              <w:rPr>
                <w:rFonts w:ascii="Times New Roman" w:hAnsi="Times New Roman"/>
                <w:sz w:val="24"/>
              </w:rPr>
            </w:pPr>
            <w:r>
              <w:rPr>
                <w:rFonts w:ascii="Times New Roman" w:hAnsi="Times New Roman"/>
                <w:sz w:val="24"/>
              </w:rPr>
              <w:t>624,928,519</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if the registrant is a well-known seasoned issuer, as defined in Rule 405 of the Securities Act.    Yes  ☐    No  ☒ </w:t>
      </w:r>
    </w:p>
    <w:p>
      <w:pPr>
        <w:pStyle w:val="TextBody"/>
        <w:spacing w:before="240" w:after="0"/>
        <w:jc w:val="left"/>
        <w:rPr>
          <w:rFonts w:ascii="Times New Roman" w:hAnsi="Times New Roman"/>
          <w:sz w:val="24"/>
          <w:highlight w:val="white"/>
        </w:rPr>
      </w:pPr>
      <w:r>
        <w:rPr>
          <w:rFonts w:ascii="Times New Roman" w:hAnsi="Times New Roman"/>
          <w:sz w:val="24"/>
          <w:highlight w:val="white"/>
        </w:rPr>
        <w:t>If this report is an annual or transition report, indicate by check mark if the registrant is not required to file reports pursuant to Section 13 or 15(d) of the Securities Exchange Act of 1934.    Yes  ☐    No</w:t>
      </w:r>
    </w:p>
    <w:p>
      <w:pPr>
        <w:pStyle w:val="TextBody"/>
        <w:spacing w:before="240" w:after="0"/>
        <w:ind w:left="0" w:right="0" w:hanging="0"/>
        <w:jc w:val="left"/>
        <w:rPr>
          <w:spacing w:val="0"/>
          <w:highlight w:val="white"/>
        </w:rPr>
      </w:pPr>
      <w:r>
        <w:rPr>
          <w:spacing w:val="0"/>
          <w:highlight w:val="white"/>
        </w:rPr>
        <w:t>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whether the registrant is a large accelerated filer, an accelerated filer, a non-accelerated filer or an emerging growth company (as defined in Rule 12b-2 of the Exchange Act). </w:t>
      </w:r>
    </w:p>
    <w:p>
      <w:pPr>
        <w:pStyle w:val="TextBody"/>
        <w:spacing w:before="0" w:after="0"/>
        <w:jc w:val="left"/>
        <w:rPr>
          <w:highlight w:val="white"/>
        </w:rPr>
      </w:pPr>
      <w:r>
        <w:rPr>
          <w:highlight w:val="white"/>
        </w:rPr>
        <w:t> </w:t>
      </w:r>
    </w:p>
    <w:tbl>
      <w:tblPr>
        <w:tblW w:w="7575" w:type="dxa"/>
        <w:jc w:val="left"/>
        <w:tblInd w:w="0" w:type="dxa"/>
        <w:tblCellMar>
          <w:top w:w="0" w:type="dxa"/>
          <w:left w:w="0" w:type="dxa"/>
          <w:bottom w:w="0" w:type="dxa"/>
          <w:right w:w="0" w:type="dxa"/>
        </w:tblCellMar>
      </w:tblPr>
      <w:tblGrid>
        <w:gridCol w:w="2135"/>
        <w:gridCol w:w="60"/>
        <w:gridCol w:w="230"/>
        <w:gridCol w:w="120"/>
        <w:gridCol w:w="1580"/>
        <w:gridCol w:w="120"/>
        <w:gridCol w:w="230"/>
        <w:gridCol w:w="120"/>
        <w:gridCol w:w="2615"/>
        <w:gridCol w:w="120"/>
        <w:gridCol w:w="245"/>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jc w:val="right"/>
              <w:rPr/>
            </w:pPr>
            <w:r>
              <w:rPr/>
              <w:t>Accelerated filer</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spacing w:val="0"/>
              </w:rPr>
            </w:pPr>
            <w:r>
              <w:rPr>
                <w:spacing w:val="0"/>
              </w:rPr>
              <w:t>Non-accelerated filer</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1700" w:type="dxa"/>
            <w:gridSpan w:val="2"/>
            <w:tcBorders/>
            <w:shd w:fill="auto" w:val="clear"/>
            <w:vAlign w:val="center"/>
          </w:tcPr>
          <w:p>
            <w:pPr>
              <w:pStyle w:val="TableContents"/>
              <w:spacing w:before="0" w:after="283"/>
              <w:rPr/>
            </w:pPr>
            <w:r>
              <w:rPr/>
              <w:t> </w:t>
            </w:r>
          </w:p>
        </w:tc>
        <w:tc>
          <w:tcPr>
            <w:tcW w:w="35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6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Emerging growth company</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 (a) of the Exchange Act.  ☐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term “new or revised financial accounting standard” refers to any update issued by the Financial Accounting Standards Board to its Accounting Standards Codification after April 5, 2012.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Indicate by check mark which basis of accounting the registrant has used to prepare the financial statements included in this filing: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330"/>
        <w:gridCol w:w="120"/>
        <w:gridCol w:w="7489"/>
        <w:gridCol w:w="120"/>
        <w:gridCol w:w="1146"/>
      </w:tblGrid>
      <w:tr>
        <w:trPr/>
        <w:tc>
          <w:tcPr>
            <w:tcW w:w="1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1330" w:type="dxa"/>
            <w:tcBorders/>
            <w:shd w:fill="auto" w:val="clear"/>
            <w:vAlign w:val="center"/>
          </w:tcPr>
          <w:p>
            <w:pPr>
              <w:pStyle w:val="TableContents"/>
              <w:spacing w:before="0" w:after="0"/>
              <w:jc w:val="right"/>
              <w:rPr>
                <w:spacing w:val="0"/>
                <w:sz w:val="20"/>
              </w:rPr>
            </w:pPr>
            <w:r>
              <w:rPr>
                <w:spacing w:val="0"/>
                <w:sz w:val="20"/>
              </w:rPr>
              <w:t>U.S. GAAP  ☐      </w:t>
            </w:r>
          </w:p>
        </w:tc>
        <w:tc>
          <w:tcPr>
            <w:tcW w:w="120" w:type="dxa"/>
            <w:tcBorders/>
            <w:shd w:fill="auto" w:val="clear"/>
            <w:vAlign w:val="center"/>
          </w:tcPr>
          <w:p>
            <w:pPr>
              <w:pStyle w:val="TableContents"/>
              <w:spacing w:before="0" w:after="283"/>
              <w:rPr/>
            </w:pPr>
            <w:r>
              <w:rPr/>
              <w:t>  </w:t>
            </w:r>
          </w:p>
        </w:tc>
        <w:tc>
          <w:tcPr>
            <w:tcW w:w="7489" w:type="dxa"/>
            <w:tcBorders/>
            <w:shd w:fill="auto" w:val="clear"/>
            <w:vAlign w:val="center"/>
          </w:tcPr>
          <w:p>
            <w:pPr>
              <w:pStyle w:val="TableContents"/>
              <w:spacing w:before="0" w:after="283"/>
              <w:rPr/>
            </w:pPr>
            <w:r>
              <w:rPr/>
              <w:t>International Financial Reporting Standards as issued by the International Accounting Standards Board   ☒</w:t>
            </w:r>
          </w:p>
        </w:tc>
        <w:tc>
          <w:tcPr>
            <w:tcW w:w="120" w:type="dxa"/>
            <w:tcBorders/>
            <w:shd w:fill="auto" w:val="clear"/>
            <w:vAlign w:val="center"/>
          </w:tcPr>
          <w:p>
            <w:pPr>
              <w:pStyle w:val="TableContents"/>
              <w:spacing w:before="0" w:after="283"/>
              <w:rPr/>
            </w:pPr>
            <w:r>
              <w:rPr/>
              <w:t>  </w:t>
            </w:r>
          </w:p>
        </w:tc>
        <w:tc>
          <w:tcPr>
            <w:tcW w:w="1146" w:type="dxa"/>
            <w:tcBorders/>
            <w:shd w:fill="auto" w:val="clear"/>
            <w:vAlign w:val="center"/>
          </w:tcPr>
          <w:p>
            <w:pPr>
              <w:pStyle w:val="TableContents"/>
              <w:spacing w:before="0" w:after="283"/>
              <w:rPr/>
            </w:pPr>
            <w:r>
              <w:rPr/>
              <w:t>    </w:t>
            </w:r>
            <w:r>
              <w:rPr/>
              <w:t>Other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If “Other” has been checked in response to the previous question, indicate by check mark which financial statement item the registrant has elected to follow.    ☐  Item 17    ☐  Item 18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If this is an annual report, indicate by check mark whether the registrant is a shell company (as defined in Rule 12b-2 of the Exchange Act).    Yes  ☐    No  ☒ </w:t>
      </w:r>
    </w:p>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4"/>
        </w:rPr>
      </w:pPr>
      <w:bookmarkStart w:id="2" w:name="toc"/>
      <w:bookmarkEnd w:id="2"/>
      <w:r>
        <w:rPr>
          <w:rFonts w:ascii="Times New Roman" w:hAnsi="Times New Roman"/>
          <w:b/>
          <w:sz w:val="24"/>
        </w:rPr>
        <w:t xml:space="preserve">TABLE OF CONTENTS </w:t>
      </w:r>
    </w:p>
    <w:p>
      <w:pPr>
        <w:pStyle w:val="TextBody"/>
        <w:spacing w:before="0" w:after="0"/>
        <w:jc w:val="left"/>
        <w:rPr/>
      </w:pPr>
      <w:r>
        <w:rPr/>
        <w:t> </w:t>
      </w:r>
    </w:p>
    <w:tbl>
      <w:tblPr>
        <w:tblW w:w="9405" w:type="dxa"/>
        <w:jc w:val="left"/>
        <w:tblInd w:w="0" w:type="dxa"/>
        <w:tblCellMar>
          <w:top w:w="0" w:type="dxa"/>
          <w:left w:w="0" w:type="dxa"/>
          <w:bottom w:w="0" w:type="dxa"/>
          <w:right w:w="0" w:type="dxa"/>
        </w:tblCellMar>
      </w:tblPr>
      <w:tblGrid>
        <w:gridCol w:w="995"/>
        <w:gridCol w:w="60"/>
        <w:gridCol w:w="7715"/>
        <w:gridCol w:w="120"/>
        <w:gridCol w:w="60"/>
        <w:gridCol w:w="380"/>
        <w:gridCol w:w="75"/>
      </w:tblGrid>
      <w:tr>
        <w:trPr/>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70" w:type="dxa"/>
            <w:gridSpan w:val="3"/>
            <w:tcBorders/>
            <w:shd w:fill="auto" w:val="clear"/>
            <w:vAlign w:val="center"/>
          </w:tcPr>
          <w:p>
            <w:pPr>
              <w:pStyle w:val="TableContents"/>
              <w:spacing w:before="0" w:after="0"/>
              <w:rPr/>
            </w:pPr>
            <w:hyperlink w:anchor="tx430075_1">
              <w:r>
                <w:rPr>
                  <w:rStyle w:val="InternetLink"/>
                  <w:rFonts w:ascii="Times New Roman" w:hAnsi="Times New Roman"/>
                  <w:sz w:val="24"/>
                </w:rPr>
                <w:t>PART ONE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7775" w:type="dxa"/>
            <w:gridSpan w:val="2"/>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
              <w:r>
                <w:rPr>
                  <w:rStyle w:val="InternetLink"/>
                  <w:rFonts w:ascii="Times New Roman" w:hAnsi="Times New Roman"/>
                  <w:sz w:val="24"/>
                </w:rPr>
                <w:t>Identity of Directors, Senior Management And Advisers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2.</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3">
              <w:r>
                <w:rPr>
                  <w:rStyle w:val="InternetLink"/>
                  <w:rFonts w:ascii="Times New Roman" w:hAnsi="Times New Roman"/>
                  <w:sz w:val="24"/>
                </w:rPr>
                <w:t>Offer Statistics and Expected Timetable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3.</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4">
              <w:r>
                <w:rPr>
                  <w:rStyle w:val="InternetLink"/>
                  <w:rFonts w:ascii="Times New Roman" w:hAnsi="Times New Roman"/>
                  <w:sz w:val="24"/>
                </w:rPr>
                <w:t>Key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4.</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5">
              <w:r>
                <w:rPr>
                  <w:rStyle w:val="InternetLink"/>
                  <w:rFonts w:ascii="Times New Roman" w:hAnsi="Times New Roman"/>
                  <w:sz w:val="24"/>
                </w:rPr>
                <w:t>Information On The Company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4A.</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6">
              <w:r>
                <w:rPr>
                  <w:rStyle w:val="InternetLink"/>
                  <w:rFonts w:ascii="Times New Roman" w:hAnsi="Times New Roman"/>
                  <w:sz w:val="24"/>
                </w:rPr>
                <w:t>Unresolved Staff Comments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98</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5.</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7">
              <w:r>
                <w:rPr>
                  <w:rStyle w:val="InternetLink"/>
                  <w:rFonts w:ascii="Times New Roman" w:hAnsi="Times New Roman"/>
                  <w:sz w:val="24"/>
                </w:rPr>
                <w:t>Operating And Financial Review And Prospects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98</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6.</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8">
              <w:r>
                <w:rPr>
                  <w:rStyle w:val="InternetLink"/>
                  <w:rFonts w:ascii="Times New Roman" w:hAnsi="Times New Roman"/>
                  <w:sz w:val="24"/>
                </w:rPr>
                <w:t>Directors, Senior Management And Employees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7.</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9">
              <w:r>
                <w:rPr>
                  <w:rStyle w:val="InternetLink"/>
                  <w:rFonts w:ascii="Times New Roman" w:hAnsi="Times New Roman"/>
                  <w:sz w:val="24"/>
                </w:rPr>
                <w:t>Major Shareholders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127</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8.</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0">
              <w:r>
                <w:rPr>
                  <w:rStyle w:val="InternetLink"/>
                  <w:rFonts w:ascii="Times New Roman" w:hAnsi="Times New Roman"/>
                  <w:sz w:val="24"/>
                </w:rPr>
                <w:t>Financial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129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9.</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1">
              <w:r>
                <w:rPr>
                  <w:rStyle w:val="InternetLink"/>
                  <w:rFonts w:ascii="Times New Roman" w:hAnsi="Times New Roman"/>
                  <w:sz w:val="24"/>
                </w:rPr>
                <w:t>The Offer And Listing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129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10.</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2">
              <w:r>
                <w:rPr>
                  <w:rStyle w:val="InternetLink"/>
                  <w:rFonts w:ascii="Times New Roman" w:hAnsi="Times New Roman"/>
                  <w:sz w:val="24"/>
                </w:rPr>
                <w:t>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130</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11.</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3">
              <w:r>
                <w:rPr>
                  <w:rStyle w:val="InternetLink"/>
                  <w:rFonts w:ascii="Times New Roman" w:hAnsi="Times New Roman"/>
                  <w:sz w:val="24"/>
                </w:rPr>
                <w:t>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136</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12.</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4">
              <w:r>
                <w:rPr>
                  <w:rStyle w:val="InternetLink"/>
                  <w:rFonts w:ascii="Times New Roman" w:hAnsi="Times New Roman"/>
                  <w:sz w:val="24"/>
                </w:rPr>
                <w:t>Description of Securities Other Than Equity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137</w:t>
            </w:r>
          </w:p>
        </w:tc>
        <w:tc>
          <w:tcPr>
            <w:tcW w:w="75" w:type="dxa"/>
            <w:tcBorders/>
            <w:shd w:fill="auto" w:val="clear"/>
            <w:vAlign w:val="center"/>
          </w:tcPr>
          <w:p>
            <w:pPr>
              <w:pStyle w:val="TableContents"/>
              <w:spacing w:before="0" w:after="283"/>
              <w:rPr/>
            </w:pPr>
            <w:r>
              <w:rPr/>
              <w:t> </w:t>
            </w:r>
          </w:p>
        </w:tc>
      </w:tr>
      <w:tr>
        <w:trPr/>
        <w:tc>
          <w:tcPr>
            <w:tcW w:w="8770" w:type="dxa"/>
            <w:gridSpan w:val="3"/>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770" w:type="dxa"/>
            <w:gridSpan w:val="3"/>
            <w:tcBorders/>
            <w:shd w:fill="auto" w:val="clear"/>
            <w:vAlign w:val="center"/>
          </w:tcPr>
          <w:p>
            <w:pPr>
              <w:pStyle w:val="TableContents"/>
              <w:spacing w:before="0" w:after="0"/>
              <w:rPr/>
            </w:pPr>
            <w:hyperlink w:anchor="tx430075_15">
              <w:r>
                <w:rPr>
                  <w:rStyle w:val="InternetLink"/>
                  <w:rFonts w:ascii="Times New Roman" w:hAnsi="Times New Roman"/>
                  <w:sz w:val="24"/>
                </w:rPr>
                <w:t>PART TWO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7775" w:type="dxa"/>
            <w:gridSpan w:val="2"/>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13.</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6">
              <w:r>
                <w:rPr>
                  <w:rStyle w:val="InternetLink"/>
                  <w:rFonts w:ascii="Times New Roman" w:hAnsi="Times New Roman"/>
                  <w:sz w:val="24"/>
                </w:rPr>
                <w:t>Defaults, Dividend Arrearages And Delinquencies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14.</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7">
              <w:r>
                <w:rPr>
                  <w:rStyle w:val="InternetLink"/>
                  <w:rFonts w:ascii="Times New Roman" w:hAnsi="Times New Roman"/>
                  <w:sz w:val="24"/>
                </w:rPr>
                <w:t>Material Modifications To The Rights Of Security Holders And 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15.</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8">
              <w:r>
                <w:rPr>
                  <w:rStyle w:val="InternetLink"/>
                  <w:rFonts w:ascii="Times New Roman" w:hAnsi="Times New Roman"/>
                  <w:sz w:val="24"/>
                </w:rPr>
                <w:t>Controls And Procedures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19">
              <w:r>
                <w:rPr>
                  <w:rStyle w:val="InternetLink"/>
                  <w:rFonts w:ascii="Times New Roman" w:hAnsi="Times New Roman"/>
                  <w:sz w:val="24"/>
                </w:rPr>
                <w:t>Reserved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16A.</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0">
              <w:r>
                <w:rPr>
                  <w:rStyle w:val="InternetLink"/>
                  <w:rFonts w:ascii="Times New Roman" w:hAnsi="Times New Roman"/>
                  <w:sz w:val="24"/>
                </w:rPr>
                <w:t>Audit Committee Financial Expert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16B.</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1">
              <w:r>
                <w:rPr>
                  <w:rStyle w:val="InternetLink"/>
                  <w:rFonts w:ascii="Times New Roman" w:hAnsi="Times New Roman"/>
                  <w:sz w:val="24"/>
                </w:rPr>
                <w:t>Code of Ethics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16C.</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2">
              <w:r>
                <w:rPr>
                  <w:rStyle w:val="InternetLink"/>
                  <w:rFonts w:ascii="Times New Roman" w:hAnsi="Times New Roman"/>
                  <w:sz w:val="24"/>
                </w:rPr>
                <w:t>Principal Accountant Fees and Services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16D.</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3">
              <w:r>
                <w:rPr>
                  <w:rStyle w:val="InternetLink"/>
                  <w:rFonts w:ascii="Times New Roman" w:hAnsi="Times New Roman"/>
                  <w:sz w:val="24"/>
                </w:rPr>
                <w:t>Exemptions From The Listing Standards For Audit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141</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16E.</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4">
              <w:r>
                <w:rPr>
                  <w:rStyle w:val="InternetLink"/>
                  <w:rFonts w:ascii="Times New Roman" w:hAnsi="Times New Roman"/>
                  <w:sz w:val="24"/>
                </w:rPr>
                <w:t>Purchases of Equity Securities By The Issuer And Affiliated Purchasers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141</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16F.</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5">
              <w:r>
                <w:rPr>
                  <w:rStyle w:val="InternetLink"/>
                  <w:rFonts w:ascii="Times New Roman" w:hAnsi="Times New Roman"/>
                  <w:sz w:val="24"/>
                </w:rPr>
                <w:t>Change In Registrant’s Certifying Accountant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141</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16G.</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6">
              <w:r>
                <w:rPr>
                  <w:rStyle w:val="InternetLink"/>
                  <w:rFonts w:ascii="Times New Roman" w:hAnsi="Times New Roman"/>
                  <w:sz w:val="24"/>
                </w:rPr>
                <w:t>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141</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16H.</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7">
              <w:r>
                <w:rPr>
                  <w:rStyle w:val="InternetLink"/>
                  <w:rFonts w:ascii="Times New Roman" w:hAnsi="Times New Roman"/>
                  <w:sz w:val="24"/>
                </w:rPr>
                <w:t>Mine Safety Disclosure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145</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16I.</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28">
              <w:r>
                <w:rPr>
                  <w:rStyle w:val="InternetLink"/>
                  <w:rFonts w:ascii="Times New Roman" w:hAnsi="Times New Roman"/>
                  <w:sz w:val="24"/>
                </w:rPr>
                <w:t>Disclosure Regarding Foreign Jurisdictions that Prevent Inspections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145</w:t>
            </w:r>
          </w:p>
        </w:tc>
        <w:tc>
          <w:tcPr>
            <w:tcW w:w="75" w:type="dxa"/>
            <w:tcBorders/>
            <w:shd w:fill="auto" w:val="clear"/>
            <w:vAlign w:val="center"/>
          </w:tcPr>
          <w:p>
            <w:pPr>
              <w:pStyle w:val="TableContents"/>
              <w:spacing w:before="0" w:after="283"/>
              <w:rPr/>
            </w:pPr>
            <w:r>
              <w:rPr/>
              <w:t> </w:t>
            </w:r>
          </w:p>
        </w:tc>
      </w:tr>
      <w:tr>
        <w:trPr/>
        <w:tc>
          <w:tcPr>
            <w:tcW w:w="8770" w:type="dxa"/>
            <w:gridSpan w:val="3"/>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770" w:type="dxa"/>
            <w:gridSpan w:val="3"/>
            <w:tcBorders/>
            <w:shd w:fill="auto" w:val="clear"/>
            <w:vAlign w:val="center"/>
          </w:tcPr>
          <w:p>
            <w:pPr>
              <w:pStyle w:val="TableContents"/>
              <w:spacing w:before="0" w:after="0"/>
              <w:rPr/>
            </w:pPr>
            <w:hyperlink w:anchor="tx430075_29">
              <w:r>
                <w:rPr>
                  <w:rStyle w:val="InternetLink"/>
                  <w:rFonts w:ascii="Times New Roman" w:hAnsi="Times New Roman"/>
                  <w:sz w:val="24"/>
                </w:rPr>
                <w:t>PART THREE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7775" w:type="dxa"/>
            <w:gridSpan w:val="2"/>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17.</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30">
              <w:r>
                <w:rPr>
                  <w:rStyle w:val="InternetLink"/>
                  <w:rFonts w:ascii="Times New Roman" w:hAnsi="Times New Roman"/>
                  <w:sz w:val="24"/>
                </w:rPr>
                <w:t>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18.</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31">
              <w:r>
                <w:rPr>
                  <w:rStyle w:val="InternetLink"/>
                  <w:rFonts w:ascii="Times New Roman" w:hAnsi="Times New Roman"/>
                  <w:sz w:val="24"/>
                </w:rPr>
                <w:t>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Item 19.</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rPr/>
            </w:pPr>
            <w:hyperlink w:anchor="tx430075_32">
              <w:r>
                <w:rPr>
                  <w:rStyle w:val="InternetLink"/>
                  <w:rFonts w:ascii="Times New Roman" w:hAnsi="Times New Roman"/>
                  <w:sz w:val="24"/>
                </w:rPr>
                <w:t>Exhibits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4"/>
        </w:rPr>
      </w:pPr>
      <w:r>
        <w:rPr>
          <w:rFonts w:ascii="Times New Roman" w:hAnsi="Times New Roman"/>
          <w:b/>
          <w:sz w:val="24"/>
        </w:rPr>
        <w:t xml:space="preserve">CERTAIN DEFINITIONS </w:t>
      </w:r>
    </w:p>
    <w:p>
      <w:pPr>
        <w:pStyle w:val="TextBody"/>
        <w:spacing w:before="120" w:after="0"/>
        <w:jc w:val="left"/>
        <w:rPr>
          <w:rFonts w:ascii="Times New Roman" w:hAnsi="Times New Roman"/>
          <w:sz w:val="24"/>
        </w:rPr>
      </w:pPr>
      <w:r>
        <w:rPr>
          <w:rFonts w:ascii="Times New Roman" w:hAnsi="Times New Roman"/>
          <w:sz w:val="24"/>
        </w:rPr>
        <w:t xml:space="preserve">Unless otherwise indicated and except where the context otherwise requires, references in this annual report on Form 20-F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AATD” are to alpha-1-antitrypsin deficiency, a lack of alpha 1 anti-trypsin protein, a protein made by the liver that’s released into the bloodstream to protect the body from neutrophil serine proteases damaging the lungs; </w:t>
            </w:r>
          </w:p>
        </w:tc>
      </w:tr>
    </w:tbl>
    <w:p>
      <w:pPr>
        <w:pStyle w:val="TextBody"/>
        <w:spacing w:before="0" w:after="0"/>
        <w:jc w:val="left"/>
        <w:rPr/>
      </w:pPr>
      <w:r>
        <w:rPr/>
        <w:t> </w:t>
      </w:r>
    </w:p>
    <w:tbl>
      <w:tblPr>
        <w:tblW w:w="9145" w:type="dxa"/>
        <w:jc w:val="left"/>
        <w:tblInd w:w="0" w:type="dxa"/>
        <w:tblCellMar>
          <w:top w:w="0" w:type="dxa"/>
          <w:left w:w="0" w:type="dxa"/>
          <w:bottom w:w="0" w:type="dxa"/>
          <w:right w:w="0" w:type="dxa"/>
        </w:tblCellMar>
      </w:tblPr>
      <w:tblGrid>
        <w:gridCol w:w="75"/>
        <w:gridCol w:w="110"/>
        <w:gridCol w:w="60"/>
        <w:gridCol w:w="8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0"/>
              <w:jc w:val="left"/>
              <w:rPr/>
            </w:pPr>
            <w:r>
              <w:rPr/>
              <w:t>“</w:t>
            </w:r>
            <w:r>
              <w:rPr>
                <w:rFonts w:ascii="Times New Roman" w:hAnsi="Times New Roman"/>
                <w:sz w:val="24"/>
              </w:rPr>
              <w:t xml:space="preserve">Acumapimod” are to an oral p38 MAP kinase inhibitor for potential treatment of AECOPD; </w:t>
            </w:r>
          </w:p>
        </w:tc>
      </w:tr>
    </w:tbl>
    <w:p>
      <w:pPr>
        <w:pStyle w:val="TextBody"/>
        <w:spacing w:before="0" w:after="0"/>
        <w:jc w:val="left"/>
        <w:rPr/>
      </w:pPr>
      <w:r>
        <w:rPr/>
        <w:t> </w:t>
      </w:r>
    </w:p>
    <w:tbl>
      <w:tblPr>
        <w:tblW w:w="8635" w:type="dxa"/>
        <w:jc w:val="left"/>
        <w:tblInd w:w="0" w:type="dxa"/>
        <w:tblCellMar>
          <w:top w:w="0" w:type="dxa"/>
          <w:left w:w="0" w:type="dxa"/>
          <w:bottom w:w="0" w:type="dxa"/>
          <w:right w:w="0" w:type="dxa"/>
        </w:tblCellMar>
      </w:tblPr>
      <w:tblGrid>
        <w:gridCol w:w="75"/>
        <w:gridCol w:w="110"/>
        <w:gridCol w:w="60"/>
        <w:gridCol w:w="8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90" w:type="dxa"/>
            <w:tcBorders/>
            <w:shd w:fill="auto" w:val="clear"/>
            <w:vAlign w:val="center"/>
          </w:tcPr>
          <w:p>
            <w:pPr>
              <w:pStyle w:val="TableContents"/>
              <w:spacing w:before="0" w:after="0"/>
              <w:jc w:val="left"/>
              <w:rPr/>
            </w:pPr>
            <w:r>
              <w:rPr/>
              <w:t>“</w:t>
            </w:r>
            <w:r>
              <w:rPr>
                <w:rFonts w:ascii="Times New Roman" w:hAnsi="Times New Roman"/>
                <w:sz w:val="24"/>
              </w:rPr>
              <w:t xml:space="preserve">Alvelestat” are to an oral neutrophil elastase inhibitor for potential treatment of AATD;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ADSs” are to our American Depositary Shares, each of which represents five ordinary shares of Mereo BioPharma Group plc; </w:t>
            </w:r>
          </w:p>
        </w:tc>
      </w:tr>
    </w:tbl>
    <w:p>
      <w:pPr>
        <w:pStyle w:val="TextBody"/>
        <w:spacing w:before="0" w:after="0"/>
        <w:jc w:val="left"/>
        <w:rPr/>
      </w:pPr>
      <w:r>
        <w:rPr/>
        <w:t> </w:t>
      </w:r>
    </w:p>
    <w:tbl>
      <w:tblPr>
        <w:tblW w:w="7435" w:type="dxa"/>
        <w:jc w:val="left"/>
        <w:tblInd w:w="0" w:type="dxa"/>
        <w:tblCellMar>
          <w:top w:w="0" w:type="dxa"/>
          <w:left w:w="0" w:type="dxa"/>
          <w:bottom w:w="0" w:type="dxa"/>
          <w:right w:w="0" w:type="dxa"/>
        </w:tblCellMar>
      </w:tblPr>
      <w:tblGrid>
        <w:gridCol w:w="75"/>
        <w:gridCol w:w="110"/>
        <w:gridCol w:w="6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left"/>
              <w:rPr/>
            </w:pPr>
            <w:r>
              <w:rPr/>
              <w:t>“</w:t>
            </w:r>
            <w:r>
              <w:rPr>
                <w:rFonts w:ascii="Times New Roman" w:hAnsi="Times New Roman"/>
                <w:sz w:val="24"/>
              </w:rPr>
              <w:t xml:space="preserve">ADRs” are to the American Depositary Receipts that evidence our ADSs; </w:t>
            </w:r>
          </w:p>
        </w:tc>
      </w:tr>
    </w:tbl>
    <w:p>
      <w:pPr>
        <w:pStyle w:val="TextBody"/>
        <w:spacing w:before="0" w:after="0"/>
        <w:jc w:val="left"/>
        <w:rPr/>
      </w:pPr>
      <w:r>
        <w:rPr/>
        <w:t> </w:t>
      </w:r>
    </w:p>
    <w:tbl>
      <w:tblPr>
        <w:tblW w:w="7930" w:type="dxa"/>
        <w:jc w:val="left"/>
        <w:tblInd w:w="0" w:type="dxa"/>
        <w:tblCellMar>
          <w:top w:w="0" w:type="dxa"/>
          <w:left w:w="0" w:type="dxa"/>
          <w:bottom w:w="0" w:type="dxa"/>
          <w:right w:w="0" w:type="dxa"/>
        </w:tblCellMar>
      </w:tblPr>
      <w:tblGrid>
        <w:gridCol w:w="75"/>
        <w:gridCol w:w="110"/>
        <w:gridCol w:w="60"/>
        <w:gridCol w:w="7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0"/>
              <w:jc w:val="left"/>
              <w:rPr/>
            </w:pPr>
            <w:r>
              <w:rPr/>
              <w:t>“</w:t>
            </w:r>
            <w:r>
              <w:rPr>
                <w:rFonts w:ascii="Times New Roman" w:hAnsi="Times New Roman"/>
                <w:sz w:val="24"/>
              </w:rPr>
              <w:t xml:space="preserve">AECOPD” are to acute exacerbation of chronic obstructive pulmonary disease; </w:t>
            </w:r>
          </w:p>
        </w:tc>
      </w:tr>
    </w:tbl>
    <w:p>
      <w:pPr>
        <w:pStyle w:val="TextBody"/>
        <w:spacing w:before="0" w:after="0"/>
        <w:jc w:val="left"/>
        <w:rPr/>
      </w:pPr>
      <w:r>
        <w:rPr/>
        <w:t> </w:t>
      </w:r>
    </w:p>
    <w:tbl>
      <w:tblPr>
        <w:tblW w:w="4615" w:type="dxa"/>
        <w:jc w:val="left"/>
        <w:tblInd w:w="0" w:type="dxa"/>
        <w:tblCellMar>
          <w:top w:w="0" w:type="dxa"/>
          <w:left w:w="0" w:type="dxa"/>
          <w:bottom w:w="0" w:type="dxa"/>
          <w:right w:w="0" w:type="dxa"/>
        </w:tblCellMar>
      </w:tblPr>
      <w:tblGrid>
        <w:gridCol w:w="75"/>
        <w:gridCol w:w="110"/>
        <w:gridCol w:w="60"/>
        <w:gridCol w:w="4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0"/>
              <w:jc w:val="left"/>
              <w:rPr/>
            </w:pPr>
            <w:r>
              <w:rPr/>
              <w:t>“</w:t>
            </w:r>
            <w:r>
              <w:rPr>
                <w:rFonts w:ascii="Times New Roman" w:hAnsi="Times New Roman"/>
                <w:sz w:val="24"/>
              </w:rPr>
              <w:t xml:space="preserve">BLA” are to Biologics License Application; </w:t>
            </w:r>
          </w:p>
        </w:tc>
      </w:tr>
    </w:tbl>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pPr>
            <w:r>
              <w:rPr/>
              <w:t>“</w:t>
            </w:r>
            <w:r>
              <w:rPr>
                <w:rFonts w:ascii="Times New Roman" w:hAnsi="Times New Roman"/>
                <w:sz w:val="24"/>
              </w:rPr>
              <w:t xml:space="preserve">CMA” are to Conditional Marketing Authorization; </w:t>
            </w:r>
          </w:p>
        </w:tc>
      </w:tr>
    </w:tbl>
    <w:p>
      <w:pPr>
        <w:pStyle w:val="TextBody"/>
        <w:spacing w:before="0" w:after="0"/>
        <w:jc w:val="left"/>
        <w:rPr/>
      </w:pPr>
      <w:r>
        <w:rPr/>
        <w:t> </w:t>
      </w:r>
    </w:p>
    <w:tbl>
      <w:tblPr>
        <w:tblW w:w="5215" w:type="dxa"/>
        <w:jc w:val="left"/>
        <w:tblInd w:w="0" w:type="dxa"/>
        <w:tblCellMar>
          <w:top w:w="0" w:type="dxa"/>
          <w:left w:w="0" w:type="dxa"/>
          <w:bottom w:w="0" w:type="dxa"/>
          <w:right w:w="0" w:type="dxa"/>
        </w:tblCellMar>
      </w:tblPr>
      <w:tblGrid>
        <w:gridCol w:w="75"/>
        <w:gridCol w:w="110"/>
        <w:gridCol w:w="60"/>
        <w:gridCol w:w="49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0"/>
              <w:jc w:val="left"/>
              <w:rPr/>
            </w:pPr>
            <w:r>
              <w:rPr/>
              <w:t>“</w:t>
            </w:r>
            <w:r>
              <w:rPr>
                <w:rFonts w:ascii="Times New Roman" w:hAnsi="Times New Roman"/>
                <w:sz w:val="24"/>
              </w:rPr>
              <w:t xml:space="preserve">CMO” are to contract manufacturing organization;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COPD” are to chronic obstructive pulmonary disease, the name for a group of lung conditions that cause breathing difficulties; </w:t>
            </w:r>
          </w:p>
        </w:tc>
      </w:tr>
    </w:tbl>
    <w:p>
      <w:pPr>
        <w:pStyle w:val="TextBody"/>
        <w:spacing w:before="0" w:after="0"/>
        <w:jc w:val="left"/>
        <w:rPr/>
      </w:pPr>
      <w:r>
        <w:rPr/>
        <w:t> </w:t>
      </w:r>
    </w:p>
    <w:tbl>
      <w:tblPr>
        <w:tblW w:w="4585" w:type="dxa"/>
        <w:jc w:val="left"/>
        <w:tblInd w:w="0" w:type="dxa"/>
        <w:tblCellMar>
          <w:top w:w="0" w:type="dxa"/>
          <w:left w:w="0" w:type="dxa"/>
          <w:bottom w:w="0" w:type="dxa"/>
          <w:right w:w="0" w:type="dxa"/>
        </w:tblCellMar>
      </w:tblPr>
      <w:tblGrid>
        <w:gridCol w:w="75"/>
        <w:gridCol w:w="110"/>
        <w:gridCol w:w="60"/>
        <w:gridCol w:w="4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0"/>
              <w:jc w:val="left"/>
              <w:rPr/>
            </w:pPr>
            <w:r>
              <w:rPr/>
              <w:t>“</w:t>
            </w:r>
            <w:r>
              <w:rPr>
                <w:rFonts w:ascii="Times New Roman" w:hAnsi="Times New Roman"/>
                <w:sz w:val="24"/>
              </w:rPr>
              <w:t xml:space="preserve">CRO” are to contract research organization; </w:t>
            </w:r>
          </w:p>
        </w:tc>
      </w:tr>
    </w:tbl>
    <w:p>
      <w:pPr>
        <w:pStyle w:val="TextBody"/>
        <w:spacing w:before="0" w:after="0"/>
        <w:jc w:val="left"/>
        <w:rPr/>
      </w:pPr>
      <w:r>
        <w:rPr/>
        <w:t> </w:t>
      </w:r>
    </w:p>
    <w:tbl>
      <w:tblPr>
        <w:tblW w:w="4345" w:type="dxa"/>
        <w:jc w:val="left"/>
        <w:tblInd w:w="0" w:type="dxa"/>
        <w:tblCellMar>
          <w:top w:w="0" w:type="dxa"/>
          <w:left w:w="0" w:type="dxa"/>
          <w:bottom w:w="0" w:type="dxa"/>
          <w:right w:w="0" w:type="dxa"/>
        </w:tblCellMar>
      </w:tblPr>
      <w:tblGrid>
        <w:gridCol w:w="75"/>
        <w:gridCol w:w="110"/>
        <w:gridCol w:w="60"/>
        <w:gridCol w:w="41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0"/>
              <w:jc w:val="left"/>
              <w:rPr/>
            </w:pPr>
            <w:r>
              <w:rPr/>
              <w:t>“</w:t>
            </w:r>
            <w:r>
              <w:rPr>
                <w:rFonts w:ascii="Times New Roman" w:hAnsi="Times New Roman"/>
                <w:sz w:val="24"/>
              </w:rPr>
              <w:t xml:space="preserve">DTC” are to Depository Trust Company;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pPr>
            <w:r>
              <w:rPr/>
              <w:t>“</w:t>
            </w:r>
            <w:r>
              <w:rPr>
                <w:rFonts w:ascii="Times New Roman" w:hAnsi="Times New Roman"/>
                <w:sz w:val="24"/>
              </w:rPr>
              <w:t xml:space="preserve">EMA” are to European Medicines Agency;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Etigilimab” are to an anti-TIGIT therapeutic candidate designed to activate the immune system through multiple mechanisms and enable anti-tumor activity; </w:t>
            </w:r>
          </w:p>
        </w:tc>
      </w:tr>
    </w:tbl>
    <w:p>
      <w:pPr>
        <w:pStyle w:val="TextBody"/>
        <w:spacing w:before="0" w:after="0"/>
        <w:jc w:val="left"/>
        <w:rPr/>
      </w:pPr>
      <w:r>
        <w:rPr/>
        <w:t> </w:t>
      </w:r>
    </w:p>
    <w:tbl>
      <w:tblPr>
        <w:tblW w:w="6340" w:type="dxa"/>
        <w:jc w:val="left"/>
        <w:tblInd w:w="0" w:type="dxa"/>
        <w:tblCellMar>
          <w:top w:w="0" w:type="dxa"/>
          <w:left w:w="0" w:type="dxa"/>
          <w:bottom w:w="0" w:type="dxa"/>
          <w:right w:w="0" w:type="dxa"/>
        </w:tblCellMar>
      </w:tblPr>
      <w:tblGrid>
        <w:gridCol w:w="75"/>
        <w:gridCol w:w="110"/>
        <w:gridCol w:w="60"/>
        <w:gridCol w:w="6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95" w:type="dxa"/>
            <w:tcBorders/>
            <w:shd w:fill="auto" w:val="clear"/>
            <w:vAlign w:val="center"/>
          </w:tcPr>
          <w:p>
            <w:pPr>
              <w:pStyle w:val="TableContents"/>
              <w:spacing w:before="0" w:after="0"/>
              <w:jc w:val="left"/>
              <w:rPr/>
            </w:pPr>
            <w:r>
              <w:rPr/>
              <w:t>“</w:t>
            </w:r>
            <w:r>
              <w:rPr>
                <w:rFonts w:ascii="Times New Roman" w:hAnsi="Times New Roman"/>
                <w:sz w:val="24"/>
              </w:rPr>
              <w:t xml:space="preserve">FDA” are to the United States Food and Drug Administration;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HH” are to hypogonadotropic hypogonadism, a condition in which the male testes or the female ovaries produce little or no sex hormones;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Leflutrozole” are to an oral aromatase inhibitor for potential treatment of male infertility associated with HH; </w:t>
            </w:r>
          </w:p>
        </w:tc>
      </w:tr>
    </w:tbl>
    <w:p>
      <w:pPr>
        <w:pStyle w:val="TextBody"/>
        <w:spacing w:before="0" w:after="0"/>
        <w:jc w:val="left"/>
        <w:rPr/>
      </w:pPr>
      <w:r>
        <w:rPr/>
        <w:t> </w:t>
      </w:r>
    </w:p>
    <w:tbl>
      <w:tblPr>
        <w:tblW w:w="5335" w:type="dxa"/>
        <w:jc w:val="left"/>
        <w:tblInd w:w="0" w:type="dxa"/>
        <w:tblCellMar>
          <w:top w:w="0" w:type="dxa"/>
          <w:left w:w="0" w:type="dxa"/>
          <w:bottom w:w="0" w:type="dxa"/>
          <w:right w:w="0" w:type="dxa"/>
        </w:tblCellMar>
      </w:tblPr>
      <w:tblGrid>
        <w:gridCol w:w="75"/>
        <w:gridCol w:w="110"/>
        <w:gridCol w:w="60"/>
        <w:gridCol w:w="5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jc w:val="left"/>
              <w:rPr/>
            </w:pPr>
            <w:r>
              <w:rPr/>
              <w:t>“</w:t>
            </w:r>
            <w:r>
              <w:rPr>
                <w:rFonts w:ascii="Times New Roman" w:hAnsi="Times New Roman"/>
                <w:sz w:val="24"/>
              </w:rPr>
              <w:t xml:space="preserve">MAA” are to Marketing Authorization Application;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Mereo,” the “Company,” the “Group,” “we,” “our,” “ours,” “us” or similar terms are to Mereo BioPharma Group plc, together with its subsidiaries;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“Merger Agreement” are to the Agreement and Plan of Merger and Reorganization, dated December 5, 2018, by and among Mereo BioPharma Group plc, Mereo US Holdings Inc., Mereo MergerCo One Inc. and OncoMed; </w:t>
            </w:r>
          </w:p>
        </w:tc>
      </w:tr>
    </w:tbl>
    <w:p>
      <w:pPr>
        <w:pStyle w:val="TextBody"/>
        <w:spacing w:before="0" w:after="0"/>
        <w:jc w:val="left"/>
        <w:rPr/>
      </w:pPr>
      <w:r>
        <w:rPr/>
        <w:t> </w:t>
      </w:r>
    </w:p>
    <w:tbl>
      <w:tblPr>
        <w:tblW w:w="3160" w:type="dxa"/>
        <w:jc w:val="left"/>
        <w:tblInd w:w="0" w:type="dxa"/>
        <w:tblCellMar>
          <w:top w:w="0" w:type="dxa"/>
          <w:left w:w="0" w:type="dxa"/>
          <w:bottom w:w="0" w:type="dxa"/>
          <w:right w:w="0" w:type="dxa"/>
        </w:tblCellMar>
      </w:tblPr>
      <w:tblGrid>
        <w:gridCol w:w="75"/>
        <w:gridCol w:w="110"/>
        <w:gridCol w:w="60"/>
        <w:gridCol w:w="2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pPr>
            <w:r>
              <w:rPr/>
              <w:t>“</w:t>
            </w:r>
            <w:r>
              <w:rPr>
                <w:rFonts w:ascii="Times New Roman" w:hAnsi="Times New Roman"/>
                <w:sz w:val="24"/>
              </w:rPr>
              <w:t xml:space="preserve">Navi” are to Navicixizumab; </w:t>
            </w:r>
          </w:p>
        </w:tc>
      </w:tr>
    </w:tbl>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75"/>
        <w:gridCol w:w="110"/>
        <w:gridCol w:w="60"/>
        <w:gridCol w:w="3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0"/>
              <w:jc w:val="left"/>
              <w:rPr/>
            </w:pPr>
            <w:r>
              <w:rPr/>
              <w:t>“</w:t>
            </w:r>
            <w:r>
              <w:rPr>
                <w:rFonts w:ascii="Times New Roman" w:hAnsi="Times New Roman"/>
                <w:sz w:val="24"/>
              </w:rPr>
              <w:t xml:space="preserve">NDA” are to New Drug Application;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rPr/>
      </w:pPr>
      <w:r>
        <w:rPr/>
      </w:r>
    </w:p>
    <w:p>
      <w:pPr>
        <w:pStyle w:val="Heading5"/>
        <w:rPr/>
      </w:pPr>
      <w:hyperlink w:anchor="toc">
        <w:r>
          <w:rPr>
            <w:rStyle w:val="InternetLink"/>
          </w:rPr>
          <w:t>Table of Contents</w:t>
        </w:r>
      </w:hyperlink>
    </w:p>
    <w:tbl>
      <w:tblPr>
        <w:tblW w:w="9100" w:type="dxa"/>
        <w:jc w:val="left"/>
        <w:tblInd w:w="0" w:type="dxa"/>
        <w:tblCellMar>
          <w:top w:w="0" w:type="dxa"/>
          <w:left w:w="0" w:type="dxa"/>
          <w:bottom w:w="0" w:type="dxa"/>
          <w:right w:w="0" w:type="dxa"/>
        </w:tblCellMar>
      </w:tblPr>
      <w:tblGrid>
        <w:gridCol w:w="75"/>
        <w:gridCol w:w="110"/>
        <w:gridCol w:w="60"/>
        <w:gridCol w:w="8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55" w:type="dxa"/>
            <w:tcBorders/>
            <w:shd w:fill="auto" w:val="clear"/>
            <w:vAlign w:val="center"/>
          </w:tcPr>
          <w:p>
            <w:pPr>
              <w:pStyle w:val="TableContents"/>
              <w:spacing w:before="0" w:after="0"/>
              <w:jc w:val="left"/>
              <w:rPr/>
            </w:pPr>
            <w:r>
              <w:rPr/>
              <w:t>“</w:t>
            </w:r>
            <w:r>
              <w:rPr>
                <w:rFonts w:ascii="Times New Roman" w:hAnsi="Times New Roman"/>
                <w:sz w:val="24"/>
              </w:rPr>
              <w:t xml:space="preserve">NE” neutrophil elastase, a serine protease and a major constituent of lung elastoytic activity;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OI” are to osteogenesis imperfecta a rare genetic bone disorder characterized by fragile bones that break easily, also known as brittle bone disease;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pPr>
            <w:r>
              <w:rPr/>
              <w:t>“</w:t>
            </w:r>
            <w:r>
              <w:rPr>
                <w:rFonts w:ascii="Times New Roman" w:hAnsi="Times New Roman"/>
                <w:sz w:val="24"/>
              </w:rPr>
              <w:t xml:space="preserve">OncXerna” are to OncXerna Therapeutics, Inc. </w:t>
            </w:r>
          </w:p>
        </w:tc>
      </w:tr>
    </w:tbl>
    <w:p>
      <w:pPr>
        <w:pStyle w:val="TextBody"/>
        <w:spacing w:before="0" w:after="0"/>
        <w:jc w:val="left"/>
        <w:rPr/>
      </w:pPr>
      <w:r>
        <w:rPr/>
        <w:t> </w:t>
      </w:r>
    </w:p>
    <w:tbl>
      <w:tblPr>
        <w:tblW w:w="7435" w:type="dxa"/>
        <w:jc w:val="left"/>
        <w:tblInd w:w="0" w:type="dxa"/>
        <w:tblCellMar>
          <w:top w:w="0" w:type="dxa"/>
          <w:left w:w="0" w:type="dxa"/>
          <w:bottom w:w="0" w:type="dxa"/>
          <w:right w:w="0" w:type="dxa"/>
        </w:tblCellMar>
      </w:tblPr>
      <w:tblGrid>
        <w:gridCol w:w="75"/>
        <w:gridCol w:w="110"/>
        <w:gridCol w:w="6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left"/>
              <w:rPr/>
            </w:pPr>
            <w:r>
              <w:rPr/>
              <w:t>“</w:t>
            </w:r>
            <w:r>
              <w:rPr>
                <w:rFonts w:ascii="Times New Roman" w:hAnsi="Times New Roman"/>
                <w:sz w:val="24"/>
              </w:rPr>
              <w:t xml:space="preserve">ordinary shares” are to our ordinary shares, each of £0.003 nominal value; </w:t>
            </w:r>
          </w:p>
        </w:tc>
      </w:tr>
    </w:tbl>
    <w:p>
      <w:pPr>
        <w:pStyle w:val="TextBody"/>
        <w:spacing w:before="0" w:after="0"/>
        <w:jc w:val="left"/>
        <w:rPr/>
      </w:pPr>
      <w:r>
        <w:rPr/>
        <w:t> </w:t>
      </w:r>
    </w:p>
    <w:tbl>
      <w:tblPr>
        <w:tblW w:w="6940" w:type="dxa"/>
        <w:jc w:val="left"/>
        <w:tblInd w:w="0" w:type="dxa"/>
        <w:tblCellMar>
          <w:top w:w="0" w:type="dxa"/>
          <w:left w:w="0" w:type="dxa"/>
          <w:bottom w:w="0" w:type="dxa"/>
          <w:right w:w="0" w:type="dxa"/>
        </w:tblCellMar>
      </w:tblPr>
      <w:tblGrid>
        <w:gridCol w:w="75"/>
        <w:gridCol w:w="110"/>
        <w:gridCol w:w="60"/>
        <w:gridCol w:w="6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95" w:type="dxa"/>
            <w:tcBorders/>
            <w:shd w:fill="auto" w:val="clear"/>
            <w:vAlign w:val="center"/>
          </w:tcPr>
          <w:p>
            <w:pPr>
              <w:pStyle w:val="TableContents"/>
              <w:spacing w:before="0" w:after="0"/>
              <w:jc w:val="left"/>
              <w:rPr/>
            </w:pPr>
            <w:r>
              <w:rPr/>
              <w:t>“</w:t>
            </w:r>
            <w:r>
              <w:rPr>
                <w:rFonts w:ascii="Times New Roman" w:hAnsi="Times New Roman"/>
                <w:sz w:val="24"/>
              </w:rPr>
              <w:t xml:space="preserve">SEC” are to the United States Securities and Exchange Commission; </w:t>
            </w:r>
          </w:p>
        </w:tc>
      </w:tr>
    </w:tbl>
    <w:p>
      <w:pPr>
        <w:pStyle w:val="TextBody"/>
        <w:spacing w:before="0" w:after="0"/>
        <w:jc w:val="left"/>
        <w:rPr/>
      </w:pPr>
      <w:r>
        <w:rPr/>
        <w:t> </w:t>
      </w:r>
    </w:p>
    <w:tbl>
      <w:tblPr>
        <w:tblW w:w="8425" w:type="dxa"/>
        <w:jc w:val="left"/>
        <w:tblInd w:w="0" w:type="dxa"/>
        <w:tblCellMar>
          <w:top w:w="0" w:type="dxa"/>
          <w:left w:w="0" w:type="dxa"/>
          <w:bottom w:w="0" w:type="dxa"/>
          <w:right w:w="0" w:type="dxa"/>
        </w:tblCellMar>
      </w:tblPr>
      <w:tblGrid>
        <w:gridCol w:w="75"/>
        <w:gridCol w:w="110"/>
        <w:gridCol w:w="60"/>
        <w:gridCol w:w="8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80" w:type="dxa"/>
            <w:tcBorders/>
            <w:shd w:fill="auto" w:val="clear"/>
            <w:vAlign w:val="center"/>
          </w:tcPr>
          <w:p>
            <w:pPr>
              <w:pStyle w:val="TableContents"/>
              <w:spacing w:before="0" w:after="0"/>
              <w:jc w:val="left"/>
              <w:rPr/>
            </w:pPr>
            <w:r>
              <w:rPr/>
              <w:t>“</w:t>
            </w:r>
            <w:r>
              <w:rPr>
                <w:rFonts w:ascii="Times New Roman" w:hAnsi="Times New Roman"/>
                <w:sz w:val="24"/>
              </w:rPr>
              <w:t xml:space="preserve">Setrusumab” are to a fully human monoclonal antibody for potential treatment of OI; </w:t>
            </w:r>
          </w:p>
        </w:tc>
      </w:tr>
    </w:tbl>
    <w:p>
      <w:pPr>
        <w:pStyle w:val="TextBody"/>
        <w:spacing w:before="0" w:after="0"/>
        <w:jc w:val="left"/>
        <w:rPr/>
      </w:pPr>
      <w:r>
        <w:rPr/>
        <w:t> </w:t>
      </w:r>
    </w:p>
    <w:tbl>
      <w:tblPr>
        <w:tblW w:w="6880" w:type="dxa"/>
        <w:jc w:val="left"/>
        <w:tblInd w:w="0" w:type="dxa"/>
        <w:tblCellMar>
          <w:top w:w="0" w:type="dxa"/>
          <w:left w:w="0" w:type="dxa"/>
          <w:bottom w:w="0" w:type="dxa"/>
          <w:right w:w="0" w:type="dxa"/>
        </w:tblCellMar>
      </w:tblPr>
      <w:tblGrid>
        <w:gridCol w:w="75"/>
        <w:gridCol w:w="110"/>
        <w:gridCol w:w="60"/>
        <w:gridCol w:w="6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35" w:type="dxa"/>
            <w:tcBorders/>
            <w:shd w:fill="auto" w:val="clear"/>
            <w:vAlign w:val="center"/>
          </w:tcPr>
          <w:p>
            <w:pPr>
              <w:pStyle w:val="TableContents"/>
              <w:spacing w:before="0" w:after="0"/>
              <w:jc w:val="left"/>
              <w:rPr/>
            </w:pPr>
            <w:r>
              <w:rPr/>
              <w:t>“</w:t>
            </w:r>
            <w:r>
              <w:rPr>
                <w:rFonts w:ascii="Times New Roman" w:hAnsi="Times New Roman"/>
                <w:sz w:val="24"/>
              </w:rPr>
              <w:t xml:space="preserve">$,” “USD,” “US$” and “U.S. dollar” are to the United States dollar;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pPr>
            <w:r>
              <w:rPr/>
              <w:t>“</w:t>
            </w:r>
            <w:r>
              <w:rPr>
                <w:rFonts w:ascii="Times New Roman" w:hAnsi="Times New Roman"/>
                <w:sz w:val="24"/>
              </w:rPr>
              <w:t xml:space="preserve">TIGIT” are to T-cell immunoreceptor with Ig and ITIM domains; </w:t>
            </w:r>
          </w:p>
        </w:tc>
      </w:tr>
    </w:tbl>
    <w:p>
      <w:pPr>
        <w:pStyle w:val="TextBody"/>
        <w:spacing w:before="0" w:after="0"/>
        <w:jc w:val="left"/>
        <w:rPr/>
      </w:pPr>
      <w:r>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left"/>
              <w:rPr/>
            </w:pPr>
            <w:r>
              <w:rPr/>
              <w:t>“</w:t>
            </w:r>
            <w:r>
              <w:rPr>
                <w:rFonts w:ascii="Times New Roman" w:hAnsi="Times New Roman"/>
                <w:sz w:val="24"/>
              </w:rPr>
              <w:t xml:space="preserve">Ultragenyx” are to Ultragenyx Pharmaceutical, Inc.; </w:t>
            </w:r>
          </w:p>
        </w:tc>
      </w:tr>
    </w:tbl>
    <w:p>
      <w:pPr>
        <w:pStyle w:val="TextBody"/>
        <w:spacing w:before="120" w:after="0"/>
        <w:jc w:val="left"/>
        <w:rPr>
          <w:rFonts w:ascii="Times New Roman" w:hAnsi="Times New Roman"/>
          <w:sz w:val="24"/>
        </w:rPr>
      </w:pPr>
      <w:r>
        <w:rPr>
          <w:rFonts w:ascii="Times New Roman" w:hAnsi="Times New Roman"/>
          <w:sz w:val="24"/>
        </w:rPr>
        <w:t xml:space="preserve">and </w:t>
      </w:r>
    </w:p>
    <w:p>
      <w:pPr>
        <w:pStyle w:val="TextBody"/>
        <w:spacing w:before="0" w:after="0"/>
        <w:jc w:val="left"/>
        <w:rPr/>
      </w:pPr>
      <w:r>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pPr>
            <w:r>
              <w:rPr/>
              <w:t>“</w:t>
            </w:r>
            <w:r>
              <w:rPr>
                <w:rFonts w:ascii="Times New Roman" w:hAnsi="Times New Roman"/>
                <w:sz w:val="24"/>
              </w:rPr>
              <w:t xml:space="preserve">£,” “GBP,” “pound sterling,” “pence” and “p” are to the British pound sterling (or units thereof). </w:t>
            </w:r>
          </w:p>
        </w:tc>
      </w:tr>
    </w:tbl>
    <w:p>
      <w:pPr>
        <w:pStyle w:val="TextBody"/>
        <w:spacing w:before="480" w:after="0"/>
        <w:jc w:val="center"/>
        <w:rPr>
          <w:rFonts w:ascii="Times New Roman" w:hAnsi="Times New Roman"/>
          <w:b/>
          <w:sz w:val="24"/>
        </w:rPr>
      </w:pPr>
      <w:r>
        <w:rPr>
          <w:rFonts w:ascii="Times New Roman" w:hAnsi="Times New Roman"/>
          <w:b/>
          <w:sz w:val="24"/>
        </w:rPr>
        <w:t xml:space="preserve">PRESENTATION OF FINANCIAL INFORMATION </w:t>
      </w:r>
    </w:p>
    <w:p>
      <w:pPr>
        <w:pStyle w:val="TextBody"/>
        <w:spacing w:before="240" w:after="0"/>
        <w:jc w:val="left"/>
        <w:rPr>
          <w:rFonts w:ascii="Times New Roman" w:hAnsi="Times New Roman"/>
          <w:sz w:val="24"/>
        </w:rPr>
      </w:pPr>
      <w:r>
        <w:rPr>
          <w:rFonts w:ascii="Times New Roman" w:hAnsi="Times New Roman"/>
          <w:sz w:val="24"/>
        </w:rPr>
        <w:t xml:space="preserve">This annual report contains our audited consolidated financial statements as of December 31, 2022 and 2021 and for the years ended December 31, 2022, 2021 and 2020 (our “audited consolidated financial statements”), prepared in accordance with International Financial Reporting Standards (“IFRS”), as issued by the International Accounting Standards Board (“IASB”). Our financial information is presented in pound sterling. None of our financial statements were prepared in accordance with generally accepted accounting principles in the United States (“U.S.”). </w:t>
      </w:r>
    </w:p>
    <w:p>
      <w:pPr>
        <w:pStyle w:val="TextBody"/>
        <w:spacing w:before="240" w:after="0"/>
        <w:jc w:val="left"/>
        <w:rPr>
          <w:rFonts w:ascii="Times New Roman" w:hAnsi="Times New Roman"/>
          <w:sz w:val="24"/>
        </w:rPr>
      </w:pPr>
      <w:r>
        <w:rPr>
          <w:rFonts w:ascii="Times New Roman" w:hAnsi="Times New Roman"/>
          <w:sz w:val="24"/>
        </w:rPr>
        <w:t xml:space="preserve">This annual report contains translations of certain pound sterling amounts into U.S. dollars at specified rates solely for the convenience of the reader. These translations should not be construed as representations that the pound sterling amounts actually represent such U.S. dollar amounts or could be converted into U.S. dollars at the rate indicated. Unless otherwise indicated, such U.S. dollar amounts have been translated from pound sterling at an exchange rate of £0.8262 to US$1.00, the exchange rate for pound sterling on December 31, 2022. </w:t>
      </w:r>
    </w:p>
    <w:p>
      <w:pPr>
        <w:pStyle w:val="TextBody"/>
        <w:spacing w:before="480" w:after="0"/>
        <w:jc w:val="center"/>
        <w:rPr>
          <w:rFonts w:ascii="Times New Roman" w:hAnsi="Times New Roman"/>
          <w:b/>
          <w:sz w:val="24"/>
        </w:rPr>
      </w:pPr>
      <w:r>
        <w:rPr>
          <w:rFonts w:ascii="Times New Roman" w:hAnsi="Times New Roman"/>
          <w:b/>
          <w:sz w:val="24"/>
        </w:rPr>
        <w:t xml:space="preserve">USE OF TRADEMARKS, SERVICE MARKS AND TRADENAMES </w:t>
      </w:r>
    </w:p>
    <w:p>
      <w:pPr>
        <w:pStyle w:val="TextBody"/>
        <w:spacing w:before="240" w:after="0"/>
        <w:jc w:val="left"/>
        <w:rPr/>
      </w:pPr>
      <w:r>
        <w:rPr/>
        <w:t>“</w:t>
      </w:r>
      <w:r>
        <w:rPr>
          <w:rFonts w:ascii="Times New Roman" w:hAnsi="Times New Roman"/>
          <w:sz w:val="24"/>
        </w:rPr>
        <w:t xml:space="preserve">Mereo,” the Mereo logo and other trademarks, trade names or service marks of Mereo appearing in this annual report are the property of Mereo.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w:t>
      </w:r>
    </w:p>
    <w:p>
      <w:pPr>
        <w:pStyle w:val="TextBody"/>
        <w:spacing w:before="240" w:after="0"/>
        <w:jc w:val="left"/>
        <w:rPr>
          <w:rFonts w:ascii="Times New Roman" w:hAnsi="Times New Roman"/>
          <w:sz w:val="24"/>
        </w:rPr>
      </w:pPr>
      <w:r>
        <w:rPr>
          <w:rFonts w:ascii="Times New Roman" w:hAnsi="Times New Roman"/>
          <w:sz w:val="24"/>
        </w:rPr>
        <w:t xml:space="preserve">This annual report contains additional trademarks, service marks, and trade names of others, which are the property of their respective owners. All trademarks, service marks, and trade names appearing in this annual report are, to Mereo’s knowledge, the property of their respective owners. Mereo does not intend its use or display of other companies’ trademarks, service marks, copyrights or trade names to imply a relationship with, or endorsement or sponsorship of Mereo by, any other companies. </w:t>
      </w:r>
    </w:p>
    <w:p>
      <w:pPr>
        <w:pStyle w:val="TextBody"/>
        <w:spacing w:before="480" w:after="0"/>
        <w:jc w:val="center"/>
        <w:rPr>
          <w:rFonts w:ascii="Times New Roman" w:hAnsi="Times New Roman"/>
          <w:b/>
          <w:sz w:val="24"/>
        </w:rPr>
      </w:pPr>
      <w:r>
        <w:rPr>
          <w:rFonts w:ascii="Times New Roman" w:hAnsi="Times New Roman"/>
          <w:b/>
          <w:sz w:val="24"/>
        </w:rPr>
        <w:t xml:space="preserve">SPECIAL NOTE REGARDING FORWARD-LOOKING STATEMENTS </w:t>
      </w:r>
    </w:p>
    <w:p>
      <w:pPr>
        <w:pStyle w:val="TextBody"/>
        <w:spacing w:before="240" w:after="0"/>
        <w:jc w:val="left"/>
        <w:rPr>
          <w:rFonts w:ascii="Times New Roman" w:hAnsi="Times New Roman"/>
          <w:sz w:val="24"/>
        </w:rPr>
      </w:pPr>
      <w:r>
        <w:rPr>
          <w:rFonts w:ascii="Times New Roman" w:hAnsi="Times New Roman"/>
          <w:sz w:val="24"/>
        </w:rPr>
        <w:t xml:space="preserve">This annual report contains statements that constitute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 forward-looking statements in this annual report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“anticipate,” “believe,” “could,” “expect,” “foresee,” “should,” “plan,” “intend,” “estimate,” “would,” “may,” “outlook,” and potential,” among others. The absence of these words, however, does not mean that the statements are not forward-looking. The statements we make regarding the following matters are forward-looking by their nature: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Forward-looking statements appear in a number of places in this annual report and include, but are not limited to, statements regarding intent, belief or current expectations. Forward-looking statements are based on the current beliefs and assumptions of the management of Mereo and on information currently available to such management. While the management of Mereo believes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“Item 3. Key Information—D. Risk Factors” in this annual report. These risks and uncertainties include factors relating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development of our product candidates, including statements regarding the expected initiation, timing, progress, and availability of data from our clinical trials;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75"/>
        <w:gridCol w:w="110"/>
        <w:gridCol w:w="60"/>
        <w:gridCol w:w="8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3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potential attributes and benefits of our product candidates and their competitive position;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partner or sell our non-core product candidates, acumapimod for the treatment of AECOPD and leflutrozole for the treatment of male infertility associated with HH on attractive terms or at all;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successfully commercialize, or enter into strategic relationships with third parties to commercialize, our product candidates, if approved;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estimates regarding expenses, future revenues, capital requirements, and our need for additional financing;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being subject to ongoing regulatory obligations if our products secure regulatory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reliance on third parties to conduct our clinical trials and on third-party suppliers to supply or produce our product candidates; </w:t>
            </w:r>
          </w:p>
        </w:tc>
      </w:tr>
    </w:tbl>
    <w:p>
      <w:pPr>
        <w:pStyle w:val="TextBody"/>
        <w:spacing w:before="0" w:after="0"/>
        <w:jc w:val="left"/>
        <w:rPr/>
      </w:pPr>
      <w:r>
        <w:rPr/>
        <w:t> </w:t>
      </w:r>
    </w:p>
    <w:tbl>
      <w:tblPr>
        <w:tblW w:w="10015" w:type="dxa"/>
        <w:jc w:val="left"/>
        <w:tblInd w:w="0" w:type="dxa"/>
        <w:tblCellMar>
          <w:top w:w="0" w:type="dxa"/>
          <w:left w:w="0" w:type="dxa"/>
          <w:bottom w:w="0" w:type="dxa"/>
          <w:right w:w="0" w:type="dxa"/>
        </w:tblCellMar>
      </w:tblPr>
      <w:tblGrid>
        <w:gridCol w:w="75"/>
        <w:gridCol w:w="110"/>
        <w:gridCol w:w="60"/>
        <w:gridCol w:w="9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patient market size of any diseases and market adoption of our products by physicians and patients;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obtain and maintain adequate intellectual property rights and adequately protect and enforce such rights;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duration of our patent portfolio;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COVID-19 pandemic, or any other similar pandemic, and the associated disruptions during and after such pandemics that could materially impact our business, including, delays to enrollment of patients in clinical trials for our product candidates, delays to clinical trial supplies, planned clinical developments and our ongoing or future clinical studies;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United Kingdom’s withdrawal from the European Union could increase our cost of doing business or otherwise negatively impact our business, results of operations and financial condition; </w:t>
            </w:r>
          </w:p>
        </w:tc>
      </w:tr>
    </w:tbl>
    <w:p>
      <w:pPr>
        <w:pStyle w:val="TextBody"/>
        <w:spacing w:before="0" w:after="0"/>
        <w:jc w:val="left"/>
        <w:rPr/>
      </w:pPr>
      <w:r>
        <w:rPr/>
        <w:t> </w:t>
      </w:r>
    </w:p>
    <w:tbl>
      <w:tblPr>
        <w:tblW w:w="7480" w:type="dxa"/>
        <w:jc w:val="left"/>
        <w:tblInd w:w="0" w:type="dxa"/>
        <w:tblCellMar>
          <w:top w:w="0" w:type="dxa"/>
          <w:left w:w="0" w:type="dxa"/>
          <w:bottom w:w="0" w:type="dxa"/>
          <w:right w:w="0" w:type="dxa"/>
        </w:tblCellMar>
      </w:tblPr>
      <w:tblGrid>
        <w:gridCol w:w="75"/>
        <w:gridCol w:w="110"/>
        <w:gridCol w:w="60"/>
        <w:gridCol w:w="7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3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retain key personnel and recruit additional qualified personnel; </w:t>
            </w:r>
          </w:p>
        </w:tc>
      </w:tr>
    </w:tbl>
    <w:p>
      <w:pPr>
        <w:pStyle w:val="TextBody"/>
        <w:spacing w:before="0" w:after="0"/>
        <w:jc w:val="left"/>
        <w:rPr/>
      </w:pPr>
      <w:r>
        <w:rPr/>
        <w:t> </w:t>
      </w:r>
    </w:p>
    <w:tbl>
      <w:tblPr>
        <w:tblW w:w="3535" w:type="dxa"/>
        <w:jc w:val="left"/>
        <w:tblInd w:w="0" w:type="dxa"/>
        <w:tblCellMar>
          <w:top w:w="0" w:type="dxa"/>
          <w:left w:w="0" w:type="dxa"/>
          <w:bottom w:w="0" w:type="dxa"/>
          <w:right w:w="0" w:type="dxa"/>
        </w:tblCellMar>
      </w:tblPr>
      <w:tblGrid>
        <w:gridCol w:w="75"/>
        <w:gridCol w:w="110"/>
        <w:gridCol w:w="60"/>
        <w:gridCol w:w="3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manage growth;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successfully integrate and realize the benefits of our past or future strategic acquisitions or investments. </w:t>
            </w:r>
          </w:p>
        </w:tc>
      </w:tr>
    </w:tbl>
    <w:p>
      <w:pPr>
        <w:pStyle w:val="TextBody"/>
        <w:spacing w:before="240" w:after="0"/>
        <w:jc w:val="left"/>
        <w:rPr>
          <w:rFonts w:ascii="Times New Roman" w:hAnsi="Times New Roman"/>
          <w:sz w:val="24"/>
        </w:rPr>
      </w:pPr>
      <w:r>
        <w:rPr>
          <w:rFonts w:ascii="Times New Roman" w:hAnsi="Times New Roman"/>
          <w:sz w:val="24"/>
        </w:rPr>
        <w:t xml:space="preserve">You should refer to the section titled “Item 3.D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4"/>
        </w:rPr>
      </w:pPr>
      <w:r>
        <w:rPr>
          <w:rFonts w:ascii="Times New Roman" w:hAnsi="Times New Roman"/>
          <w:b/>
          <w:sz w:val="24"/>
        </w:rPr>
        <w:t xml:space="preserve">SUMMARY RISK FACTORS </w:t>
      </w:r>
    </w:p>
    <w:p>
      <w:pPr>
        <w:pStyle w:val="TextBody"/>
        <w:spacing w:before="240" w:after="0"/>
        <w:jc w:val="left"/>
        <w:rPr>
          <w:rFonts w:ascii="Times New Roman" w:hAnsi="Times New Roman"/>
          <w:sz w:val="24"/>
        </w:rPr>
      </w:pPr>
      <w:r>
        <w:rPr>
          <w:rFonts w:ascii="Times New Roman" w:hAnsi="Times New Roman"/>
          <w:sz w:val="24"/>
        </w:rPr>
        <w:t xml:space="preserve">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 </w:t>
      </w:r>
    </w:p>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75"/>
        <w:gridCol w:w="110"/>
        <w:gridCol w:w="60"/>
        <w:gridCol w:w="9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have a limited operating history and have never generated any revenue from product sales.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depend heavily on the success of setrusumab, alvelestat and etigilimab. We cannot give any assurance that any of these product candidates or therapeutic candidates will receive regulatory approval, which is necessary before they can be commercialized. If we are unable to commercialize setrusumab, alvelestat and etigilimab, whether on our own or through agreements with third parties, or experience significant delays in doing so, our ability to generate revenue and our financial condition will be adversely affected.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COVID-19 pandemic impacted and may continue to impact our business or any other similar pandemic may materially impact our business, including, delays to enrollment of patients in clinical trials for our product candidates, delays in engagement with or responses from regulatory authorities, delays to clinical trial supplies, planned clinical developments and our ongoing or future clinical studies.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become exposed to costly and damaging liability claims, either when testing our product candidates in the clinic or at the commercial stage, and our product liability insurance may not cover all damages from such claims.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Enacted and future healthcare legislation may increase the difficulty and cost for us to obtain marketing approval of and commercialize our product candidates and may affect the prices we may set.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operate in a highly competitive and rapidly changing industry, which may result in others acquiring, developing, or commercializing competing product candidates before or more successfully than we do.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existing and future product candidates may not gain market acceptance, in which case our ability to generate revenues from product sales will be compromised.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business and operations may suffer, and proprietary information may be lost, in the event of information technology system failures, cyberattacks or deficiencies in our cybersecurity.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future growth and ability to compete depends on retaining our key personnel and recruiting additional qualified personnel.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not satisfy Nasdaq’s requirements for continued listing. If we cannot satisfy these requirements, Nasdaq could delist our ADSs which could have an adverse impact on the liquidity and market price of our ADSs.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Failure to establish and maintain effective internal controls could have a material adverse effect on our business and stock price. </w:t>
            </w:r>
          </w:p>
        </w:tc>
      </w:tr>
    </w:tbl>
    <w:p>
      <w:pPr>
        <w:pStyle w:val="TextBody"/>
        <w:spacing w:before="480" w:after="0"/>
        <w:jc w:val="center"/>
        <w:rPr>
          <w:rFonts w:ascii="Times New Roman" w:hAnsi="Times New Roman"/>
          <w:b/>
          <w:sz w:val="24"/>
        </w:rPr>
      </w:pPr>
      <w:bookmarkStart w:id="3" w:name="tx430075_1"/>
      <w:bookmarkEnd w:id="3"/>
      <w:r>
        <w:rPr>
          <w:rFonts w:ascii="Times New Roman" w:hAnsi="Times New Roman"/>
          <w:b/>
          <w:sz w:val="24"/>
        </w:rPr>
        <w:t xml:space="preserve">PART ONE </w:t>
      </w:r>
    </w:p>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740"/>
        <w:gridCol w:w="5780"/>
      </w:tblGrid>
      <w:tr>
        <w:trPr/>
        <w:tc>
          <w:tcPr>
            <w:tcW w:w="740" w:type="dxa"/>
            <w:tcBorders/>
            <w:shd w:fill="auto" w:val="clear"/>
            <w:vAlign w:val="center"/>
          </w:tcPr>
          <w:p>
            <w:pPr>
              <w:pStyle w:val="TableContents"/>
              <w:spacing w:before="0" w:after="283"/>
              <w:jc w:val="left"/>
              <w:rPr>
                <w:b/>
              </w:rPr>
            </w:pPr>
            <w:bookmarkStart w:id="4" w:name="tx430075_2"/>
            <w:bookmarkEnd w:id="4"/>
            <w:r>
              <w:rPr>
                <w:b/>
              </w:rPr>
              <w:t>Item 1.</w:t>
            </w:r>
          </w:p>
        </w:tc>
        <w:tc>
          <w:tcPr>
            <w:tcW w:w="578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Identity of Directors, Senior Management And Advisers </w:t>
            </w:r>
          </w:p>
        </w:tc>
      </w:tr>
    </w:tbl>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40"/>
        <w:gridCol w:w="4115"/>
      </w:tblGrid>
      <w:tr>
        <w:trPr/>
        <w:tc>
          <w:tcPr>
            <w:tcW w:w="740" w:type="dxa"/>
            <w:tcBorders/>
            <w:shd w:fill="auto" w:val="clear"/>
            <w:vAlign w:val="center"/>
          </w:tcPr>
          <w:p>
            <w:pPr>
              <w:pStyle w:val="TableContents"/>
              <w:spacing w:before="0" w:after="283"/>
              <w:jc w:val="left"/>
              <w:rPr>
                <w:b/>
              </w:rPr>
            </w:pPr>
            <w:bookmarkStart w:id="5" w:name="tx430075_3"/>
            <w:bookmarkEnd w:id="5"/>
            <w:r>
              <w:rPr>
                <w:b/>
              </w:rPr>
              <w:t>Item 2.</w:t>
            </w:r>
          </w:p>
        </w:tc>
        <w:tc>
          <w:tcPr>
            <w:tcW w:w="411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Offer Statistics and Expected Timetable </w:t>
            </w:r>
          </w:p>
        </w:tc>
      </w:tr>
    </w:tbl>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2530" w:type="dxa"/>
        <w:jc w:val="left"/>
        <w:tblInd w:w="0" w:type="dxa"/>
        <w:tblCellMar>
          <w:top w:w="0" w:type="dxa"/>
          <w:left w:w="0" w:type="dxa"/>
          <w:bottom w:w="0" w:type="dxa"/>
          <w:right w:w="0" w:type="dxa"/>
        </w:tblCellMar>
      </w:tblPr>
      <w:tblGrid>
        <w:gridCol w:w="740"/>
        <w:gridCol w:w="1790"/>
      </w:tblGrid>
      <w:tr>
        <w:trPr/>
        <w:tc>
          <w:tcPr>
            <w:tcW w:w="740" w:type="dxa"/>
            <w:tcBorders/>
            <w:shd w:fill="auto" w:val="clear"/>
            <w:vAlign w:val="center"/>
          </w:tcPr>
          <w:p>
            <w:pPr>
              <w:pStyle w:val="TableContents"/>
              <w:spacing w:before="0" w:after="283"/>
              <w:jc w:val="left"/>
              <w:rPr>
                <w:b/>
              </w:rPr>
            </w:pPr>
            <w:bookmarkStart w:id="6" w:name="tx430075_4"/>
            <w:bookmarkEnd w:id="6"/>
            <w:r>
              <w:rPr>
                <w:b/>
              </w:rPr>
              <w:t>Item 3.</w:t>
            </w:r>
          </w:p>
        </w:tc>
        <w:tc>
          <w:tcPr>
            <w:tcW w:w="179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Key Information </w:t>
            </w:r>
          </w:p>
        </w:tc>
      </w:tr>
    </w:tbl>
    <w:p>
      <w:pPr>
        <w:pStyle w:val="TextBody"/>
        <w:spacing w:before="120" w:after="0"/>
        <w:jc w:val="left"/>
        <w:rPr>
          <w:rFonts w:ascii="Times New Roman" w:hAnsi="Times New Roman"/>
          <w:b/>
          <w:sz w:val="24"/>
        </w:rPr>
      </w:pPr>
      <w:r>
        <w:rPr>
          <w:rFonts w:ascii="Times New Roman" w:hAnsi="Times New Roman"/>
          <w:b/>
          <w:sz w:val="24"/>
        </w:rPr>
        <w:t xml:space="preserve">3.A. [Reserved] </w:t>
      </w:r>
    </w:p>
    <w:p>
      <w:pPr>
        <w:pStyle w:val="TextBody"/>
        <w:spacing w:before="360" w:after="0"/>
        <w:jc w:val="left"/>
        <w:rPr>
          <w:rFonts w:ascii="Times New Roman" w:hAnsi="Times New Roman"/>
          <w:b/>
          <w:sz w:val="24"/>
        </w:rPr>
      </w:pPr>
      <w:r>
        <w:rPr>
          <w:rFonts w:ascii="Times New Roman" w:hAnsi="Times New Roman"/>
          <w:b/>
          <w:sz w:val="24"/>
        </w:rPr>
        <w:t xml:space="preserve">3.B. Capitalization and Indebtedness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3.C. Reasons For the Offer and Use of Proceeds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3.D. Risk Factors </w:t>
      </w:r>
    </w:p>
    <w:p>
      <w:pPr>
        <w:pStyle w:val="TextBody"/>
        <w:spacing w:before="120" w:after="0"/>
        <w:jc w:val="left"/>
        <w:rPr>
          <w:rFonts w:ascii="Times New Roman" w:hAnsi="Times New Roman"/>
          <w:i/>
          <w:sz w:val="24"/>
        </w:rPr>
      </w:pPr>
      <w:r>
        <w:rPr>
          <w:rFonts w:ascii="Times New Roman" w:hAnsi="Times New Roman"/>
          <w:i/>
          <w:sz w:val="24"/>
        </w:rPr>
        <w:t xml:space="preserve">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 </w:t>
      </w:r>
    </w:p>
    <w:p>
      <w:pPr>
        <w:pStyle w:val="TextBody"/>
        <w:spacing w:before="360" w:after="0"/>
        <w:jc w:val="left"/>
        <w:rPr>
          <w:rFonts w:ascii="Times New Roman" w:hAnsi="Times New Roman"/>
          <w:b/>
          <w:sz w:val="24"/>
        </w:rPr>
      </w:pPr>
      <w:r>
        <w:rPr>
          <w:rFonts w:ascii="Times New Roman" w:hAnsi="Times New Roman"/>
          <w:b/>
          <w:sz w:val="24"/>
        </w:rPr>
        <w:t xml:space="preserve">Risks Related to Our Business and Industry </w:t>
      </w:r>
    </w:p>
    <w:p>
      <w:pPr>
        <w:pStyle w:val="TextBody"/>
        <w:spacing w:before="120" w:after="0"/>
        <w:jc w:val="left"/>
        <w:rPr>
          <w:rFonts w:ascii="Times New Roman" w:hAnsi="Times New Roman"/>
          <w:b/>
          <w:i/>
          <w:sz w:val="24"/>
        </w:rPr>
      </w:pPr>
      <w:r>
        <w:rPr>
          <w:rFonts w:ascii="Times New Roman" w:hAnsi="Times New Roman"/>
          <w:b/>
          <w:i/>
          <w:sz w:val="24"/>
        </w:rPr>
        <w:t xml:space="preserve">We have a limited operating history and have never generated any revenue from product sales. </w:t>
      </w:r>
    </w:p>
    <w:p>
      <w:pPr>
        <w:pStyle w:val="TextBody"/>
        <w:spacing w:before="240" w:after="0"/>
        <w:jc w:val="left"/>
        <w:rPr>
          <w:rFonts w:ascii="Times New Roman" w:hAnsi="Times New Roman"/>
          <w:sz w:val="24"/>
        </w:rPr>
      </w:pPr>
      <w:r>
        <w:rPr>
          <w:rFonts w:ascii="Times New Roman" w:hAnsi="Times New Roman"/>
          <w:sz w:val="24"/>
        </w:rPr>
        <w:t xml:space="preserve">We are a multi-asset, clinical-stage biopharmaceutical company with a limited operating history, and have incurred significant operating losses since our formation. For the year-ended December 31, 2022 we had a net loss of £34.2 million, and we had a net profit of £12.7 million and a net loss of £163.6 million, for the years ended December 31, 2021 and 2020, respectively. As of December 31, 2022, we had an accumulated net loss of £331.2 million (£297.0 million as of December 31, 2021). Our losses have resulted principally from expenses incurred from the research and development of our product candidates and from general and administrative costs that we have incurred while building and operating our business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seek to secure a partnership and prepare for a potential Phase 3 clinical trial of alvelestat for the treatment of severe AATD, support the ongoing investigator-led Phase 2 study in AATD and support the expansion of the investigator-sponsored study in Bronchiolitis Obliterans Syndrome (“BOS”) into Phase 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undertake the activities required as part of our collaboration with Ultragenyx and potential commercialization of setrusumab, if approved in the European Union (“EU”) and the United Kingdom (“U.K.”);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undertake development of our product candidates in any additional potential indications; </w:t>
            </w:r>
          </w:p>
        </w:tc>
      </w:tr>
    </w:tbl>
    <w:p>
      <w:pPr>
        <w:pStyle w:val="TextBody"/>
        <w:spacing w:before="0" w:after="0"/>
        <w:jc w:val="left"/>
        <w:rPr/>
      </w:pPr>
      <w:r>
        <w:rPr/>
        <w:t> </w:t>
      </w:r>
    </w:p>
    <w:tbl>
      <w:tblPr>
        <w:tblW w:w="5350" w:type="dxa"/>
        <w:jc w:val="left"/>
        <w:tblInd w:w="0" w:type="dxa"/>
        <w:tblCellMar>
          <w:top w:w="0" w:type="dxa"/>
          <w:left w:w="0" w:type="dxa"/>
          <w:bottom w:w="0" w:type="dxa"/>
          <w:right w:w="0" w:type="dxa"/>
        </w:tblCellMar>
      </w:tblPr>
      <w:tblGrid>
        <w:gridCol w:w="75"/>
        <w:gridCol w:w="110"/>
        <w:gridCol w:w="60"/>
        <w:gridCol w:w="5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seek regulatory approvals for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potentially establish a commercial infrastructure to commercialize or co-commercialize selected product candidates, if approved;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work with CMOs to develop manufacturing processes and scale-up for Phase 3 studies and potential commercialization; </w:t>
            </w:r>
          </w:p>
        </w:tc>
      </w:tr>
    </w:tbl>
    <w:p>
      <w:pPr>
        <w:pStyle w:val="TextBody"/>
        <w:spacing w:before="0" w:after="0"/>
        <w:jc w:val="left"/>
        <w:rPr/>
      </w:pPr>
      <w:r>
        <w:rPr/>
        <w:t> </w:t>
      </w:r>
    </w:p>
    <w:tbl>
      <w:tblPr>
        <w:tblW w:w="6370" w:type="dxa"/>
        <w:jc w:val="left"/>
        <w:tblInd w:w="0" w:type="dxa"/>
        <w:tblCellMar>
          <w:top w:w="0" w:type="dxa"/>
          <w:left w:w="0" w:type="dxa"/>
          <w:bottom w:w="0" w:type="dxa"/>
          <w:right w:w="0" w:type="dxa"/>
        </w:tblCellMar>
      </w:tblPr>
      <w:tblGrid>
        <w:gridCol w:w="75"/>
        <w:gridCol w:w="110"/>
        <w:gridCol w:w="60"/>
        <w:gridCol w:w="6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maintain, expand, and protect our intellectual property portfolio;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secure, maintain, or obtain freedom to operate for our technologies and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expand our operations and potentially hire additional employees in the United Kingdom, United States and in Europe, territories where we anticipate direct commercialization or commercialization with a partner; and </w:t>
            </w:r>
          </w:p>
        </w:tc>
      </w:tr>
    </w:tbl>
    <w:p>
      <w:pPr>
        <w:pStyle w:val="TextBody"/>
        <w:spacing w:before="0" w:after="0"/>
        <w:jc w:val="left"/>
        <w:rPr/>
      </w:pPr>
      <w:r>
        <w:rPr/>
        <w:t> </w:t>
      </w:r>
    </w:p>
    <w:tbl>
      <w:tblPr>
        <w:tblW w:w="8365" w:type="dxa"/>
        <w:jc w:val="left"/>
        <w:tblInd w:w="0" w:type="dxa"/>
        <w:tblCellMar>
          <w:top w:w="0" w:type="dxa"/>
          <w:left w:w="0" w:type="dxa"/>
          <w:bottom w:w="0" w:type="dxa"/>
          <w:right w:w="0" w:type="dxa"/>
        </w:tblCellMar>
      </w:tblPr>
      <w:tblGrid>
        <w:gridCol w:w="75"/>
        <w:gridCol w:w="110"/>
        <w:gridCol w:w="60"/>
        <w:gridCol w:w="8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seek to acquire additional novel product candidates to treat rare diseases in the future. </w:t>
            </w:r>
          </w:p>
        </w:tc>
      </w:tr>
    </w:tbl>
    <w:p>
      <w:pPr>
        <w:pStyle w:val="TextBody"/>
        <w:spacing w:before="240" w:after="0"/>
        <w:jc w:val="left"/>
        <w:rPr>
          <w:rFonts w:ascii="Times New Roman" w:hAnsi="Times New Roman"/>
          <w:sz w:val="24"/>
        </w:rPr>
      </w:pPr>
      <w:r>
        <w:rPr>
          <w:rFonts w:ascii="Times New Roman" w:hAnsi="Times New Roman"/>
          <w:sz w:val="24"/>
        </w:rPr>
        <w:t xml:space="preserve">Our expenses may also increase substantially if we experience any delays or encounter any issues with any of the above, including, but not limited to, failed clinical trials, complex results, safety issues, or unforeseen regulatory challenges. </w:t>
      </w:r>
    </w:p>
    <w:p>
      <w:pPr>
        <w:pStyle w:val="TextBody"/>
        <w:spacing w:before="240" w:after="0"/>
        <w:jc w:val="left"/>
        <w:rPr>
          <w:rFonts w:ascii="Times New Roman" w:hAnsi="Times New Roman"/>
          <w:sz w:val="24"/>
        </w:rPr>
      </w:pPr>
      <w:r>
        <w:rPr>
          <w:rFonts w:ascii="Times New Roman" w:hAnsi="Times New Roman"/>
          <w:sz w:val="24"/>
        </w:rPr>
        <w:t xml:space="preserve">We have devoted substantially all of our financial resources and efforts to the acquisition and clinical development of our product candidates. We have not completed the clinical development of any product through approval and have never generated any revenue from product sales. </w:t>
      </w:r>
    </w:p>
    <w:p>
      <w:pPr>
        <w:pStyle w:val="TextBody"/>
        <w:spacing w:before="240" w:after="0"/>
        <w:jc w:val="left"/>
        <w:rPr>
          <w:rFonts w:ascii="Times New Roman" w:hAnsi="Times New Roman"/>
          <w:sz w:val="24"/>
        </w:rPr>
      </w:pPr>
      <w:r>
        <w:rPr>
          <w:rFonts w:ascii="Times New Roman" w:hAnsi="Times New Roman"/>
          <w:sz w:val="24"/>
        </w:rPr>
        <w:t xml:space="preserve">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 </w:t>
      </w:r>
    </w:p>
    <w:p>
      <w:pPr>
        <w:pStyle w:val="TextBody"/>
        <w:spacing w:before="240" w:after="0"/>
        <w:jc w:val="left"/>
        <w:rPr>
          <w:rFonts w:ascii="Times New Roman" w:hAnsi="Times New Roman"/>
          <w:sz w:val="24"/>
        </w:rPr>
      </w:pPr>
      <w:r>
        <w:rPr>
          <w:rFonts w:ascii="Times New Roman" w:hAnsi="Times New Roman"/>
          <w:sz w:val="24"/>
        </w:rPr>
        <w:t xml:space="preserve">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 </w:t>
      </w:r>
    </w:p>
    <w:p>
      <w:pPr>
        <w:pStyle w:val="TextBody"/>
        <w:spacing w:before="360" w:after="0"/>
        <w:jc w:val="left"/>
        <w:rPr>
          <w:rFonts w:ascii="Times New Roman" w:hAnsi="Times New Roman"/>
          <w:b/>
          <w:i/>
          <w:sz w:val="24"/>
        </w:rPr>
      </w:pPr>
      <w:r>
        <w:rPr>
          <w:rFonts w:ascii="Times New Roman" w:hAnsi="Times New Roman"/>
          <w:b/>
          <w:i/>
          <w:sz w:val="24"/>
        </w:rPr>
        <w:t xml:space="preserve">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 </w:t>
      </w:r>
    </w:p>
    <w:p>
      <w:pPr>
        <w:pStyle w:val="TextBody"/>
        <w:spacing w:before="240" w:after="0"/>
        <w:jc w:val="left"/>
        <w:rPr>
          <w:rFonts w:ascii="Times New Roman" w:hAnsi="Times New Roman"/>
          <w:sz w:val="24"/>
        </w:rPr>
      </w:pPr>
      <w:r>
        <w:rPr>
          <w:rFonts w:ascii="Times New Roman" w:hAnsi="Times New Roman"/>
          <w:sz w:val="24"/>
        </w:rPr>
        <w:t xml:space="preserve">While we raised $183 million (£137.9 million) in private placements of ordinary shares and convertible loan notes in 2020 and in a public offering of ADSs in February 2021,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United States and maintaining a listing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w:t>
      </w:r>
    </w:p>
    <w:p>
      <w:pPr>
        <w:pStyle w:val="TextBody"/>
        <w:spacing w:before="240" w:after="0"/>
        <w:jc w:val="left"/>
        <w:rPr>
          <w:rFonts w:ascii="Times New Roman" w:hAnsi="Times New Roman"/>
          <w:sz w:val="24"/>
        </w:rPr>
      </w:pPr>
      <w:r>
        <w:rPr>
          <w:rFonts w:ascii="Times New Roman" w:hAnsi="Times New Roman"/>
          <w:sz w:val="24"/>
        </w:rPr>
        <w:t xml:space="preserve">We believe that our existing cash and cash equivalents will be sufficient to enable us to fund our operating expenses and capital expenditure requirements into 2026 at which point we will require additional capital. Our failure to obtain sufficient funds on acceptable terms when needed could have a material adverse effect on our business, results of operations and financial condition. </w:t>
      </w:r>
    </w:p>
    <w:p>
      <w:pPr>
        <w:pStyle w:val="TextBody"/>
        <w:spacing w:before="240" w:after="0"/>
        <w:jc w:val="left"/>
        <w:rPr>
          <w:rFonts w:ascii="Times New Roman" w:hAnsi="Times New Roman"/>
          <w:sz w:val="24"/>
        </w:rPr>
      </w:pPr>
      <w:r>
        <w:rPr>
          <w:rFonts w:ascii="Times New Roman" w:hAnsi="Times New Roman"/>
          <w:sz w:val="24"/>
        </w:rPr>
        <w:t xml:space="preserve">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 </w:t>
      </w:r>
    </w:p>
    <w:p>
      <w:pPr>
        <w:pStyle w:val="TextBody"/>
        <w:spacing w:before="240" w:after="0"/>
        <w:jc w:val="left"/>
        <w:rPr>
          <w:rFonts w:ascii="Times New Roman" w:hAnsi="Times New Roman"/>
          <w:sz w:val="24"/>
        </w:rPr>
      </w:pPr>
      <w:r>
        <w:rPr>
          <w:rFonts w:ascii="Times New Roman" w:hAnsi="Times New Roman"/>
          <w:sz w:val="24"/>
        </w:rPr>
        <w:t xml:space="preserve">Our future capital requirements will depend on many factors,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timing and results of our Phase 1b/2 study for etigilimab, and ongoing investigator-sponsored clinical trials for alvelestat in AATD and in patients with BOS; and the costs for our activities related to our ongoing collaboration with Ultragenyx for setrusumab for the treatment of adults and children with OI and the costs for our preparation for eventual commercialization of setrusumab in Europe and the U.K.;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75"/>
        <w:gridCol w:w="110"/>
        <w:gridCol w:w="60"/>
        <w:gridCol w:w="7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and timing of manufacturing clinical supplies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timing, and outcome of regulatory review of our product candidates, including post-marketing studies that could be required by regulatory authorities;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timing, and outcome of potential future commercialization activities, including manufacturing, marketing, sales, life cycle management and distribution, for our product candidates that we commercialize directly;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75"/>
        <w:gridCol w:w="110"/>
        <w:gridCol w:w="60"/>
        <w:gridCol w:w="9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timing and amount of revenue, if any, received from commercial sales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sales price and availability of adequate third-party coverage and reimbursement for our product candidates;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effect of competitors and market developments;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performance of our collaborators and partners under the existing agreements on setrusumab and navicixizumab;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extent to which we are able to acquire new product candidates or enter into licensing or collaboration arrangements for our product candidates; </w:t>
            </w:r>
          </w:p>
        </w:tc>
      </w:tr>
    </w:tbl>
    <w:p>
      <w:pPr>
        <w:pStyle w:val="TextBody"/>
        <w:spacing w:before="0" w:after="0"/>
        <w:jc w:val="left"/>
        <w:rPr/>
      </w:pPr>
      <w:r>
        <w:rPr/>
        <w:t> </w:t>
      </w:r>
    </w:p>
    <w:tbl>
      <w:tblPr>
        <w:tblW w:w="9430" w:type="dxa"/>
        <w:jc w:val="left"/>
        <w:tblInd w:w="0" w:type="dxa"/>
        <w:tblCellMar>
          <w:top w:w="0" w:type="dxa"/>
          <w:left w:w="0" w:type="dxa"/>
          <w:bottom w:w="0" w:type="dxa"/>
          <w:right w:w="0" w:type="dxa"/>
        </w:tblCellMar>
      </w:tblPr>
      <w:tblGrid>
        <w:gridCol w:w="75"/>
        <w:gridCol w:w="110"/>
        <w:gridCol w:w="60"/>
        <w:gridCol w:w="9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milestone and deferred payments under our license and option agreement with AstraZeneca; and </w:t>
            </w:r>
          </w:p>
        </w:tc>
      </w:tr>
    </w:tbl>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tax liabilities or other assessments and our ability to claim R&amp;D tax credits or other reliefs. </w:t>
            </w:r>
          </w:p>
        </w:tc>
      </w:tr>
    </w:tbl>
    <w:p>
      <w:pPr>
        <w:pStyle w:val="TextBody"/>
        <w:spacing w:before="240" w:after="0"/>
        <w:jc w:val="left"/>
        <w:rPr>
          <w:rFonts w:ascii="Times New Roman" w:hAnsi="Times New Roman"/>
          <w:sz w:val="24"/>
        </w:rPr>
      </w:pPr>
      <w:r>
        <w:rPr>
          <w:rFonts w:ascii="Times New Roman" w:hAnsi="Times New Roman"/>
          <w:sz w:val="24"/>
        </w:rPr>
        <w:t xml:space="preserve">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w:t>
      </w:r>
    </w:p>
    <w:p>
      <w:pPr>
        <w:pStyle w:val="TextBody"/>
        <w:spacing w:before="240" w:after="0"/>
        <w:jc w:val="left"/>
        <w:rPr>
          <w:rFonts w:ascii="Times New Roman" w:hAnsi="Times New Roman"/>
          <w:sz w:val="24"/>
        </w:rPr>
      </w:pPr>
      <w:r>
        <w:rPr>
          <w:rFonts w:ascii="Times New Roman" w:hAnsi="Times New Roman"/>
          <w:sz w:val="24"/>
        </w:rPr>
        <w:t xml:space="preserve">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w:t>
      </w:r>
    </w:p>
    <w:p>
      <w:pPr>
        <w:pStyle w:val="TextBody"/>
        <w:spacing w:before="240" w:after="0"/>
        <w:jc w:val="left"/>
        <w:rPr>
          <w:rFonts w:ascii="Times New Roman" w:hAnsi="Times New Roman"/>
          <w:b/>
          <w:i/>
          <w:sz w:val="24"/>
        </w:rPr>
      </w:pPr>
      <w:r>
        <w:rPr>
          <w:rFonts w:ascii="Times New Roman" w:hAnsi="Times New Roman"/>
          <w:b/>
          <w:i/>
          <w:sz w:val="24"/>
        </w:rPr>
        <w:t xml:space="preserve">Our limited operating history may make it difficult for you to evaluate the success of our business to date and to assess our future viability. </w:t>
      </w:r>
    </w:p>
    <w:p>
      <w:pPr>
        <w:pStyle w:val="TextBody"/>
        <w:spacing w:before="240" w:after="0"/>
        <w:jc w:val="left"/>
        <w:rPr>
          <w:rFonts w:ascii="Times New Roman" w:hAnsi="Times New Roman"/>
          <w:sz w:val="24"/>
        </w:rPr>
      </w:pPr>
      <w:r>
        <w:rPr>
          <w:rFonts w:ascii="Times New Roman" w:hAnsi="Times New Roman"/>
          <w:sz w:val="24"/>
        </w:rPr>
        <w:t xml:space="preserve">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 </w:t>
      </w:r>
    </w:p>
    <w:p>
      <w:pPr>
        <w:pStyle w:val="TextBody"/>
        <w:spacing w:before="360" w:after="0"/>
        <w:jc w:val="left"/>
        <w:rPr>
          <w:rFonts w:ascii="Times New Roman" w:hAnsi="Times New Roman"/>
          <w:b/>
          <w:i/>
          <w:sz w:val="24"/>
        </w:rPr>
      </w:pPr>
      <w:r>
        <w:rPr>
          <w:rFonts w:ascii="Times New Roman" w:hAnsi="Times New Roman"/>
          <w:b/>
          <w:i/>
          <w:sz w:val="24"/>
        </w:rPr>
        <w:t xml:space="preserve">We may not be successful in our efforts to identify and acquire additional product candidates. </w:t>
      </w:r>
    </w:p>
    <w:p>
      <w:pPr>
        <w:pStyle w:val="TextBody"/>
        <w:spacing w:before="240" w:after="0"/>
        <w:jc w:val="left"/>
        <w:rPr>
          <w:rFonts w:ascii="Times New Roman" w:hAnsi="Times New Roman"/>
          <w:sz w:val="24"/>
        </w:rPr>
      </w:pPr>
      <w:r>
        <w:rPr>
          <w:rFonts w:ascii="Times New Roman" w:hAnsi="Times New Roman"/>
          <w:sz w:val="24"/>
        </w:rPr>
        <w:t xml:space="preserve">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any product candidates we acquire that have generated positive clinical data for our target indication or in diseases other than our target indications may not prove to be effective in treating our target indications;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potential product candidates may, with further studies, be shown to have harmful side effects or other characteristics that indicate that they are unlikely to be product candidates that will receive marketing approval and achieve market acceptance;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regulatory pathway for a potential product may be too complex and difficult to navigate successfully or economically;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there may be competitive bids for potential product candidates which we do not seek to or are unable to match. </w:t>
            </w:r>
          </w:p>
        </w:tc>
      </w:tr>
    </w:tbl>
    <w:p>
      <w:pPr>
        <w:pStyle w:val="TextBody"/>
        <w:spacing w:before="240" w:after="0"/>
        <w:jc w:val="left"/>
        <w:rPr>
          <w:rFonts w:ascii="Times New Roman" w:hAnsi="Times New Roman"/>
          <w:sz w:val="24"/>
        </w:rPr>
      </w:pPr>
      <w:r>
        <w:rPr>
          <w:rFonts w:ascii="Times New Roman" w:hAnsi="Times New Roman"/>
          <w:sz w:val="24"/>
        </w:rPr>
        <w:t xml:space="preserve">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Raising additional capital may cause dilution to, or adversely affect the rights of, our security holders, restrict our operations; or require us to relinquish rights to our technologies or product candidates. </w:t>
      </w:r>
    </w:p>
    <w:p>
      <w:pPr>
        <w:pStyle w:val="TextBody"/>
        <w:spacing w:before="240" w:after="0"/>
        <w:jc w:val="left"/>
        <w:rPr>
          <w:rFonts w:ascii="Times New Roman" w:hAnsi="Times New Roman"/>
          <w:sz w:val="24"/>
        </w:rPr>
      </w:pPr>
      <w:r>
        <w:rPr>
          <w:rFonts w:ascii="Times New Roman" w:hAnsi="Times New Roman"/>
          <w:sz w:val="24"/>
        </w:rPr>
        <w:t xml:space="preserve">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 </w:t>
      </w:r>
    </w:p>
    <w:p>
      <w:pPr>
        <w:pStyle w:val="TextBody"/>
        <w:spacing w:before="240" w:after="0"/>
        <w:jc w:val="left"/>
        <w:rPr>
          <w:rFonts w:ascii="Times New Roman" w:hAnsi="Times New Roman"/>
          <w:b/>
          <w:i/>
          <w:sz w:val="24"/>
        </w:rPr>
      </w:pPr>
      <w:r>
        <w:rPr>
          <w:rFonts w:ascii="Times New Roman" w:hAnsi="Times New Roman"/>
          <w:b/>
          <w:i/>
          <w:sz w:val="24"/>
        </w:rPr>
        <w:t xml:space="preserve">We depend heavily on the success of setrusumab, alvelestat and etigilimab. We cannot give any assurance that any of these product candidates or therapeutic candidates will receive regulatory approval, which is necessary before they can be commercialized. If we are unable to commercialize setrusumab, alvelestat and etigilimab, whether on our own or through agreements with third parties, or experience significant delays in doing so, our ability to generate revenue and our financial condition will be adversely affected. </w:t>
      </w:r>
    </w:p>
    <w:p>
      <w:pPr>
        <w:pStyle w:val="TextBody"/>
        <w:spacing w:before="240" w:after="0"/>
        <w:jc w:val="left"/>
        <w:rPr>
          <w:rFonts w:ascii="Times New Roman" w:hAnsi="Times New Roman"/>
          <w:sz w:val="24"/>
        </w:rPr>
      </w:pPr>
      <w:r>
        <w:rPr>
          <w:rFonts w:ascii="Times New Roman" w:hAnsi="Times New Roman"/>
          <w:sz w:val="24"/>
        </w:rPr>
        <w:t xml:space="preserve">We do not currently generate any revenue from sales of any product candidates, and we may never be able to develop or commercialize a marketable product. We have invested substantially all of our efforts and financial resources in the acquisition and development of setrusumab, alvelestat and etigilimab, among other product candidates in our portfolio.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 </w:t>
      </w:r>
    </w:p>
    <w:p>
      <w:pPr>
        <w:pStyle w:val="TextBody"/>
        <w:spacing w:before="240" w:after="0"/>
        <w:jc w:val="left"/>
        <w:rPr>
          <w:rFonts w:ascii="Times New Roman" w:hAnsi="Times New Roman"/>
          <w:sz w:val="24"/>
        </w:rPr>
      </w:pPr>
      <w:r>
        <w:rPr>
          <w:rFonts w:ascii="Times New Roman" w:hAnsi="Times New Roman"/>
          <w:sz w:val="24"/>
        </w:rPr>
        <w:t xml:space="preserve">We are not permitted to market or promote any product candidates in the United States, United Kingdom, Europe, or other countries before we receive regulatory approval from the FDA, the EMA, or comparable U.K. or foreign regulatory authorities, and we may never receive such regulatory approval for our current product candidates. We have not submitted a BLA or a NDA to the FDA, an MAA or CMA to the EMA, or comparable applications to other regulatory authorities. The success of our current product candidates will depend on many factors, including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successful initiation and completion of preclinical studies with favorable results, including toxicology and other studies designed to be compliant with good laboratory practices (“GLP”);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allowance to proceed with clinical trials under Investigational New Drug applications (“INDs”), by the FDA, or of similar regulatory submissions by comparable foreign regulatory authorities for the conduct of clinical trials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successful initiation, enrollment and completion of clinical studies in accordance with Good Clinical Practice (“GCP”) requirements and other applicable rules and regulations; </w:t>
            </w:r>
          </w:p>
        </w:tc>
      </w:tr>
    </w:tbl>
    <w:p>
      <w:pPr>
        <w:pStyle w:val="TextBody"/>
        <w:spacing w:before="0" w:after="0"/>
        <w:jc w:val="left"/>
        <w:rPr/>
      </w:pPr>
      <w:r>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frequency and severity of adverse events observed in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maintaining and establishing relationships with contract research organizations (“CROs”) and clinical sites for the clinical development of our product candidates;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demonstrating the safety, purity, and potency, or efficacy of our product candidates to the satisfaction of the FDA and other applicable regulatory authorities;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receipt of regulatory approvals from applicable regulatory authorities, including approvals of NDAs or BLAs from the FDA, or MAAs from the EMA and maintaining any such approvals;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making arrangements with our third-party manufacturers for, or establishing, clinical or commercial manufacturing capabilities;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establishing sales, marketing and distribution capabilities and launching commercial sales of our product candidates, if and when approved, whether alone or in collaboration with others;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obtaining, establishing and maintaining patent and trade secret protection or regulatory exclusivity for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maintaining an acceptable safety profile for our product candidates following regulatory approval, if 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maintaining and growing an organization of people who can develop and, if approved, commercialize, market and sell our product candidates, if approved;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if approved, acceptance of our current product candidates by patients, the medical community, and third-party payors; our ability to compete with other therapies to treat OI, AATD, BOS or certain oncology indications; continued acceptable safety profiles following approval of our current product candidates; and our ability to qualify for, maintain, enforce, and defend our intellectual property rights and claims. </w:t>
            </w:r>
          </w:p>
        </w:tc>
      </w:tr>
    </w:tbl>
    <w:p>
      <w:pPr>
        <w:pStyle w:val="TextBody"/>
        <w:spacing w:before="240" w:after="0"/>
        <w:jc w:val="left"/>
        <w:rPr>
          <w:rFonts w:ascii="Times New Roman" w:hAnsi="Times New Roman"/>
          <w:sz w:val="24"/>
        </w:rPr>
      </w:pPr>
      <w:r>
        <w:rPr>
          <w:rFonts w:ascii="Times New Roman" w:hAnsi="Times New Roman"/>
          <w:sz w:val="24"/>
        </w:rPr>
        <w:t xml:space="preserve">If we do not successfully manage one or more of these factors in a timely manner or at all, we could experience significant delays or may not be able to successfully commercialize our current product candidates. </w:t>
      </w:r>
    </w:p>
    <w:p>
      <w:pPr>
        <w:pStyle w:val="TextBody"/>
        <w:spacing w:before="240" w:after="0"/>
        <w:jc w:val="left"/>
        <w:rPr>
          <w:rFonts w:ascii="Times New Roman" w:hAnsi="Times New Roman"/>
          <w:sz w:val="24"/>
        </w:rPr>
      </w:pPr>
      <w:r>
        <w:rPr>
          <w:rFonts w:ascii="Times New Roman" w:hAnsi="Times New Roman"/>
          <w:sz w:val="24"/>
        </w:rPr>
        <w:t xml:space="preserve">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 </w:t>
      </w:r>
    </w:p>
    <w:p>
      <w:pPr>
        <w:pStyle w:val="TextBody"/>
        <w:spacing w:before="240" w:after="0"/>
        <w:jc w:val="left"/>
        <w:rPr>
          <w:rFonts w:ascii="Times New Roman" w:hAnsi="Times New Roman"/>
          <w:sz w:val="24"/>
        </w:rPr>
      </w:pPr>
      <w:r>
        <w:rPr>
          <w:rFonts w:ascii="Times New Roman" w:hAnsi="Times New Roman"/>
          <w:sz w:val="24"/>
        </w:rPr>
        <w:t xml:space="preserve">We plan to seek regulatory approval to commercialize, or co-commercialize, our current rare disease product candidates in the United States,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 </w:t>
      </w:r>
    </w:p>
    <w:p>
      <w:pPr>
        <w:pStyle w:val="TextBody"/>
        <w:spacing w:before="240" w:after="0"/>
        <w:jc w:val="left"/>
        <w:rPr>
          <w:rFonts w:ascii="Times New Roman" w:hAnsi="Times New Roman"/>
          <w:b/>
          <w:i/>
          <w:sz w:val="24"/>
        </w:rPr>
      </w:pPr>
      <w:r>
        <w:rPr>
          <w:rFonts w:ascii="Times New Roman" w:hAnsi="Times New Roman"/>
          <w:b/>
          <w:i/>
          <w:sz w:val="24"/>
        </w:rPr>
        <w:t xml:space="preserve">Exchange rate fluctuations may materially affect our results of operations and financial condition. </w:t>
      </w:r>
    </w:p>
    <w:p>
      <w:pPr>
        <w:pStyle w:val="TextBody"/>
        <w:spacing w:before="240" w:after="0"/>
        <w:jc w:val="left"/>
        <w:rPr>
          <w:rFonts w:ascii="Times New Roman" w:hAnsi="Times New Roman"/>
          <w:sz w:val="24"/>
        </w:rPr>
      </w:pPr>
      <w:r>
        <w:rPr>
          <w:rFonts w:ascii="Times New Roman" w:hAnsi="Times New Roman"/>
          <w:sz w:val="24"/>
        </w:rPr>
        <w:t xml:space="preserve">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The COVID-19 pandemic impacted and may continue to materially impact our business including planned clinical developments. </w:t>
      </w:r>
    </w:p>
    <w:p>
      <w:pPr>
        <w:pStyle w:val="TextBody"/>
        <w:spacing w:before="240" w:after="0"/>
        <w:jc w:val="left"/>
        <w:rPr>
          <w:rFonts w:ascii="Times New Roman" w:hAnsi="Times New Roman"/>
          <w:sz w:val="24"/>
        </w:rPr>
      </w:pPr>
      <w:r>
        <w:rPr>
          <w:rFonts w:ascii="Times New Roman" w:hAnsi="Times New Roman"/>
          <w:sz w:val="24"/>
        </w:rPr>
        <w:t xml:space="preserve">Our business could be adversely affected by health epidemics in regions where we and/or our partners conducted clinical trials have concentrations of clinical trial sites or other business operations, and could cause significant disruption in the operations of third-parties upon whom we rely. The COVID-19 pandemic and its related variants resulted in delays in our ability to enroll and treat patients and obtain data from clinical trials, particularly in patients with severe AATD. </w:t>
      </w:r>
    </w:p>
    <w:p>
      <w:pPr>
        <w:pStyle w:val="TextBody"/>
        <w:spacing w:before="240" w:after="0"/>
        <w:jc w:val="left"/>
        <w:rPr>
          <w:rFonts w:ascii="Times New Roman" w:hAnsi="Times New Roman"/>
          <w:sz w:val="24"/>
        </w:rPr>
      </w:pPr>
      <w:r>
        <w:rPr>
          <w:rFonts w:ascii="Times New Roman" w:hAnsi="Times New Roman"/>
          <w:sz w:val="24"/>
        </w:rPr>
        <w:t xml:space="preserve">The continued effects of the COVID-19 pandemic may also cause us to experience disruptions that would significantly impact our business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delay or interruption in our ability to enroll and treat patients and to obtain data from ongoing clinical trials;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delay in our timelines for the initiation of new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delay in our ability to recruit patients to our clinical trials and to screen patients for eligibility for our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Interruption to key clinical trial activities including monitoring of clinical sites, patient visits, inability to follow patients after they have received treatment and patient assessments and patients dropping out from trials early reduce the numbers impacting efficacy analysis;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delay in availability of additional drug product for setrusumab, alvelestat or etigilimab due to lack of manufacturing capacity and/or raw materials at our third-party CMOs;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delay in our ability to close and negotiate third-party partnerships or collaborations or to progress third-party collaborations already in place;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Limitations on employee resources as a result of increased sickness, requirement for employees to care for family members or requirement for employees to self-isolate themselves;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Interruptions and delays in our development programs as a result of any government required “stay-at-home” guidelines;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Delay in responses from regulatory authorities in relation to approvals, amendments or other regulatory engagements required for our ongoing development activities; </w:t>
            </w:r>
          </w:p>
        </w:tc>
      </w:tr>
    </w:tbl>
    <w:p>
      <w:pPr>
        <w:pStyle w:val="TextBody"/>
        <w:spacing w:before="0" w:after="0"/>
        <w:jc w:val="left"/>
        <w:rPr/>
      </w:pPr>
      <w:r>
        <w:rPr/>
        <w:t> </w:t>
      </w:r>
    </w:p>
    <w:tbl>
      <w:tblPr>
        <w:tblW w:w="3145" w:type="dxa"/>
        <w:jc w:val="left"/>
        <w:tblInd w:w="0" w:type="dxa"/>
        <w:tblCellMar>
          <w:top w:w="0" w:type="dxa"/>
          <w:left w:w="0" w:type="dxa"/>
          <w:bottom w:w="0" w:type="dxa"/>
          <w:right w:w="0" w:type="dxa"/>
        </w:tblCellMar>
      </w:tblPr>
      <w:tblGrid>
        <w:gridCol w:w="75"/>
        <w:gridCol w:w="110"/>
        <w:gridCol w:w="60"/>
        <w:gridCol w:w="2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0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Supply chain interruptions;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Diversion of CMO activities and raw materials to COVID-19 products, including restrictions imposed by various governments, causing delays to clinical trial supplies. </w:t>
            </w:r>
          </w:p>
        </w:tc>
      </w:tr>
    </w:tbl>
    <w:p>
      <w:pPr>
        <w:pStyle w:val="TextBody"/>
        <w:spacing w:before="240" w:after="0"/>
        <w:jc w:val="left"/>
        <w:rPr>
          <w:rFonts w:ascii="Times New Roman" w:hAnsi="Times New Roman"/>
          <w:sz w:val="24"/>
        </w:rPr>
      </w:pPr>
      <w:r>
        <w:rPr>
          <w:rFonts w:ascii="Times New Roman" w:hAnsi="Times New Roman"/>
          <w:sz w:val="24"/>
        </w:rPr>
        <w:t xml:space="preserve">The extent to which the ultimate impact of the COVID-19 pandemic, or any other health epidemic, may impact our future business is highly uncertain and difficult to predict.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 To the extent the COVID-19 pandemic materially adversely affects our business and financial results, it may also have the effect of significantly heightening many of the other risks described in this Risk Factors section. </w:t>
      </w:r>
    </w:p>
    <w:p>
      <w:pPr>
        <w:pStyle w:val="TextBody"/>
        <w:spacing w:before="240" w:after="0"/>
        <w:jc w:val="left"/>
        <w:rPr>
          <w:rFonts w:ascii="Times New Roman" w:hAnsi="Times New Roman"/>
          <w:b/>
          <w:i/>
          <w:sz w:val="24"/>
        </w:rPr>
      </w:pPr>
      <w:r>
        <w:rPr>
          <w:rFonts w:ascii="Times New Roman" w:hAnsi="Times New Roman"/>
          <w:b/>
          <w:i/>
          <w:sz w:val="24"/>
        </w:rPr>
        <w:t xml:space="preserve">The U.K.’s withdrawal from the EU, commonly referred to as Brexit, could increase our cost of doing business or otherwise negatively impact our business, results of operations and financial condition. </w:t>
      </w:r>
    </w:p>
    <w:p>
      <w:pPr>
        <w:pStyle w:val="TextBody"/>
        <w:spacing w:before="240" w:after="0"/>
        <w:jc w:val="left"/>
        <w:rPr>
          <w:rFonts w:ascii="Times New Roman" w:hAnsi="Times New Roman"/>
          <w:sz w:val="24"/>
        </w:rPr>
      </w:pPr>
      <w:r>
        <w:rPr>
          <w:rFonts w:ascii="Times New Roman" w:hAnsi="Times New Roman"/>
          <w:sz w:val="24"/>
        </w:rPr>
        <w:t xml:space="preserve">Brexit could increase our cost of doing business or otherwise negatively impact our business, results of operations and financial condition. 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 </w:t>
      </w:r>
    </w:p>
    <w:p>
      <w:pPr>
        <w:pStyle w:val="TextBody"/>
        <w:spacing w:before="240" w:after="0"/>
        <w:jc w:val="left"/>
        <w:rPr>
          <w:rFonts w:ascii="Times New Roman" w:hAnsi="Times New Roman"/>
          <w:sz w:val="24"/>
        </w:rPr>
      </w:pPr>
      <w:r>
        <w:rPr>
          <w:rFonts w:ascii="Times New Roman" w:hAnsi="Times New Roman"/>
          <w:sz w:val="24"/>
        </w:rPr>
        <w:t xml:space="preserve">Since the end of the Brexit transition period on January 1, 2021, Great Britain (England, Scotland and Wales) has not been directly subject to EU laws, however under the terms of the Ireland/Northern Ireland Protocol, EU laws generally apply to Northern Ireland. It is currently unclear to what extent the U.K. Government will seek to align its regulations with the EU. The EU laws that have been transposed into U.K. law through secondary legislation remain applicable in Great Britain.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Clinical Trials Regulation (“CTR”) is not applicable in Great Britain. While the EU- U.K. Trade and Cooperation Agreement (“TCA”) includes the mutual recognition of Good Manufacturing Practice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Significant political and economic uncertainty remains about how much the relationship between the U.K. and EU will differ as a result of the U.K.’s withdrawal. </w:t>
      </w:r>
    </w:p>
    <w:p>
      <w:pPr>
        <w:pStyle w:val="TextBody"/>
        <w:spacing w:before="240" w:after="0"/>
        <w:jc w:val="left"/>
        <w:rPr>
          <w:rFonts w:ascii="Times New Roman" w:hAnsi="Times New Roman"/>
          <w:sz w:val="24"/>
        </w:rPr>
      </w:pPr>
      <w:r>
        <w:rPr>
          <w:rFonts w:ascii="Times New Roman" w:hAnsi="Times New Roman"/>
          <w:sz w:val="24"/>
        </w:rPr>
        <w:t xml:space="preserve">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activities conducted by third parties and contract manufacturers on our behalf. In addition to the foregoing, our U.K. operations support our current and future operations and clinical activities in other countries in the EU and EEA and these operations and clinical activities could be disrupted by the ongoing effects of Brexit. </w:t>
      </w:r>
    </w:p>
    <w:p>
      <w:pPr>
        <w:pStyle w:val="TextBody"/>
        <w:spacing w:before="240" w:after="0"/>
        <w:jc w:val="left"/>
        <w:rPr>
          <w:rFonts w:ascii="Times New Roman" w:hAnsi="Times New Roman"/>
          <w:sz w:val="24"/>
        </w:rPr>
      </w:pPr>
      <w:r>
        <w:rPr>
          <w:rFonts w:ascii="Times New Roman" w:hAnsi="Times New Roman"/>
          <w:sz w:val="24"/>
        </w:rPr>
        <w:t xml:space="preserve">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 The uncertainty around the U.K.’s future relationship with the EU continues to cause economic uncertainty which could adversely affect our business, financial condition and results of operations and could adversely affect the market price of our ADSs. </w:t>
      </w:r>
    </w:p>
    <w:p>
      <w:pPr>
        <w:pStyle w:val="TextBody"/>
        <w:spacing w:before="240" w:after="0"/>
        <w:jc w:val="left"/>
        <w:rPr>
          <w:rFonts w:ascii="Times New Roman" w:hAnsi="Times New Roman"/>
          <w:b/>
          <w:i/>
          <w:sz w:val="24"/>
        </w:rPr>
      </w:pPr>
      <w:r>
        <w:rPr>
          <w:rFonts w:ascii="Times New Roman" w:hAnsi="Times New Roman"/>
          <w:b/>
          <w:i/>
          <w:sz w:val="24"/>
        </w:rPr>
        <w:t xml:space="preserve">Following the licensing agreement for navicixizumab and the completion of a strategic partnership for setrusumab, and if we out-license or sell our non-core product candidates or out-license any of our core rare disease product candidates for any territories, we could be exposed to future liabilities. </w:t>
      </w:r>
    </w:p>
    <w:p>
      <w:pPr>
        <w:pStyle w:val="TextBody"/>
        <w:spacing w:before="240" w:after="0"/>
        <w:jc w:val="left"/>
        <w:rPr>
          <w:rFonts w:ascii="Times New Roman" w:hAnsi="Times New Roman"/>
          <w:sz w:val="24"/>
        </w:rPr>
      </w:pPr>
      <w:r>
        <w:rPr>
          <w:rFonts w:ascii="Times New Roman" w:hAnsi="Times New Roman"/>
          <w:sz w:val="24"/>
        </w:rPr>
        <w:t xml:space="preserve">In January 2021, we completed a strategic partnership for setrusumab and completed the out-license of navicixizumab in January 2020. We plan to partner or sell or out-license our non-core product candidates acumapimod for the treatment of AECOPD and leflutrozole for the treatment of male infertility associated with HH, recognizing the need for a larger sales infrastructure and greater resources to take these product candidates to market. </w:t>
      </w:r>
    </w:p>
    <w:p>
      <w:pPr>
        <w:pStyle w:val="TextBody"/>
        <w:spacing w:before="240" w:after="0"/>
        <w:jc w:val="left"/>
        <w:rPr>
          <w:rFonts w:ascii="Times New Roman" w:hAnsi="Times New Roman"/>
          <w:sz w:val="24"/>
        </w:rPr>
      </w:pPr>
      <w:r>
        <w:rPr>
          <w:rFonts w:ascii="Times New Roman" w:hAnsi="Times New Roman"/>
          <w:sz w:val="24"/>
        </w:rPr>
        <w:t xml:space="preserve">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 </w:t>
      </w:r>
    </w:p>
    <w:p>
      <w:pPr>
        <w:pStyle w:val="TextBody"/>
        <w:spacing w:before="240" w:after="0"/>
        <w:jc w:val="left"/>
        <w:rPr>
          <w:rFonts w:ascii="Times New Roman" w:hAnsi="Times New Roman"/>
          <w:sz w:val="24"/>
        </w:rPr>
      </w:pPr>
      <w:r>
        <w:rPr>
          <w:rFonts w:ascii="Times New Roman" w:hAnsi="Times New Roman"/>
          <w:sz w:val="24"/>
        </w:rPr>
        <w:t xml:space="preserve">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Our business is subject to economic, political, regulatory and other risks associated with international operations and business disruptions could seriously harm our financial condition and increase costs. </w:t>
      </w:r>
    </w:p>
    <w:p>
      <w:pPr>
        <w:pStyle w:val="TextBody"/>
        <w:spacing w:before="240" w:after="0"/>
        <w:jc w:val="left"/>
        <w:rPr>
          <w:rFonts w:ascii="Times New Roman" w:hAnsi="Times New Roman"/>
          <w:sz w:val="24"/>
        </w:rPr>
      </w:pPr>
      <w:r>
        <w:rPr>
          <w:rFonts w:ascii="Times New Roman" w:hAnsi="Times New Roman"/>
          <w:sz w:val="24"/>
        </w:rPr>
        <w:t xml:space="preserve">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economic weakness, including inflation, or political instability in particular non-U.K. economies and markets; </w:t>
            </w:r>
          </w:p>
        </w:tc>
      </w:tr>
    </w:tbl>
    <w:p>
      <w:pPr>
        <w:pStyle w:val="TextBody"/>
        <w:spacing w:before="0" w:after="0"/>
        <w:jc w:val="left"/>
        <w:rPr/>
      </w:pPr>
      <w:r>
        <w:rPr/>
        <w:t> </w:t>
      </w:r>
    </w:p>
    <w:tbl>
      <w:tblPr>
        <w:tblW w:w="7435" w:type="dxa"/>
        <w:jc w:val="left"/>
        <w:tblInd w:w="0" w:type="dxa"/>
        <w:tblCellMar>
          <w:top w:w="0" w:type="dxa"/>
          <w:left w:w="0" w:type="dxa"/>
          <w:bottom w:w="0" w:type="dxa"/>
          <w:right w:w="0" w:type="dxa"/>
        </w:tblCellMar>
      </w:tblPr>
      <w:tblGrid>
        <w:gridCol w:w="75"/>
        <w:gridCol w:w="110"/>
        <w:gridCol w:w="6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differing regulatory requirements for drug approvals in non-U.K. countries;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differing jurisdictions could present different issues for securing, maintaining, or obtaining freedom to operate for our intellectual property in such jurisdictions;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potentially reduced protection for intellectual property rights;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110"/>
        <w:gridCol w:w="60"/>
        <w:gridCol w:w="5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difficulties in compliance with non-U.K. laws and regulations; </w:t>
            </w:r>
          </w:p>
        </w:tc>
      </w:tr>
    </w:tbl>
    <w:p>
      <w:pPr>
        <w:pStyle w:val="TextBody"/>
        <w:spacing w:before="0" w:after="0"/>
        <w:jc w:val="left"/>
        <w:rPr/>
      </w:pPr>
      <w:r>
        <w:rPr/>
        <w:t> </w:t>
      </w:r>
    </w:p>
    <w:tbl>
      <w:tblPr>
        <w:tblW w:w="7120" w:type="dxa"/>
        <w:jc w:val="left"/>
        <w:tblInd w:w="0" w:type="dxa"/>
        <w:tblCellMar>
          <w:top w:w="0" w:type="dxa"/>
          <w:left w:w="0" w:type="dxa"/>
          <w:bottom w:w="0" w:type="dxa"/>
          <w:right w:w="0" w:type="dxa"/>
        </w:tblCellMar>
      </w:tblPr>
      <w:tblGrid>
        <w:gridCol w:w="75"/>
        <w:gridCol w:w="110"/>
        <w:gridCol w:w="60"/>
        <w:gridCol w:w="6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changes in non-U.K. regulations and customs, tariffs, and trade barriers; </w:t>
            </w:r>
          </w:p>
        </w:tc>
      </w:tr>
    </w:tbl>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changes in non-U.K. currency exchange rates of the pound sterling and currency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changes in a specific country’s or region’s political or economic environment, including the implications of the United Kingdom’s withdrawal from the EU;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trade protection measures, import or export licensing requirements or other restrictive actions by U.K. or non-U.K. governments; </w:t>
            </w:r>
          </w:p>
        </w:tc>
      </w:tr>
    </w:tbl>
    <w:p>
      <w:pPr>
        <w:pStyle w:val="TextBody"/>
        <w:spacing w:before="0" w:after="0"/>
        <w:jc w:val="left"/>
        <w:rPr/>
      </w:pPr>
      <w:r>
        <w:rPr/>
        <w:t> </w:t>
      </w:r>
    </w:p>
    <w:tbl>
      <w:tblPr>
        <w:tblW w:w="7900" w:type="dxa"/>
        <w:jc w:val="left"/>
        <w:tblInd w:w="0" w:type="dxa"/>
        <w:tblCellMar>
          <w:top w:w="0" w:type="dxa"/>
          <w:left w:w="0" w:type="dxa"/>
          <w:bottom w:w="0" w:type="dxa"/>
          <w:right w:w="0" w:type="dxa"/>
        </w:tblCellMar>
      </w:tblPr>
      <w:tblGrid>
        <w:gridCol w:w="75"/>
        <w:gridCol w:w="110"/>
        <w:gridCol w:w="60"/>
        <w:gridCol w:w="76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differing reimbursement regimes and price controls in certain non-U.K. markets; </w:t>
            </w:r>
          </w:p>
        </w:tc>
      </w:tr>
    </w:tbl>
    <w:p>
      <w:pPr>
        <w:pStyle w:val="TextBody"/>
        <w:spacing w:before="0" w:after="0"/>
        <w:jc w:val="left"/>
        <w:rPr/>
      </w:pPr>
      <w:r>
        <w:rPr/>
        <w:t> </w:t>
      </w:r>
    </w:p>
    <w:tbl>
      <w:tblPr>
        <w:tblW w:w="4975" w:type="dxa"/>
        <w:jc w:val="left"/>
        <w:tblInd w:w="0" w:type="dxa"/>
        <w:tblCellMar>
          <w:top w:w="0" w:type="dxa"/>
          <w:left w:w="0" w:type="dxa"/>
          <w:bottom w:w="0" w:type="dxa"/>
          <w:right w:w="0" w:type="dxa"/>
        </w:tblCellMar>
      </w:tblPr>
      <w:tblGrid>
        <w:gridCol w:w="75"/>
        <w:gridCol w:w="110"/>
        <w:gridCol w:w="60"/>
        <w:gridCol w:w="4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negative consequences from changes in tax laws;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compliance with tax, employment, immigration, and labor laws for employees living or traveling outside of the United Kingdom; </w:t>
            </w:r>
          </w:p>
        </w:tc>
      </w:tr>
    </w:tbl>
    <w:p>
      <w:pPr>
        <w:pStyle w:val="TextBody"/>
        <w:spacing w:before="0" w:after="0"/>
        <w:jc w:val="left"/>
        <w:rPr/>
      </w:pPr>
      <w:r>
        <w:rPr/>
        <w:t> </w:t>
      </w:r>
    </w:p>
    <w:tbl>
      <w:tblPr>
        <w:tblW w:w="9805" w:type="dxa"/>
        <w:jc w:val="left"/>
        <w:tblInd w:w="0" w:type="dxa"/>
        <w:tblCellMar>
          <w:top w:w="0" w:type="dxa"/>
          <w:left w:w="0" w:type="dxa"/>
          <w:bottom w:w="0" w:type="dxa"/>
          <w:right w:w="0" w:type="dxa"/>
        </w:tblCellMar>
      </w:tblPr>
      <w:tblGrid>
        <w:gridCol w:w="75"/>
        <w:gridCol w:w="110"/>
        <w:gridCol w:w="60"/>
        <w:gridCol w:w="9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workforce uncertainty in countries where labor unrest is more common than in the United Kingdom;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difficulties associated with staffing and managing international operations, including differing labor relations;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production shortages resulting from any events affecting raw material supply or manufacturing capabilities abroad;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business interruptions resulting from geo-political actions, including war and terrorism, health epidemics and other widespread outbreaks of contagious disease, or natural disasters, including earthquakes, typhoons, hurricanes, floods and fires; and </w:t>
            </w:r>
          </w:p>
        </w:tc>
      </w:tr>
    </w:tbl>
    <w:p>
      <w:pPr>
        <w:pStyle w:val="TextBody"/>
        <w:spacing w:before="0" w:after="0"/>
        <w:jc w:val="left"/>
        <w:rPr/>
      </w:pPr>
      <w:r>
        <w:rPr/>
        <w:t> </w:t>
      </w:r>
    </w:p>
    <w:tbl>
      <w:tblPr>
        <w:tblW w:w="9130" w:type="dxa"/>
        <w:jc w:val="left"/>
        <w:tblInd w:w="0" w:type="dxa"/>
        <w:tblCellMar>
          <w:top w:w="0" w:type="dxa"/>
          <w:left w:w="0" w:type="dxa"/>
          <w:bottom w:w="0" w:type="dxa"/>
          <w:right w:w="0" w:type="dxa"/>
        </w:tblCellMar>
      </w:tblPr>
      <w:tblGrid>
        <w:gridCol w:w="75"/>
        <w:gridCol w:w="110"/>
        <w:gridCol w:w="60"/>
        <w:gridCol w:w="8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business interruptions resulting from the COVID-19 pandemic or any other health epidemics. </w:t>
            </w:r>
          </w:p>
        </w:tc>
      </w:tr>
    </w:tbl>
    <w:p>
      <w:pPr>
        <w:pStyle w:val="TextBody"/>
        <w:spacing w:before="240" w:after="0"/>
        <w:jc w:val="left"/>
        <w:rPr>
          <w:rFonts w:ascii="Times New Roman" w:hAnsi="Times New Roman"/>
          <w:sz w:val="24"/>
        </w:rPr>
      </w:pPr>
      <w:r>
        <w:rPr>
          <w:rFonts w:ascii="Times New Roman" w:hAnsi="Times New Roman"/>
          <w:sz w:val="24"/>
        </w:rPr>
        <w:t xml:space="preserve">For example, the COVID-19 pandemic resulted in delays in our ability to enroll and treat patients, obtaining data from our clinical trials, our ability to recruit additional patients to our clinical trials and to screen new patients for eligibility for our clinical trials. Additionally, the after-effects of supply chains disruptions may impact our development activities. Moreover, in February 2022, tensions between the United States and Russia escalated when Russia invaded Ukraine. In response, The North Atlantic Treaty Organization, or NATO, has deployed additional military forces to Eastern Europe and the United States, United Kingdom and the EU, among others, have significantly expanded their Trade Controls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 in this region. </w:t>
      </w:r>
    </w:p>
    <w:p>
      <w:pPr>
        <w:pStyle w:val="TextBody"/>
        <w:spacing w:before="240" w:after="0"/>
        <w:jc w:val="left"/>
        <w:rPr>
          <w:rFonts w:ascii="Times New Roman" w:hAnsi="Times New Roman"/>
          <w:b/>
          <w:i/>
          <w:sz w:val="24"/>
        </w:rPr>
      </w:pPr>
      <w:r>
        <w:rPr>
          <w:rFonts w:ascii="Times New Roman" w:hAnsi="Times New Roman"/>
          <w:b/>
          <w:i/>
          <w:sz w:val="24"/>
        </w:rPr>
        <w:t xml:space="preserve">Our future growth and ability to compete depends on retaining our key personnel and recruiting additional qualified personnel. </w:t>
      </w:r>
    </w:p>
    <w:p>
      <w:pPr>
        <w:pStyle w:val="TextBody"/>
        <w:spacing w:before="240" w:after="0"/>
        <w:jc w:val="left"/>
        <w:rPr>
          <w:rFonts w:ascii="Times New Roman" w:hAnsi="Times New Roman"/>
          <w:sz w:val="24"/>
        </w:rPr>
      </w:pPr>
      <w:r>
        <w:rPr>
          <w:rFonts w:ascii="Times New Roman" w:hAnsi="Times New Roman"/>
          <w:sz w:val="24"/>
        </w:rPr>
        <w:t xml:space="preserve">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 </w:t>
      </w:r>
    </w:p>
    <w:p>
      <w:pPr>
        <w:pStyle w:val="TextBody"/>
        <w:spacing w:before="240" w:after="0"/>
        <w:jc w:val="left"/>
        <w:rPr>
          <w:rFonts w:ascii="Times New Roman" w:hAnsi="Times New Roman"/>
          <w:sz w:val="24"/>
        </w:rPr>
      </w:pPr>
      <w:r>
        <w:rPr>
          <w:rFonts w:ascii="Times New Roman" w:hAnsi="Times New Roman"/>
          <w:sz w:val="24"/>
        </w:rPr>
        <w:t xml:space="preserve">We aim to expand our development, regulatory, and sales and marketing capabilities, and as a result, we may encounter difficulties in managing our planned growth, which could disrupt our operations. </w:t>
      </w:r>
    </w:p>
    <w:p>
      <w:pPr>
        <w:pStyle w:val="TextBody"/>
        <w:spacing w:before="240" w:after="0"/>
        <w:jc w:val="left"/>
        <w:rPr>
          <w:rFonts w:ascii="Times New Roman" w:hAnsi="Times New Roman"/>
          <w:sz w:val="24"/>
        </w:rPr>
      </w:pPr>
      <w:r>
        <w:rPr>
          <w:rFonts w:ascii="Times New Roman" w:hAnsi="Times New Roman"/>
          <w:sz w:val="24"/>
        </w:rPr>
        <w:t xml:space="preserve">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spacing w:before="240" w:after="0"/>
        <w:jc w:val="left"/>
        <w:rPr>
          <w:rFonts w:ascii="Times New Roman" w:hAnsi="Times New Roman"/>
          <w:sz w:val="24"/>
        </w:rPr>
      </w:pPr>
      <w:r>
        <w:rPr>
          <w:rFonts w:ascii="Times New Roman" w:hAnsi="Times New Roman"/>
          <w:b/>
          <w:i/>
          <w:sz w:val="24"/>
        </w:rPr>
        <w:t>Changes in our tax rates, unavailability of certain tax credits or reliefs, or exposure to additional tax liabilities or assessments could adversely affect our results of operations and financial condition.</w:t>
      </w:r>
      <w:r>
        <w:rPr>
          <w:rFonts w:ascii="Times New Roman" w:hAnsi="Times New Roman"/>
          <w:sz w:val="24"/>
        </w:rPr>
        <w:t xml:space="preserve"> </w:t>
      </w:r>
    </w:p>
    <w:p>
      <w:pPr>
        <w:pStyle w:val="TextBody"/>
        <w:spacing w:before="240" w:after="0"/>
        <w:jc w:val="left"/>
        <w:rPr>
          <w:rFonts w:ascii="Times New Roman" w:hAnsi="Times New Roman"/>
          <w:sz w:val="24"/>
        </w:rPr>
      </w:pPr>
      <w:r>
        <w:rPr>
          <w:rFonts w:ascii="Times New Roman" w:hAnsi="Times New Roman"/>
          <w:sz w:val="24"/>
        </w:rPr>
        <w:t xml:space="preserve">As a U.K. resident trading entity, we are subject to U.K. corporate taxation. Due to the nature of our business, we have generated operating losses since formation. As at December 31, 2022, 2021 and 2020, we had cumulative carry-forward tax losses of 125.8 million, 122.6 million and 136.9 million, respectively. The availability to carry forward and offset these tax loss carry-forwards against future operating profits is subject to certain restrictions. </w:t>
      </w:r>
    </w:p>
    <w:p>
      <w:pPr>
        <w:pStyle w:val="TextBody"/>
        <w:spacing w:before="240" w:after="0"/>
        <w:jc w:val="left"/>
        <w:rPr>
          <w:rFonts w:ascii="Times New Roman" w:hAnsi="Times New Roman"/>
          <w:sz w:val="24"/>
        </w:rPr>
      </w:pPr>
      <w:r>
        <w:rPr>
          <w:rFonts w:ascii="Times New Roman" w:hAnsi="Times New Roman"/>
          <w:sz w:val="24"/>
        </w:rPr>
        <w:t xml:space="preserve">As a company that carries out extensive research and development (“R&amp;D”) activities, we benefit from the U.K. HM Revenue and Customs (“HMRC”) small and medium sized enterprises research and development relief, or SME R&amp;D Relief, which provides relief against U.K. Corporation Tax and enables us to surrender some of our trading losses that arise from our research and development activities for a cash rebate. To date, a cash rebate of up to 33.35% of eligible R&amp;D expenditure has been available, but the cash rebate will reduce to a maximum of 27% for R&amp;D intensive companies where at least 40% of their total expenditure in on qualifying R&amp;D, or to 18.6% of eligible R&amp;D expenditure for other companies, with effect from April 1, 2023 pursuant to changes made by the Finance Act 2023. Certain subcontracted qualifying research expenditures are eligible for a cash rebate though the rate of the cash rebate will reduce with effect from April 1, 2023, from up to 21.67% of the subcontracted expenditures to 17.53% for R&amp;D intensive companies or 12.09% for other companies. In addition, we may not be able to continue to claim payable R&amp;D tax credits in the future because we may no longer qualify as a small or mediumsized company. In that case, we would expect to benefit from the taxable credit for qualifying R&amp;D expenditure under the R&amp;D Expenditure Credit (RDEC) scheme available to large companies which may be either offset against corporation tax liabilities or paid net of tax as a cash credit where there is no liability in the future.. Subcontracted expenditure is not however a qualifying cost under the RDEC scheme. 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 forwards and certain built-in losses to reduce future tax payments, our business, results of operations, and financial condition may be adversely affected. In particular, HM Treasury and HMRC launched a consultation in January 2023 entitled “R&amp;D Tax Reliefs Review, Consultation on a single scheme” which seeks views on the possible merger of the SME R&amp;D Relief scheme and the RDEC scheme applicable to large companies, the outcome of which may be further changes to the reliefs available to us. If it is decided to merge the schemes, any new regime is expected to apply with effect from April 1, 2024. </w:t>
      </w:r>
    </w:p>
    <w:p>
      <w:pPr>
        <w:pStyle w:val="TextBody"/>
        <w:spacing w:before="240" w:after="0"/>
        <w:jc w:val="left"/>
        <w:rPr>
          <w:rFonts w:ascii="Times New Roman" w:hAnsi="Times New Roman"/>
          <w:sz w:val="24"/>
        </w:rPr>
      </w:pPr>
      <w:r>
        <w:rPr>
          <w:rFonts w:ascii="Times New Roman" w:hAnsi="Times New Roman"/>
          <w:sz w:val="24"/>
        </w:rPr>
        <w:t xml:space="preserve">New rules were introduced, effective for accounting periods starting after April 1, 2021, whereby the amount of SME payable R&amp;D tax credit that a business can receive in any one year will be capped at £20,000 plus three times the company’s total Pay As You Earn (PAYE) and National Insurance contributions (NIC) liability. Exemptions to the cap have been introduced which are available to companies that meet certain conditions. We do not believe these changes could have an impact on our tax credit for the year ending December 31, 2022, which would be payable in 2023. If tax authorities challenge our determinations and/or audit prior periods there could be adverse tax consequences to us that could adversely affect our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Risks Related to Development, Clinical Testing, Manufacturing and Regulatory Approval </w:t>
      </w:r>
    </w:p>
    <w:p>
      <w:pPr>
        <w:pStyle w:val="TextBody"/>
        <w:spacing w:before="120" w:after="0"/>
        <w:jc w:val="left"/>
        <w:rPr>
          <w:rFonts w:ascii="Times New Roman" w:hAnsi="Times New Roman"/>
          <w:b/>
          <w:i/>
          <w:sz w:val="24"/>
        </w:rPr>
      </w:pPr>
      <w:r>
        <w:rPr>
          <w:rFonts w:ascii="Times New Roman" w:hAnsi="Times New Roman"/>
          <w:b/>
          <w:i/>
          <w:sz w:val="24"/>
        </w:rPr>
        <w:t xml:space="preserve">Prior to our acquisition of setrusumab, alvelestat,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 </w:t>
      </w:r>
    </w:p>
    <w:p>
      <w:pPr>
        <w:pStyle w:val="TextBody"/>
        <w:spacing w:before="240" w:after="0"/>
        <w:jc w:val="left"/>
        <w:rPr>
          <w:rFonts w:ascii="Times New Roman" w:hAnsi="Times New Roman"/>
          <w:sz w:val="24"/>
        </w:rPr>
      </w:pPr>
      <w:r>
        <w:rPr>
          <w:rFonts w:ascii="Times New Roman" w:hAnsi="Times New Roman"/>
          <w:sz w:val="24"/>
        </w:rPr>
        <w:t xml:space="preserve">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 </w:t>
      </w:r>
    </w:p>
    <w:p>
      <w:pPr>
        <w:pStyle w:val="TextBody"/>
        <w:spacing w:before="240" w:after="0"/>
        <w:jc w:val="left"/>
        <w:rPr>
          <w:rFonts w:ascii="Times New Roman" w:hAnsi="Times New Roman"/>
          <w:b/>
          <w:i/>
          <w:sz w:val="24"/>
        </w:rPr>
      </w:pPr>
      <w:r>
        <w:rPr>
          <w:rFonts w:ascii="Times New Roman" w:hAnsi="Times New Roman"/>
          <w:b/>
          <w:i/>
          <w:sz w:val="24"/>
        </w:rPr>
        <w:t xml:space="preserve">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 </w:t>
      </w:r>
    </w:p>
    <w:p>
      <w:pPr>
        <w:pStyle w:val="TextBody"/>
        <w:spacing w:before="240" w:after="0"/>
        <w:jc w:val="left"/>
        <w:rPr>
          <w:rFonts w:ascii="Times New Roman" w:hAnsi="Times New Roman"/>
          <w:sz w:val="24"/>
        </w:rPr>
      </w:pPr>
      <w:r>
        <w:rPr>
          <w:rFonts w:ascii="Times New Roman" w:hAnsi="Times New Roman"/>
          <w:sz w:val="24"/>
        </w:rPr>
        <w:t xml:space="preserve">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 </w:t>
      </w:r>
    </w:p>
    <w:p>
      <w:pPr>
        <w:pStyle w:val="TextBody"/>
        <w:spacing w:before="240" w:after="0"/>
        <w:jc w:val="left"/>
        <w:rPr>
          <w:rFonts w:ascii="Times New Roman" w:hAnsi="Times New Roman"/>
          <w:sz w:val="24"/>
        </w:rPr>
      </w:pPr>
      <w:r>
        <w:rPr>
          <w:rFonts w:ascii="Times New Roman" w:hAnsi="Times New Roman"/>
          <w:sz w:val="24"/>
        </w:rPr>
        <w:t xml:space="preserve">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 </w:t>
      </w:r>
    </w:p>
    <w:p>
      <w:pPr>
        <w:pStyle w:val="TextBody"/>
        <w:spacing w:before="240" w:after="0"/>
        <w:jc w:val="left"/>
        <w:rPr>
          <w:rFonts w:ascii="Times New Roman" w:hAnsi="Times New Roman"/>
          <w:sz w:val="24"/>
        </w:rPr>
      </w:pPr>
      <w:r>
        <w:rPr>
          <w:rFonts w:ascii="Times New Roman" w:hAnsi="Times New Roman"/>
          <w:sz w:val="24"/>
        </w:rPr>
        <w:t xml:space="preserve">We do not know whether our planned clinical trials will begin on time or be completed on schedule, if at all. The commencement, data readouts and completion of clinical trials can be delayed for a number of reasons, including delays related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inability to generate sufficient preclinical, toxicology, or other </w:t>
            </w:r>
            <w:r>
              <w:rPr>
                <w:rFonts w:ascii="Times New Roman" w:hAnsi="Times New Roman"/>
                <w:i/>
                <w:sz w:val="24"/>
              </w:rPr>
              <w:t>in vivo</w:t>
            </w:r>
            <w:r>
              <w:rPr>
                <w:rFonts w:ascii="Times New Roman" w:hAnsi="Times New Roman"/>
                <w:sz w:val="24"/>
              </w:rPr>
              <w:t xml:space="preserve"> or </w:t>
            </w:r>
            <w:r>
              <w:rPr>
                <w:rFonts w:ascii="Times New Roman" w:hAnsi="Times New Roman"/>
                <w:i/>
                <w:sz w:val="24"/>
              </w:rPr>
              <w:t>in vitro</w:t>
            </w:r>
            <w:r>
              <w:rPr>
                <w:rFonts w:ascii="Times New Roman" w:hAnsi="Times New Roman"/>
                <w:sz w:val="24"/>
              </w:rPr>
              <w:t xml:space="preserve"> data to support the initiation or continuation of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Obtaining allowance or approval from regulatory authorities to commence a trial or reaching a consensus with regulatory authorities on trial design;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FDA, EMA or comparable foreign regulatory authorities disagreeing as to the design or implementation of our clinical trials;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spacing w:before="0" w:after="0"/>
        <w:jc w:val="left"/>
        <w:rPr/>
      </w:pPr>
      <w:r>
        <w:rPr/>
        <w:t> </w:t>
      </w:r>
    </w:p>
    <w:tbl>
      <w:tblPr>
        <w:tblW w:w="7285" w:type="dxa"/>
        <w:jc w:val="left"/>
        <w:tblInd w:w="0" w:type="dxa"/>
        <w:tblCellMar>
          <w:top w:w="0" w:type="dxa"/>
          <w:left w:w="0" w:type="dxa"/>
          <w:bottom w:w="0" w:type="dxa"/>
          <w:right w:w="0" w:type="dxa"/>
        </w:tblCellMar>
      </w:tblPr>
      <w:tblGrid>
        <w:gridCol w:w="75"/>
        <w:gridCol w:w="110"/>
        <w:gridCol w:w="6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delays in identifying, recruiting and training suitable clinical investigators;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obtaining approval or positive opinion from one or more institutional review boards (“IRBs”), or ethics committees at clinical trial sites;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IRBs refusing to approve, suspending or terminating the trial at an investigational site, precluding enrollment of additional subjects, or withdrawing their approval of the trial;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changes or amendments to the clinical trial protocol; </w:t>
            </w:r>
          </w:p>
        </w:tc>
      </w:tr>
    </w:tbl>
    <w:p>
      <w:pPr>
        <w:pStyle w:val="TextBody"/>
        <w:spacing w:before="0" w:after="0"/>
        <w:jc w:val="left"/>
        <w:rPr/>
      </w:pPr>
      <w:r>
        <w:rPr/>
        <w:t> </w:t>
      </w:r>
    </w:p>
    <w:tbl>
      <w:tblPr>
        <w:tblW w:w="6955" w:type="dxa"/>
        <w:jc w:val="left"/>
        <w:tblInd w:w="0" w:type="dxa"/>
        <w:tblCellMar>
          <w:top w:w="0" w:type="dxa"/>
          <w:left w:w="0" w:type="dxa"/>
          <w:bottom w:w="0" w:type="dxa"/>
          <w:right w:w="0" w:type="dxa"/>
        </w:tblCellMar>
      </w:tblPr>
      <w:tblGrid>
        <w:gridCol w:w="75"/>
        <w:gridCol w:w="110"/>
        <w:gridCol w:w="60"/>
        <w:gridCol w:w="6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clinical sites deviating from the trial protocol or dropping out of a trial;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failure by our CROs to perform in accordance with GCP requirements or applicable regulatory rules and guidelines in other countries;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manufacturing sufficient quantities of our product candidates, or obtaining sufficient quantities of combination therapies for use in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subjects failing to enroll or remain in our trials at the rate we expect, or failing to return for post-treatment follow-up, including subjects failing to remain in our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patients choosing an alternative product for the indications for which we are developing our product candidates, or participating in competing clinical trials; </w:t>
            </w:r>
          </w:p>
        </w:tc>
      </w:tr>
    </w:tbl>
    <w:p>
      <w:pPr>
        <w:pStyle w:val="TextBody"/>
        <w:spacing w:before="0" w:after="0"/>
        <w:jc w:val="left"/>
        <w:rPr/>
      </w:pPr>
      <w:r>
        <w:rPr/>
        <w:t> </w:t>
      </w:r>
    </w:p>
    <w:tbl>
      <w:tblPr>
        <w:tblW w:w="9070" w:type="dxa"/>
        <w:jc w:val="left"/>
        <w:tblInd w:w="0" w:type="dxa"/>
        <w:tblCellMar>
          <w:top w:w="0" w:type="dxa"/>
          <w:left w:w="0" w:type="dxa"/>
          <w:bottom w:w="0" w:type="dxa"/>
          <w:right w:w="0" w:type="dxa"/>
        </w:tblCellMar>
      </w:tblPr>
      <w:tblGrid>
        <w:gridCol w:w="75"/>
        <w:gridCol w:w="110"/>
        <w:gridCol w:w="60"/>
        <w:gridCol w:w="88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lack of adequate funding to continue a clinical trial, or costs being greater than we anticipate; </w:t>
            </w:r>
          </w:p>
        </w:tc>
      </w:tr>
    </w:tbl>
    <w:p>
      <w:pPr>
        <w:pStyle w:val="TextBody"/>
        <w:spacing w:before="0" w:after="0"/>
        <w:jc w:val="left"/>
        <w:rPr/>
      </w:pPr>
      <w:r>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subjects experiencing severe or serious unexpected drug-related adverse effects;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occurrence of serious adverse events in trials of the same class of agents conducted by other companies that could be considered similar to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selection of clinical endpoints that require prolonged periods of clinical observation or extended analysis of the resulting data;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 </w:t>
            </w:r>
          </w:p>
        </w:tc>
      </w:tr>
    </w:tbl>
    <w:p>
      <w:pPr>
        <w:pStyle w:val="TextBody"/>
        <w:spacing w:before="0" w:after="0"/>
        <w:jc w:val="left"/>
        <w:rPr/>
      </w:pPr>
      <w:r>
        <w:rPr/>
        <w:t> </w:t>
      </w:r>
    </w:p>
    <w:tbl>
      <w:tblPr>
        <w:tblW w:w="9895" w:type="dxa"/>
        <w:jc w:val="left"/>
        <w:tblInd w:w="0" w:type="dxa"/>
        <w:tblCellMar>
          <w:top w:w="0" w:type="dxa"/>
          <w:left w:w="0" w:type="dxa"/>
          <w:bottom w:w="0" w:type="dxa"/>
          <w:right w:w="0" w:type="dxa"/>
        </w:tblCellMar>
      </w:tblPr>
      <w:tblGrid>
        <w:gridCol w:w="75"/>
        <w:gridCol w:w="110"/>
        <w:gridCol w:w="60"/>
        <w:gridCol w:w="9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third parties being unwilling or unable to satisfy their contractual obligations to us in a timely manner. </w:t>
            </w:r>
          </w:p>
        </w:tc>
      </w:tr>
    </w:tbl>
    <w:p>
      <w:pPr>
        <w:pStyle w:val="TextBody"/>
        <w:spacing w:before="240" w:after="0"/>
        <w:jc w:val="left"/>
        <w:rPr>
          <w:rFonts w:ascii="Times New Roman" w:hAnsi="Times New Roman"/>
          <w:sz w:val="24"/>
        </w:rPr>
      </w:pPr>
      <w:r>
        <w:rPr>
          <w:rFonts w:ascii="Times New Roman" w:hAnsi="Times New Roman"/>
          <w:sz w:val="24"/>
        </w:rPr>
        <w:t xml:space="preserve">In addition, disruptions caused by the COVID-19 pandemic, or any other similar pandemic, may increase the likelihood that we encounter such difficulties or delays in initiating, enrolling, conducting or completing our planned and ongoing clinical trials. </w:t>
      </w:r>
    </w:p>
    <w:p>
      <w:pPr>
        <w:pStyle w:val="TextBody"/>
        <w:spacing w:before="240" w:after="0"/>
        <w:jc w:val="left"/>
        <w:rPr>
          <w:rFonts w:ascii="Times New Roman" w:hAnsi="Times New Roman"/>
          <w:sz w:val="24"/>
        </w:rPr>
      </w:pPr>
      <w:r>
        <w:rPr>
          <w:rFonts w:ascii="Times New Roman" w:hAnsi="Times New Roman"/>
          <w:sz w:val="24"/>
        </w:rPr>
        <w:t xml:space="preserve">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requirements or applicable clinical trial protocols, adverse findings from inspections of clinical trial sites by the FDA, EMA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w:t>
      </w:r>
    </w:p>
    <w:p>
      <w:pPr>
        <w:pStyle w:val="TextBody"/>
        <w:spacing w:before="240" w:after="0"/>
        <w:jc w:val="left"/>
        <w:rPr>
          <w:rFonts w:ascii="Times New Roman" w:hAnsi="Times New Roman"/>
          <w:sz w:val="24"/>
        </w:rPr>
      </w:pPr>
      <w:r>
        <w:rPr>
          <w:rFonts w:ascii="Times New Roman" w:hAnsi="Times New Roman"/>
          <w:sz w:val="24"/>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w:t>
      </w:r>
    </w:p>
    <w:p>
      <w:pPr>
        <w:pStyle w:val="TextBody"/>
        <w:spacing w:before="240" w:after="0"/>
        <w:jc w:val="left"/>
        <w:rPr>
          <w:rFonts w:ascii="Times New Roman" w:hAnsi="Times New Roman"/>
          <w:sz w:val="24"/>
        </w:rPr>
      </w:pPr>
      <w:r>
        <w:rPr>
          <w:rFonts w:ascii="Times New Roman" w:hAnsi="Times New Roman"/>
          <w:sz w:val="24"/>
        </w:rPr>
        <w:t xml:space="preserve">If we are slow or unable to adapt to changes in existing requirements or the adoption of new requirements or policies governing clinical trials, our development plans may be impacted. </w:t>
      </w:r>
    </w:p>
    <w:p>
      <w:pPr>
        <w:pStyle w:val="TextBody"/>
        <w:spacing w:before="240" w:after="0"/>
        <w:jc w:val="left"/>
        <w:rPr>
          <w:rFonts w:ascii="Times New Roman" w:hAnsi="Times New Roman"/>
          <w:sz w:val="24"/>
        </w:rPr>
      </w:pPr>
      <w:r>
        <w:rPr>
          <w:rFonts w:ascii="Times New Roman" w:hAnsi="Times New Roman"/>
          <w:sz w:val="24"/>
        </w:rPr>
        <w:t xml:space="preserve">It is currently unclear to what extent the U.K., will seek to align its clinical trials legislation with the EU. The U.K. regulatory framework in relation to clinical trials is derived from EU clinical trials legislation which pre-dated the CTR (as implemented into U.K. law, through secondary legislation). On January 17, 2022, the U.K. Medicines and Healthcare products Regulatory Agency (“MHRA”) launched an eight-week consultation on reframing the U.K. legislation for clinical trials. The outcome of the consultation has not yet been published, but will be closely watched as it will determine whether the U.K. chooses to align with the CTR or diverge from it to maintain regulatory flexibility. A decision by the U.K. Government not to closely align its regulations with the new approach that has been adopted in the EU may have an effect on the cost of conducting clinical trials in the U.K. as opposed to other countries. If there are divergent local requirements in Great Britain from the EU in the future, this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w:t>
      </w:r>
    </w:p>
    <w:p>
      <w:pPr>
        <w:pStyle w:val="TextBody"/>
        <w:spacing w:before="240" w:after="0"/>
        <w:jc w:val="left"/>
        <w:rPr>
          <w:rFonts w:ascii="Times New Roman" w:hAnsi="Times New Roman"/>
          <w:sz w:val="24"/>
        </w:rPr>
      </w:pPr>
      <w:r>
        <w:rPr>
          <w:rFonts w:ascii="Times New Roman" w:hAnsi="Times New Roman"/>
          <w:sz w:val="24"/>
        </w:rPr>
        <w:t xml:space="preserve">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spacing w:before="240" w:after="0"/>
        <w:jc w:val="left"/>
        <w:rPr>
          <w:rFonts w:ascii="Times New Roman" w:hAnsi="Times New Roman"/>
          <w:sz w:val="24"/>
        </w:rPr>
      </w:pPr>
      <w:r>
        <w:rPr>
          <w:rFonts w:ascii="Times New Roman" w:hAnsi="Times New Roman"/>
          <w:sz w:val="24"/>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 </w:t>
      </w:r>
    </w:p>
    <w:p>
      <w:pPr>
        <w:pStyle w:val="TextBody"/>
        <w:spacing w:before="240" w:after="0"/>
        <w:jc w:val="left"/>
        <w:rPr>
          <w:rFonts w:ascii="Times New Roman" w:hAnsi="Times New Roman"/>
          <w:b/>
          <w:i/>
          <w:sz w:val="24"/>
        </w:rPr>
      </w:pPr>
      <w:r>
        <w:rPr>
          <w:rFonts w:ascii="Times New Roman" w:hAnsi="Times New Roman"/>
          <w:b/>
          <w:i/>
          <w:sz w:val="24"/>
        </w:rPr>
        <w:t xml:space="preserve">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 </w:t>
      </w:r>
    </w:p>
    <w:p>
      <w:pPr>
        <w:pStyle w:val="TextBody"/>
        <w:spacing w:before="240" w:after="0"/>
        <w:jc w:val="left"/>
        <w:rPr>
          <w:rFonts w:ascii="Times New Roman" w:hAnsi="Times New Roman"/>
          <w:sz w:val="24"/>
        </w:rPr>
      </w:pPr>
      <w:r>
        <w:rPr>
          <w:rFonts w:ascii="Times New Roman" w:hAnsi="Times New Roman"/>
          <w:sz w:val="24"/>
        </w:rPr>
        <w:t xml:space="preserve">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spacing w:before="240" w:after="0"/>
        <w:jc w:val="left"/>
        <w:rPr>
          <w:rFonts w:ascii="Times New Roman" w:hAnsi="Times New Roman"/>
          <w:sz w:val="24"/>
        </w:rPr>
      </w:pPr>
      <w:r>
        <w:rPr>
          <w:rFonts w:ascii="Times New Roman" w:hAnsi="Times New Roman"/>
          <w:sz w:val="24"/>
        </w:rPr>
        <w:t xml:space="preserve">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 </w:t>
      </w:r>
    </w:p>
    <w:p>
      <w:pPr>
        <w:pStyle w:val="TextBody"/>
        <w:spacing w:before="240" w:after="0"/>
        <w:jc w:val="left"/>
        <w:rPr>
          <w:rFonts w:ascii="Times New Roman" w:hAnsi="Times New Roman"/>
          <w:sz w:val="24"/>
        </w:rPr>
      </w:pPr>
      <w:r>
        <w:rPr>
          <w:rFonts w:ascii="Times New Roman" w:hAnsi="Times New Roman"/>
          <w:sz w:val="24"/>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spacing w:before="240" w:after="0"/>
        <w:jc w:val="left"/>
        <w:rPr>
          <w:rFonts w:ascii="Times New Roman" w:hAnsi="Times New Roman"/>
          <w:b/>
          <w:i/>
          <w:sz w:val="24"/>
        </w:rPr>
      </w:pPr>
      <w:r>
        <w:rPr>
          <w:rFonts w:ascii="Times New Roman" w:hAnsi="Times New Roman"/>
          <w:b/>
          <w:i/>
          <w:sz w:val="24"/>
        </w:rPr>
        <w:t xml:space="preserve">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 </w:t>
      </w:r>
    </w:p>
    <w:p>
      <w:pPr>
        <w:pStyle w:val="TextBody"/>
        <w:spacing w:before="240" w:after="0"/>
        <w:jc w:val="left"/>
        <w:rPr>
          <w:rFonts w:ascii="Times New Roman" w:hAnsi="Times New Roman"/>
          <w:sz w:val="24"/>
        </w:rPr>
      </w:pPr>
      <w:r>
        <w:rPr>
          <w:rFonts w:ascii="Times New Roman" w:hAnsi="Times New Roman"/>
          <w:sz w:val="24"/>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spacing w:before="240" w:after="0"/>
        <w:jc w:val="left"/>
        <w:rPr>
          <w:rFonts w:ascii="Times New Roman" w:hAnsi="Times New Roman"/>
          <w:sz w:val="24"/>
        </w:rPr>
      </w:pPr>
      <w:r>
        <w:rPr>
          <w:rFonts w:ascii="Times New Roman" w:hAnsi="Times New Roman"/>
          <w:sz w:val="24"/>
        </w:rPr>
        <w:t xml:space="preserve">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regulatory authorities may withdraw or modify approvals of any such product and require us to take it off the market;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regulatory authorities may require the addition of labeling statements, specific warnings, a contraindication or field alerts to physicians and pharmacies;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 required to change the way a product is administered, conduct additional clinical trials or change the labeling of a product; </w:t>
            </w:r>
          </w:p>
        </w:tc>
      </w:tr>
    </w:tbl>
    <w:p>
      <w:pPr>
        <w:pStyle w:val="TextBody"/>
        <w:spacing w:before="0" w:after="0"/>
        <w:jc w:val="left"/>
        <w:rPr/>
      </w:pPr>
      <w:r>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 subject to limitations on how we may promote the product; </w:t>
            </w:r>
          </w:p>
        </w:tc>
      </w:tr>
    </w:tbl>
    <w:p>
      <w:pPr>
        <w:pStyle w:val="TextBody"/>
        <w:spacing w:before="0" w:after="0"/>
        <w:jc w:val="left"/>
        <w:rPr/>
      </w:pPr>
      <w:r>
        <w:rPr/>
        <w:t> </w:t>
      </w:r>
    </w:p>
    <w:tbl>
      <w:tblPr>
        <w:tblW w:w="4780" w:type="dxa"/>
        <w:jc w:val="left"/>
        <w:tblInd w:w="0" w:type="dxa"/>
        <w:tblCellMar>
          <w:top w:w="0" w:type="dxa"/>
          <w:left w:w="0" w:type="dxa"/>
          <w:bottom w:w="0" w:type="dxa"/>
          <w:right w:w="0" w:type="dxa"/>
        </w:tblCellMar>
      </w:tblPr>
      <w:tblGrid>
        <w:gridCol w:w="75"/>
        <w:gridCol w:w="110"/>
        <w:gridCol w:w="60"/>
        <w:gridCol w:w="4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sales of the product may decrease significantly;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third-party private or government payors may not offer, or may offer inadequate, reimbursement coverage for our product candidates, or reimbursement payments may be delayed or impossible to recover; </w:t>
            </w:r>
          </w:p>
        </w:tc>
      </w:tr>
    </w:tbl>
    <w:p>
      <w:pPr>
        <w:pStyle w:val="TextBody"/>
        <w:spacing w:before="0" w:after="0"/>
        <w:jc w:val="left"/>
        <w:rPr/>
      </w:pPr>
      <w:r>
        <w:rPr/>
        <w:t> </w:t>
      </w:r>
    </w:p>
    <w:tbl>
      <w:tblPr>
        <w:tblW w:w="6145" w:type="dxa"/>
        <w:jc w:val="left"/>
        <w:tblInd w:w="0" w:type="dxa"/>
        <w:tblCellMar>
          <w:top w:w="0" w:type="dxa"/>
          <w:left w:w="0" w:type="dxa"/>
          <w:bottom w:w="0" w:type="dxa"/>
          <w:right w:w="0" w:type="dxa"/>
        </w:tblCellMar>
      </w:tblPr>
      <w:tblGrid>
        <w:gridCol w:w="75"/>
        <w:gridCol w:w="110"/>
        <w:gridCol w:w="60"/>
        <w:gridCol w:w="5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0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 subject to litigation or product liability claims; and </w:t>
            </w:r>
          </w:p>
        </w:tc>
      </w:tr>
    </w:tbl>
    <w:p>
      <w:pPr>
        <w:pStyle w:val="TextBody"/>
        <w:spacing w:before="0" w:after="0"/>
        <w:jc w:val="left"/>
        <w:rPr/>
      </w:pPr>
      <w:r>
        <w:rPr/>
        <w:t> </w:t>
      </w:r>
    </w:p>
    <w:tbl>
      <w:tblPr>
        <w:tblW w:w="2785" w:type="dxa"/>
        <w:jc w:val="left"/>
        <w:tblInd w:w="0" w:type="dxa"/>
        <w:tblCellMar>
          <w:top w:w="0" w:type="dxa"/>
          <w:left w:w="0" w:type="dxa"/>
          <w:bottom w:w="0" w:type="dxa"/>
          <w:right w:w="0" w:type="dxa"/>
        </w:tblCellMar>
      </w:tblPr>
      <w:tblGrid>
        <w:gridCol w:w="75"/>
        <w:gridCol w:w="110"/>
        <w:gridCol w:w="60"/>
        <w:gridCol w:w="2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reputation may suffer. </w:t>
            </w:r>
          </w:p>
        </w:tc>
      </w:tr>
    </w:tbl>
    <w:p>
      <w:pPr>
        <w:pStyle w:val="TextBody"/>
        <w:spacing w:before="240" w:after="0"/>
        <w:jc w:val="left"/>
        <w:rPr>
          <w:rFonts w:ascii="Times New Roman" w:hAnsi="Times New Roman"/>
          <w:sz w:val="24"/>
        </w:rPr>
      </w:pPr>
      <w:r>
        <w:rPr>
          <w:rFonts w:ascii="Times New Roman" w:hAnsi="Times New Roman"/>
          <w:sz w:val="24"/>
        </w:rPr>
        <w:t xml:space="preserve">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 </w:t>
      </w:r>
    </w:p>
    <w:p>
      <w:pPr>
        <w:pStyle w:val="TextBody"/>
        <w:spacing w:before="240" w:after="0"/>
        <w:jc w:val="left"/>
        <w:rPr>
          <w:rFonts w:ascii="Times New Roman" w:hAnsi="Times New Roman"/>
          <w:b/>
          <w:i/>
          <w:sz w:val="24"/>
        </w:rPr>
      </w:pPr>
      <w:r>
        <w:rPr>
          <w:rFonts w:ascii="Times New Roman" w:hAnsi="Times New Roman"/>
          <w:b/>
          <w:i/>
          <w:sz w:val="24"/>
        </w:rPr>
        <w:t xml:space="preserve">Manufacturing tests of setrusumab have shown that it may cause an opalescence appearance to the liquid antibody formulation. </w:t>
      </w:r>
    </w:p>
    <w:p>
      <w:pPr>
        <w:pStyle w:val="TextBody"/>
        <w:spacing w:before="240" w:after="0"/>
        <w:jc w:val="left"/>
        <w:rPr>
          <w:rFonts w:ascii="Times New Roman" w:hAnsi="Times New Roman"/>
          <w:sz w:val="24"/>
        </w:rPr>
      </w:pPr>
      <w:r>
        <w:rPr>
          <w:rFonts w:ascii="Times New Roman" w:hAnsi="Times New Roman"/>
          <w:sz w:val="24"/>
        </w:rPr>
        <w:t xml:space="preserve">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 </w:t>
      </w:r>
    </w:p>
    <w:p>
      <w:pPr>
        <w:pStyle w:val="TextBody"/>
        <w:spacing w:before="240" w:after="0"/>
        <w:jc w:val="left"/>
        <w:rPr>
          <w:rFonts w:ascii="Times New Roman" w:hAnsi="Times New Roman"/>
          <w:sz w:val="24"/>
        </w:rPr>
      </w:pPr>
      <w:r>
        <w:rPr>
          <w:rFonts w:ascii="Times New Roman" w:hAnsi="Times New Roman"/>
          <w:sz w:val="24"/>
        </w:rPr>
        <w:t xml:space="preserve">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United States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intend to enroll in our clinical trials for AATD, the target indication for alvelestat. However, due to underdiagnosis, there are estimated to be approximately 10,000 patients diagnosed in North America. Patient enrollment depends on many factors, including: </w:t>
      </w:r>
    </w:p>
    <w:p>
      <w:pPr>
        <w:pStyle w:val="TextBody"/>
        <w:spacing w:before="0" w:after="0"/>
        <w:jc w:val="left"/>
        <w:rPr/>
      </w:pPr>
      <w:r>
        <w:rPr/>
        <w:t> </w:t>
      </w:r>
    </w:p>
    <w:tbl>
      <w:tblPr>
        <w:tblW w:w="4975" w:type="dxa"/>
        <w:jc w:val="left"/>
        <w:tblInd w:w="0" w:type="dxa"/>
        <w:tblCellMar>
          <w:top w:w="0" w:type="dxa"/>
          <w:left w:w="0" w:type="dxa"/>
          <w:bottom w:w="0" w:type="dxa"/>
          <w:right w:w="0" w:type="dxa"/>
        </w:tblCellMar>
      </w:tblPr>
      <w:tblGrid>
        <w:gridCol w:w="75"/>
        <w:gridCol w:w="110"/>
        <w:gridCol w:w="60"/>
        <w:gridCol w:w="4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size and nature of the targeted patient population; </w:t>
            </w:r>
          </w:p>
        </w:tc>
      </w:tr>
    </w:tbl>
    <w:p>
      <w:pPr>
        <w:pStyle w:val="TextBody"/>
        <w:spacing w:before="0" w:after="0"/>
        <w:jc w:val="left"/>
        <w:rPr/>
      </w:pPr>
      <w:r>
        <w:rPr/>
        <w:t> </w:t>
      </w:r>
    </w:p>
    <w:tbl>
      <w:tblPr>
        <w:tblW w:w="5530" w:type="dxa"/>
        <w:jc w:val="left"/>
        <w:tblInd w:w="0" w:type="dxa"/>
        <w:tblCellMar>
          <w:top w:w="0" w:type="dxa"/>
          <w:left w:w="0" w:type="dxa"/>
          <w:bottom w:w="0" w:type="dxa"/>
          <w:right w:w="0" w:type="dxa"/>
        </w:tblCellMar>
      </w:tblPr>
      <w:tblGrid>
        <w:gridCol w:w="75"/>
        <w:gridCol w:w="110"/>
        <w:gridCol w:w="60"/>
        <w:gridCol w:w="5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severity of the disease or condition under investigation;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availability and efficacy of approved therapies for the disease or condition under investigation; </w:t>
            </w:r>
          </w:p>
        </w:tc>
      </w:tr>
    </w:tbl>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75"/>
        <w:gridCol w:w="110"/>
        <w:gridCol w:w="60"/>
        <w:gridCol w:w="70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patient eligibility criteria for the trial in question as defined in the protocol; </w:t>
            </w:r>
          </w:p>
        </w:tc>
      </w:tr>
    </w:tbl>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75"/>
        <w:gridCol w:w="110"/>
        <w:gridCol w:w="60"/>
        <w:gridCol w:w="6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perceived risks and benefits of the product candidate under study;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w:t>
            </w:r>
          </w:p>
        </w:tc>
      </w:tr>
    </w:tbl>
    <w:p>
      <w:pPr>
        <w:pStyle w:val="TextBody"/>
        <w:spacing w:before="0" w:after="0"/>
        <w:jc w:val="left"/>
        <w:rPr/>
      </w:pPr>
      <w:r>
        <w:rPr/>
        <w:t> </w:t>
      </w:r>
    </w:p>
    <w:tbl>
      <w:tblPr>
        <w:tblW w:w="5290" w:type="dxa"/>
        <w:jc w:val="left"/>
        <w:tblInd w:w="0" w:type="dxa"/>
        <w:tblCellMar>
          <w:top w:w="0" w:type="dxa"/>
          <w:left w:w="0" w:type="dxa"/>
          <w:bottom w:w="0" w:type="dxa"/>
          <w:right w:w="0" w:type="dxa"/>
        </w:tblCellMar>
      </w:tblPr>
      <w:tblGrid>
        <w:gridCol w:w="75"/>
        <w:gridCol w:w="110"/>
        <w:gridCol w:w="60"/>
        <w:gridCol w:w="5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efforts to facilitate timely enrollment in clinical trials; </w:t>
            </w:r>
          </w:p>
        </w:tc>
      </w:tr>
    </w:tbl>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patient referral practices of physicians; </w:t>
            </w:r>
          </w:p>
        </w:tc>
      </w:tr>
    </w:tbl>
    <w:p>
      <w:pPr>
        <w:pStyle w:val="TextBody"/>
        <w:spacing w:before="0" w:after="0"/>
        <w:jc w:val="left"/>
        <w:rPr/>
      </w:pPr>
      <w:r>
        <w:rPr/>
        <w:t> </w:t>
      </w:r>
    </w:p>
    <w:tbl>
      <w:tblPr>
        <w:tblW w:w="6715" w:type="dxa"/>
        <w:jc w:val="left"/>
        <w:tblInd w:w="0" w:type="dxa"/>
        <w:tblCellMar>
          <w:top w:w="0" w:type="dxa"/>
          <w:left w:w="0" w:type="dxa"/>
          <w:bottom w:w="0" w:type="dxa"/>
          <w:right w:w="0" w:type="dxa"/>
        </w:tblCellMar>
      </w:tblPr>
      <w:tblGrid>
        <w:gridCol w:w="75"/>
        <w:gridCol w:w="110"/>
        <w:gridCol w:w="60"/>
        <w:gridCol w:w="6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ability to monitor patients adequately during and after treatment; </w:t>
            </w:r>
          </w:p>
        </w:tc>
      </w:tr>
    </w:tbl>
    <w:p>
      <w:pPr>
        <w:pStyle w:val="TextBody"/>
        <w:spacing w:before="0" w:after="0"/>
        <w:jc w:val="left"/>
        <w:rPr/>
      </w:pPr>
      <w:r>
        <w:rPr/>
        <w:t> </w:t>
      </w:r>
    </w:p>
    <w:tbl>
      <w:tblPr>
        <w:tblW w:w="6940" w:type="dxa"/>
        <w:jc w:val="left"/>
        <w:tblInd w:w="0" w:type="dxa"/>
        <w:tblCellMar>
          <w:top w:w="0" w:type="dxa"/>
          <w:left w:w="0" w:type="dxa"/>
          <w:bottom w:w="0" w:type="dxa"/>
          <w:right w:w="0" w:type="dxa"/>
        </w:tblCellMar>
      </w:tblPr>
      <w:tblGrid>
        <w:gridCol w:w="75"/>
        <w:gridCol w:w="110"/>
        <w:gridCol w:w="60"/>
        <w:gridCol w:w="6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proximity and availability of clinical trial sites for prospective patients; </w:t>
            </w:r>
          </w:p>
        </w:tc>
      </w:tr>
    </w:tbl>
    <w:p>
      <w:pPr>
        <w:pStyle w:val="TextBody"/>
        <w:spacing w:before="0" w:after="0"/>
        <w:jc w:val="left"/>
        <w:rPr/>
      </w:pPr>
      <w:r>
        <w:rPr/>
        <w:t> </w:t>
      </w:r>
    </w:p>
    <w:tbl>
      <w:tblPr>
        <w:tblW w:w="6490" w:type="dxa"/>
        <w:jc w:val="left"/>
        <w:tblInd w:w="0" w:type="dxa"/>
        <w:tblCellMar>
          <w:top w:w="0" w:type="dxa"/>
          <w:left w:w="0" w:type="dxa"/>
          <w:bottom w:w="0" w:type="dxa"/>
          <w:right w:w="0" w:type="dxa"/>
        </w:tblCellMar>
      </w:tblPr>
      <w:tblGrid>
        <w:gridCol w:w="75"/>
        <w:gridCol w:w="110"/>
        <w:gridCol w:w="60"/>
        <w:gridCol w:w="6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continued enrollment of prospective patients by clinical trial sites; </w:t>
            </w:r>
          </w:p>
        </w:tc>
      </w:tr>
    </w:tbl>
    <w:p>
      <w:pPr>
        <w:pStyle w:val="TextBody"/>
        <w:spacing w:before="0" w:after="0"/>
        <w:jc w:val="left"/>
        <w:rPr/>
      </w:pPr>
      <w:r>
        <w:rPr/>
        <w:t> </w:t>
      </w:r>
    </w:p>
    <w:tbl>
      <w:tblPr>
        <w:tblW w:w="9295" w:type="dxa"/>
        <w:jc w:val="left"/>
        <w:tblInd w:w="0" w:type="dxa"/>
        <w:tblCellMar>
          <w:top w:w="0" w:type="dxa"/>
          <w:left w:w="0" w:type="dxa"/>
          <w:bottom w:w="0" w:type="dxa"/>
          <w:right w:w="0" w:type="dxa"/>
        </w:tblCellMar>
      </w:tblPr>
      <w:tblGrid>
        <w:gridCol w:w="75"/>
        <w:gridCol w:w="110"/>
        <w:gridCol w:w="60"/>
        <w:gridCol w:w="9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risk that patients enrolled in clinical trials will drop out of such trials before completion;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delays or difficulties in enrollment and completion of studies due to the COVID-19 pandemic or any other similar pandemic. </w:t>
            </w:r>
          </w:p>
        </w:tc>
      </w:tr>
    </w:tbl>
    <w:p>
      <w:pPr>
        <w:pStyle w:val="TextBody"/>
        <w:spacing w:before="240" w:after="0"/>
        <w:jc w:val="left"/>
        <w:rPr>
          <w:rFonts w:ascii="Times New Roman" w:hAnsi="Times New Roman"/>
          <w:sz w:val="24"/>
        </w:rPr>
      </w:pPr>
      <w:r>
        <w:rPr>
          <w:rFonts w:ascii="Times New Roman" w:hAnsi="Times New Roman"/>
          <w:sz w:val="24"/>
        </w:rPr>
        <w:t xml:space="preserve">These factors may make it difficult for us to enroll enough patients to complete our clinical trials in a timely and cost-effective manner. For example, we experienced significant delays in recruitment for our Phase 2 alvelestat trial in individuals with severe alpha-1 antitrypsin deficiency-related lung disease, who are at greater risk from COVID-19 given that the condition is a respiratory and lung condition. Due to the effects of the COVID-19 pandemic on this vulnerable population and the impact on enrollment timelines, we closed the study to enrollment at 99 patients at the end of 2021. This was lower than the protocol defined number of patients in the original study design.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 </w:t>
      </w:r>
    </w:p>
    <w:p>
      <w:pPr>
        <w:pStyle w:val="TextBody"/>
        <w:spacing w:before="240" w:after="0"/>
        <w:jc w:val="left"/>
        <w:rPr>
          <w:rFonts w:ascii="Times New Roman" w:hAnsi="Times New Roman"/>
          <w:b/>
          <w:i/>
          <w:sz w:val="24"/>
        </w:rPr>
      </w:pPr>
      <w:r>
        <w:rPr>
          <w:rFonts w:ascii="Times New Roman" w:hAnsi="Times New Roman"/>
          <w:b/>
          <w:i/>
          <w:sz w:val="24"/>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spacing w:before="240" w:after="0"/>
        <w:jc w:val="left"/>
        <w:rPr>
          <w:rFonts w:ascii="Times New Roman" w:hAnsi="Times New Roman"/>
          <w:sz w:val="24"/>
        </w:rPr>
      </w:pPr>
      <w:r>
        <w:rPr>
          <w:rFonts w:ascii="Times New Roman" w:hAnsi="Times New Roman"/>
          <w:sz w:val="24"/>
        </w:rPr>
        <w:t xml:space="preserve">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 </w:t>
      </w:r>
    </w:p>
    <w:p>
      <w:pPr>
        <w:pStyle w:val="TextBody"/>
        <w:spacing w:before="0" w:after="0"/>
        <w:jc w:val="left"/>
        <w:rPr/>
      </w:pPr>
      <w:r>
        <w:rPr/>
        <w:t> </w:t>
      </w:r>
    </w:p>
    <w:tbl>
      <w:tblPr>
        <w:tblW w:w="4675" w:type="dxa"/>
        <w:jc w:val="left"/>
        <w:tblInd w:w="0" w:type="dxa"/>
        <w:tblCellMar>
          <w:top w:w="0" w:type="dxa"/>
          <w:left w:w="0" w:type="dxa"/>
          <w:bottom w:w="0" w:type="dxa"/>
          <w:right w:w="0" w:type="dxa"/>
        </w:tblCellMar>
      </w:tblPr>
      <w:tblGrid>
        <w:gridCol w:w="75"/>
        <w:gridCol w:w="110"/>
        <w:gridCol w:w="60"/>
        <w:gridCol w:w="4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decreased demand for our product candidates;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rPr/>
      </w:pPr>
      <w:r>
        <w:rPr/>
      </w:r>
    </w:p>
    <w:p>
      <w:pPr>
        <w:pStyle w:val="Heading5"/>
        <w:rPr/>
      </w:pPr>
      <w:hyperlink w:anchor="toc">
        <w:r>
          <w:rPr>
            <w:rStyle w:val="InternetLink"/>
          </w:rPr>
          <w:t>Table of Contents</w:t>
        </w:r>
      </w:hyperlink>
    </w:p>
    <w:tbl>
      <w:tblPr>
        <w:tblW w:w="2575" w:type="dxa"/>
        <w:jc w:val="left"/>
        <w:tblInd w:w="0" w:type="dxa"/>
        <w:tblCellMar>
          <w:top w:w="0" w:type="dxa"/>
          <w:left w:w="0" w:type="dxa"/>
          <w:bottom w:w="0" w:type="dxa"/>
          <w:right w:w="0" w:type="dxa"/>
        </w:tblCellMar>
      </w:tblPr>
      <w:tblGrid>
        <w:gridCol w:w="75"/>
        <w:gridCol w:w="110"/>
        <w:gridCol w:w="60"/>
        <w:gridCol w:w="2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injury to our reputation; </w:t>
            </w:r>
          </w:p>
        </w:tc>
      </w:tr>
    </w:tbl>
    <w:p>
      <w:pPr>
        <w:pStyle w:val="TextBody"/>
        <w:spacing w:before="0" w:after="0"/>
        <w:jc w:val="left"/>
        <w:rPr/>
      </w:pPr>
      <w:r>
        <w:rPr/>
        <w:t> </w:t>
      </w:r>
    </w:p>
    <w:tbl>
      <w:tblPr>
        <w:tblW w:w="4015" w:type="dxa"/>
        <w:jc w:val="left"/>
        <w:tblInd w:w="0" w:type="dxa"/>
        <w:tblCellMar>
          <w:top w:w="0" w:type="dxa"/>
          <w:left w:w="0" w:type="dxa"/>
          <w:bottom w:w="0" w:type="dxa"/>
          <w:right w:w="0" w:type="dxa"/>
        </w:tblCellMar>
      </w:tblPr>
      <w:tblGrid>
        <w:gridCol w:w="75"/>
        <w:gridCol w:w="110"/>
        <w:gridCol w:w="60"/>
        <w:gridCol w:w="3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withdrawal of clinical trial participants; </w:t>
            </w:r>
          </w:p>
        </w:tc>
      </w:tr>
    </w:tbl>
    <w:p>
      <w:pPr>
        <w:pStyle w:val="TextBody"/>
        <w:spacing w:before="0" w:after="0"/>
        <w:jc w:val="left"/>
        <w:rPr/>
      </w:pPr>
      <w:r>
        <w:rPr/>
        <w:t> </w:t>
      </w:r>
    </w:p>
    <w:tbl>
      <w:tblPr>
        <w:tblW w:w="3385" w:type="dxa"/>
        <w:jc w:val="left"/>
        <w:tblInd w:w="0" w:type="dxa"/>
        <w:tblCellMar>
          <w:top w:w="0" w:type="dxa"/>
          <w:left w:w="0" w:type="dxa"/>
          <w:bottom w:w="0" w:type="dxa"/>
          <w:right w:w="0" w:type="dxa"/>
        </w:tblCellMar>
      </w:tblPr>
      <w:tblGrid>
        <w:gridCol w:w="75"/>
        <w:gridCol w:w="110"/>
        <w:gridCol w:w="60"/>
        <w:gridCol w:w="3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costs to defend related litigation; </w:t>
            </w:r>
          </w:p>
        </w:tc>
      </w:tr>
    </w:tbl>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75"/>
        <w:gridCol w:w="110"/>
        <w:gridCol w:w="60"/>
        <w:gridCol w:w="4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diversion of management’s time and our resources; </w:t>
            </w:r>
          </w:p>
        </w:tc>
      </w:tr>
    </w:tbl>
    <w:p>
      <w:pPr>
        <w:pStyle w:val="TextBody"/>
        <w:spacing w:before="0" w:after="0"/>
        <w:jc w:val="left"/>
        <w:rPr/>
      </w:pPr>
      <w:r>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substantial monetary awards to trial participants or patients;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regulatory investigation, product recalls or withdrawals, or labeling, marketing or promotional restrictions; </w:t>
            </w:r>
          </w:p>
        </w:tc>
      </w:tr>
    </w:tbl>
    <w:p>
      <w:pPr>
        <w:pStyle w:val="TextBody"/>
        <w:spacing w:before="0" w:after="0"/>
        <w:jc w:val="left"/>
        <w:rPr/>
      </w:pPr>
      <w:r>
        <w:rPr/>
        <w:t> </w:t>
      </w:r>
    </w:p>
    <w:tbl>
      <w:tblPr>
        <w:tblW w:w="2230" w:type="dxa"/>
        <w:jc w:val="left"/>
        <w:tblInd w:w="0" w:type="dxa"/>
        <w:tblCellMar>
          <w:top w:w="0" w:type="dxa"/>
          <w:left w:w="0" w:type="dxa"/>
          <w:bottom w:w="0" w:type="dxa"/>
          <w:right w:w="0" w:type="dxa"/>
        </w:tblCellMar>
      </w:tblPr>
      <w:tblGrid>
        <w:gridCol w:w="75"/>
        <w:gridCol w:w="110"/>
        <w:gridCol w:w="60"/>
        <w:gridCol w:w="1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loss of revenue; and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110"/>
        <w:gridCol w:w="60"/>
        <w:gridCol w:w="8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inability to commercialize, co-commercialize or promote our product candidates. </w:t>
            </w:r>
          </w:p>
        </w:tc>
      </w:tr>
    </w:tbl>
    <w:p>
      <w:pPr>
        <w:pStyle w:val="TextBody"/>
        <w:spacing w:before="240" w:after="0"/>
        <w:jc w:val="left"/>
        <w:rPr>
          <w:rFonts w:ascii="Times New Roman" w:hAnsi="Times New Roman"/>
          <w:sz w:val="24"/>
        </w:rPr>
      </w:pPr>
      <w:r>
        <w:rPr>
          <w:rFonts w:ascii="Times New Roman" w:hAnsi="Times New Roman"/>
          <w:sz w:val="24"/>
        </w:rPr>
        <w:t xml:space="preserve">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w:t>
      </w:r>
    </w:p>
    <w:p>
      <w:pPr>
        <w:pStyle w:val="TextBody"/>
        <w:spacing w:before="240" w:after="0"/>
        <w:jc w:val="left"/>
        <w:rPr>
          <w:rFonts w:ascii="Times New Roman" w:hAnsi="Times New Roman"/>
          <w:sz w:val="24"/>
        </w:rPr>
      </w:pPr>
      <w:r>
        <w:rPr>
          <w:rFonts w:ascii="Times New Roman" w:hAnsi="Times New Roman"/>
          <w:sz w:val="24"/>
        </w:rPr>
        <w:t xml:space="preserve">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spacing w:before="240" w:after="0"/>
        <w:jc w:val="left"/>
        <w:rPr>
          <w:rFonts w:ascii="Times New Roman" w:hAnsi="Times New Roman"/>
          <w:b/>
          <w:i/>
          <w:sz w:val="24"/>
        </w:rPr>
      </w:pPr>
      <w:r>
        <w:rPr>
          <w:rFonts w:ascii="Times New Roman" w:hAnsi="Times New Roman"/>
          <w:b/>
          <w:i/>
          <w:sz w:val="24"/>
        </w:rPr>
        <w:t xml:space="preserve">The regulatory approval processes of the FDA and comparable foreign authorities are lengthy, time consuming and inherently unpredictable, and if we are ultimately unable to obtain regulatory approval for our product candidates, our business will be substantially harmed. </w:t>
      </w:r>
    </w:p>
    <w:p>
      <w:pPr>
        <w:pStyle w:val="TextBody"/>
        <w:spacing w:before="240" w:after="0"/>
        <w:jc w:val="left"/>
        <w:rPr>
          <w:rFonts w:ascii="Times New Roman" w:hAnsi="Times New Roman"/>
          <w:sz w:val="24"/>
        </w:rPr>
      </w:pPr>
      <w:r>
        <w:rPr>
          <w:rFonts w:ascii="Times New Roman" w:hAnsi="Times New Roman"/>
          <w:sz w:val="24"/>
        </w:rPr>
        <w:t xml:space="preserve">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EMA and comparable foreign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 </w:t>
      </w:r>
    </w:p>
    <w:p>
      <w:pPr>
        <w:pStyle w:val="TextBody"/>
        <w:spacing w:before="240" w:after="0"/>
        <w:jc w:val="left"/>
        <w:rPr>
          <w:rFonts w:ascii="Times New Roman" w:hAnsi="Times New Roman"/>
          <w:sz w:val="24"/>
        </w:rPr>
      </w:pPr>
      <w:r>
        <w:rPr>
          <w:rFonts w:ascii="Times New Roman" w:hAnsi="Times New Roman"/>
          <w:sz w:val="24"/>
        </w:rPr>
        <w:t xml:space="preserve">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The FDA, EMA or comparable foreign regulatory authorities, as the case may be, may also require us to conduct additional preclinical studies or clinical trials for our product candidates either prior to or post-approval, or may object to elements of our clinical development program.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FDA, EMA or comparable foreign regulatory authorities can delay, limit or deny approval of a product candidate for many reasons, including: </w:t>
      </w:r>
    </w:p>
    <w:p>
      <w:pPr>
        <w:pStyle w:val="TextBody"/>
        <w:spacing w:before="0" w:after="0"/>
        <w:jc w:val="left"/>
        <w:rPr/>
      </w:pPr>
      <w:r>
        <w:rPr/>
        <w:t> </w:t>
      </w:r>
    </w:p>
    <w:tbl>
      <w:tblPr>
        <w:tblW w:w="7780" w:type="dxa"/>
        <w:jc w:val="left"/>
        <w:tblInd w:w="0" w:type="dxa"/>
        <w:tblCellMar>
          <w:top w:w="0" w:type="dxa"/>
          <w:left w:w="0" w:type="dxa"/>
          <w:bottom w:w="0" w:type="dxa"/>
          <w:right w:w="0" w:type="dxa"/>
        </w:tblCellMar>
      </w:tblPr>
      <w:tblGrid>
        <w:gridCol w:w="75"/>
        <w:gridCol w:w="110"/>
        <w:gridCol w:w="60"/>
        <w:gridCol w:w="7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disagree with the design or execution of our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negative or ambiguous results from our clinical trials or results may not meet the level of statistical significance required by the FDA, EMA or comparable foreign regulatory agencies for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serious and unexpected drug-related side effects may be experienced by participants in our clinical trials or by individuals using drugs similar to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population studied in the clinical trial may not be sufficiently broad or representative to assure safety in the full population for which we seek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not accept clinical data from trials that are conducted at clinical facilities or in countries where the standard of care is potentially different from that of their own country;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be unable to demonstrate that a product candidate’s clinical and other benefits outweigh its safety risks;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75"/>
        <w:gridCol w:w="110"/>
        <w:gridCol w:w="60"/>
        <w:gridCol w:w="9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disagree with our interpretation of data from preclinical studies or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disagree with us regarding the formulation, labeling and/or the product specifications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approval may be granted only for indications that are significantly more limited than those sought by us, and/or may include significant restrictions on distribution and use;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find deficiencies in the manufacturing processes or facilities of the third-party manufacturers with which we contract for clinical and commercial supplies;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such authorities may not accept a submission due to, among other reasons, the content or formatting of the submission. </w:t>
            </w:r>
          </w:p>
        </w:tc>
      </w:tr>
    </w:tbl>
    <w:p>
      <w:pPr>
        <w:pStyle w:val="TextBody"/>
        <w:spacing w:before="240" w:after="0"/>
        <w:jc w:val="left"/>
        <w:rPr>
          <w:rFonts w:ascii="Times New Roman" w:hAnsi="Times New Roman"/>
          <w:sz w:val="24"/>
        </w:rPr>
      </w:pPr>
      <w:r>
        <w:rPr>
          <w:rFonts w:ascii="Times New Roman" w:hAnsi="Times New Roman"/>
          <w:sz w:val="24"/>
        </w:rPr>
        <w:t xml:space="preserve">With respect to foreign markets, approval procedures vary among countries and, in addition to the foregoing risks, may involve additional product testing, administrative review periods and agreements with pricing authorities. </w:t>
      </w:r>
    </w:p>
    <w:p>
      <w:pPr>
        <w:pStyle w:val="TextBody"/>
        <w:spacing w:before="240" w:after="0"/>
        <w:jc w:val="left"/>
        <w:rPr>
          <w:rFonts w:ascii="Times New Roman" w:hAnsi="Times New Roman"/>
          <w:sz w:val="24"/>
        </w:rPr>
      </w:pPr>
      <w:r>
        <w:rPr>
          <w:rFonts w:ascii="Times New Roman" w:hAnsi="Times New Roman"/>
          <w:sz w:val="24"/>
        </w:rPr>
        <w:t xml:space="preserve">Even if we eventually complete clinical trials and receive approval of a BLA, NDA, MAA or comparable marketing application for our product candidates, the FDA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 </w:t>
      </w:r>
    </w:p>
    <w:p>
      <w:pPr>
        <w:pStyle w:val="TextBody"/>
        <w:spacing w:before="240" w:after="0"/>
        <w:jc w:val="left"/>
        <w:rPr>
          <w:rFonts w:ascii="Times New Roman" w:hAnsi="Times New Roman"/>
          <w:sz w:val="24"/>
        </w:rPr>
      </w:pPr>
      <w:r>
        <w:rPr>
          <w:rFonts w:ascii="Times New Roman" w:hAnsi="Times New Roman"/>
          <w:sz w:val="24"/>
        </w:rPr>
        <w:t xml:space="preserve">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revising the duration of regulatory exclusivity, eligibility for expedited pathways, etc.) is currently expected during the first half of 2023. The proposed revisions, once they are agreed and adopted by the European Parliament and European Council (not expected before the end of 2024 or early 2025) may have a significant impact on the biopharmaceutical industry in the long term.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We may attempt to secure approval from the FDA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 </w:t>
      </w:r>
    </w:p>
    <w:p>
      <w:pPr>
        <w:pStyle w:val="TextBody"/>
        <w:spacing w:before="240" w:after="0"/>
        <w:jc w:val="left"/>
        <w:rPr>
          <w:rFonts w:ascii="Times New Roman" w:hAnsi="Times New Roman"/>
          <w:sz w:val="24"/>
        </w:rPr>
      </w:pPr>
      <w:r>
        <w:rPr>
          <w:rFonts w:ascii="Times New Roman" w:hAnsi="Times New Roman"/>
          <w:sz w:val="24"/>
        </w:rPr>
        <w:t xml:space="preserve">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spacing w:before="240" w:after="0"/>
        <w:jc w:val="left"/>
        <w:rPr>
          <w:rFonts w:ascii="Times New Roman" w:hAnsi="Times New Roman"/>
          <w:sz w:val="24"/>
        </w:rPr>
      </w:pPr>
      <w:r>
        <w:rPr>
          <w:rFonts w:ascii="Times New Roman" w:hAnsi="Times New Roman"/>
          <w:sz w:val="24"/>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introduced reforms intended to expand the FDA’s ability to regulate products receiving accelerated approval, including by increasing the FDA’s oversight over the conduct of confirmatory trials; however, the ultimate impact of these reforms remains unclear. </w:t>
      </w:r>
    </w:p>
    <w:p>
      <w:pPr>
        <w:pStyle w:val="TextBody"/>
        <w:spacing w:before="240" w:after="0"/>
        <w:jc w:val="left"/>
        <w:rPr>
          <w:rFonts w:ascii="Times New Roman" w:hAnsi="Times New Roman"/>
          <w:sz w:val="24"/>
        </w:rPr>
      </w:pPr>
      <w:r>
        <w:rPr>
          <w:rFonts w:ascii="Times New Roman" w:hAnsi="Times New Roman"/>
          <w:sz w:val="24"/>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 </w:t>
      </w:r>
    </w:p>
    <w:p>
      <w:pPr>
        <w:pStyle w:val="TextBody"/>
        <w:spacing w:before="240" w:after="0"/>
        <w:jc w:val="left"/>
        <w:rPr>
          <w:rFonts w:ascii="Times New Roman" w:hAnsi="Times New Roman"/>
          <w:b/>
          <w:i/>
          <w:sz w:val="24"/>
        </w:rPr>
      </w:pPr>
      <w:r>
        <w:rPr>
          <w:rFonts w:ascii="Times New Roman" w:hAnsi="Times New Roman"/>
          <w:b/>
          <w:i/>
          <w:sz w:val="24"/>
        </w:rPr>
        <w:t xml:space="preserve">Disruptions at the FDA and other government agencies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 </w:t>
      </w:r>
    </w:p>
    <w:p>
      <w:pPr>
        <w:pStyle w:val="TextBody"/>
        <w:spacing w:before="240" w:after="0"/>
        <w:jc w:val="left"/>
        <w:rPr>
          <w:rFonts w:ascii="Times New Roman" w:hAnsi="Times New Roman"/>
          <w:sz w:val="24"/>
        </w:rPr>
      </w:pPr>
      <w:r>
        <w:rPr>
          <w:rFonts w:ascii="Times New Roman" w:hAnsi="Times New Roman"/>
          <w:sz w:val="24"/>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and biologics or modifications to approved drugs and biologics to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spacing w:before="240" w:after="0"/>
        <w:jc w:val="left"/>
        <w:rPr>
          <w:rFonts w:ascii="Times New Roman" w:hAnsi="Times New Roman"/>
          <w:sz w:val="24"/>
        </w:rPr>
      </w:pPr>
      <w:r>
        <w:rPr>
          <w:rFonts w:ascii="Times New Roman" w:hAnsi="Times New Roman"/>
          <w:sz w:val="24"/>
        </w:rPr>
        <w:t xml:space="preserve">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spacing w:before="240" w:after="0"/>
        <w:jc w:val="left"/>
        <w:rPr>
          <w:rFonts w:ascii="Times New Roman" w:hAnsi="Times New Roman"/>
          <w:b/>
          <w:i/>
          <w:sz w:val="24"/>
        </w:rPr>
      </w:pPr>
      <w:r>
        <w:rPr>
          <w:rFonts w:ascii="Times New Roman" w:hAnsi="Times New Roman"/>
          <w:b/>
          <w:i/>
          <w:sz w:val="24"/>
        </w:rPr>
        <w:t xml:space="preserve">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 </w:t>
      </w:r>
    </w:p>
    <w:p>
      <w:pPr>
        <w:pStyle w:val="TextBody"/>
        <w:spacing w:before="240" w:after="0"/>
        <w:jc w:val="left"/>
        <w:rPr>
          <w:rFonts w:ascii="Times New Roman" w:hAnsi="Times New Roman"/>
          <w:sz w:val="24"/>
        </w:rPr>
      </w:pPr>
      <w:r>
        <w:rPr>
          <w:rFonts w:ascii="Times New Roman" w:hAnsi="Times New Roman"/>
          <w:sz w:val="24"/>
        </w:rPr>
        <w:t xml:space="preserve">If the FDA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 </w:t>
      </w:r>
    </w:p>
    <w:p>
      <w:pPr>
        <w:pStyle w:val="TextBody"/>
        <w:spacing w:before="240" w:after="0"/>
        <w:jc w:val="left"/>
        <w:rPr>
          <w:rFonts w:ascii="Times New Roman" w:hAnsi="Times New Roman"/>
          <w:sz w:val="24"/>
        </w:rPr>
      </w:pPr>
      <w:r>
        <w:rPr>
          <w:rFonts w:ascii="Times New Roman" w:hAnsi="Times New Roman"/>
          <w:sz w:val="24"/>
        </w:rPr>
        <w:t xml:space="preserve">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restrictions on the marketing or manufacturing of our products, withdrawal of the product from the market or voluntary or mandatory product recalls;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restrictions on product distribution or use, or requirements to conduct post-marketing studies or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fines, restitutions, disgorgement of profits or revenues, warning letters, untitled letters or holds on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refusal by the FDA or comparable foreign regulatory authority to approve pending applications or supplements to approved applications submitted by us or suspension or revocation of approvals; </w:t>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75"/>
        <w:gridCol w:w="110"/>
        <w:gridCol w:w="60"/>
        <w:gridCol w:w="8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product seizure or detention, or refusal to permit the import or export of our products; and </w:t>
            </w:r>
          </w:p>
        </w:tc>
      </w:tr>
    </w:tbl>
    <w:p>
      <w:pPr>
        <w:pStyle w:val="TextBody"/>
        <w:spacing w:before="0" w:after="0"/>
        <w:jc w:val="left"/>
        <w:rPr/>
      </w:pPr>
      <w:r>
        <w:rPr/>
        <w:t> </w:t>
      </w:r>
    </w:p>
    <w:tbl>
      <w:tblPr>
        <w:tblW w:w="5770" w:type="dxa"/>
        <w:jc w:val="left"/>
        <w:tblInd w:w="0" w:type="dxa"/>
        <w:tblCellMar>
          <w:top w:w="0" w:type="dxa"/>
          <w:left w:w="0" w:type="dxa"/>
          <w:bottom w:w="0" w:type="dxa"/>
          <w:right w:w="0" w:type="dxa"/>
        </w:tblCellMar>
      </w:tblPr>
      <w:tblGrid>
        <w:gridCol w:w="75"/>
        <w:gridCol w:w="110"/>
        <w:gridCol w:w="60"/>
        <w:gridCol w:w="5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injunctions or the imposition of civil or criminal penalties.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spacing w:before="240" w:after="0"/>
        <w:jc w:val="left"/>
        <w:rPr>
          <w:rFonts w:ascii="Times New Roman" w:hAnsi="Times New Roman"/>
          <w:sz w:val="24"/>
        </w:rPr>
      </w:pPr>
      <w:r>
        <w:rPr>
          <w:rFonts w:ascii="Times New Roman" w:hAnsi="Times New Roman"/>
          <w:sz w:val="24"/>
        </w:rPr>
        <w:t xml:space="preserve">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U.K., EU, or other jurisdictions.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spacing w:before="240" w:after="0"/>
        <w:jc w:val="left"/>
        <w:rPr>
          <w:rFonts w:ascii="Times New Roman" w:hAnsi="Times New Roman"/>
          <w:b/>
          <w:i/>
          <w:sz w:val="24"/>
        </w:rPr>
      </w:pPr>
      <w:r>
        <w:rPr>
          <w:rFonts w:ascii="Times New Roman" w:hAnsi="Times New Roman"/>
          <w:b/>
          <w:i/>
          <w:sz w:val="24"/>
        </w:rPr>
        <w:t xml:space="preserve">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 </w:t>
      </w:r>
    </w:p>
    <w:p>
      <w:pPr>
        <w:pStyle w:val="TextBody"/>
        <w:spacing w:before="240" w:after="0"/>
        <w:jc w:val="left"/>
        <w:rPr>
          <w:rFonts w:ascii="Times New Roman" w:hAnsi="Times New Roman"/>
          <w:sz w:val="24"/>
        </w:rPr>
      </w:pPr>
      <w:r>
        <w:rPr>
          <w:rFonts w:ascii="Times New Roman" w:hAnsi="Times New Roman"/>
          <w:sz w:val="24"/>
        </w:rPr>
        <w:t xml:space="preserve">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the U.K. or any other markets, and our management team does not have experience in obtaining regulatory approval in markets outside of the United States,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 </w:t>
      </w:r>
    </w:p>
    <w:p>
      <w:pPr>
        <w:pStyle w:val="TextBody"/>
        <w:spacing w:before="240" w:after="0"/>
        <w:jc w:val="left"/>
        <w:rPr>
          <w:rFonts w:ascii="Times New Roman" w:hAnsi="Times New Roman"/>
          <w:b/>
          <w:i/>
          <w:sz w:val="24"/>
        </w:rPr>
      </w:pPr>
      <w:r>
        <w:rPr>
          <w:rFonts w:ascii="Times New Roman" w:hAnsi="Times New Roman"/>
          <w:b/>
          <w:i/>
          <w:sz w:val="24"/>
        </w:rPr>
        <w:t xml:space="preserve">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 </w:t>
      </w:r>
    </w:p>
    <w:p>
      <w:pPr>
        <w:pStyle w:val="TextBody"/>
        <w:spacing w:before="240" w:after="0"/>
        <w:jc w:val="left"/>
        <w:rPr>
          <w:rFonts w:ascii="Times New Roman" w:hAnsi="Times New Roman"/>
          <w:sz w:val="24"/>
        </w:rPr>
      </w:pPr>
      <w:r>
        <w:rPr>
          <w:rFonts w:ascii="Times New Roman" w:hAnsi="Times New Roman"/>
          <w:sz w:val="24"/>
        </w:rPr>
        <w:t xml:space="preserve">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 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and includes the EU and U.K. General Data Protection Regulation (the “GDPR”) and, in the EU, any national laws implementing or supplementing the GDPR. If we do not comply with our obligations under these privacy regimes, we could be exposed to significant fines and may be the subject of litigation and/or adverse publicity, which could have a material adverse effect on our reputation and business. </w:t>
      </w:r>
    </w:p>
    <w:p>
      <w:pPr>
        <w:pStyle w:val="TextBody"/>
        <w:spacing w:before="360" w:after="0"/>
        <w:jc w:val="left"/>
        <w:rPr>
          <w:rFonts w:ascii="Times New Roman" w:hAnsi="Times New Roman"/>
          <w:b/>
          <w:sz w:val="24"/>
        </w:rPr>
      </w:pPr>
      <w:r>
        <w:rPr>
          <w:rFonts w:ascii="Times New Roman" w:hAnsi="Times New Roman"/>
          <w:b/>
          <w:sz w:val="24"/>
        </w:rPr>
        <w:t xml:space="preserve">Risks Related to Healthcare Laws and Other Legal Compliance Matters </w:t>
      </w:r>
    </w:p>
    <w:p>
      <w:pPr>
        <w:pStyle w:val="TextBody"/>
        <w:spacing w:before="120" w:after="0"/>
        <w:jc w:val="left"/>
        <w:rPr>
          <w:rFonts w:ascii="Times New Roman" w:hAnsi="Times New Roman"/>
          <w:b/>
          <w:i/>
          <w:sz w:val="24"/>
        </w:rPr>
      </w:pPr>
      <w:r>
        <w:rPr>
          <w:rFonts w:ascii="Times New Roman" w:hAnsi="Times New Roman"/>
          <w:b/>
          <w:i/>
          <w:sz w:val="24"/>
        </w:rPr>
        <w:t xml:space="preserve">Enacted and future healthcare legislation may increase the difficulty and cost for us to obtain marketing approval of and commercialize our product candidates and may affect the prices we may set. </w:t>
      </w:r>
    </w:p>
    <w:p>
      <w:pPr>
        <w:pStyle w:val="TextBody"/>
        <w:spacing w:before="240" w:after="0"/>
        <w:jc w:val="left"/>
        <w:rPr>
          <w:rFonts w:ascii="Times New Roman" w:hAnsi="Times New Roman"/>
          <w:sz w:val="24"/>
        </w:rPr>
      </w:pPr>
      <w:r>
        <w:rPr>
          <w:rFonts w:ascii="Times New Roman" w:hAnsi="Times New Roman"/>
          <w:sz w:val="24"/>
        </w:rPr>
        <w:t xml:space="preserve">In the United States,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Medicare Part D coverage gap discount program, in which manufacturers must agree to offer 50% point-of- sale discounts off negotiated prices of applicable brand drugs to eligible beneficiaries during their coverage gap period, as a condition for the manufacturer’s outpatient drugs to be covered under Medicare Part 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 increase in the statutory minimum rebates a manufacturer must pay under the Medicaid Drug Rebate Program to 23.1% and 13.0% of the average manufacturer price of branded and generic drugs,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methodology by which rebates owed by manufacturers under the Medicaid Drug Rebate Program are calculated for drugs and biologics, including our product candidates, that are inhaled, infused, instilled, implanted, or injected;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extension of a manufacturer’s Medicaid rebate liability to covered drugs dispensed to individuals who are enrolled in Medicaid managed care organizations;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Patient-Centered Outcomes Research Institute to oversee, identify priorities in, and conduct comparative clinical effectiveness research, along with funding for such research;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establishment of a Center for Medicare and Medicaid Innovation at the Centers for Medicare &amp; Medicaid Services (“CMS”), to test innovative payment and service delivery models to lower Medicare and Medicaid spending, potentially including prescription drug spending; </w:t>
            </w:r>
          </w:p>
        </w:tc>
      </w:tr>
    </w:tbl>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expansion of the entities eligible for discounts under the Public Health Service program; and </w:t>
            </w:r>
          </w:p>
        </w:tc>
      </w:tr>
    </w:tbl>
    <w:p>
      <w:pPr>
        <w:pStyle w:val="TextBody"/>
        <w:spacing w:before="0" w:after="0"/>
        <w:jc w:val="left"/>
        <w:rPr/>
      </w:pPr>
      <w:r>
        <w:rPr/>
        <w:t> </w:t>
      </w:r>
    </w:p>
    <w:tbl>
      <w:tblPr>
        <w:tblW w:w="6460" w:type="dxa"/>
        <w:jc w:val="left"/>
        <w:tblInd w:w="0" w:type="dxa"/>
        <w:tblCellMar>
          <w:top w:w="0" w:type="dxa"/>
          <w:left w:w="0" w:type="dxa"/>
          <w:bottom w:w="0" w:type="dxa"/>
          <w:right w:w="0" w:type="dxa"/>
        </w:tblCellMar>
      </w:tblPr>
      <w:tblGrid>
        <w:gridCol w:w="75"/>
        <w:gridCol w:w="110"/>
        <w:gridCol w:w="60"/>
        <w:gridCol w:w="6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licensure framework for follow on biologic product candidates. </w:t>
            </w:r>
          </w:p>
        </w:tc>
      </w:tr>
    </w:tbl>
    <w:p>
      <w:pPr>
        <w:pStyle w:val="TextBody"/>
        <w:spacing w:before="240" w:after="0"/>
        <w:jc w:val="left"/>
        <w:rPr>
          <w:rFonts w:ascii="Times New Roman" w:hAnsi="Times New Roman"/>
          <w:sz w:val="24"/>
        </w:rPr>
      </w:pPr>
      <w:r>
        <w:rPr>
          <w:rFonts w:ascii="Times New Roman" w:hAnsi="Times New Roman"/>
          <w:sz w:val="24"/>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beginning January 1, 2024.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 </w:t>
      </w:r>
    </w:p>
    <w:p>
      <w:pPr>
        <w:pStyle w:val="TextBody"/>
        <w:spacing w:before="240" w:after="0"/>
        <w:jc w:val="left"/>
        <w:rPr>
          <w:rFonts w:ascii="Times New Roman" w:hAnsi="Times New Roman"/>
          <w:sz w:val="24"/>
        </w:rPr>
      </w:pPr>
      <w:r>
        <w:rPr>
          <w:rFonts w:ascii="Times New Roman" w:hAnsi="Times New Roman"/>
          <w:sz w:val="24"/>
        </w:rPr>
        <w:t xml:space="preserve">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 </w:t>
      </w:r>
    </w:p>
    <w:p>
      <w:pPr>
        <w:pStyle w:val="TextBody"/>
        <w:spacing w:before="240" w:after="0"/>
        <w:jc w:val="left"/>
        <w:rPr>
          <w:rFonts w:ascii="Times New Roman" w:hAnsi="Times New Roman"/>
          <w:sz w:val="24"/>
        </w:rPr>
      </w:pPr>
      <w:r>
        <w:rPr>
          <w:rFonts w:ascii="Times New Roman" w:hAnsi="Times New Roman"/>
          <w:sz w:val="24"/>
        </w:rPr>
        <w:t xml:space="preserve">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 </w:t>
      </w:r>
    </w:p>
    <w:p>
      <w:pPr>
        <w:pStyle w:val="TextBody"/>
        <w:spacing w:before="240" w:after="0"/>
        <w:jc w:val="left"/>
        <w:rPr>
          <w:rFonts w:ascii="Times New Roman" w:hAnsi="Times New Roman"/>
          <w:sz w:val="24"/>
        </w:rPr>
      </w:pPr>
      <w:r>
        <w:rPr>
          <w:rFonts w:ascii="Times New Roman" w:hAnsi="Times New Roman"/>
          <w:sz w:val="24"/>
        </w:rPr>
        <w:t xml:space="preserve">On December 13, 2021, EU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providing the basis for cooperation at the EU level for joint clinical assessments in these areas, using methodologies adapted to the specificities of the type of product in question.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spacing w:before="240" w:after="0"/>
        <w:jc w:val="left"/>
        <w:rPr>
          <w:rFonts w:ascii="Times New Roman" w:hAnsi="Times New Roman"/>
          <w:sz w:val="24"/>
        </w:rPr>
      </w:pPr>
      <w:r>
        <w:rPr>
          <w:rFonts w:ascii="Times New Roman" w:hAnsi="Times New Roman"/>
          <w:sz w:val="24"/>
        </w:rPr>
        <w:t xml:space="preserve">In markets outside of the United States, the EU and the U.K., reimbursement and healthcare payment systems vary significantly by country, and many countries have instituted price ceilings on specific product candidates and therapies.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We cannot predict the likelihood, nature, or extent of government regulation that may arise from future legislation or administrative action in the United States,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spacing w:before="240" w:after="0"/>
        <w:jc w:val="left"/>
        <w:rPr>
          <w:rFonts w:ascii="Times New Roman" w:hAnsi="Times New Roman"/>
          <w:sz w:val="24"/>
        </w:rPr>
      </w:pPr>
      <w:r>
        <w:rPr>
          <w:rFonts w:ascii="Times New Roman" w:hAnsi="Times New Roman"/>
          <w:sz w:val="24"/>
        </w:rPr>
        <w:t xml:space="preserve">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 </w:t>
      </w:r>
    </w:p>
    <w:p>
      <w:pPr>
        <w:pStyle w:val="TextBody"/>
        <w:spacing w:before="240" w:after="0"/>
        <w:jc w:val="left"/>
        <w:rPr>
          <w:rFonts w:ascii="Times New Roman" w:hAnsi="Times New Roman"/>
          <w:b/>
          <w:i/>
          <w:sz w:val="24"/>
        </w:rPr>
      </w:pPr>
      <w:r>
        <w:rPr>
          <w:rFonts w:ascii="Times New Roman" w:hAnsi="Times New Roman"/>
          <w:b/>
          <w:i/>
          <w:sz w:val="24"/>
        </w:rPr>
        <w:t xml:space="preserve">Our business operations and current and future relationships with investigators, healthcare professionals, consultants, third-party payors, patient organizations, and customers will be subject to applicable healthcare regulatory laws, which could expose us to penalties. </w:t>
      </w:r>
    </w:p>
    <w:p>
      <w:pPr>
        <w:pStyle w:val="TextBody"/>
        <w:spacing w:before="240" w:after="0"/>
        <w:jc w:val="left"/>
        <w:rPr>
          <w:rFonts w:ascii="Times New Roman" w:hAnsi="Times New Roman"/>
          <w:sz w:val="24"/>
        </w:rPr>
      </w:pPr>
      <w:r>
        <w:rPr>
          <w:rFonts w:ascii="Times New Roman" w:hAnsi="Times New Roman"/>
          <w:sz w:val="24"/>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 Kickback Statute, a person or entity does not need to have actual knowledge of the statute or specific intent to violate it in order to have committed a violation;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similar healthcare laws and regulations in the EU, the U.K. and other jurisdictions, including reporting requirements detailing interactions with and payments to healthcare providers. </w:t>
            </w:r>
          </w:p>
        </w:tc>
      </w:tr>
    </w:tbl>
    <w:p>
      <w:pPr>
        <w:pStyle w:val="TextBody"/>
        <w:spacing w:before="240" w:after="0"/>
        <w:jc w:val="left"/>
        <w:rPr>
          <w:rFonts w:ascii="Times New Roman" w:hAnsi="Times New Roman"/>
          <w:sz w:val="24"/>
        </w:rPr>
      </w:pPr>
      <w:r>
        <w:rPr>
          <w:rFonts w:ascii="Times New Roman" w:hAnsi="Times New Roman"/>
          <w:sz w:val="24"/>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t>
      </w:r>
    </w:p>
    <w:p>
      <w:pPr>
        <w:pStyle w:val="TextBody"/>
        <w:spacing w:before="240" w:after="0"/>
        <w:jc w:val="left"/>
        <w:rPr>
          <w:rFonts w:ascii="Times New Roman" w:hAnsi="Times New Roman"/>
          <w:sz w:val="24"/>
        </w:rPr>
      </w:pPr>
      <w:r>
        <w:rPr>
          <w:rFonts w:ascii="Times New Roman" w:hAnsi="Times New Roman"/>
          <w:sz w:val="24"/>
        </w:rPr>
        <w:t xml:space="preserve">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spacing w:before="240" w:after="0"/>
        <w:jc w:val="left"/>
        <w:rPr>
          <w:rFonts w:ascii="Times New Roman" w:hAnsi="Times New Roman"/>
          <w:b/>
          <w:i/>
          <w:sz w:val="24"/>
        </w:rPr>
      </w:pPr>
      <w:r>
        <w:rPr>
          <w:rFonts w:ascii="Times New Roman" w:hAnsi="Times New Roman"/>
          <w:b/>
          <w:i/>
          <w:sz w:val="24"/>
        </w:rPr>
        <w:t xml:space="preserve">We are subject to governmental regulation and other legal obligations related to privacy, data protection and data security. Our actual or perceived failure to comply with such obligations could harm our business. </w:t>
      </w:r>
    </w:p>
    <w:p>
      <w:pPr>
        <w:pStyle w:val="TextBody"/>
        <w:spacing w:before="240" w:after="0"/>
        <w:jc w:val="left"/>
        <w:rPr>
          <w:rFonts w:ascii="Times New Roman" w:hAnsi="Times New Roman"/>
          <w:sz w:val="24"/>
        </w:rPr>
      </w:pPr>
      <w:r>
        <w:rPr>
          <w:rFonts w:ascii="Times New Roman" w:hAnsi="Times New Roman"/>
          <w:sz w:val="24"/>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Our operations abroad may also be subject to increased scrutiny or attention from data protection authorities. For example, we are subject to diverse laws and regulations relating to data privacy and security in the EU, and the U.K. including the GDPR and the GDPR, as implemented into U.K. law (the “UK GDPR”). New global privacy rules are being enacted and existing ones are being updated and strengthened. We are likely to be required to expend capital and other resources to ensure ongoing compliance with these laws and regulations. </w:t>
      </w:r>
    </w:p>
    <w:p>
      <w:pPr>
        <w:pStyle w:val="TextBody"/>
        <w:spacing w:before="240" w:after="0"/>
        <w:jc w:val="left"/>
        <w:rPr>
          <w:rFonts w:ascii="Times New Roman" w:hAnsi="Times New Roman"/>
          <w:sz w:val="24"/>
        </w:rPr>
      </w:pPr>
      <w:r>
        <w:rPr>
          <w:rFonts w:ascii="Times New Roman" w:hAnsi="Times New Roman"/>
          <w:sz w:val="24"/>
        </w:rPr>
        <w:t xml:space="preserve">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CROs and sponsors. As these laws develop, we may need to make operational changes to adapt to these diverging rules, which could increase our costs and adversely affect our business. There is also potential exposure under the UK’s emerging civil tort for misuse of private information, which is distinct from breach of confidence. Complying with these numerous, complex and often changing regulations is expensive and difficult.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 We may also face civil claims seeking compensation for both material and immaterial harms arising from a GDPR or UK GDPR violation. </w:t>
      </w:r>
    </w:p>
    <w:p>
      <w:pPr>
        <w:pStyle w:val="TextBody"/>
        <w:spacing w:before="240" w:after="0"/>
        <w:jc w:val="left"/>
        <w:rPr>
          <w:rFonts w:ascii="Times New Roman" w:hAnsi="Times New Roman"/>
          <w:sz w:val="24"/>
        </w:rPr>
      </w:pPr>
      <w:r>
        <w:rPr>
          <w:rFonts w:ascii="Times New Roman" w:hAnsi="Times New Roman"/>
          <w:sz w:val="24"/>
        </w:rPr>
        <w:t xml:space="preserve">The GDPR and UK GDPR also regulate cross-border transfers of personal data out of the EEA and the U.K. Recent legal developments in Europe have created complexity and uncertainty regarding such transfers, in particular in relation to transfers to the United States. On July 16, 2020, the Court of Justice of the European Union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As the enforcement landscape further develops, and supervisory authorities issue further guidance on international data transfers, we could incur additional costs, complaints and/or regulatory investigations or fines; we may have to stop using certain tools and vendors and make other operational changes. </w:t>
      </w:r>
    </w:p>
    <w:p>
      <w:pPr>
        <w:pStyle w:val="TextBody"/>
        <w:spacing w:before="240" w:after="0"/>
        <w:jc w:val="left"/>
        <w:rPr>
          <w:rFonts w:ascii="Times New Roman" w:hAnsi="Times New Roman"/>
          <w:sz w:val="24"/>
        </w:rPr>
      </w:pPr>
      <w:r>
        <w:rPr>
          <w:rFonts w:ascii="Times New Roman" w:hAnsi="Times New Roman"/>
          <w:sz w:val="24"/>
        </w:rPr>
        <w:t xml:space="preserve">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or U.K.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 </w:t>
      </w:r>
    </w:p>
    <w:p>
      <w:pPr>
        <w:pStyle w:val="TextBody"/>
        <w:spacing w:before="240" w:after="0"/>
        <w:jc w:val="left"/>
        <w:rPr>
          <w:rFonts w:ascii="Times New Roman" w:hAnsi="Times New Roman"/>
          <w:sz w:val="24"/>
        </w:rPr>
      </w:pPr>
      <w:r>
        <w:rPr>
          <w:rFonts w:ascii="Times New Roman" w:hAnsi="Times New Roman"/>
          <w:sz w:val="24"/>
        </w:rPr>
        <w:t xml:space="preserve">We are also subject to European privacy laws regulating electronic marketing and cookies (and related technologies), which are strictly enforced by regulators and can engender fines, claims and reputation damage in cases where those laws are infringed.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Further, in the United States,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w:t>
      </w:r>
    </w:p>
    <w:p>
      <w:pPr>
        <w:pStyle w:val="TextBody"/>
        <w:spacing w:before="240" w:after="0"/>
        <w:jc w:val="left"/>
        <w:rPr>
          <w:rFonts w:ascii="Times New Roman" w:hAnsi="Times New Roman"/>
          <w:sz w:val="24"/>
        </w:rPr>
      </w:pPr>
      <w:r>
        <w:rPr>
          <w:rFonts w:ascii="Times New Roman" w:hAnsi="Times New Roman"/>
          <w:sz w:val="24"/>
        </w:rPr>
        <w:t xml:space="preserve">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spacing w:before="240" w:after="0"/>
        <w:jc w:val="left"/>
        <w:rPr>
          <w:rFonts w:ascii="Times New Roman" w:hAnsi="Times New Roman"/>
          <w:b/>
          <w:i/>
          <w:sz w:val="24"/>
        </w:rPr>
      </w:pPr>
      <w:r>
        <w:rPr>
          <w:rFonts w:ascii="Times New Roman" w:hAnsi="Times New Roman"/>
          <w:b/>
          <w:i/>
          <w:sz w:val="24"/>
        </w:rPr>
        <w:t xml:space="preserve">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 </w:t>
      </w:r>
    </w:p>
    <w:p>
      <w:pPr>
        <w:pStyle w:val="TextBody"/>
        <w:spacing w:before="240" w:after="0"/>
        <w:jc w:val="left"/>
        <w:rPr>
          <w:rFonts w:ascii="Times New Roman" w:hAnsi="Times New Roman"/>
          <w:sz w:val="24"/>
        </w:rPr>
      </w:pPr>
      <w:r>
        <w:rPr>
          <w:rFonts w:ascii="Times New Roman" w:hAnsi="Times New Roman"/>
          <w:sz w:val="24"/>
        </w:rPr>
        <w:t xml:space="preserve">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 corruption laws. In addition, we cannot predict the nature, scope, or effect of future regulatory requirements to which any of our international operations might be subject or the manner in which existing laws might be administered or interpreted. </w:t>
      </w:r>
    </w:p>
    <w:p>
      <w:pPr>
        <w:pStyle w:val="TextBody"/>
        <w:spacing w:before="240" w:after="0"/>
        <w:jc w:val="left"/>
        <w:rPr>
          <w:rFonts w:ascii="Times New Roman" w:hAnsi="Times New Roman"/>
          <w:sz w:val="24"/>
        </w:rPr>
      </w:pPr>
      <w:r>
        <w:rPr>
          <w:rFonts w:ascii="Times New Roman" w:hAnsi="Times New Roman"/>
          <w:sz w:val="24"/>
        </w:rPr>
        <w:t xml:space="preserve">We are also subject to other laws and regulations governing any international operations, such as applicable export controls, embargoes, economic, financial and trade sanctions laws and regulations, including those administered and enforced by the United Kingdom, the United States and the European Union (and its Member States), (collectively, the “Trade Controls”). These Trade Controls prohibit or restrict dealings relating to certain countries, regions or persons. </w:t>
      </w:r>
    </w:p>
    <w:p>
      <w:pPr>
        <w:pStyle w:val="TextBody"/>
        <w:spacing w:before="240" w:after="0"/>
        <w:jc w:val="left"/>
        <w:rPr>
          <w:rFonts w:ascii="Times New Roman" w:hAnsi="Times New Roman"/>
          <w:sz w:val="24"/>
        </w:rPr>
      </w:pPr>
      <w:r>
        <w:rPr>
          <w:rFonts w:ascii="Times New Roman" w:hAnsi="Times New Roman"/>
          <w:sz w:val="24"/>
        </w:rPr>
        <w:t xml:space="preserve">Compliance with Trade Controls, which are subject to frequent changes, may delay or hinder our business operations (particularly in respect of cross-border business), and, in some cases, prevent certain of our business operations altogether. It is difficult for us to predict how Trade Controls will change in the future and the impact they may have on our business. For example, as stated above, a result of Russia’s invasion of Ukraine, Trade Controls relating to Russia have been significantly expanded. </w:t>
      </w:r>
    </w:p>
    <w:p>
      <w:pPr>
        <w:pStyle w:val="TextBody"/>
        <w:spacing w:before="240" w:after="0"/>
        <w:jc w:val="left"/>
        <w:rPr>
          <w:rFonts w:ascii="Times New Roman" w:hAnsi="Times New Roman"/>
          <w:sz w:val="24"/>
        </w:rPr>
      </w:pPr>
      <w:r>
        <w:rPr>
          <w:rFonts w:ascii="Times New Roman" w:hAnsi="Times New Roman"/>
          <w:sz w:val="24"/>
        </w:rPr>
        <w:t xml:space="preserve">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 </w:t>
      </w:r>
    </w:p>
    <w:p>
      <w:pPr>
        <w:pStyle w:val="TextBody"/>
        <w:spacing w:before="360" w:after="0"/>
        <w:jc w:val="left"/>
        <w:rPr>
          <w:rFonts w:ascii="Times New Roman" w:hAnsi="Times New Roman"/>
          <w:b/>
          <w:sz w:val="24"/>
        </w:rPr>
      </w:pPr>
      <w:r>
        <w:rPr>
          <w:rFonts w:ascii="Times New Roman" w:hAnsi="Times New Roman"/>
          <w:b/>
          <w:sz w:val="24"/>
        </w:rPr>
        <w:t xml:space="preserve">Risks Related to Commercialization </w:t>
      </w:r>
    </w:p>
    <w:p>
      <w:pPr>
        <w:pStyle w:val="TextBody"/>
        <w:spacing w:before="120" w:after="0"/>
        <w:jc w:val="left"/>
        <w:rPr>
          <w:rFonts w:ascii="Times New Roman" w:hAnsi="Times New Roman"/>
          <w:b/>
          <w:i/>
          <w:sz w:val="24"/>
        </w:rPr>
      </w:pPr>
      <w:r>
        <w:rPr>
          <w:rFonts w:ascii="Times New Roman" w:hAnsi="Times New Roman"/>
          <w:b/>
          <w:i/>
          <w:sz w:val="24"/>
        </w:rPr>
        <w:t xml:space="preserve">We operate in a highly competitive and rapidly changing industry, which may result in others acquiring, developing, or commercializing competing product candidates before or more successfully than we or our partners do. </w:t>
      </w:r>
    </w:p>
    <w:p>
      <w:pPr>
        <w:pStyle w:val="TextBody"/>
        <w:spacing w:before="240" w:after="0"/>
        <w:jc w:val="left"/>
        <w:rPr>
          <w:rFonts w:ascii="Times New Roman" w:hAnsi="Times New Roman"/>
          <w:sz w:val="24"/>
        </w:rPr>
      </w:pPr>
      <w:r>
        <w:rPr>
          <w:rFonts w:ascii="Times New Roman" w:hAnsi="Times New Roman"/>
          <w:sz w:val="24"/>
        </w:rPr>
        <w:t xml:space="preserve">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etigilimab, alvelestat, setrusumab, acumapimod or leflutrozole is approved, we will face intense competition from a variety of businesses, including large, fully integrated pharmaceutical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 </w:t>
      </w:r>
    </w:p>
    <w:p>
      <w:pPr>
        <w:pStyle w:val="TextBody"/>
        <w:spacing w:before="240" w:after="0"/>
        <w:jc w:val="left"/>
        <w:rPr>
          <w:rFonts w:ascii="Times New Roman" w:hAnsi="Times New Roman"/>
          <w:sz w:val="24"/>
        </w:rPr>
      </w:pPr>
      <w:r>
        <w:rPr>
          <w:rFonts w:ascii="Times New Roman" w:hAnsi="Times New Roman"/>
          <w:sz w:val="24"/>
        </w:rPr>
        <w:t xml:space="preserve">We expect to face competition for each of our current product candidates, including specifically: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consider setrusumab’s current closest potential competitors in development for the treatment of OI to be Amgen and UCB’s anti-sclerostin antibody, romosozumab (Evenity), which was approved for osteoporosis in the United States in April 2019 and in December 2019 in Europe for osteoporosis. In December 2019, the European Commission approved the MAA for romosozumab can delete sentence as consolidated above (Evenity) for osteoporosis. Romosozumab is also in a Phase 1 trial in OI in Europe, investigating at the pharmacokinetics and pharmacodynamics of romosozumab in OI.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Baylor College of Medicine has conducted a Phase 1 open label trial of fresolimumab, a TGF-B inhibitor, in adult OI patients, and Sanofi is conducting a Phase 1 trial of SAR439459, a related TGF-B inhibitor, in adult OI patients. Amgen has also conducted two studies of denosumab (Prolia) an anti-resorptive agent in pediatric patients with OI, however, both studies were terminated.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consider alvelestat’s current closest potential competitors for the treatment of severe AATD to be alpha1- 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InhibRx, Inc. (“InhibRx”) has completed a Phase 1 trial of INBRX-101, a recombinant human alpha-1 antitrypsin Fc fusion protein (rhAAT-Fc) for replacement therapy, and plans to initiate a potential registration study for potential accelerated approval in the second half of 2023. Apic Bio, Inc. (“Apic Bio”) is in the early stages of developing a dual function vector (df-AAV) gene-therapy approach for AATD silencing the mutant Z-AAT protein and augmenting wildtype M-AAT production. Wave Life Sciences is in early stages of development of RNA base-editing oligonucleotide (WVE-0006) to restore wild-type protein in lung and liver disease, a program that has been recently partnered with GSK. Intellia Therapeutics, Inc. is in early stages of developing CRISPR/Cas9 -based insertion of normal SERPINA1 gene, targeting lung disease (NTLA-3001). Peak Bio acquired an oral NE inhibitor, PHP-303 from Ph Pharma in March 2022. Peak Bio plans to conduct a Phase 2 proof-of-concept clinical trial in patients with severe AATD with trial initiation, potentially, in 2023 once they have received the necessary funding. Vertex Pharmaceuticals Inc. (“Vertex”) has a small molecule corrector program for AATD in a Phase 1 trial focused on the liver disease, following Phase 2 trials with two other molecules with the same mechanism of action that were discontinued due to toxicity and efficacy. Centessa (previously Z-factor) was previously in a Phase 1trial with ZF874 protein folding corrector for Z-AATD but this has been terminated. Biomarin Pharmaceutical, Inc. is in early stages of development of a small molecule corrector (BMN 349).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Dysfuntion (CLAD) in Phase 1 (NCT02709343 ); and liposomal inhaled cyclosporin-A (Zambon) in Phase 2 in BOS following SCT and in Phase 3 global pivotal trials in BOS associated with lung transplant. In other disease indications, we consider alvelestat’s closest potential competitors to be Santhera Pharmaceuticals (“Santhera”) which has in-licensed the inhaled NE inhibitor POL6014 and has completed a multiple ascending dose study, in the initial indication of CF; and CHF-6333 is an inhaled human NE inhibitor that has completed a Phase 1 trial by Chiesi Farmaceutici S.p.A. (“Chiesi”) for the treatment of non-cystic fibrosis bronchiectasis and CF.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consider etigilimab’s current closest potential competitors to include other anti-TIGIT agents being developed by companies including Roche, Merck, iTeos and GSK, Beigene/Novartis, Seattle Genetics, Inc., Arcus/Gilead and Compugen amongst others. In addition, there are other combinations of existing cancer therapies available commercially for example, Yervoy and Opdivo and Opidivo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or “GSK” ), and AstraZeneca each conducting Phase 2 trials on drugs for the treatment of COPD. In addition, Pulmatrix, Inc. (“Pulmatrix”) has PUR1800, a narrow-spectrum kinase inhibitor (NSKI) that completed a Phase 1b trial in COPD. We consider acumapimod’s current closest potential competitor in development for the treatment of AECOPD to be Verona Pharma’s nebulized and inhaled ensifentrine (RPL554), a PDE3 / PDE4 dual inhibitor that is currently being developed as a bronchodilator and anti-inflammatory agent for COPD, Asthma and Cystic Fibrosis patients. In August 2022, Verona announced positive results (FEV1 and AECOPD exacerbation frequency) from two Phase 3 trials (ENHANCE-1 and ENHANCE-2) in COPD.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consider leflutrozole’s current closest potential competitors for the treatment of male infertility due to HH are Follicle Stimulating Hormone (FSH), injectable recombinant follitropin alpha (Gonal-F, Serono) which is FDA approved for male infertility. Injectable Human Chorionic Gonadotropin (HCG) is not approved for male infertility, but is used ‘off-label.’ AZD-5904 (myeloperoxidase inhibitor) from the AstraZeneca and St George Street Capital collaboration is in a Phase 1b trial for idiopathic male infertility. </w:t>
            </w:r>
          </w:p>
        </w:tc>
      </w:tr>
    </w:tbl>
    <w:p>
      <w:pPr>
        <w:pStyle w:val="TextBody"/>
        <w:spacing w:before="240" w:after="0"/>
        <w:jc w:val="left"/>
        <w:rPr>
          <w:rFonts w:ascii="Times New Roman" w:hAnsi="Times New Roman"/>
          <w:sz w:val="24"/>
        </w:rPr>
      </w:pPr>
      <w:r>
        <w:rPr>
          <w:rFonts w:ascii="Times New Roman" w:hAnsi="Times New Roman"/>
          <w:sz w:val="24"/>
        </w:rPr>
        <w:t xml:space="preserve">We also anticipate that new companies will enter these markets in the future. If we, or our partners, successfully develop and commercialize any of setrusumab, alvelestat, etigilimab, acumapimod or leflutrozole,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develop and commercialize product candidates that are safer, more effective, less expensive, more convenient, or easier to administer, or have fewer or less severe effects, or in certain cases could be curative for the condition;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obtain quicker regulatory approval; </w:t>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75"/>
        <w:gridCol w:w="110"/>
        <w:gridCol w:w="60"/>
        <w:gridCol w:w="8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establish superior proprietary positions covering our product candidates and technologies; </w:t>
            </w:r>
          </w:p>
        </w:tc>
      </w:tr>
    </w:tbl>
    <w:p>
      <w:pPr>
        <w:pStyle w:val="TextBody"/>
        <w:spacing w:before="0" w:after="0"/>
        <w:jc w:val="left"/>
        <w:rPr/>
      </w:pPr>
      <w:r>
        <w:rPr/>
        <w:t> </w:t>
      </w:r>
    </w:p>
    <w:tbl>
      <w:tblPr>
        <w:tblW w:w="6340" w:type="dxa"/>
        <w:jc w:val="left"/>
        <w:tblInd w:w="0" w:type="dxa"/>
        <w:tblCellMar>
          <w:top w:w="0" w:type="dxa"/>
          <w:left w:w="0" w:type="dxa"/>
          <w:bottom w:w="0" w:type="dxa"/>
          <w:right w:w="0" w:type="dxa"/>
        </w:tblCellMar>
      </w:tblPr>
      <w:tblGrid>
        <w:gridCol w:w="75"/>
        <w:gridCol w:w="110"/>
        <w:gridCol w:w="60"/>
        <w:gridCol w:w="6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implement more effective approaches to sales and marketing; or </w:t>
            </w:r>
          </w:p>
        </w:tc>
      </w:tr>
    </w:tbl>
    <w:p>
      <w:pPr>
        <w:pStyle w:val="TextBody"/>
        <w:spacing w:before="0" w:after="0"/>
        <w:jc w:val="left"/>
        <w:rPr/>
      </w:pPr>
      <w:r>
        <w:rPr/>
        <w:t> </w:t>
      </w:r>
    </w:p>
    <w:tbl>
      <w:tblPr>
        <w:tblW w:w="4450" w:type="dxa"/>
        <w:jc w:val="left"/>
        <w:tblInd w:w="0" w:type="dxa"/>
        <w:tblCellMar>
          <w:top w:w="0" w:type="dxa"/>
          <w:left w:w="0" w:type="dxa"/>
          <w:bottom w:w="0" w:type="dxa"/>
          <w:right w:w="0" w:type="dxa"/>
        </w:tblCellMar>
      </w:tblPr>
      <w:tblGrid>
        <w:gridCol w:w="75"/>
        <w:gridCol w:w="110"/>
        <w:gridCol w:w="60"/>
        <w:gridCol w:w="4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form more advantageous strategic alliances.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 </w:t>
      </w:r>
    </w:p>
    <w:p>
      <w:pPr>
        <w:pStyle w:val="TextBody"/>
        <w:spacing w:before="240" w:after="0"/>
        <w:jc w:val="left"/>
        <w:rPr>
          <w:rFonts w:ascii="Times New Roman" w:hAnsi="Times New Roman"/>
          <w:b/>
          <w:i/>
          <w:sz w:val="24"/>
        </w:rPr>
      </w:pPr>
      <w:r>
        <w:rPr>
          <w:rFonts w:ascii="Times New Roman" w:hAnsi="Times New Roman"/>
          <w:b/>
          <w:i/>
          <w:sz w:val="24"/>
        </w:rPr>
        <w:t xml:space="preserve">We have obtained orphan drug designation for setrusumab for the treatment of OI in the United States and EU and for alvelestat for the treatment of AATD in the United States, but we may be unable to obtain orphan drug designation for alvelestat for AATD in the EU or for the treatment of BOS in the United States or EU, or any future product candidates. We may also be unable to obtain or maintain the benefits associated with orphan drug designation, including the potential for orphan drug exclusivity, for setrusumab or any other product for which we obtain orphan drug designation. </w:t>
      </w:r>
    </w:p>
    <w:p>
      <w:pPr>
        <w:pStyle w:val="TextBody"/>
        <w:spacing w:before="240" w:after="0"/>
        <w:jc w:val="left"/>
        <w:rPr>
          <w:rFonts w:ascii="Times New Roman" w:hAnsi="Times New Roman"/>
          <w:sz w:val="24"/>
        </w:rPr>
      </w:pPr>
      <w:r>
        <w:rPr>
          <w:rFonts w:ascii="Times New Roman" w:hAnsi="Times New Roman"/>
          <w:sz w:val="24"/>
        </w:rPr>
        <w:t xml:space="preserve">Regulatory authorities in some jurisdictions, including the U.S., may designate biologics or drugs designed to address relatively small patient populations as “orphan drugs.” </w:t>
      </w:r>
    </w:p>
    <w:p>
      <w:pPr>
        <w:pStyle w:val="TextBody"/>
        <w:spacing w:before="240" w:after="0"/>
        <w:jc w:val="left"/>
        <w:rPr>
          <w:rFonts w:ascii="Times New Roman" w:hAnsi="Times New Roman"/>
          <w:sz w:val="24"/>
        </w:rPr>
      </w:pPr>
      <w:r>
        <w:rPr>
          <w:rFonts w:ascii="Times New Roman" w:hAnsi="Times New Roman"/>
          <w:sz w:val="24"/>
        </w:rPr>
        <w:t xml:space="preserve">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European Commission grants orphan designation after receiving the opinion of the EMA’s Committee for Orphan Medicinal Products (“COMP”).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 </w:t>
      </w:r>
    </w:p>
    <w:p>
      <w:pPr>
        <w:pStyle w:val="TextBody"/>
        <w:spacing w:before="240" w:after="0"/>
        <w:jc w:val="left"/>
        <w:rPr>
          <w:rFonts w:ascii="Times New Roman" w:hAnsi="Times New Roman"/>
          <w:sz w:val="24"/>
        </w:rPr>
      </w:pPr>
      <w:r>
        <w:rPr>
          <w:rFonts w:ascii="Times New Roman" w:hAnsi="Times New Roman"/>
          <w:sz w:val="24"/>
        </w:rPr>
        <w:t xml:space="preserve">Post-Brexit, the U.K. has retained the EU Regulation which governs the designation of medicinal products as orphan drugs and which establishes incentives thereto (Regulation (EC) No. 141/2000) as part of U.K. law by virtue of the EU (Withdrawal) Act 2018. However, under the Retained EU Law (Revocation and Reform) Bill, which is currently before the U.K. Parliament, unless this legislation is expressly preserved and “assimilated” into domestic law or extended by ministerial regulations (to no later than June 23, 2026) it will automatically expire and be revoked by December 31, 2023. There is therefore uncertainty about the future regulations relating to orphan designation in Great Britain, and any future changes to the legal requirements could lead to greater regulatory complexity and increased costs to our business. </w:t>
      </w:r>
    </w:p>
    <w:p>
      <w:pPr>
        <w:pStyle w:val="TextBody"/>
        <w:spacing w:before="240" w:after="0"/>
        <w:jc w:val="left"/>
        <w:rPr>
          <w:rFonts w:ascii="Times New Roman" w:hAnsi="Times New Roman"/>
          <w:sz w:val="24"/>
        </w:rPr>
      </w:pPr>
      <w:r>
        <w:rPr>
          <w:rFonts w:ascii="Times New Roman" w:hAnsi="Times New Roman"/>
          <w:sz w:val="24"/>
        </w:rPr>
        <w:t xml:space="preserve">There is no pre-MA orphan designation in Great Britain. Instead, the MHRA will review applications for orphan designation in parallel to the corresponding MAA. The criteria are essentially the same, but have been tailored for the market, i.e., the prevalence of the condition in Great Britain, rather than the EU, must not be more than five in 10,000. Should an orphan designation be granted, the period or market exclusivity will be set from the date of first approval of the product in Great Britain. If a medicinal product has been designated orphan in the EU under Regulation (EC) 141/2000, a Great Britain orphan MAA can be made under regulation 50G of the Human Medicines Regulation 2012 (as amended). A U.K.-wide orphan MAA can only be considered in the absence of an active EU orphan designation. </w:t>
      </w:r>
    </w:p>
    <w:p>
      <w:pPr>
        <w:pStyle w:val="TextBody"/>
        <w:spacing w:before="240" w:after="0"/>
        <w:jc w:val="left"/>
        <w:rPr>
          <w:rFonts w:ascii="Times New Roman" w:hAnsi="Times New Roman"/>
          <w:sz w:val="24"/>
        </w:rPr>
      </w:pPr>
      <w:r>
        <w:rPr>
          <w:rFonts w:ascii="Times New Roman" w:hAnsi="Times New Roman"/>
          <w:sz w:val="24"/>
        </w:rPr>
        <w:t xml:space="preserve">If a U.K.-wide orphan MA is granted and the medicinal product subsequently receives EU orphan designation, the MA holder would need to submit a variation to change this to a Great Britain orphan MA. 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Pediatric Investigation Plan (“PIP”). This period may be reduced to six years if ,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spacing w:before="240" w:after="0"/>
        <w:jc w:val="left"/>
        <w:rPr>
          <w:rFonts w:ascii="Times New Roman" w:hAnsi="Times New Roman"/>
          <w:sz w:val="24"/>
        </w:rPr>
      </w:pPr>
      <w:r>
        <w:rPr>
          <w:rFonts w:ascii="Times New Roman" w:hAnsi="Times New Roman"/>
          <w:sz w:val="24"/>
        </w:rPr>
        <w:t xml:space="preserve">We have obtained orphan drug designation from the FDA and the European Commission for setrusumab for the treatment of OI (designated by the FDA as “human monoclonal antibody targeting human sclerostin” and designated by the European Commission as “recombinant humanised monoclonal IgG2 lambda antibody against human sclerostin”). Additionally, we have obtained orphan drug designation for alvelestat for the treatment of AATD from the FDA. We may also plan to seek orphan drug designation from the FDA and the European Commission for alvelestat for the treatment of AATD or BOS and/or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disease or condition broader than the orphan-designated disease or condition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can be approved for the same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 </w:t>
      </w:r>
    </w:p>
    <w:p>
      <w:pPr>
        <w:pStyle w:val="TextBody"/>
        <w:spacing w:before="240" w:after="0"/>
        <w:jc w:val="left"/>
        <w:rPr>
          <w:rFonts w:ascii="Times New Roman" w:hAnsi="Times New Roman"/>
          <w:b/>
          <w:i/>
          <w:sz w:val="24"/>
        </w:rPr>
      </w:pPr>
      <w:r>
        <w:rPr>
          <w:rFonts w:ascii="Times New Roman" w:hAnsi="Times New Roman"/>
          <w:b/>
          <w:i/>
          <w:sz w:val="24"/>
        </w:rPr>
        <w:t xml:space="preserve">Although we have obtained a rare pediatric disease designation for setrusumab, there is no guarantee that FDA approval of will result in issuance of a priority review voucher. </w:t>
      </w:r>
    </w:p>
    <w:p>
      <w:pPr>
        <w:pStyle w:val="TextBody"/>
        <w:spacing w:before="240" w:after="0"/>
        <w:jc w:val="left"/>
        <w:rPr>
          <w:rFonts w:ascii="Times New Roman" w:hAnsi="Times New Roman"/>
          <w:sz w:val="24"/>
        </w:rPr>
      </w:pPr>
      <w:r>
        <w:rPr>
          <w:rFonts w:ascii="Times New Roman" w:hAnsi="Times New Roman"/>
          <w:sz w:val="24"/>
        </w:rPr>
        <w:t xml:space="preserve">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 </w:t>
      </w:r>
    </w:p>
    <w:p>
      <w:pPr>
        <w:pStyle w:val="TextBody"/>
        <w:spacing w:before="240" w:after="0"/>
        <w:jc w:val="left"/>
        <w:rPr>
          <w:rFonts w:ascii="Times New Roman" w:hAnsi="Times New Roman"/>
          <w:sz w:val="24"/>
        </w:rPr>
      </w:pPr>
      <w:r>
        <w:rPr>
          <w:rFonts w:ascii="Times New Roman" w:hAnsi="Times New Roman"/>
          <w:sz w:val="24"/>
        </w:rPr>
        <w:t xml:space="preserve">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 </w:t>
      </w:r>
    </w:p>
    <w:p>
      <w:pPr>
        <w:pStyle w:val="TextBody"/>
        <w:spacing w:before="0" w:after="0"/>
        <w:jc w:val="left"/>
        <w:rPr/>
      </w:pPr>
      <w:r>
        <w:rPr/>
        <w:t> </w:t>
      </w:r>
    </w:p>
    <w:tbl>
      <w:tblPr>
        <w:tblW w:w="6775" w:type="dxa"/>
        <w:jc w:val="left"/>
        <w:tblInd w:w="0" w:type="dxa"/>
        <w:tblCellMar>
          <w:top w:w="0" w:type="dxa"/>
          <w:left w:w="0" w:type="dxa"/>
          <w:bottom w:w="0" w:type="dxa"/>
          <w:right w:w="0" w:type="dxa"/>
        </w:tblCellMar>
      </w:tblPr>
      <w:tblGrid>
        <w:gridCol w:w="75"/>
        <w:gridCol w:w="110"/>
        <w:gridCol w:w="60"/>
        <w:gridCol w:w="6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product no longer meets the definition of a rare pediatric disease;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product contains an active ingredient (including any ester or salt of the active ingredient) that has been previously approved in another marketing application;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application does not rely on clinical data derived from studies examining a pediatric population and dosages of the drug intended for that population;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application is approved for a different adult indication than the rare pediatric disease for which the product is designated </w:t>
            </w:r>
          </w:p>
        </w:tc>
      </w:tr>
    </w:tbl>
    <w:p>
      <w:pPr>
        <w:pStyle w:val="TextBody"/>
        <w:spacing w:before="240" w:after="0"/>
        <w:jc w:val="left"/>
        <w:rPr>
          <w:rFonts w:ascii="Times New Roman" w:hAnsi="Times New Roman"/>
          <w:sz w:val="24"/>
        </w:rPr>
      </w:pPr>
      <w:r>
        <w:rPr>
          <w:rFonts w:ascii="Times New Roman" w:hAnsi="Times New Roman"/>
          <w:sz w:val="24"/>
        </w:rPr>
        <w:t xml:space="preserve">Moreover, Congress included a sunset provision in the statute authorizing the rare pediatric disease priority review voucher program. Under the current statutory sunset provisions, after September 30, 2024, FDA may only award a voucher for an approved rare pediatric disease product application if the sponsor has rare pediatric disease designation for the product candidate, and that designation was granted by September 30, 2024. After September 30, 2026, FDA may not award any rare pediatric disease priority review vouchers. </w:t>
      </w:r>
    </w:p>
    <w:p>
      <w:pPr>
        <w:pStyle w:val="TextBody"/>
        <w:spacing w:before="240" w:after="0"/>
        <w:jc w:val="left"/>
        <w:rPr>
          <w:rFonts w:ascii="Times New Roman" w:hAnsi="Times New Roman"/>
          <w:b/>
          <w:i/>
          <w:sz w:val="24"/>
        </w:rPr>
      </w:pPr>
      <w:r>
        <w:rPr>
          <w:rFonts w:ascii="Times New Roman" w:hAnsi="Times New Roman"/>
          <w:b/>
          <w:i/>
          <w:sz w:val="24"/>
        </w:rPr>
        <w:t xml:space="preserve">A Fast Track Designation from the FDA, even if granted for any of our product candidates, may not lead to a faster development or regulatory review or approval process, and does not increase the likelihood that our product candidates will receive marketing approval. </w:t>
      </w:r>
    </w:p>
    <w:p>
      <w:pPr>
        <w:pStyle w:val="TextBody"/>
        <w:spacing w:before="240" w:after="0"/>
        <w:jc w:val="left"/>
        <w:rPr>
          <w:rFonts w:ascii="Times New Roman" w:hAnsi="Times New Roman"/>
          <w:sz w:val="24"/>
        </w:rPr>
      </w:pPr>
      <w:r>
        <w:rPr>
          <w:rFonts w:ascii="Times New Roman" w:hAnsi="Times New Roman"/>
          <w:sz w:val="24"/>
        </w:rPr>
        <w:t xml:space="preserve">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 </w:t>
      </w:r>
    </w:p>
    <w:p>
      <w:pPr>
        <w:pStyle w:val="TextBody"/>
        <w:spacing w:before="240" w:after="0"/>
        <w:jc w:val="left"/>
        <w:rPr>
          <w:rFonts w:ascii="Times New Roman" w:hAnsi="Times New Roman"/>
          <w:sz w:val="24"/>
        </w:rPr>
      </w:pPr>
      <w:r>
        <w:rPr>
          <w:rFonts w:ascii="Times New Roman" w:hAnsi="Times New Roman"/>
          <w:sz w:val="24"/>
        </w:rPr>
        <w:t xml:space="preserve">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alvelestat or any other product candidate that may be granted Fast Track designation will receive regulatory approval in the U.S. Many product candidates that have received Fast Track Designation have ultimately failed to obtain approval. </w:t>
      </w:r>
    </w:p>
    <w:p>
      <w:pPr>
        <w:pStyle w:val="TextBody"/>
        <w:spacing w:before="240" w:after="0"/>
        <w:jc w:val="left"/>
        <w:rPr>
          <w:rFonts w:ascii="Times New Roman" w:hAnsi="Times New Roman"/>
          <w:b/>
          <w:i/>
          <w:sz w:val="24"/>
        </w:rPr>
      </w:pPr>
      <w:r>
        <w:rPr>
          <w:rFonts w:ascii="Times New Roman" w:hAnsi="Times New Roman"/>
          <w:b/>
          <w:i/>
          <w:sz w:val="24"/>
        </w:rPr>
        <w:t xml:space="preserve">We or our partners may seek and fail to obtain Breakthrough Therapy designation by the FDA for setrusumab,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 </w:t>
      </w:r>
    </w:p>
    <w:p>
      <w:pPr>
        <w:pStyle w:val="TextBody"/>
        <w:spacing w:before="240" w:after="0"/>
        <w:jc w:val="left"/>
        <w:rPr>
          <w:rFonts w:ascii="Times New Roman" w:hAnsi="Times New Roman"/>
          <w:sz w:val="24"/>
        </w:rPr>
      </w:pPr>
      <w:r>
        <w:rPr>
          <w:rFonts w:ascii="Times New Roman" w:hAnsi="Times New Roman"/>
          <w:sz w:val="24"/>
        </w:rPr>
        <w:t xml:space="preserve">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if the relevant criteria are met.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 </w:t>
      </w:r>
    </w:p>
    <w:p>
      <w:pPr>
        <w:pStyle w:val="TextBody"/>
        <w:spacing w:before="240" w:after="0"/>
        <w:jc w:val="left"/>
        <w:rPr>
          <w:rFonts w:ascii="Times New Roman" w:hAnsi="Times New Roman"/>
          <w:sz w:val="24"/>
        </w:rPr>
      </w:pPr>
      <w:r>
        <w:rPr>
          <w:rFonts w:ascii="Times New Roman" w:hAnsi="Times New Roman"/>
          <w:sz w:val="24"/>
        </w:rPr>
        <w:t xml:space="preserve">In November 2017, setrusumab was admitted to the PRIME (Priority Medicines)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 </w:t>
      </w:r>
    </w:p>
    <w:p>
      <w:pPr>
        <w:pStyle w:val="TextBody"/>
        <w:spacing w:before="240" w:after="0"/>
        <w:jc w:val="left"/>
        <w:rPr>
          <w:rFonts w:ascii="Times New Roman" w:hAnsi="Times New Roman"/>
          <w:sz w:val="24"/>
        </w:rPr>
      </w:pPr>
      <w:r>
        <w:rPr>
          <w:rFonts w:ascii="Times New Roman" w:hAnsi="Times New Roman"/>
          <w:sz w:val="24"/>
        </w:rPr>
        <w:t xml:space="preserve">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 </w:t>
      </w:r>
    </w:p>
    <w:p>
      <w:pPr>
        <w:pStyle w:val="TextBody"/>
        <w:spacing w:before="240" w:after="0"/>
        <w:jc w:val="left"/>
        <w:rPr>
          <w:rFonts w:ascii="Times New Roman" w:hAnsi="Times New Roman"/>
          <w:sz w:val="24"/>
        </w:rPr>
      </w:pPr>
      <w:r>
        <w:rPr>
          <w:rFonts w:ascii="Times New Roman" w:hAnsi="Times New Roman"/>
          <w:sz w:val="24"/>
        </w:rPr>
        <w:t xml:space="preserve">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 </w:t>
      </w:r>
    </w:p>
    <w:p>
      <w:pPr>
        <w:pStyle w:val="TextBody"/>
        <w:spacing w:before="240" w:after="0"/>
        <w:jc w:val="left"/>
        <w:rPr>
          <w:rFonts w:ascii="Times New Roman" w:hAnsi="Times New Roman"/>
          <w:sz w:val="24"/>
        </w:rPr>
      </w:pPr>
      <w:r>
        <w:rPr>
          <w:rFonts w:ascii="Times New Roman" w:hAnsi="Times New Roman"/>
          <w:sz w:val="24"/>
        </w:rPr>
        <w:t xml:space="preserve">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 </w:t>
      </w:r>
    </w:p>
    <w:p>
      <w:pPr>
        <w:pStyle w:val="TextBody"/>
        <w:spacing w:before="240" w:after="0"/>
        <w:jc w:val="left"/>
        <w:rPr>
          <w:rFonts w:ascii="Times New Roman" w:hAnsi="Times New Roman"/>
          <w:b/>
          <w:i/>
          <w:sz w:val="24"/>
        </w:rPr>
      </w:pPr>
      <w:r>
        <w:rPr>
          <w:rFonts w:ascii="Times New Roman" w:hAnsi="Times New Roman"/>
          <w:b/>
          <w:i/>
          <w:sz w:val="24"/>
        </w:rPr>
        <w:t xml:space="preserve">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 </w:t>
      </w:r>
    </w:p>
    <w:p>
      <w:pPr>
        <w:pStyle w:val="TextBody"/>
        <w:spacing w:before="240" w:after="0"/>
        <w:jc w:val="left"/>
        <w:rPr>
          <w:rFonts w:ascii="Times New Roman" w:hAnsi="Times New Roman"/>
          <w:sz w:val="24"/>
        </w:rPr>
      </w:pPr>
      <w:r>
        <w:rPr>
          <w:rFonts w:ascii="Times New Roman" w:hAnsi="Times New Roman"/>
          <w:sz w:val="24"/>
        </w:rPr>
        <w:t xml:space="preserve">We have no marketing, sales, or distribution capabilities and we currently have no experience with marketing, selling or distributing pharmaceutical product candidates. We have partnered setrusumab in a global licensing transaction with Ultragenyx, under which we retained EU and U.K. commercial rights. We have entered into a global out-licensing agreement with OncXerna for development and commercialization of navicixizumab. We currently intend to commercialize setrusumab for children and adults with OI in the EU and U.K. We may seek to partner or commercialize our other product candidates based on the outcome of clinical trials, cost of the registrational trials and other strategic considerations. </w:t>
      </w:r>
    </w:p>
    <w:p>
      <w:pPr>
        <w:pStyle w:val="TextBody"/>
        <w:spacing w:before="240" w:after="0"/>
        <w:jc w:val="left"/>
        <w:rPr>
          <w:rFonts w:ascii="Times New Roman" w:hAnsi="Times New Roman"/>
          <w:sz w:val="24"/>
        </w:rPr>
      </w:pPr>
      <w:r>
        <w:rPr>
          <w:rFonts w:ascii="Times New Roman" w:hAnsi="Times New Roman"/>
          <w:sz w:val="24"/>
        </w:rPr>
        <w:t xml:space="preserve">We currently intend to enter into out-licensing or sales arrangements with pharmaceutical, biopharmaceutical or other partners for the continued development and commercialization of our non-core disease product candidates, acumapimod and leflutrozole, and we may take the same approach for our other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 </w:t>
      </w:r>
    </w:p>
    <w:p>
      <w:pPr>
        <w:pStyle w:val="TextBody"/>
        <w:spacing w:before="240" w:after="0"/>
        <w:jc w:val="left"/>
        <w:rPr>
          <w:rFonts w:ascii="Times New Roman" w:hAnsi="Times New Roman"/>
          <w:sz w:val="24"/>
        </w:rPr>
      </w:pPr>
      <w:r>
        <w:rPr>
          <w:rFonts w:ascii="Times New Roman" w:hAnsi="Times New Roman"/>
          <w:sz w:val="24"/>
        </w:rPr>
        <w:t xml:space="preserve">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 </w:t>
      </w:r>
    </w:p>
    <w:p>
      <w:pPr>
        <w:pStyle w:val="TextBody"/>
        <w:spacing w:before="240" w:after="0"/>
        <w:jc w:val="left"/>
        <w:rPr>
          <w:rFonts w:ascii="Times New Roman" w:hAnsi="Times New Roman"/>
          <w:b/>
          <w:i/>
          <w:sz w:val="24"/>
        </w:rPr>
      </w:pPr>
      <w:r>
        <w:rPr>
          <w:rFonts w:ascii="Times New Roman" w:hAnsi="Times New Roman"/>
          <w:b/>
          <w:i/>
          <w:sz w:val="24"/>
        </w:rPr>
        <w:t xml:space="preserve">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 </w:t>
      </w:r>
    </w:p>
    <w:p>
      <w:pPr>
        <w:pStyle w:val="TextBody"/>
        <w:spacing w:before="240" w:after="0"/>
        <w:jc w:val="left"/>
        <w:rPr>
          <w:rFonts w:ascii="Times New Roman" w:hAnsi="Times New Roman"/>
          <w:sz w:val="24"/>
        </w:rPr>
      </w:pPr>
      <w:r>
        <w:rPr>
          <w:rFonts w:ascii="Times New Roman" w:hAnsi="Times New Roman"/>
          <w:sz w:val="24"/>
        </w:rPr>
        <w:t xml:space="preserve">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 </w:t>
      </w:r>
    </w:p>
    <w:p>
      <w:pPr>
        <w:pStyle w:val="TextBody"/>
        <w:spacing w:before="240" w:after="0"/>
        <w:jc w:val="left"/>
        <w:rPr>
          <w:rFonts w:ascii="Times New Roman" w:hAnsi="Times New Roman"/>
          <w:sz w:val="24"/>
        </w:rPr>
      </w:pPr>
      <w:r>
        <w:rPr>
          <w:rFonts w:ascii="Times New Roman" w:hAnsi="Times New Roman"/>
          <w:sz w:val="24"/>
        </w:rPr>
        <w:t xml:space="preserve">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 </w:t>
      </w:r>
    </w:p>
    <w:p>
      <w:pPr>
        <w:pStyle w:val="TextBody"/>
        <w:spacing w:before="240" w:after="0"/>
        <w:jc w:val="left"/>
        <w:rPr>
          <w:rFonts w:ascii="Times New Roman" w:hAnsi="Times New Roman"/>
          <w:sz w:val="24"/>
        </w:rPr>
      </w:pPr>
      <w:r>
        <w:rPr>
          <w:rFonts w:ascii="Times New Roman" w:hAnsi="Times New Roman"/>
          <w:sz w:val="24"/>
        </w:rPr>
        <w:t xml:space="preserve">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 </w:t>
      </w:r>
    </w:p>
    <w:p>
      <w:pPr>
        <w:pStyle w:val="TextBody"/>
        <w:spacing w:before="240" w:after="0"/>
        <w:jc w:val="left"/>
        <w:rPr>
          <w:rFonts w:ascii="Times New Roman" w:hAnsi="Times New Roman"/>
          <w:sz w:val="24"/>
        </w:rPr>
      </w:pPr>
      <w:r>
        <w:rPr>
          <w:rFonts w:ascii="Times New Roman" w:hAnsi="Times New Roman"/>
          <w:sz w:val="24"/>
        </w:rPr>
        <w:t xml:space="preserve">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 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spacing w:before="240" w:after="0"/>
        <w:jc w:val="left"/>
        <w:rPr>
          <w:rFonts w:ascii="Times New Roman" w:hAnsi="Times New Roman"/>
          <w:sz w:val="24"/>
        </w:rPr>
      </w:pPr>
      <w:r>
        <w:rPr>
          <w:rFonts w:ascii="Times New Roman" w:hAnsi="Times New Roman"/>
          <w:sz w:val="24"/>
        </w:rPr>
        <w:t xml:space="preserve">Moreover, increasing efforts by governmental and third-party payors in the United States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 </w:t>
      </w:r>
    </w:p>
    <w:p>
      <w:pPr>
        <w:pStyle w:val="TextBody"/>
        <w:spacing w:before="240" w:after="0"/>
        <w:jc w:val="left"/>
        <w:rPr>
          <w:rFonts w:ascii="Times New Roman" w:hAnsi="Times New Roman"/>
          <w:b/>
          <w:i/>
          <w:sz w:val="24"/>
        </w:rPr>
      </w:pPr>
      <w:r>
        <w:rPr>
          <w:rFonts w:ascii="Times New Roman" w:hAnsi="Times New Roman"/>
          <w:b/>
          <w:i/>
          <w:sz w:val="24"/>
        </w:rPr>
        <w:t xml:space="preserve">Our existing and future product candidates may not gain market acceptance, in which case our ability to generate revenues from product sales will be compromised. </w:t>
      </w:r>
    </w:p>
    <w:p>
      <w:pPr>
        <w:pStyle w:val="TextBody"/>
        <w:spacing w:before="240" w:after="0"/>
        <w:jc w:val="left"/>
        <w:rPr>
          <w:rFonts w:ascii="Times New Roman" w:hAnsi="Times New Roman"/>
          <w:sz w:val="24"/>
        </w:rPr>
      </w:pPr>
      <w:r>
        <w:rPr>
          <w:rFonts w:ascii="Times New Roman" w:hAnsi="Times New Roman"/>
          <w:sz w:val="24"/>
        </w:rPr>
        <w:t xml:space="preserve">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 </w:t>
      </w:r>
    </w:p>
    <w:p>
      <w:pPr>
        <w:pStyle w:val="TextBody"/>
        <w:spacing w:before="0" w:after="0"/>
        <w:jc w:val="left"/>
        <w:rPr/>
      </w:pPr>
      <w:r>
        <w:rPr/>
        <w:t> </w:t>
      </w:r>
    </w:p>
    <w:tbl>
      <w:tblPr>
        <w:tblW w:w="3505" w:type="dxa"/>
        <w:jc w:val="left"/>
        <w:tblInd w:w="0" w:type="dxa"/>
        <w:tblCellMar>
          <w:top w:w="0" w:type="dxa"/>
          <w:left w:w="0" w:type="dxa"/>
          <w:bottom w:w="0" w:type="dxa"/>
          <w:right w:w="0" w:type="dxa"/>
        </w:tblCellMar>
      </w:tblPr>
      <w:tblGrid>
        <w:gridCol w:w="75"/>
        <w:gridCol w:w="110"/>
        <w:gridCol w:w="60"/>
        <w:gridCol w:w="3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timing of market introduction;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number and clinical profile of competing product candidates; </w:t>
            </w:r>
          </w:p>
        </w:tc>
      </w:tr>
    </w:tbl>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75"/>
        <w:gridCol w:w="110"/>
        <w:gridCol w:w="60"/>
        <w:gridCol w:w="6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clinical indications for which our product candidates are approved;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ability to provide acceptable evidence of safety and efficacy; </w:t>
            </w:r>
          </w:p>
        </w:tc>
      </w:tr>
    </w:tbl>
    <w:p>
      <w:pPr>
        <w:pStyle w:val="TextBody"/>
        <w:spacing w:before="0" w:after="0"/>
        <w:jc w:val="left"/>
        <w:rPr/>
      </w:pPr>
      <w:r>
        <w:rPr/>
        <w:t> </w:t>
      </w:r>
    </w:p>
    <w:tbl>
      <w:tblPr>
        <w:tblW w:w="4735" w:type="dxa"/>
        <w:jc w:val="left"/>
        <w:tblInd w:w="0" w:type="dxa"/>
        <w:tblCellMar>
          <w:top w:w="0" w:type="dxa"/>
          <w:left w:w="0" w:type="dxa"/>
          <w:bottom w:w="0" w:type="dxa"/>
          <w:right w:w="0" w:type="dxa"/>
        </w:tblCellMar>
      </w:tblPr>
      <w:tblGrid>
        <w:gridCol w:w="75"/>
        <w:gridCol w:w="110"/>
        <w:gridCol w:w="60"/>
        <w:gridCol w:w="4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prevalence and severity of any side effects;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relative convenience and ease of administration; </w:t>
            </w:r>
          </w:p>
        </w:tc>
      </w:tr>
    </w:tbl>
    <w:p>
      <w:pPr>
        <w:pStyle w:val="TextBody"/>
        <w:spacing w:before="0" w:after="0"/>
        <w:jc w:val="left"/>
        <w:rPr/>
      </w:pPr>
      <w:r>
        <w:rPr/>
        <w:t> </w:t>
      </w:r>
    </w:p>
    <w:tbl>
      <w:tblPr>
        <w:tblW w:w="2065" w:type="dxa"/>
        <w:jc w:val="left"/>
        <w:tblInd w:w="0" w:type="dxa"/>
        <w:tblCellMar>
          <w:top w:w="0" w:type="dxa"/>
          <w:left w:w="0" w:type="dxa"/>
          <w:bottom w:w="0" w:type="dxa"/>
          <w:right w:w="0" w:type="dxa"/>
        </w:tblCellMar>
      </w:tblPr>
      <w:tblGrid>
        <w:gridCol w:w="75"/>
        <w:gridCol w:w="110"/>
        <w:gridCol w:w="60"/>
        <w:gridCol w:w="1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cost-effectiveness; </w:t>
            </w:r>
          </w:p>
        </w:tc>
      </w:tr>
    </w:tbl>
    <w:p>
      <w:pPr>
        <w:pStyle w:val="TextBody"/>
        <w:spacing w:before="0" w:after="0"/>
        <w:jc w:val="left"/>
        <w:rPr/>
      </w:pPr>
      <w:r>
        <w:rPr/>
        <w:t> </w:t>
      </w:r>
    </w:p>
    <w:tbl>
      <w:tblPr>
        <w:tblW w:w="3640" w:type="dxa"/>
        <w:jc w:val="left"/>
        <w:tblInd w:w="0" w:type="dxa"/>
        <w:tblCellMar>
          <w:top w:w="0" w:type="dxa"/>
          <w:left w:w="0" w:type="dxa"/>
          <w:bottom w:w="0" w:type="dxa"/>
          <w:right w:w="0" w:type="dxa"/>
        </w:tblCellMar>
      </w:tblPr>
      <w:tblGrid>
        <w:gridCol w:w="75"/>
        <w:gridCol w:w="110"/>
        <w:gridCol w:w="60"/>
        <w:gridCol w:w="3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marketing and distribution support;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availability of adequate coverage, reimbursement, and adequate payment from health maintenance organizations and other insurers, both public and private; and </w:t>
            </w:r>
          </w:p>
        </w:tc>
      </w:tr>
    </w:tbl>
    <w:p>
      <w:pPr>
        <w:pStyle w:val="TextBody"/>
        <w:spacing w:before="0" w:after="0"/>
        <w:jc w:val="left"/>
        <w:rPr/>
      </w:pPr>
      <w:r>
        <w:rPr/>
        <w:t> </w:t>
      </w:r>
    </w:p>
    <w:tbl>
      <w:tblPr>
        <w:tblW w:w="6160" w:type="dxa"/>
        <w:jc w:val="left"/>
        <w:tblInd w:w="0" w:type="dxa"/>
        <w:tblCellMar>
          <w:top w:w="0" w:type="dxa"/>
          <w:left w:w="0" w:type="dxa"/>
          <w:bottom w:w="0" w:type="dxa"/>
          <w:right w:w="0" w:type="dxa"/>
        </w:tblCellMar>
      </w:tblPr>
      <w:tblGrid>
        <w:gridCol w:w="75"/>
        <w:gridCol w:w="110"/>
        <w:gridCol w:w="60"/>
        <w:gridCol w:w="5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other potential advantages over alternative treatment methods.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If our product candidates fail to gain market acceptance, our ability to generate revenues will be adversely affected. Even if our product candidates achieve market acceptance, the market may prove not to be large enough to allow us to generate significant revenues. </w:t>
      </w:r>
    </w:p>
    <w:p>
      <w:pPr>
        <w:pStyle w:val="TextBody"/>
        <w:spacing w:before="240" w:after="0"/>
        <w:jc w:val="left"/>
        <w:rPr>
          <w:rFonts w:ascii="Times New Roman" w:hAnsi="Times New Roman"/>
          <w:b/>
          <w:i/>
          <w:sz w:val="24"/>
        </w:rPr>
      </w:pPr>
      <w:r>
        <w:rPr>
          <w:rFonts w:ascii="Times New Roman" w:hAnsi="Times New Roman"/>
          <w:b/>
          <w:i/>
          <w:sz w:val="24"/>
        </w:rPr>
        <w:t xml:space="preserve">Any product candidates for which we intend to seek approval as biologic product candidates in the United States may face competition sooner than anticipated. </w:t>
      </w:r>
    </w:p>
    <w:p>
      <w:pPr>
        <w:pStyle w:val="TextBody"/>
        <w:spacing w:before="240" w:after="0"/>
        <w:jc w:val="left"/>
        <w:rPr>
          <w:rFonts w:ascii="Times New Roman" w:hAnsi="Times New Roman"/>
          <w:sz w:val="24"/>
        </w:rPr>
      </w:pPr>
      <w:r>
        <w:rPr>
          <w:rFonts w:ascii="Times New Roman" w:hAnsi="Times New Roman"/>
          <w:sz w:val="24"/>
        </w:rPr>
        <w:t xml:space="preserve">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spacing w:before="240" w:after="0"/>
        <w:jc w:val="left"/>
        <w:rPr>
          <w:rFonts w:ascii="Times New Roman" w:hAnsi="Times New Roman"/>
          <w:sz w:val="24"/>
        </w:rPr>
      </w:pPr>
      <w:r>
        <w:rPr>
          <w:rFonts w:ascii="Times New Roman" w:hAnsi="Times New Roman"/>
          <w:sz w:val="24"/>
        </w:rPr>
        <w:t xml:space="preserve">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 </w:t>
      </w:r>
    </w:p>
    <w:p>
      <w:pPr>
        <w:pStyle w:val="TextBody"/>
        <w:spacing w:before="240" w:after="0"/>
        <w:jc w:val="left"/>
        <w:rPr>
          <w:rFonts w:ascii="Times New Roman" w:hAnsi="Times New Roman"/>
          <w:sz w:val="24"/>
        </w:rPr>
      </w:pPr>
      <w:r>
        <w:rPr>
          <w:rFonts w:ascii="Times New Roman" w:hAnsi="Times New Roman"/>
          <w:sz w:val="24"/>
        </w:rPr>
        <w:t xml:space="preserve">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 </w:t>
      </w:r>
    </w:p>
    <w:p>
      <w:pPr>
        <w:pStyle w:val="TextBody"/>
        <w:spacing w:before="360" w:after="0"/>
        <w:jc w:val="left"/>
        <w:rPr>
          <w:rFonts w:ascii="Times New Roman" w:hAnsi="Times New Roman"/>
          <w:b/>
          <w:sz w:val="24"/>
        </w:rPr>
      </w:pPr>
      <w:r>
        <w:rPr>
          <w:rFonts w:ascii="Times New Roman" w:hAnsi="Times New Roman"/>
          <w:b/>
          <w:sz w:val="24"/>
        </w:rPr>
        <w:t xml:space="preserve">Risks Related to Our Dependence on Third Parties </w:t>
      </w:r>
    </w:p>
    <w:p>
      <w:pPr>
        <w:pStyle w:val="TextBody"/>
        <w:spacing w:before="120" w:after="0"/>
        <w:jc w:val="left"/>
        <w:rPr>
          <w:rFonts w:ascii="Times New Roman" w:hAnsi="Times New Roman"/>
          <w:b/>
          <w:i/>
          <w:sz w:val="24"/>
        </w:rPr>
      </w:pPr>
      <w:r>
        <w:rPr>
          <w:rFonts w:ascii="Times New Roman" w:hAnsi="Times New Roman"/>
          <w:b/>
          <w:i/>
          <w:sz w:val="24"/>
        </w:rPr>
        <w:t xml:space="preserve">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 </w:t>
      </w:r>
    </w:p>
    <w:p>
      <w:pPr>
        <w:pStyle w:val="TextBody"/>
        <w:spacing w:before="240" w:after="0"/>
        <w:jc w:val="left"/>
        <w:rPr>
          <w:rFonts w:ascii="Times New Roman" w:hAnsi="Times New Roman"/>
          <w:sz w:val="24"/>
        </w:rPr>
      </w:pPr>
      <w:r>
        <w:rPr>
          <w:rFonts w:ascii="Times New Roman" w:hAnsi="Times New Roman"/>
          <w:sz w:val="24"/>
        </w:rPr>
        <w:t xml:space="preserve">We have announced two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will pay up to $254 million in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OncXerna for development and commercialization of navicixizumab. Under the terms of the agreement OncXerna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Our future plans may include entering into out-licensing or collaboration agreements on some or all of our other development programs. </w:t>
      </w:r>
    </w:p>
    <w:p>
      <w:pPr>
        <w:pStyle w:val="TextBody"/>
        <w:spacing w:before="240" w:after="0"/>
        <w:jc w:val="left"/>
        <w:rPr>
          <w:rFonts w:ascii="Times New Roman" w:hAnsi="Times New Roman"/>
          <w:sz w:val="24"/>
        </w:rPr>
      </w:pPr>
      <w:r>
        <w:rPr>
          <w:rFonts w:ascii="Times New Roman" w:hAnsi="Times New Roman"/>
          <w:sz w:val="24"/>
        </w:rPr>
        <w:t xml:space="preserve">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 </w:t>
      </w:r>
    </w:p>
    <w:p>
      <w:pPr>
        <w:pStyle w:val="TextBody"/>
        <w:spacing w:before="240" w:after="0"/>
        <w:jc w:val="left"/>
        <w:rPr>
          <w:rFonts w:ascii="Times New Roman" w:hAnsi="Times New Roman"/>
          <w:sz w:val="24"/>
        </w:rPr>
      </w:pPr>
      <w:r>
        <w:rPr>
          <w:rFonts w:ascii="Times New Roman" w:hAnsi="Times New Roman"/>
          <w:sz w:val="24"/>
        </w:rPr>
        <w:t xml:space="preserve">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 </w:t>
      </w:r>
    </w:p>
    <w:p>
      <w:pPr>
        <w:pStyle w:val="TextBody"/>
        <w:spacing w:before="360" w:after="0"/>
        <w:jc w:val="left"/>
        <w:rPr>
          <w:rFonts w:ascii="Times New Roman" w:hAnsi="Times New Roman"/>
          <w:b/>
          <w:i/>
          <w:sz w:val="24"/>
        </w:rPr>
      </w:pPr>
      <w:r>
        <w:rPr>
          <w:rFonts w:ascii="Times New Roman" w:hAnsi="Times New Roman"/>
          <w:b/>
          <w:i/>
          <w:sz w:val="24"/>
        </w:rPr>
        <w:t xml:space="preserve">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 </w:t>
      </w:r>
    </w:p>
    <w:p>
      <w:pPr>
        <w:pStyle w:val="TextBody"/>
        <w:spacing w:before="240" w:after="0"/>
        <w:jc w:val="left"/>
        <w:rPr>
          <w:rFonts w:ascii="Times New Roman" w:hAnsi="Times New Roman"/>
          <w:sz w:val="24"/>
        </w:rPr>
      </w:pPr>
      <w:r>
        <w:rPr>
          <w:rFonts w:ascii="Times New Roman" w:hAnsi="Times New Roman"/>
          <w:sz w:val="24"/>
        </w:rPr>
        <w:t xml:space="preserve">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 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 </w:t>
      </w:r>
    </w:p>
    <w:p>
      <w:pPr>
        <w:pStyle w:val="TextBody"/>
        <w:spacing w:before="240" w:after="0"/>
        <w:jc w:val="left"/>
        <w:rPr>
          <w:rFonts w:ascii="Times New Roman" w:hAnsi="Times New Roman"/>
          <w:sz w:val="24"/>
        </w:rPr>
      </w:pPr>
      <w:r>
        <w:rPr>
          <w:rFonts w:ascii="Times New Roman" w:hAnsi="Times New Roman"/>
          <w:sz w:val="24"/>
        </w:rPr>
        <w:t xml:space="preserve">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 </w:t>
      </w:r>
    </w:p>
    <w:p>
      <w:pPr>
        <w:pStyle w:val="TextBody"/>
        <w:spacing w:before="240" w:after="0"/>
        <w:jc w:val="left"/>
        <w:rPr>
          <w:rFonts w:ascii="Times New Roman" w:hAnsi="Times New Roman"/>
          <w:sz w:val="24"/>
        </w:rPr>
      </w:pPr>
      <w:r>
        <w:rPr>
          <w:rFonts w:ascii="Times New Roman" w:hAnsi="Times New Roman"/>
          <w:sz w:val="24"/>
        </w:rPr>
        <w:t xml:space="preserve">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 </w:t>
      </w:r>
    </w:p>
    <w:p>
      <w:pPr>
        <w:pStyle w:val="TextBody"/>
        <w:spacing w:before="240" w:after="0"/>
        <w:jc w:val="left"/>
        <w:rPr>
          <w:rFonts w:ascii="Times New Roman" w:hAnsi="Times New Roman"/>
          <w:b/>
          <w:i/>
          <w:sz w:val="24"/>
        </w:rPr>
      </w:pPr>
      <w:r>
        <w:rPr>
          <w:rFonts w:ascii="Times New Roman" w:hAnsi="Times New Roman"/>
          <w:b/>
          <w:i/>
          <w:sz w:val="24"/>
        </w:rPr>
        <w:t xml:space="preserve">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 </w:t>
      </w:r>
    </w:p>
    <w:p>
      <w:pPr>
        <w:pStyle w:val="TextBody"/>
        <w:spacing w:before="240" w:after="0"/>
        <w:jc w:val="left"/>
        <w:rPr>
          <w:rFonts w:ascii="Times New Roman" w:hAnsi="Times New Roman"/>
          <w:sz w:val="24"/>
        </w:rPr>
      </w:pPr>
      <w:r>
        <w:rPr>
          <w:rFonts w:ascii="Times New Roman" w:hAnsi="Times New Roman"/>
          <w:sz w:val="24"/>
        </w:rPr>
        <w:t xml:space="preserve">We have limited personnel with experience in manufacturing and CMC development requirements and we do not own facilities for manufacturing and testing of our product candidates. Instead, we rely on and expect to continue to rely on CMOs for the supply, testing and release of cGMP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While the COVID-19 vaccine supply constraints related to raw material supply and CMO manufacturing capacity have begun to ease, the shortage of, and diversion of, certain raw material supplies experienced as a result of the COVID-19 pandemic response have demonstrated that both internal and external manufacturing activities are subject to disruption and risk.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 </w:t>
      </w:r>
    </w:p>
    <w:p>
      <w:pPr>
        <w:pStyle w:val="TextBody"/>
        <w:spacing w:before="240" w:after="0"/>
        <w:jc w:val="left"/>
        <w:rPr>
          <w:rFonts w:ascii="Times New Roman" w:hAnsi="Times New Roman"/>
          <w:sz w:val="24"/>
        </w:rPr>
      </w:pPr>
      <w:r>
        <w:rPr>
          <w:rFonts w:ascii="Times New Roman" w:hAnsi="Times New Roman"/>
          <w:sz w:val="24"/>
        </w:rPr>
        <w:t xml:space="preserve">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 </w:t>
      </w:r>
    </w:p>
    <w:p>
      <w:pPr>
        <w:pStyle w:val="TextBody"/>
        <w:spacing w:before="240" w:after="0"/>
        <w:jc w:val="left"/>
        <w:rPr>
          <w:rFonts w:ascii="Times New Roman" w:hAnsi="Times New Roman"/>
          <w:sz w:val="24"/>
        </w:rPr>
      </w:pPr>
      <w:r>
        <w:rPr>
          <w:rFonts w:ascii="Times New Roman" w:hAnsi="Times New Roman"/>
          <w:sz w:val="24"/>
        </w:rPr>
        <w:t xml:space="preserve">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 The restrictions imposed by various governments, including the United States, United Kingdom and EU, among others, on use of certain raw materials required for the manufacture of therapeutics and vaccines in response to the COVID-19 pandemic has demonstrated this vulnerability.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 </w:t>
      </w:r>
    </w:p>
    <w:p>
      <w:pPr>
        <w:pStyle w:val="TextBody"/>
        <w:spacing w:before="240" w:after="0"/>
        <w:jc w:val="left"/>
        <w:rPr>
          <w:rFonts w:ascii="Times New Roman" w:hAnsi="Times New Roman"/>
          <w:sz w:val="24"/>
        </w:rPr>
      </w:pPr>
      <w:r>
        <w:rPr>
          <w:rFonts w:ascii="Times New Roman" w:hAnsi="Times New Roman"/>
          <w:sz w:val="24"/>
        </w:rPr>
        <w:t xml:space="preserve">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w:t>
      </w:r>
    </w:p>
    <w:p>
      <w:pPr>
        <w:pStyle w:val="TextBody"/>
        <w:spacing w:before="240" w:after="0"/>
        <w:jc w:val="left"/>
        <w:rPr>
          <w:rFonts w:ascii="Times New Roman" w:hAnsi="Times New Roman"/>
          <w:sz w:val="24"/>
        </w:rPr>
      </w:pPr>
      <w:r>
        <w:rPr>
          <w:rFonts w:ascii="Times New Roman" w:hAnsi="Times New Roman"/>
          <w:sz w:val="24"/>
        </w:rPr>
        <w:t xml:space="preserve">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 </w:t>
      </w:r>
    </w:p>
    <w:p>
      <w:pPr>
        <w:pStyle w:val="TextBody"/>
        <w:spacing w:before="240" w:after="0"/>
        <w:jc w:val="left"/>
        <w:rPr>
          <w:rFonts w:ascii="Times New Roman" w:hAnsi="Times New Roman"/>
          <w:b/>
          <w:i/>
          <w:sz w:val="24"/>
        </w:rPr>
      </w:pPr>
      <w:r>
        <w:rPr>
          <w:rFonts w:ascii="Times New Roman" w:hAnsi="Times New Roman"/>
          <w:b/>
          <w:i/>
          <w:sz w:val="24"/>
        </w:rPr>
        <w:t xml:space="preserve">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 </w:t>
      </w:r>
    </w:p>
    <w:p>
      <w:pPr>
        <w:pStyle w:val="TextBody"/>
        <w:spacing w:before="240" w:after="0"/>
        <w:jc w:val="left"/>
        <w:rPr>
          <w:rFonts w:ascii="Times New Roman" w:hAnsi="Times New Roman"/>
          <w:sz w:val="24"/>
        </w:rPr>
      </w:pPr>
      <w:r>
        <w:rPr>
          <w:rFonts w:ascii="Times New Roman" w:hAnsi="Times New Roman"/>
          <w:sz w:val="24"/>
        </w:rPr>
        <w:t xml:space="preserve">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our product candidates, acumapimod and leflutrozole, and we may take the same approach for other product candidates. </w:t>
      </w:r>
    </w:p>
    <w:p>
      <w:pPr>
        <w:pStyle w:val="TextBody"/>
        <w:spacing w:before="240" w:after="0"/>
        <w:jc w:val="left"/>
        <w:rPr>
          <w:rFonts w:ascii="Times New Roman" w:hAnsi="Times New Roman"/>
          <w:sz w:val="24"/>
        </w:rPr>
      </w:pPr>
      <w:r>
        <w:rPr>
          <w:rFonts w:ascii="Times New Roman" w:hAnsi="Times New Roman"/>
          <w:sz w:val="24"/>
        </w:rPr>
        <w:t xml:space="preserve">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 </w:t>
      </w:r>
    </w:p>
    <w:p>
      <w:pPr>
        <w:pStyle w:val="TextBody"/>
        <w:spacing w:before="240" w:after="0"/>
        <w:jc w:val="left"/>
        <w:rPr>
          <w:rFonts w:ascii="Times New Roman" w:hAnsi="Times New Roman"/>
          <w:sz w:val="24"/>
        </w:rPr>
      </w:pPr>
      <w:r>
        <w:rPr>
          <w:rFonts w:ascii="Times New Roman" w:hAnsi="Times New Roman"/>
          <w:sz w:val="24"/>
        </w:rPr>
        <w:t xml:space="preserve">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 </w:t>
      </w:r>
    </w:p>
    <w:p>
      <w:pPr>
        <w:pStyle w:val="TextBody"/>
        <w:spacing w:before="360" w:after="0"/>
        <w:jc w:val="left"/>
        <w:rPr>
          <w:rFonts w:ascii="Times New Roman" w:hAnsi="Times New Roman"/>
          <w:b/>
          <w:sz w:val="24"/>
        </w:rPr>
      </w:pPr>
      <w:r>
        <w:rPr>
          <w:rFonts w:ascii="Times New Roman" w:hAnsi="Times New Roman"/>
          <w:b/>
          <w:sz w:val="24"/>
        </w:rPr>
        <w:t xml:space="preserve">Risks Related to Intellectual Property </w:t>
      </w:r>
    </w:p>
    <w:p>
      <w:pPr>
        <w:pStyle w:val="TextBody"/>
        <w:spacing w:before="120" w:after="0"/>
        <w:jc w:val="left"/>
        <w:rPr>
          <w:rFonts w:ascii="Times New Roman" w:hAnsi="Times New Roman"/>
          <w:b/>
          <w:i/>
          <w:sz w:val="24"/>
        </w:rPr>
      </w:pPr>
      <w:r>
        <w:rPr>
          <w:rFonts w:ascii="Times New Roman" w:hAnsi="Times New Roman"/>
          <w:b/>
          <w:i/>
          <w:sz w:val="24"/>
        </w:rPr>
        <w:t xml:space="preserve">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 </w:t>
      </w:r>
    </w:p>
    <w:p>
      <w:pPr>
        <w:pStyle w:val="TextBody"/>
        <w:spacing w:before="240" w:after="0"/>
        <w:jc w:val="left"/>
        <w:rPr>
          <w:rFonts w:ascii="Times New Roman" w:hAnsi="Times New Roman"/>
          <w:sz w:val="24"/>
        </w:rPr>
      </w:pPr>
      <w:r>
        <w:rPr>
          <w:rFonts w:ascii="Times New Roman" w:hAnsi="Times New Roman"/>
          <w:sz w:val="24"/>
        </w:rPr>
        <w:t xml:space="preserve">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OncXerna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are subject to a license agreement with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Ultragenyx from January 2021.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 </w:t>
      </w:r>
    </w:p>
    <w:p>
      <w:pPr>
        <w:pStyle w:val="TextBody"/>
        <w:spacing w:before="240" w:after="0"/>
        <w:jc w:val="left"/>
        <w:rPr>
          <w:rFonts w:ascii="Times New Roman" w:hAnsi="Times New Roman"/>
          <w:sz w:val="24"/>
        </w:rPr>
      </w:pPr>
      <w:r>
        <w:rPr>
          <w:rFonts w:ascii="Times New Roman" w:hAnsi="Times New Roman"/>
          <w:sz w:val="24"/>
        </w:rPr>
        <w:t xml:space="preserve">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w:t>
      </w:r>
    </w:p>
    <w:p>
      <w:pPr>
        <w:pStyle w:val="TextBody"/>
        <w:spacing w:before="240" w:after="0"/>
        <w:jc w:val="left"/>
        <w:rPr>
          <w:rFonts w:ascii="Times New Roman" w:hAnsi="Times New Roman"/>
          <w:sz w:val="24"/>
        </w:rPr>
      </w:pPr>
      <w:r>
        <w:rPr>
          <w:rFonts w:ascii="Times New Roman" w:hAnsi="Times New Roman"/>
          <w:sz w:val="24"/>
        </w:rPr>
        <w:t xml:space="preserve">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 </w:t>
      </w:r>
    </w:p>
    <w:p>
      <w:pPr>
        <w:pStyle w:val="TextBody"/>
        <w:spacing w:before="240" w:after="0"/>
        <w:jc w:val="left"/>
        <w:rPr>
          <w:rFonts w:ascii="Times New Roman" w:hAnsi="Times New Roman"/>
          <w:sz w:val="24"/>
        </w:rPr>
      </w:pPr>
      <w:r>
        <w:rPr>
          <w:rFonts w:ascii="Times New Roman" w:hAnsi="Times New Roman"/>
          <w:sz w:val="24"/>
        </w:rPr>
        <w:t xml:space="preserve">Because patent applications are confidential for a period of time after filing, and some remain so until issued, we cannot be certain that we or our licensors were the first to file any patent application related to our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 </w:t>
      </w:r>
    </w:p>
    <w:p>
      <w:pPr>
        <w:pStyle w:val="TextBody"/>
        <w:spacing w:before="240" w:after="0"/>
        <w:jc w:val="left"/>
        <w:rPr>
          <w:rFonts w:ascii="Times New Roman" w:hAnsi="Times New Roman"/>
          <w:b/>
          <w:i/>
          <w:sz w:val="24"/>
        </w:rPr>
      </w:pPr>
      <w:r>
        <w:rPr>
          <w:rFonts w:ascii="Times New Roman" w:hAnsi="Times New Roman"/>
          <w:b/>
          <w:i/>
          <w:sz w:val="24"/>
        </w:rPr>
        <w:t xml:space="preserve">We enjoy only limited geographical protection with respect to certain patents and may not be able to protect our intellectual property rights throughout the world. </w:t>
      </w:r>
    </w:p>
    <w:p>
      <w:pPr>
        <w:pStyle w:val="TextBody"/>
        <w:spacing w:before="240" w:after="0"/>
        <w:jc w:val="left"/>
        <w:rPr>
          <w:rFonts w:ascii="Times New Roman" w:hAnsi="Times New Roman"/>
          <w:sz w:val="24"/>
        </w:rPr>
      </w:pPr>
      <w:r>
        <w:rPr>
          <w:rFonts w:ascii="Times New Roman" w:hAnsi="Times New Roman"/>
          <w:sz w:val="24"/>
        </w:rPr>
        <w:t xml:space="preserve">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 </w:t>
      </w:r>
    </w:p>
    <w:p>
      <w:pPr>
        <w:pStyle w:val="TextBody"/>
        <w:spacing w:before="240" w:after="0"/>
        <w:jc w:val="left"/>
        <w:rPr>
          <w:rFonts w:ascii="Times New Roman" w:hAnsi="Times New Roman"/>
          <w:sz w:val="24"/>
        </w:rPr>
      </w:pPr>
      <w:r>
        <w:rPr>
          <w:rFonts w:ascii="Times New Roman" w:hAnsi="Times New Roman"/>
          <w:sz w:val="24"/>
        </w:rPr>
        <w:t xml:space="preserve">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laws of some jurisdictions do not protect intellectual property rights to the same extent as the laws or rules and regulations in the United States, United Kingdom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w:t>
      </w:r>
    </w:p>
    <w:p>
      <w:pPr>
        <w:pStyle w:val="TextBody"/>
        <w:spacing w:before="240" w:after="0"/>
        <w:jc w:val="left"/>
        <w:rPr>
          <w:rFonts w:ascii="Times New Roman" w:hAnsi="Times New Roman"/>
          <w:sz w:val="24"/>
        </w:rPr>
      </w:pPr>
      <w:r>
        <w:rPr>
          <w:rFonts w:ascii="Times New Roman" w:hAnsi="Times New Roman"/>
          <w:sz w:val="24"/>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 </w:t>
      </w:r>
    </w:p>
    <w:p>
      <w:pPr>
        <w:pStyle w:val="TextBody"/>
        <w:spacing w:before="240" w:after="0"/>
        <w:jc w:val="left"/>
        <w:rPr>
          <w:rFonts w:ascii="Times New Roman" w:hAnsi="Times New Roman"/>
          <w:b/>
          <w:i/>
          <w:sz w:val="24"/>
        </w:rPr>
      </w:pPr>
      <w:r>
        <w:rPr>
          <w:rFonts w:ascii="Times New Roman" w:hAnsi="Times New Roman"/>
          <w:b/>
          <w:i/>
          <w:sz w:val="24"/>
        </w:rPr>
        <w:t xml:space="preserve">Our patents and other proprietary rights may not adequately protect our technologies and product candidates, and may not necessarily address all potential threats to our competitive advantage. </w:t>
      </w:r>
    </w:p>
    <w:p>
      <w:pPr>
        <w:pStyle w:val="TextBody"/>
        <w:spacing w:before="240" w:after="0"/>
        <w:jc w:val="left"/>
        <w:rPr>
          <w:rFonts w:ascii="Times New Roman" w:hAnsi="Times New Roman"/>
          <w:sz w:val="24"/>
        </w:rPr>
      </w:pPr>
      <w:r>
        <w:rPr>
          <w:rFonts w:ascii="Times New Roman" w:hAnsi="Times New Roman"/>
          <w:sz w:val="24"/>
        </w:rPr>
        <w:t xml:space="preserve">The degree of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others may be able to make compounds that are the same as or similar to our product candidates but that are not covered by the claims of the patents that we own or have exclusively licensed; </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75"/>
        <w:gridCol w:w="110"/>
        <w:gridCol w:w="60"/>
        <w:gridCol w:w="9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patents of third parties may impair our ability to develop or commercialize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patents of third parties may be extended beyond the expected patent term and thus may impair our ability to develop or commercialize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or our licensors or any future strategic collaborators might not have been the first to conceive or reduce to practice the inventions covered by the issued patents or pending patent applications that we own or have exclusively licensed;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or our licensors or any future strategic collaborators might not have been the first to file patent applications covering our inventions, our product candidates, or uses of the product candidates in the indications under our development or to be developed;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it is possible that the pending patent applications that we own or have exclusively licensed may not lead to issued patents;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issued patents that we own or have exclusively licensed may not provide us with any competitive advantage, or may be held invalid or unenforceable, as a result of legal challenges by our competitors;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issued patents that we own or have exclusively licensed may not provide coverage for all aspects of our product candidates in all countries, such as for uses of our product candidates in the indications under our development or to be developed;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others may independently develop similar or alternative technologies or duplicate any of our technologies without infringing our intellectual property rights;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competitors might conduct research and development activities in countries where we do not have patent rights and then use the information learned from such activities to develop competitive product candidates for sale in our major commercial markets;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others performing manufacturing or testing for us using our product candidates or technologies could use the intellectual property of others without obtaining a proper license; </w:t>
            </w:r>
          </w:p>
        </w:tc>
      </w:tr>
    </w:tbl>
    <w:p>
      <w:pPr>
        <w:pStyle w:val="TextBody"/>
        <w:spacing w:before="0" w:after="0"/>
        <w:jc w:val="left"/>
        <w:rPr/>
      </w:pPr>
      <w:r>
        <w:rPr/>
        <w:t> </w:t>
      </w:r>
    </w:p>
    <w:tbl>
      <w:tblPr>
        <w:tblW w:w="8515" w:type="dxa"/>
        <w:jc w:val="left"/>
        <w:tblInd w:w="0" w:type="dxa"/>
        <w:tblCellMar>
          <w:top w:w="0" w:type="dxa"/>
          <w:left w:w="0" w:type="dxa"/>
          <w:bottom w:w="0" w:type="dxa"/>
          <w:right w:w="0" w:type="dxa"/>
        </w:tblCellMar>
      </w:tblPr>
      <w:tblGrid>
        <w:gridCol w:w="75"/>
        <w:gridCol w:w="110"/>
        <w:gridCol w:w="60"/>
        <w:gridCol w:w="8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or our licensors’ inventions or technologies may be found to be not patentable; and </w:t>
            </w:r>
          </w:p>
        </w:tc>
      </w:tr>
    </w:tbl>
    <w:p>
      <w:pPr>
        <w:pStyle w:val="TextBody"/>
        <w:spacing w:before="0" w:after="0"/>
        <w:jc w:val="left"/>
        <w:rPr/>
      </w:pPr>
      <w:r>
        <w:rPr/>
        <w:t> </w:t>
      </w:r>
    </w:p>
    <w:tbl>
      <w:tblPr>
        <w:tblW w:w="6325" w:type="dxa"/>
        <w:jc w:val="left"/>
        <w:tblInd w:w="0" w:type="dxa"/>
        <w:tblCellMar>
          <w:top w:w="0" w:type="dxa"/>
          <w:left w:w="0" w:type="dxa"/>
          <w:bottom w:w="0" w:type="dxa"/>
          <w:right w:w="0" w:type="dxa"/>
        </w:tblCellMar>
      </w:tblPr>
      <w:tblGrid>
        <w:gridCol w:w="75"/>
        <w:gridCol w:w="110"/>
        <w:gridCol w:w="60"/>
        <w:gridCol w:w="6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we may not develop additional technologies that are patentable. </w:t>
            </w:r>
          </w:p>
        </w:tc>
      </w:tr>
    </w:tbl>
    <w:p>
      <w:pPr>
        <w:pStyle w:val="TextBody"/>
        <w:spacing w:before="240" w:after="0"/>
        <w:jc w:val="left"/>
        <w:rPr>
          <w:rFonts w:ascii="Times New Roman" w:hAnsi="Times New Roman"/>
          <w:b/>
          <w:i/>
          <w:sz w:val="24"/>
        </w:rPr>
      </w:pPr>
      <w:r>
        <w:rPr>
          <w:rFonts w:ascii="Times New Roman" w:hAnsi="Times New Roman"/>
          <w:b/>
          <w:i/>
          <w:sz w:val="24"/>
        </w:rPr>
        <w:t xml:space="preserve">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 </w:t>
      </w:r>
    </w:p>
    <w:p>
      <w:pPr>
        <w:pStyle w:val="TextBody"/>
        <w:spacing w:before="240" w:after="0"/>
        <w:jc w:val="left"/>
        <w:rPr>
          <w:rFonts w:ascii="Times New Roman" w:hAnsi="Times New Roman"/>
          <w:sz w:val="24"/>
        </w:rPr>
      </w:pPr>
      <w:r>
        <w:rPr>
          <w:rFonts w:ascii="Times New Roman" w:hAnsi="Times New Roman"/>
          <w:sz w:val="24"/>
        </w:rPr>
        <w:t xml:space="preserve">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 </w:t>
      </w:r>
    </w:p>
    <w:p>
      <w:pPr>
        <w:pStyle w:val="TextBody"/>
        <w:spacing w:before="240" w:after="0"/>
        <w:jc w:val="left"/>
        <w:rPr>
          <w:rFonts w:ascii="Times New Roman" w:hAnsi="Times New Roman"/>
          <w:sz w:val="24"/>
        </w:rPr>
      </w:pPr>
      <w:r>
        <w:rPr>
          <w:rFonts w:ascii="Times New Roman" w:hAnsi="Times New Roman"/>
          <w:sz w:val="24"/>
        </w:rPr>
        <w:t xml:space="preserve">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etigilimab in the treatment of cancer. The patent owner could assert such patent against us, which could present the foregoing risks and impose limitations in our ability to develop, manufacture or sell etigilimab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 </w:t>
      </w:r>
    </w:p>
    <w:p>
      <w:pPr>
        <w:pStyle w:val="TextBody"/>
        <w:spacing w:before="240" w:after="0"/>
        <w:jc w:val="left"/>
        <w:rPr>
          <w:rFonts w:ascii="Times New Roman" w:hAnsi="Times New Roman"/>
          <w:sz w:val="24"/>
        </w:rPr>
      </w:pPr>
      <w:r>
        <w:rPr>
          <w:rFonts w:ascii="Times New Roman" w:hAnsi="Times New Roman"/>
          <w:sz w:val="24"/>
        </w:rPr>
        <w:t xml:space="preserve">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 </w:t>
      </w:r>
    </w:p>
    <w:p>
      <w:pPr>
        <w:pStyle w:val="TextBody"/>
        <w:spacing w:before="240" w:after="0"/>
        <w:jc w:val="left"/>
        <w:rPr>
          <w:rFonts w:ascii="Times New Roman" w:hAnsi="Times New Roman"/>
          <w:sz w:val="24"/>
        </w:rPr>
      </w:pPr>
      <w:r>
        <w:rPr>
          <w:rFonts w:ascii="Times New Roman" w:hAnsi="Times New Roman"/>
          <w:sz w:val="24"/>
        </w:rPr>
        <w:t xml:space="preserve">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 </w:t>
      </w:r>
    </w:p>
    <w:p>
      <w:pPr>
        <w:pStyle w:val="TextBody"/>
        <w:spacing w:before="240" w:after="0"/>
        <w:jc w:val="left"/>
        <w:rPr>
          <w:rFonts w:ascii="Times New Roman" w:hAnsi="Times New Roman"/>
          <w:sz w:val="24"/>
        </w:rPr>
      </w:pPr>
      <w:r>
        <w:rPr>
          <w:rFonts w:ascii="Times New Roman" w:hAnsi="Times New Roman"/>
          <w:sz w:val="24"/>
        </w:rPr>
        <w:t xml:space="preserve">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 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 </w:t>
      </w:r>
    </w:p>
    <w:p>
      <w:pPr>
        <w:pStyle w:val="TextBody"/>
        <w:spacing w:before="240" w:after="0"/>
        <w:jc w:val="left"/>
        <w:rPr>
          <w:rFonts w:ascii="Times New Roman" w:hAnsi="Times New Roman"/>
          <w:sz w:val="24"/>
        </w:rPr>
      </w:pPr>
      <w:r>
        <w:rPr>
          <w:rFonts w:ascii="Times New Roman" w:hAnsi="Times New Roman"/>
          <w:sz w:val="24"/>
        </w:rPr>
        <w:t xml:space="preserve">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 </w:t>
      </w:r>
    </w:p>
    <w:p>
      <w:pPr>
        <w:pStyle w:val="TextBody"/>
        <w:spacing w:before="240" w:after="0"/>
        <w:jc w:val="left"/>
        <w:rPr>
          <w:rFonts w:ascii="Times New Roman" w:hAnsi="Times New Roman"/>
          <w:b/>
          <w:i/>
          <w:sz w:val="24"/>
        </w:rPr>
      </w:pPr>
      <w:r>
        <w:rPr>
          <w:rFonts w:ascii="Times New Roman" w:hAnsi="Times New Roman"/>
          <w:b/>
          <w:i/>
          <w:sz w:val="24"/>
        </w:rPr>
        <w:t xml:space="preserve">We may not identify relevant third-party patents or may incorrectly interpret the relevance, scope or expiration of a third- party patent which might adversely affect our ability to develop, manufacture and market our product candidates. </w:t>
      </w:r>
    </w:p>
    <w:p>
      <w:pPr>
        <w:pStyle w:val="TextBody"/>
        <w:spacing w:before="240" w:after="0"/>
        <w:jc w:val="left"/>
        <w:rPr>
          <w:rFonts w:ascii="Times New Roman" w:hAnsi="Times New Roman"/>
          <w:sz w:val="24"/>
        </w:rPr>
      </w:pPr>
      <w:r>
        <w:rPr>
          <w:rFonts w:ascii="Times New Roman" w:hAnsi="Times New Roman"/>
          <w:sz w:val="24"/>
        </w:rPr>
        <w:t xml:space="preserve">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 </w:t>
      </w:r>
    </w:p>
    <w:p>
      <w:pPr>
        <w:pStyle w:val="TextBody"/>
        <w:spacing w:before="240" w:after="0"/>
        <w:jc w:val="left"/>
        <w:rPr>
          <w:rFonts w:ascii="Times New Roman" w:hAnsi="Times New Roman"/>
          <w:b/>
          <w:i/>
          <w:sz w:val="24"/>
        </w:rPr>
      </w:pPr>
      <w:r>
        <w:rPr>
          <w:rFonts w:ascii="Times New Roman" w:hAnsi="Times New Roman"/>
          <w:b/>
          <w:i/>
          <w:sz w:val="24"/>
        </w:rPr>
        <w:t xml:space="preserve">If we fail to comply with our obligations under our existing and any future intellectual property licenses with third parties, we could lose license rights that are important to our business, and our business may be substantially harmed as a result. </w:t>
      </w:r>
    </w:p>
    <w:p>
      <w:pPr>
        <w:pStyle w:val="TextBody"/>
        <w:spacing w:before="240" w:after="0"/>
        <w:jc w:val="left"/>
        <w:rPr>
          <w:rFonts w:ascii="Times New Roman" w:hAnsi="Times New Roman"/>
          <w:sz w:val="24"/>
        </w:rPr>
      </w:pPr>
      <w:r>
        <w:rPr>
          <w:rFonts w:ascii="Times New Roman" w:hAnsi="Times New Roman"/>
          <w:sz w:val="24"/>
        </w:rPr>
        <w:t xml:space="preserve">We are party to agreements with licensors, including Novartis, AstraZeneca, and Ultragenyx under which we in-license certain intellectual property and were assigned, in the case of Novartis, or granted an option to acquire, in the case of AstraZeneca, certain patents and patent applications related to our business. In addition, we are party to agreements with OncXerna and Ultragenyx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We may not be successful in maintaining necessary rights to our product candidates or obtaining patent or other intellectual property rights important to our business through acquisitions and in-licenses. </w:t>
      </w:r>
    </w:p>
    <w:p>
      <w:pPr>
        <w:pStyle w:val="TextBody"/>
        <w:spacing w:before="240" w:after="0"/>
        <w:jc w:val="left"/>
        <w:rPr>
          <w:rFonts w:ascii="Times New Roman" w:hAnsi="Times New Roman"/>
          <w:sz w:val="24"/>
        </w:rPr>
      </w:pPr>
      <w:r>
        <w:rPr>
          <w:rFonts w:ascii="Times New Roman" w:hAnsi="Times New Roman"/>
          <w:sz w:val="24"/>
        </w:rPr>
        <w:t xml:space="preserve">We currently own and have in-licensed rights to intellectual property, including patents, patent applications and know- 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w:t>
      </w:r>
    </w:p>
    <w:p>
      <w:pPr>
        <w:pStyle w:val="TextBody"/>
        <w:spacing w:before="240" w:after="0"/>
        <w:jc w:val="left"/>
        <w:rPr>
          <w:rFonts w:ascii="Times New Roman" w:hAnsi="Times New Roman"/>
          <w:sz w:val="24"/>
        </w:rPr>
      </w:pPr>
      <w:r>
        <w:rPr>
          <w:rFonts w:ascii="Times New Roman" w:hAnsi="Times New Roman"/>
          <w:sz w:val="24"/>
        </w:rPr>
        <w:t xml:space="preserve">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 </w:t>
      </w:r>
    </w:p>
    <w:p>
      <w:pPr>
        <w:pStyle w:val="TextBody"/>
        <w:spacing w:before="240" w:after="0"/>
        <w:jc w:val="left"/>
        <w:rPr>
          <w:rFonts w:ascii="Times New Roman" w:hAnsi="Times New Roman"/>
          <w:b/>
          <w:i/>
          <w:sz w:val="24"/>
        </w:rPr>
      </w:pPr>
      <w:r>
        <w:rPr>
          <w:rFonts w:ascii="Times New Roman" w:hAnsi="Times New Roman"/>
          <w:b/>
          <w:i/>
          <w:sz w:val="24"/>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240" w:after="0"/>
        <w:jc w:val="left"/>
        <w:rPr>
          <w:rFonts w:ascii="Times New Roman" w:hAnsi="Times New Roman"/>
          <w:sz w:val="24"/>
        </w:rPr>
      </w:pPr>
      <w:r>
        <w:rPr>
          <w:rFonts w:ascii="Times New Roman" w:hAnsi="Times New Roman"/>
          <w:sz w:val="24"/>
        </w:rPr>
        <w:t xml:space="preserve">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 </w:t>
      </w:r>
    </w:p>
    <w:p>
      <w:pPr>
        <w:pStyle w:val="TextBody"/>
        <w:spacing w:before="240" w:after="0"/>
        <w:jc w:val="left"/>
        <w:rPr>
          <w:rFonts w:ascii="Times New Roman" w:hAnsi="Times New Roman"/>
          <w:b/>
          <w:i/>
          <w:sz w:val="24"/>
        </w:rPr>
      </w:pPr>
      <w:r>
        <w:rPr>
          <w:rFonts w:ascii="Times New Roman" w:hAnsi="Times New Roman"/>
          <w:b/>
          <w:i/>
          <w:sz w:val="24"/>
        </w:rPr>
        <w:t xml:space="preserve">We may be subject to claims challenging the inventorship of our patents and other intellectual property. </w:t>
      </w:r>
    </w:p>
    <w:p>
      <w:pPr>
        <w:pStyle w:val="TextBody"/>
        <w:spacing w:before="240" w:after="0"/>
        <w:jc w:val="left"/>
        <w:rPr>
          <w:rFonts w:ascii="Times New Roman" w:hAnsi="Times New Roman"/>
          <w:sz w:val="24"/>
        </w:rPr>
      </w:pPr>
      <w:r>
        <w:rPr>
          <w:rFonts w:ascii="Times New Roman" w:hAnsi="Times New Roman"/>
          <w:sz w:val="24"/>
        </w:rPr>
        <w:t xml:space="preserve">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w:t>
      </w:r>
    </w:p>
    <w:p>
      <w:pPr>
        <w:pStyle w:val="TextBody"/>
        <w:spacing w:before="240" w:after="0"/>
        <w:jc w:val="left"/>
        <w:rPr>
          <w:rFonts w:ascii="Times New Roman" w:hAnsi="Times New Roman"/>
          <w:b/>
          <w:i/>
          <w:sz w:val="24"/>
        </w:rPr>
      </w:pPr>
      <w:r>
        <w:rPr>
          <w:rFonts w:ascii="Times New Roman" w:hAnsi="Times New Roman"/>
          <w:b/>
          <w:i/>
          <w:sz w:val="24"/>
        </w:rPr>
        <w:t xml:space="preserve">Changes in patent laws or patent jurisprudence could diminish the value of patents in general, thereby impairing our ability to protect our product candidates. </w:t>
      </w:r>
    </w:p>
    <w:p>
      <w:pPr>
        <w:pStyle w:val="TextBody"/>
        <w:spacing w:before="240" w:after="0"/>
        <w:jc w:val="left"/>
        <w:rPr>
          <w:rFonts w:ascii="Times New Roman" w:hAnsi="Times New Roman"/>
          <w:sz w:val="24"/>
        </w:rPr>
      </w:pPr>
      <w:r>
        <w:rPr>
          <w:rFonts w:ascii="Times New Roman" w:hAnsi="Times New Roman"/>
          <w:sz w:val="24"/>
        </w:rPr>
        <w:t xml:space="preserve">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4"/>
        </w:rPr>
        <w:t xml:space="preserve">AIA”), which was passed in September 2011, resulted in significant changes to the U.S. patent system. 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 </w:t>
      </w:r>
    </w:p>
    <w:p>
      <w:pPr>
        <w:pStyle w:val="TextBody"/>
        <w:spacing w:before="240" w:after="0"/>
        <w:jc w:val="left"/>
        <w:rPr>
          <w:rFonts w:ascii="Times New Roman" w:hAnsi="Times New Roman"/>
          <w:sz w:val="24"/>
        </w:rPr>
      </w:pPr>
      <w:r>
        <w:rPr>
          <w:rFonts w:ascii="Times New Roman" w:hAnsi="Times New Roman"/>
          <w:sz w:val="24"/>
        </w:rPr>
        <w:t xml:space="preserve">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spacing w:before="240" w:after="0"/>
        <w:jc w:val="left"/>
        <w:rPr>
          <w:rFonts w:ascii="Times New Roman" w:hAnsi="Times New Roman"/>
          <w:sz w:val="24"/>
        </w:rPr>
      </w:pPr>
      <w:r>
        <w:rPr>
          <w:rFonts w:ascii="Times New Roman" w:hAnsi="Times New Roman"/>
          <w:sz w:val="24"/>
        </w:rPr>
        <w:t xml:space="preserve">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 </w:t>
      </w:r>
    </w:p>
    <w:p>
      <w:pPr>
        <w:pStyle w:val="TextBody"/>
        <w:spacing w:before="240" w:after="0"/>
        <w:jc w:val="left"/>
        <w:rPr>
          <w:rFonts w:ascii="Times New Roman" w:hAnsi="Times New Roman"/>
          <w:sz w:val="24"/>
        </w:rPr>
      </w:pPr>
      <w:r>
        <w:rPr>
          <w:rFonts w:ascii="Times New Roman" w:hAnsi="Times New Roman"/>
          <w:sz w:val="24"/>
        </w:rPr>
        <w:t xml:space="preserve">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 </w:t>
      </w:r>
    </w:p>
    <w:p>
      <w:pPr>
        <w:pStyle w:val="TextBody"/>
        <w:spacing w:before="240" w:after="0"/>
        <w:jc w:val="left"/>
        <w:rPr>
          <w:rFonts w:ascii="Times New Roman" w:hAnsi="Times New Roman"/>
          <w:b/>
          <w:i/>
          <w:sz w:val="24"/>
        </w:rPr>
      </w:pPr>
      <w:r>
        <w:rPr>
          <w:rFonts w:ascii="Times New Roman" w:hAnsi="Times New Roman"/>
          <w:b/>
          <w:i/>
          <w:sz w:val="24"/>
        </w:rPr>
        <w:t xml:space="preserve">If we do not obtain protection under the Hatch-Waxman Amendments and similar non-U.S. legislation for extending the term of patents covering our product candidates, our ability to compete effectively could be impaired. </w:t>
      </w:r>
    </w:p>
    <w:p>
      <w:pPr>
        <w:pStyle w:val="TextBody"/>
        <w:spacing w:before="240" w:after="0"/>
        <w:jc w:val="left"/>
        <w:rPr>
          <w:rFonts w:ascii="Times New Roman" w:hAnsi="Times New Roman"/>
          <w:sz w:val="24"/>
        </w:rPr>
      </w:pPr>
      <w:r>
        <w:rPr>
          <w:rFonts w:ascii="Times New Roman" w:hAnsi="Times New Roman"/>
          <w:sz w:val="24"/>
        </w:rPr>
        <w:t xml:space="preserve">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 </w:t>
      </w:r>
    </w:p>
    <w:p>
      <w:pPr>
        <w:pStyle w:val="TextBody"/>
        <w:spacing w:before="240" w:after="0"/>
        <w:jc w:val="left"/>
        <w:rPr>
          <w:rFonts w:ascii="Times New Roman" w:hAnsi="Times New Roman"/>
          <w:b/>
          <w:i/>
          <w:sz w:val="24"/>
        </w:rPr>
      </w:pPr>
      <w:r>
        <w:rPr>
          <w:rFonts w:ascii="Times New Roman" w:hAnsi="Times New Roman"/>
          <w:b/>
          <w:i/>
          <w:sz w:val="24"/>
        </w:rPr>
        <w:t xml:space="preserve">If our trademarks and trade names are not adequately protected, we may not be able to build name recognition in our markets of interest and our competitive position may be adversely affected. </w:t>
      </w:r>
    </w:p>
    <w:p>
      <w:pPr>
        <w:pStyle w:val="TextBody"/>
        <w:spacing w:before="240" w:after="0"/>
        <w:jc w:val="left"/>
        <w:rPr>
          <w:rFonts w:ascii="Times New Roman" w:hAnsi="Times New Roman"/>
          <w:sz w:val="24"/>
        </w:rPr>
      </w:pPr>
      <w:r>
        <w:rPr>
          <w:rFonts w:ascii="Times New Roman" w:hAnsi="Times New Roman"/>
          <w:sz w:val="24"/>
        </w:rPr>
        <w:t xml:space="preserve">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If we are unable to protect the confidentiality of our trade secrets and know-how, our business and competitive position would be harmed. </w:t>
      </w:r>
    </w:p>
    <w:p>
      <w:pPr>
        <w:pStyle w:val="TextBody"/>
        <w:spacing w:before="240" w:after="0"/>
        <w:jc w:val="left"/>
        <w:rPr>
          <w:rFonts w:ascii="Times New Roman" w:hAnsi="Times New Roman"/>
          <w:sz w:val="24"/>
        </w:rPr>
      </w:pPr>
      <w:r>
        <w:rPr>
          <w:rFonts w:ascii="Times New Roman" w:hAnsi="Times New Roman"/>
          <w:sz w:val="24"/>
        </w:rPr>
        <w:t xml:space="preserve">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 </w:t>
      </w:r>
    </w:p>
    <w:p>
      <w:pPr>
        <w:pStyle w:val="TextBody"/>
        <w:spacing w:before="240" w:after="0"/>
        <w:jc w:val="left"/>
        <w:rPr>
          <w:rFonts w:ascii="Times New Roman" w:hAnsi="Times New Roman"/>
          <w:sz w:val="24"/>
        </w:rPr>
      </w:pPr>
      <w:r>
        <w:rPr>
          <w:rFonts w:ascii="Times New Roman" w:hAnsi="Times New Roman"/>
          <w:sz w:val="24"/>
        </w:rPr>
        <w:t xml:space="preserve">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 </w:t>
      </w:r>
    </w:p>
    <w:p>
      <w:pPr>
        <w:pStyle w:val="TextBody"/>
        <w:spacing w:before="240" w:after="0"/>
        <w:jc w:val="left"/>
        <w:rPr>
          <w:rFonts w:ascii="Times New Roman" w:hAnsi="Times New Roman"/>
          <w:sz w:val="24"/>
        </w:rPr>
      </w:pPr>
      <w:r>
        <w:rPr>
          <w:rFonts w:ascii="Times New Roman" w:hAnsi="Times New Roman"/>
          <w:sz w:val="24"/>
        </w:rPr>
        <w:t xml:space="preserve">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 </w:t>
      </w:r>
    </w:p>
    <w:p>
      <w:pPr>
        <w:pStyle w:val="TextBody"/>
        <w:spacing w:before="240" w:after="0"/>
        <w:jc w:val="left"/>
        <w:rPr>
          <w:rFonts w:ascii="Times New Roman" w:hAnsi="Times New Roman"/>
          <w:b/>
          <w:i/>
          <w:sz w:val="24"/>
        </w:rPr>
      </w:pPr>
      <w:r>
        <w:rPr>
          <w:rFonts w:ascii="Times New Roman" w:hAnsi="Times New Roman"/>
          <w:b/>
          <w:i/>
          <w:sz w:val="24"/>
        </w:rPr>
        <w:t xml:space="preserve">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 </w:t>
      </w:r>
    </w:p>
    <w:p>
      <w:pPr>
        <w:pStyle w:val="TextBody"/>
        <w:spacing w:before="240" w:after="0"/>
        <w:jc w:val="left"/>
        <w:rPr>
          <w:rFonts w:ascii="Times New Roman" w:hAnsi="Times New Roman"/>
          <w:sz w:val="24"/>
        </w:rPr>
      </w:pPr>
      <w:r>
        <w:rPr>
          <w:rFonts w:ascii="Times New Roman" w:hAnsi="Times New Roman"/>
          <w:sz w:val="24"/>
        </w:rPr>
        <w:t xml:space="preserve">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 </w:t>
      </w:r>
    </w:p>
    <w:p>
      <w:pPr>
        <w:pStyle w:val="TextBody"/>
        <w:spacing w:before="240" w:after="0"/>
        <w:jc w:val="left"/>
        <w:rPr>
          <w:rFonts w:ascii="Times New Roman" w:hAnsi="Times New Roman"/>
          <w:sz w:val="24"/>
        </w:rPr>
      </w:pPr>
      <w:r>
        <w:rPr>
          <w:rFonts w:ascii="Times New Roman" w:hAnsi="Times New Roman"/>
          <w:sz w:val="24"/>
        </w:rPr>
        <w:t xml:space="preserve">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Our business and operations may suffer, and proprietary information may be lost, in the event of information technology system failures, cyberattacks or deficiencies in our cybersecurity. </w:t>
      </w:r>
    </w:p>
    <w:p>
      <w:pPr>
        <w:pStyle w:val="TextBody"/>
        <w:spacing w:before="240" w:after="0"/>
        <w:jc w:val="left"/>
        <w:rPr>
          <w:rFonts w:ascii="Times New Roman" w:hAnsi="Times New Roman"/>
          <w:sz w:val="24"/>
        </w:rPr>
      </w:pPr>
      <w:r>
        <w:rPr>
          <w:rFonts w:ascii="Times New Roman" w:hAnsi="Times New Roman"/>
          <w:sz w:val="24"/>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spacing w:before="240" w:after="0"/>
        <w:jc w:val="left"/>
        <w:rPr>
          <w:rFonts w:ascii="Times New Roman" w:hAnsi="Times New Roman"/>
          <w:sz w:val="24"/>
        </w:rPr>
      </w:pPr>
      <w:r>
        <w:rPr>
          <w:rFonts w:ascii="Times New Roman" w:hAnsi="Times New Roman"/>
          <w:sz w:val="24"/>
        </w:rPr>
        <w:t xml:space="preserve">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 </w:t>
      </w:r>
    </w:p>
    <w:p>
      <w:pPr>
        <w:pStyle w:val="TextBody"/>
        <w:spacing w:before="240" w:after="0"/>
        <w:jc w:val="left"/>
        <w:rPr>
          <w:rFonts w:ascii="Times New Roman" w:hAnsi="Times New Roman"/>
          <w:sz w:val="24"/>
        </w:rPr>
      </w:pPr>
      <w:r>
        <w:rPr>
          <w:rFonts w:ascii="Times New Roman" w:hAnsi="Times New Roman"/>
          <w:sz w:val="24"/>
        </w:rPr>
        <w:t xml:space="preserve">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 </w:t>
      </w:r>
    </w:p>
    <w:p>
      <w:pPr>
        <w:pStyle w:val="TextBody"/>
        <w:spacing w:before="240" w:after="0"/>
        <w:jc w:val="left"/>
        <w:rPr>
          <w:rFonts w:ascii="Times New Roman" w:hAnsi="Times New Roman"/>
          <w:sz w:val="24"/>
        </w:rPr>
      </w:pPr>
      <w:r>
        <w:rPr>
          <w:rFonts w:ascii="Times New Roman" w:hAnsi="Times New Roman"/>
          <w:sz w:val="24"/>
        </w:rPr>
        <w:t xml:space="preserve">In addition, in response to the COVID-19 pandemic, and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 </w:t>
      </w:r>
    </w:p>
    <w:p>
      <w:pPr>
        <w:pStyle w:val="TextBody"/>
        <w:spacing w:before="360" w:after="0"/>
        <w:jc w:val="left"/>
        <w:rPr>
          <w:rFonts w:ascii="Times New Roman" w:hAnsi="Times New Roman"/>
          <w:b/>
          <w:sz w:val="24"/>
        </w:rPr>
      </w:pPr>
      <w:r>
        <w:rPr>
          <w:rFonts w:ascii="Times New Roman" w:hAnsi="Times New Roman"/>
          <w:b/>
          <w:sz w:val="24"/>
        </w:rPr>
        <w:t xml:space="preserve">Risks Related to our ADSs </w:t>
      </w:r>
    </w:p>
    <w:p>
      <w:pPr>
        <w:pStyle w:val="TextBody"/>
        <w:spacing w:before="120" w:after="0"/>
        <w:jc w:val="left"/>
        <w:rPr>
          <w:rFonts w:ascii="Times New Roman" w:hAnsi="Times New Roman"/>
          <w:b/>
          <w:i/>
          <w:sz w:val="24"/>
        </w:rPr>
      </w:pPr>
      <w:r>
        <w:rPr>
          <w:rFonts w:ascii="Times New Roman" w:hAnsi="Times New Roman"/>
          <w:b/>
          <w:i/>
          <w:sz w:val="24"/>
        </w:rPr>
        <w:t xml:space="preserve">The trading price of our ADSs may be volatile, and you could lose all or part of your investment. </w:t>
      </w:r>
    </w:p>
    <w:p>
      <w:pPr>
        <w:pStyle w:val="TextBody"/>
        <w:spacing w:before="120" w:after="0"/>
        <w:jc w:val="left"/>
        <w:rPr>
          <w:rFonts w:ascii="Times New Roman" w:hAnsi="Times New Roman"/>
          <w:sz w:val="24"/>
        </w:rPr>
      </w:pPr>
      <w:r>
        <w:rPr>
          <w:rFonts w:ascii="Times New Roman" w:hAnsi="Times New Roman"/>
          <w:sz w:val="24"/>
        </w:rPr>
        <w:t xml:space="preserve">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positive or negative results from, or delays in, testing or clinical trials conducted by our or our competitors;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delays in entering into strategic relationships with respect to development or commercialization of our product candidates or entry into strategic relationships on terms that are not deemed to be favorable to us;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technological innovations or commercial product introductions by us or competitors; </w:t>
            </w:r>
          </w:p>
        </w:tc>
      </w:tr>
    </w:tbl>
    <w:p>
      <w:pPr>
        <w:pStyle w:val="TextBody"/>
        <w:spacing w:before="0" w:after="0"/>
        <w:jc w:val="left"/>
        <w:rPr/>
      </w:pPr>
      <w:r>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changes in government regulations; </w:t>
            </w:r>
          </w:p>
        </w:tc>
      </w:tr>
    </w:tbl>
    <w:p>
      <w:pPr>
        <w:pStyle w:val="TextBody"/>
        <w:spacing w:before="0" w:after="0"/>
        <w:jc w:val="left"/>
        <w:rPr/>
      </w:pPr>
      <w:r>
        <w:rPr/>
        <w:t> </w:t>
      </w:r>
    </w:p>
    <w:tbl>
      <w:tblPr>
        <w:tblW w:w="8245" w:type="dxa"/>
        <w:jc w:val="left"/>
        <w:tblInd w:w="0" w:type="dxa"/>
        <w:tblCellMar>
          <w:top w:w="0" w:type="dxa"/>
          <w:left w:w="0" w:type="dxa"/>
          <w:bottom w:w="0" w:type="dxa"/>
          <w:right w:w="0" w:type="dxa"/>
        </w:tblCellMar>
      </w:tblPr>
      <w:tblGrid>
        <w:gridCol w:w="75"/>
        <w:gridCol w:w="110"/>
        <w:gridCol w:w="60"/>
        <w:gridCol w:w="8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developments concerning proprietary rights, including patents and litigation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impact of public health epidemics, such as the COVID-19 pandemic, and government efforts to slow their spread;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economic, public health, financial or geopolitical events that affect us or the financial markets generally, including the duration and severity of the impact of the COVID-19 pandemic, the conflict between Ukraine and the Russian Federation, and unexpected rises in inflation and interest rates; </w:t>
            </w:r>
          </w:p>
        </w:tc>
      </w:tr>
    </w:tbl>
    <w:p>
      <w:pPr>
        <w:pStyle w:val="TextBody"/>
        <w:spacing w:before="0" w:after="0"/>
        <w:jc w:val="left"/>
        <w:rPr/>
      </w:pPr>
      <w:r>
        <w:rPr/>
        <w:t> </w:t>
      </w:r>
    </w:p>
    <w:tbl>
      <w:tblPr>
        <w:tblW w:w="8200" w:type="dxa"/>
        <w:jc w:val="left"/>
        <w:tblInd w:w="0" w:type="dxa"/>
        <w:tblCellMar>
          <w:top w:w="0" w:type="dxa"/>
          <w:left w:w="0" w:type="dxa"/>
          <w:bottom w:w="0" w:type="dxa"/>
          <w:right w:w="0" w:type="dxa"/>
        </w:tblCellMar>
      </w:tblPr>
      <w:tblGrid>
        <w:gridCol w:w="75"/>
        <w:gridCol w:w="110"/>
        <w:gridCol w:w="60"/>
        <w:gridCol w:w="7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5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public concern relating to the commercial value or safety of our product candidates; </w:t>
            </w:r>
          </w:p>
        </w:tc>
      </w:tr>
    </w:tbl>
    <w:p>
      <w:pPr>
        <w:pStyle w:val="TextBody"/>
        <w:spacing w:before="0" w:after="0"/>
        <w:jc w:val="left"/>
        <w:rPr/>
      </w:pPr>
      <w:r>
        <w:rPr/>
        <w:t> </w:t>
      </w:r>
    </w:p>
    <w:tbl>
      <w:tblPr>
        <w:tblW w:w="4195" w:type="dxa"/>
        <w:jc w:val="left"/>
        <w:tblInd w:w="0" w:type="dxa"/>
        <w:tblCellMar>
          <w:top w:w="0" w:type="dxa"/>
          <w:left w:w="0" w:type="dxa"/>
          <w:bottom w:w="0" w:type="dxa"/>
          <w:right w:w="0" w:type="dxa"/>
        </w:tblCellMar>
      </w:tblPr>
      <w:tblGrid>
        <w:gridCol w:w="75"/>
        <w:gridCol w:w="110"/>
        <w:gridCol w:w="60"/>
        <w:gridCol w:w="3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financing or other corporate transactions;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publication of research reports or comments by securities or industry analysts, and variances in our periodic results of operations from securities analysts’ estimates;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general market conditions in the biopharmaceutical and pharmaceutical industries or in the economy as a whole; </w:t>
            </w:r>
          </w:p>
        </w:tc>
      </w:tr>
    </w:tbl>
    <w:p>
      <w:pPr>
        <w:pStyle w:val="TextBody"/>
        <w:spacing w:before="0" w:after="0"/>
        <w:jc w:val="left"/>
        <w:rPr/>
      </w:pPr>
      <w:r>
        <w:rPr/>
        <w:t> </w:t>
      </w:r>
    </w:p>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loss of any of our key scientific or senior management personnel;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sales of our ADSs by us, our senior management and board members, holders of ADSs or our other security holders in the future; </w:t>
            </w:r>
          </w:p>
        </w:tc>
      </w:tr>
    </w:tbl>
    <w:p>
      <w:pPr>
        <w:pStyle w:val="TextBody"/>
        <w:spacing w:before="0" w:after="0"/>
        <w:jc w:val="left"/>
        <w:rPr/>
      </w:pPr>
      <w:r>
        <w:rPr/>
        <w:t> </w:t>
      </w:r>
    </w:p>
    <w:tbl>
      <w:tblPr>
        <w:tblW w:w="3760" w:type="dxa"/>
        <w:jc w:val="left"/>
        <w:tblInd w:w="0" w:type="dxa"/>
        <w:tblCellMar>
          <w:top w:w="0" w:type="dxa"/>
          <w:left w:w="0" w:type="dxa"/>
          <w:bottom w:w="0" w:type="dxa"/>
          <w:right w:w="0" w:type="dxa"/>
        </w:tblCellMar>
      </w:tblPr>
      <w:tblGrid>
        <w:gridCol w:w="75"/>
        <w:gridCol w:w="110"/>
        <w:gridCol w:w="60"/>
        <w:gridCol w:w="3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actions by institutional shareholders; </w:t>
            </w:r>
          </w:p>
        </w:tc>
      </w:tr>
    </w:tbl>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75"/>
        <w:gridCol w:w="110"/>
        <w:gridCol w:w="60"/>
        <w:gridCol w:w="5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speculation in the press or the investment community; or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other events and factors, many of which are beyond our control. </w:t>
            </w:r>
          </w:p>
        </w:tc>
      </w:tr>
    </w:tbl>
    <w:p>
      <w:pPr>
        <w:pStyle w:val="TextBody"/>
        <w:spacing w:before="240" w:after="0"/>
        <w:jc w:val="left"/>
        <w:rPr>
          <w:rFonts w:ascii="Times New Roman" w:hAnsi="Times New Roman"/>
          <w:sz w:val="24"/>
        </w:rPr>
      </w:pPr>
      <w:r>
        <w:rPr>
          <w:rFonts w:ascii="Times New Roman" w:hAnsi="Times New Roman"/>
          <w:sz w:val="24"/>
        </w:rPr>
        <w:t xml:space="preserve">In the past in the United States,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w:t>
      </w:r>
    </w:p>
    <w:p>
      <w:pPr>
        <w:pStyle w:val="TextBody"/>
        <w:spacing w:before="240" w:after="0"/>
        <w:jc w:val="left"/>
        <w:rPr>
          <w:rFonts w:ascii="Times New Roman" w:hAnsi="Times New Roman"/>
          <w:b/>
          <w:i/>
          <w:sz w:val="24"/>
        </w:rPr>
      </w:pPr>
      <w:r>
        <w:rPr>
          <w:rFonts w:ascii="Times New Roman" w:hAnsi="Times New Roman"/>
          <w:b/>
          <w:i/>
          <w:sz w:val="24"/>
        </w:rPr>
        <w:t xml:space="preserve">We may not satisfy Nasdaq’s requirements for continued listing. If we cannot satisfy these requirements, Nasdaq could delist our ADSs, which could have an adverse impact on the liquidity and market price of our ADSs. </w:t>
      </w:r>
    </w:p>
    <w:p>
      <w:pPr>
        <w:pStyle w:val="TextBody"/>
        <w:spacing w:before="240" w:after="0"/>
        <w:jc w:val="left"/>
        <w:rPr>
          <w:rFonts w:ascii="Times New Roman" w:hAnsi="Times New Roman"/>
          <w:sz w:val="24"/>
        </w:rPr>
      </w:pPr>
      <w:r>
        <w:rPr>
          <w:rFonts w:ascii="Times New Roman" w:hAnsi="Times New Roman"/>
          <w:sz w:val="24"/>
        </w:rPr>
        <w:t xml:space="preserve">On November 1, 2022, we received a letter (the “Notification Letter”) from the Listings Qualifications Department of Nasdaq notifying us that our ADSs failed to maintain a minimum bid price of $1.00 over the previous 30 consecutive business days as required by the Listing Rules of Nasdaq. We have a compliance period of 180 calendar days, or until May 1, 2023, to regain compliance with Nasdaq’s minimum bid price requirement by maintaining a closing bid price of $1.00 per ADS for a minimum of ten consecutive business days. If at any time during this period the bid price of our ADSs closes at $1.00 per ADS or more for a minimum of ten consecutive business days, Nasdaq will provide us with written confirmation of compliance. We may also transfer to the Nasdaq Capital Market following which we may have an additional 180 calendar days to comply with the minimum bid requirement. We have not yet regained compliance with the Nasdaq’s minimum bid price rule, and our failure to do so could lead to the delisting of our ADSs from Nasdaq. </w:t>
      </w:r>
    </w:p>
    <w:p>
      <w:pPr>
        <w:pStyle w:val="TextBody"/>
        <w:spacing w:before="240" w:after="0"/>
        <w:jc w:val="left"/>
        <w:rPr>
          <w:rFonts w:ascii="Times New Roman" w:hAnsi="Times New Roman"/>
          <w:sz w:val="24"/>
        </w:rPr>
      </w:pPr>
      <w:r>
        <w:rPr>
          <w:rFonts w:ascii="Times New Roman" w:hAnsi="Times New Roman"/>
          <w:sz w:val="24"/>
        </w:rPr>
        <w:t xml:space="preserve">There can be no assurance that we will be able to comply in the future with Nasdaq’s minimum bid price rule. If we continue to be in non-compliance with the minimum bid price rule and the applicable six-month grace period ends, Nasdaq may commence delisting procedures against us during which we may have additional time of up to six months to correct our non-compliance. If our ADSs were ultimately delisted by Nasdaq, trading of the ADSs could be limited to “over-the-counter” trades and the market liquidity and market price of our ADSs could be adversely affected. </w:t>
      </w:r>
    </w:p>
    <w:p>
      <w:pPr>
        <w:pStyle w:val="TextBody"/>
        <w:spacing w:before="240" w:after="0"/>
        <w:jc w:val="left"/>
        <w:rPr>
          <w:rFonts w:ascii="Times New Roman" w:hAnsi="Times New Roman"/>
          <w:b/>
          <w:i/>
          <w:sz w:val="24"/>
        </w:rPr>
      </w:pPr>
      <w:r>
        <w:rPr>
          <w:rFonts w:ascii="Times New Roman" w:hAnsi="Times New Roman"/>
          <w:b/>
          <w:i/>
          <w:sz w:val="24"/>
        </w:rPr>
        <w:t xml:space="preserve">You may be subject to limitations on the transfer of ADSs and the withdrawal of the underlying ordinary shares. </w:t>
      </w:r>
    </w:p>
    <w:p>
      <w:pPr>
        <w:pStyle w:val="TextBody"/>
        <w:spacing w:before="240" w:after="0"/>
        <w:jc w:val="left"/>
        <w:rPr>
          <w:rFonts w:ascii="Times New Roman" w:hAnsi="Times New Roman"/>
          <w:sz w:val="24"/>
        </w:rPr>
      </w:pPr>
      <w:r>
        <w:rPr>
          <w:rFonts w:ascii="Times New Roman" w:hAnsi="Times New Roman"/>
          <w:sz w:val="24"/>
        </w:rPr>
        <w:t xml:space="preserve">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 </w:t>
      </w:r>
    </w:p>
    <w:p>
      <w:pPr>
        <w:pStyle w:val="TextBody"/>
        <w:spacing w:before="240" w:after="0"/>
        <w:jc w:val="left"/>
        <w:rPr>
          <w:rFonts w:ascii="Times New Roman" w:hAnsi="Times New Roman"/>
          <w:b/>
          <w:i/>
          <w:sz w:val="24"/>
        </w:rPr>
      </w:pPr>
      <w:r>
        <w:rPr>
          <w:rFonts w:ascii="Times New Roman" w:hAnsi="Times New Roman"/>
          <w:b/>
          <w:i/>
          <w:sz w:val="24"/>
        </w:rPr>
        <w:t xml:space="preserve">The rights of our shareholders may differ from the rights typically offered to shareholders of a U.S. corporation. </w:t>
      </w:r>
    </w:p>
    <w:p>
      <w:pPr>
        <w:pStyle w:val="TextBody"/>
        <w:spacing w:before="240" w:after="0"/>
        <w:jc w:val="left"/>
        <w:rPr>
          <w:rFonts w:ascii="Times New Roman" w:hAnsi="Times New Roman"/>
          <w:sz w:val="24"/>
        </w:rPr>
      </w:pPr>
      <w:r>
        <w:rPr>
          <w:rFonts w:ascii="Times New Roman" w:hAnsi="Times New Roman"/>
          <w:sz w:val="24"/>
        </w:rPr>
        <w:t xml:space="preserve">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 </w:t>
      </w:r>
    </w:p>
    <w:p>
      <w:pPr>
        <w:pStyle w:val="TextBody"/>
        <w:spacing w:before="240" w:after="0"/>
        <w:jc w:val="left"/>
        <w:rPr>
          <w:rFonts w:ascii="Times New Roman" w:hAnsi="Times New Roman"/>
          <w:sz w:val="24"/>
        </w:rPr>
      </w:pPr>
      <w:r>
        <w:rPr>
          <w:rFonts w:ascii="Times New Roman" w:hAnsi="Times New Roman"/>
          <w:sz w:val="24"/>
        </w:rPr>
        <w:t xml:space="preserve">The principal differences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and amendments to the articles of association. Under U.S. law, generally only majority shareholder approval is required to amend the certificate of incorporation or to approve other significant transactions;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 the United Kingdom, takeovers may be structured as takeover offers or as schemes of arrangement. Under English law, a bidder seeking to acquire us by means of a takeover offer who has acquired or unconditionally contracted to acquire not less than 90% of the shares (not held by the bidder) to which the offer relates may complete a “squeeze out” on the same terms as the takeover offer to obtain 100% control of us. Accordingly, acceptances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at least 75% of the ordinary shares voting for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quorum requirement for a shareholders’ meeting is a minimum of two shareholders entitled to vote at the meeting and present in person or by proxy or, in the case of a shareholder which is a corporation, represented by a duly authorized representative.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 </w:t>
            </w:r>
          </w:p>
        </w:tc>
      </w:tr>
    </w:tbl>
    <w:p>
      <w:pPr>
        <w:pStyle w:val="TextBody"/>
        <w:spacing w:before="240" w:after="0"/>
        <w:jc w:val="left"/>
        <w:rPr>
          <w:rFonts w:ascii="Times New Roman" w:hAnsi="Times New Roman"/>
          <w:b/>
          <w:i/>
          <w:sz w:val="24"/>
        </w:rPr>
      </w:pPr>
      <w:r>
        <w:rPr>
          <w:rFonts w:ascii="Times New Roman" w:hAnsi="Times New Roman"/>
          <w:b/>
          <w:i/>
          <w:sz w:val="24"/>
        </w:rPr>
        <w:t xml:space="preserve">If securities or industry analysts do not publish research or publish inaccurate research or unfavorable research about our business, the price and trading volume of ADSs could decline. </w:t>
      </w:r>
    </w:p>
    <w:p>
      <w:pPr>
        <w:pStyle w:val="TextBody"/>
        <w:spacing w:before="240" w:after="0"/>
        <w:jc w:val="left"/>
        <w:rPr>
          <w:rFonts w:ascii="Times New Roman" w:hAnsi="Times New Roman"/>
          <w:sz w:val="24"/>
        </w:rPr>
      </w:pPr>
      <w:r>
        <w:rPr>
          <w:rFonts w:ascii="Times New Roman" w:hAnsi="Times New Roman"/>
          <w:sz w:val="24"/>
        </w:rPr>
        <w:t xml:space="preserve">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Our ADS holders may not be entitled to a jury trial with respect to claims arising under the deposit agreement, which could result in less favorable results to the plaintiff(s) in any such action. </w:t>
      </w:r>
    </w:p>
    <w:p>
      <w:pPr>
        <w:pStyle w:val="TextBody"/>
        <w:spacing w:before="240" w:after="0"/>
        <w:jc w:val="left"/>
        <w:rPr>
          <w:rFonts w:ascii="Times New Roman" w:hAnsi="Times New Roman"/>
          <w:sz w:val="24"/>
        </w:rPr>
      </w:pPr>
      <w:r>
        <w:rPr>
          <w:rFonts w:ascii="Times New Roman" w:hAnsi="Times New Roman"/>
          <w:sz w:val="24"/>
        </w:rPr>
        <w:t xml:space="preserve">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 </w:t>
      </w:r>
    </w:p>
    <w:p>
      <w:pPr>
        <w:pStyle w:val="TextBody"/>
        <w:spacing w:before="240" w:after="0"/>
        <w:jc w:val="left"/>
        <w:rPr>
          <w:rFonts w:ascii="Times New Roman" w:hAnsi="Times New Roman"/>
          <w:sz w:val="24"/>
        </w:rPr>
      </w:pPr>
      <w:r>
        <w:rPr>
          <w:rFonts w:ascii="Times New Roman" w:hAnsi="Times New Roman"/>
          <w:sz w:val="24"/>
        </w:rPr>
        <w:t xml:space="preserve">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 </w:t>
      </w:r>
    </w:p>
    <w:p>
      <w:pPr>
        <w:pStyle w:val="TextBody"/>
        <w:spacing w:before="240" w:after="0"/>
        <w:jc w:val="left"/>
        <w:rPr>
          <w:rFonts w:ascii="Times New Roman" w:hAnsi="Times New Roman"/>
          <w:sz w:val="24"/>
        </w:rPr>
      </w:pPr>
      <w:r>
        <w:rPr>
          <w:rFonts w:ascii="Times New Roman" w:hAnsi="Times New Roman"/>
          <w:sz w:val="24"/>
        </w:rPr>
        <w:t xml:space="preserve">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spacing w:before="240" w:after="0"/>
        <w:jc w:val="left"/>
        <w:rPr>
          <w:rFonts w:ascii="Times New Roman" w:hAnsi="Times New Roman"/>
          <w:b/>
          <w:i/>
          <w:sz w:val="24"/>
        </w:rPr>
      </w:pPr>
      <w:r>
        <w:rPr>
          <w:rFonts w:ascii="Times New Roman" w:hAnsi="Times New Roman"/>
          <w:b/>
          <w:i/>
          <w:sz w:val="24"/>
        </w:rPr>
        <w:t xml:space="preserve">You may not receive distributions on ordinary shares represented by ADSs or any value for them if it is unlawful or impractical to make them available to holders of ADSs. </w:t>
      </w:r>
    </w:p>
    <w:p>
      <w:pPr>
        <w:pStyle w:val="TextBody"/>
        <w:spacing w:before="240" w:after="0"/>
        <w:jc w:val="left"/>
        <w:rPr>
          <w:rFonts w:ascii="Times New Roman" w:hAnsi="Times New Roman"/>
          <w:sz w:val="24"/>
        </w:rPr>
      </w:pPr>
      <w:r>
        <w:rPr>
          <w:rFonts w:ascii="Times New Roman" w:hAnsi="Times New Roman"/>
          <w:sz w:val="24"/>
        </w:rPr>
        <w:t xml:space="preserve">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 </w:t>
      </w:r>
    </w:p>
    <w:p>
      <w:pPr>
        <w:pStyle w:val="TextBody"/>
        <w:spacing w:before="240" w:after="0"/>
        <w:jc w:val="left"/>
        <w:rPr>
          <w:rFonts w:ascii="Times New Roman" w:hAnsi="Times New Roman"/>
          <w:b/>
          <w:i/>
          <w:sz w:val="24"/>
        </w:rPr>
      </w:pPr>
      <w:r>
        <w:rPr>
          <w:rFonts w:ascii="Times New Roman" w:hAnsi="Times New Roman"/>
          <w:b/>
          <w:i/>
          <w:sz w:val="24"/>
        </w:rPr>
        <w:t xml:space="preserve">Holders of ADSs may not have the same voting rights as holders of ordinary shares and may not receive voting materials in time to be able to exercise their right to vote. </w:t>
      </w:r>
    </w:p>
    <w:p>
      <w:pPr>
        <w:pStyle w:val="TextBody"/>
        <w:spacing w:before="240" w:after="0"/>
        <w:jc w:val="left"/>
        <w:rPr>
          <w:rFonts w:ascii="Times New Roman" w:hAnsi="Times New Roman"/>
          <w:sz w:val="24"/>
        </w:rPr>
      </w:pPr>
      <w:r>
        <w:rPr>
          <w:rFonts w:ascii="Times New Roman" w:hAnsi="Times New Roman"/>
          <w:sz w:val="24"/>
        </w:rPr>
        <w:t xml:space="preserve">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We are entitled to amend the deposit agreement and to change the rights of ADS holders under the terms of such agreement, or to terminate the deposit agreement, without the prior consent of the ADS holders. </w:t>
      </w:r>
    </w:p>
    <w:p>
      <w:pPr>
        <w:pStyle w:val="TextBody"/>
        <w:spacing w:before="240" w:after="0"/>
        <w:jc w:val="left"/>
        <w:rPr>
          <w:rFonts w:ascii="Times New Roman" w:hAnsi="Times New Roman"/>
          <w:sz w:val="24"/>
        </w:rPr>
      </w:pPr>
      <w:r>
        <w:rPr>
          <w:rFonts w:ascii="Times New Roman" w:hAnsi="Times New Roman"/>
          <w:sz w:val="24"/>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 </w:t>
      </w:r>
    </w:p>
    <w:p>
      <w:pPr>
        <w:pStyle w:val="TextBody"/>
        <w:spacing w:before="240" w:after="0"/>
        <w:jc w:val="left"/>
        <w:rPr>
          <w:rFonts w:ascii="Times New Roman" w:hAnsi="Times New Roman"/>
          <w:b/>
          <w:i/>
          <w:sz w:val="24"/>
        </w:rPr>
      </w:pPr>
      <w:r>
        <w:rPr>
          <w:rFonts w:ascii="Times New Roman" w:hAnsi="Times New Roman"/>
          <w:b/>
          <w:i/>
          <w:sz w:val="24"/>
        </w:rPr>
        <w:t xml:space="preserve">It may be difficult for you to bring any action or enforce any judgment obtained in the United States against us or members of our Board, which may limit the remedies otherwise available to us. </w:t>
      </w:r>
    </w:p>
    <w:p>
      <w:pPr>
        <w:pStyle w:val="TextBody"/>
        <w:spacing w:before="240" w:after="0"/>
        <w:jc w:val="left"/>
        <w:rPr>
          <w:rFonts w:ascii="Times New Roman" w:hAnsi="Times New Roman"/>
          <w:sz w:val="24"/>
        </w:rPr>
      </w:pPr>
      <w:r>
        <w:rPr>
          <w:rFonts w:ascii="Times New Roman" w:hAnsi="Times New Roman"/>
          <w:sz w:val="24"/>
        </w:rPr>
        <w:t xml:space="preserve">We are incorporated as a public limited company in England and Wales, and the majority of our assets are located outside the United States. In addition, several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 </w:t>
      </w:r>
    </w:p>
    <w:p>
      <w:pPr>
        <w:pStyle w:val="TextBody"/>
        <w:spacing w:before="240" w:after="0"/>
        <w:jc w:val="left"/>
        <w:rPr>
          <w:rFonts w:ascii="Times New Roman" w:hAnsi="Times New Roman"/>
          <w:b/>
          <w:i/>
          <w:sz w:val="24"/>
        </w:rPr>
      </w:pPr>
      <w:r>
        <w:rPr>
          <w:rFonts w:ascii="Times New Roman" w:hAnsi="Times New Roman"/>
          <w:b/>
          <w:i/>
          <w:sz w:val="24"/>
        </w:rPr>
        <w:t xml:space="preserve">Shareholders in countries other than the United Kingdom will suffer dilution if they are unable to participate in future pre- emptive equity offerings. </w:t>
      </w:r>
    </w:p>
    <w:p>
      <w:pPr>
        <w:pStyle w:val="TextBody"/>
        <w:spacing w:before="240" w:after="0"/>
        <w:jc w:val="left"/>
        <w:rPr>
          <w:rFonts w:ascii="Times New Roman" w:hAnsi="Times New Roman"/>
          <w:sz w:val="24"/>
        </w:rPr>
      </w:pPr>
      <w:r>
        <w:rPr>
          <w:rFonts w:ascii="Times New Roman" w:hAnsi="Times New Roman"/>
          <w:sz w:val="24"/>
        </w:rPr>
        <w:t xml:space="preserve">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 </w:t>
      </w:r>
    </w:p>
    <w:p>
      <w:pPr>
        <w:pStyle w:val="TextBody"/>
        <w:spacing w:before="240" w:after="0"/>
        <w:jc w:val="left"/>
        <w:rPr>
          <w:rFonts w:ascii="Times New Roman" w:hAnsi="Times New Roman"/>
          <w:b/>
          <w:i/>
          <w:sz w:val="24"/>
        </w:rPr>
      </w:pPr>
      <w:r>
        <w:rPr>
          <w:rFonts w:ascii="Times New Roman" w:hAnsi="Times New Roman"/>
          <w:b/>
          <w:i/>
          <w:sz w:val="24"/>
        </w:rPr>
        <w:t xml:space="preserve">We are currently a “foreign private issuer” under the rules and regulations of the SEC and, as a result, are exempt from a number of rules under the Exchange Act and are permitted to file less information with the SEC than a company incorporated in the United States. </w:t>
      </w:r>
    </w:p>
    <w:p>
      <w:pPr>
        <w:pStyle w:val="TextBody"/>
        <w:spacing w:before="240" w:after="0"/>
        <w:jc w:val="left"/>
        <w:rPr>
          <w:rFonts w:ascii="Times New Roman" w:hAnsi="Times New Roman"/>
          <w:sz w:val="24"/>
        </w:rPr>
      </w:pPr>
      <w:r>
        <w:rPr>
          <w:rFonts w:ascii="Times New Roman" w:hAnsi="Times New Roman"/>
          <w:sz w:val="24"/>
        </w:rPr>
        <w:t xml:space="preserve">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requirement to file periodic reports and financial statements with the SEC as frequently or as promptly as United States companies with securities registered under the Exchange Act; </w:t>
            </w:r>
          </w:p>
        </w:tc>
      </w:tr>
    </w:tbl>
    <w:p>
      <w:pPr>
        <w:pStyle w:val="TextBody"/>
        <w:spacing w:before="0" w:after="0"/>
        <w:jc w:val="left"/>
        <w:rPr/>
      </w:pPr>
      <w:r>
        <w:rPr/>
        <w:t> </w:t>
      </w:r>
    </w:p>
    <w:tbl>
      <w:tblPr>
        <w:tblW w:w="8335" w:type="dxa"/>
        <w:jc w:val="left"/>
        <w:tblInd w:w="0" w:type="dxa"/>
        <w:tblCellMar>
          <w:top w:w="0" w:type="dxa"/>
          <w:left w:w="0" w:type="dxa"/>
          <w:bottom w:w="0" w:type="dxa"/>
          <w:right w:w="0" w:type="dxa"/>
        </w:tblCellMar>
      </w:tblPr>
      <w:tblGrid>
        <w:gridCol w:w="75"/>
        <w:gridCol w:w="110"/>
        <w:gridCol w:w="60"/>
        <w:gridCol w:w="8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requirement to file financial statements prepared in accordance with U.S. GAAP;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proxy rules, which impose certain disclosure and procedural requirements for proxy solicitations;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requirement to comply with Regulation Fair Disclosure (“Regulation FD”), which imposes certain restrictions on the selective disclosure of material information.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In addition, our officers, directors and principal shareholders are exempt from the reporting and “short-swing” profit recovery provisions of Section 16 of the Exchange Act and the related rules with respect to their purchases and sales of our ADSs. </w:t>
      </w:r>
    </w:p>
    <w:p>
      <w:pPr>
        <w:pStyle w:val="TextBody"/>
        <w:spacing w:before="240" w:after="0"/>
        <w:jc w:val="left"/>
        <w:rPr>
          <w:rFonts w:ascii="Times New Roman" w:hAnsi="Times New Roman"/>
          <w:b/>
          <w:i/>
          <w:sz w:val="24"/>
        </w:rPr>
      </w:pPr>
      <w:r>
        <w:rPr>
          <w:rFonts w:ascii="Times New Roman" w:hAnsi="Times New Roman"/>
          <w:b/>
          <w:i/>
          <w:sz w:val="24"/>
        </w:rPr>
        <w:t xml:space="preserve">As a foreign private issuer, we are not required to comply with some of the corporate governance standards of Nasdaq applicable to companies incorporated in the United States. </w:t>
      </w:r>
    </w:p>
    <w:p>
      <w:pPr>
        <w:pStyle w:val="TextBody"/>
        <w:spacing w:before="240" w:after="0"/>
        <w:jc w:val="left"/>
        <w:rPr>
          <w:rFonts w:ascii="Times New Roman" w:hAnsi="Times New Roman"/>
          <w:sz w:val="24"/>
        </w:rPr>
      </w:pPr>
      <w:r>
        <w:rPr>
          <w:rFonts w:ascii="Times New Roman" w:hAnsi="Times New Roman"/>
          <w:sz w:val="24"/>
        </w:rPr>
        <w:t xml:space="preserve">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the nominating and compensation committees of our Board to comprise solely of independent directors. We follow U.K. requirements with respect to shareholder meetings including shareholder meetings required to disapply preemption rights and issue ordinary shares to investors in connection with private placements or public offering of our securities. As a result, holders of our ADSs may not be afforded the benefits of the corporate governance standards of Nasdaq to the same extent applicable to companies incorporated in the United States. See “Item 16G. Corporate Governance—Foreign Private Issuer Exemption” elsewhere in this annual report. </w:t>
      </w:r>
    </w:p>
    <w:p>
      <w:pPr>
        <w:pStyle w:val="TextBody"/>
        <w:spacing w:before="240" w:after="0"/>
        <w:jc w:val="left"/>
        <w:rPr>
          <w:rFonts w:ascii="Times New Roman" w:hAnsi="Times New Roman"/>
          <w:b/>
          <w:i/>
          <w:sz w:val="24"/>
        </w:rPr>
      </w:pPr>
      <w:r>
        <w:rPr>
          <w:rFonts w:ascii="Times New Roman" w:hAnsi="Times New Roman"/>
          <w:b/>
          <w:i/>
          <w:sz w:val="24"/>
        </w:rPr>
        <w:t xml:space="preserve">We expect to lose our foreign private issuer status in the future which could result in significant additional costs and expenses. </w:t>
      </w:r>
    </w:p>
    <w:p>
      <w:pPr>
        <w:pStyle w:val="TextBody"/>
        <w:spacing w:before="240" w:after="0"/>
        <w:jc w:val="left"/>
        <w:rPr>
          <w:rFonts w:ascii="Times New Roman" w:hAnsi="Times New Roman"/>
          <w:sz w:val="24"/>
        </w:rPr>
      </w:pPr>
      <w:r>
        <w:rPr>
          <w:rFonts w:ascii="Times New Roman" w:hAnsi="Times New Roman"/>
          <w:sz w:val="24"/>
        </w:rPr>
        <w:t xml:space="preserve">We expect to lose our foreign private issuer status in the future, which could result in significant additional costs and expenses. In the future, we would lose our foreign private issuer status if a majority of our shareholders, directors or management are U.S. citizens or residents and if we fail to meet additional requirements necessary to avoid loss of foreign private issuer status. The regulatory and compliance costs to us under U.S. securities laws as a U.S. domestic issuer may be significantly higher than our current reporting and compliance costs. If we are not a foreign private issuer, we will be required to file periodic reports and registration statements on U.S. domestic issuer forms with the SEC, which are more detailed and extensive than the forms available to a foreign private issuer. We would have to mandatorily comply with U.S. federal proxy requirements, and our officers, directors, and principal shareholders will become subject to the short-swing profit disclosure and recovery provisions of Section 16 of the Exchange Act. In addition, we would lose our ability to rely upon exemptions from certain Nasdaq corporate governance requirements that are available to foreign private issuers. </w:t>
      </w:r>
    </w:p>
    <w:p>
      <w:pPr>
        <w:pStyle w:val="TextBody"/>
        <w:spacing w:before="240" w:after="0"/>
        <w:jc w:val="left"/>
        <w:rPr>
          <w:rFonts w:ascii="Times New Roman" w:hAnsi="Times New Roman"/>
          <w:b/>
          <w:i/>
          <w:sz w:val="24"/>
        </w:rPr>
      </w:pPr>
      <w:r>
        <w:rPr>
          <w:rFonts w:ascii="Times New Roman" w:hAnsi="Times New Roman"/>
          <w:b/>
          <w:i/>
          <w:sz w:val="24"/>
        </w:rPr>
        <w:t xml:space="preserve">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 </w:t>
      </w:r>
    </w:p>
    <w:p>
      <w:pPr>
        <w:pStyle w:val="TextBody"/>
        <w:spacing w:before="240" w:after="0"/>
        <w:jc w:val="left"/>
        <w:rPr>
          <w:rFonts w:ascii="Times New Roman" w:hAnsi="Times New Roman"/>
          <w:sz w:val="24"/>
        </w:rPr>
      </w:pPr>
      <w:r>
        <w:rPr>
          <w:rFonts w:ascii="Times New Roman" w:hAnsi="Times New Roman"/>
          <w:sz w:val="24"/>
        </w:rPr>
        <w:t xml:space="preserve">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We are an “emerging growth company,” and the reduced disclosure requirements applicable to emerging growth companies may make the ADSs less attractive to investors. </w:t>
      </w:r>
    </w:p>
    <w:p>
      <w:pPr>
        <w:pStyle w:val="TextBody"/>
        <w:spacing w:before="240" w:after="0"/>
        <w:jc w:val="left"/>
        <w:rPr>
          <w:rFonts w:ascii="Times New Roman" w:hAnsi="Times New Roman"/>
          <w:sz w:val="24"/>
        </w:rPr>
      </w:pPr>
      <w:r>
        <w:rPr>
          <w:rFonts w:ascii="Times New Roman" w:hAnsi="Times New Roman"/>
          <w:sz w:val="24"/>
        </w:rPr>
        <w:t xml:space="preserve">We are an “emerging growth company,” as defined in the Jumpstart Our Business Startups Act of 2012, or the JOBS Act. As such, we are eligible to, and intend to, take advantage, for up to five years (until 2024),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not being required to comply with the auditor attestation requirements in the assessment of our internal control over financial reporting;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tc>
      </w:tr>
    </w:tbl>
    <w:p>
      <w:pPr>
        <w:pStyle w:val="TextBody"/>
        <w:spacing w:before="0" w:after="0"/>
        <w:jc w:val="left"/>
        <w:rPr/>
      </w:pPr>
      <w:r>
        <w:rPr/>
        <w:t> </w:t>
      </w:r>
    </w:p>
    <w:tbl>
      <w:tblPr>
        <w:tblW w:w="6940" w:type="dxa"/>
        <w:jc w:val="left"/>
        <w:tblInd w:w="0" w:type="dxa"/>
        <w:tblCellMar>
          <w:top w:w="0" w:type="dxa"/>
          <w:left w:w="0" w:type="dxa"/>
          <w:bottom w:w="0" w:type="dxa"/>
          <w:right w:w="0" w:type="dxa"/>
        </w:tblCellMar>
      </w:tblPr>
      <w:tblGrid>
        <w:gridCol w:w="75"/>
        <w:gridCol w:w="110"/>
        <w:gridCol w:w="60"/>
        <w:gridCol w:w="6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reduced disclosure obligations regarding executive compensation;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exemptions from the requirements of holding a nonbinding advisory vote on executive compensation and shareholder approval of any golden parachute payments not previously approved. </w:t>
            </w:r>
          </w:p>
        </w:tc>
      </w:tr>
    </w:tbl>
    <w:p>
      <w:pPr>
        <w:pStyle w:val="TextBody"/>
        <w:spacing w:before="240" w:after="0"/>
        <w:jc w:val="left"/>
        <w:rPr>
          <w:rFonts w:ascii="Times New Roman" w:hAnsi="Times New Roman"/>
          <w:sz w:val="24"/>
        </w:rPr>
      </w:pPr>
      <w:r>
        <w:rPr>
          <w:rFonts w:ascii="Times New Roman" w:hAnsi="Times New Roman"/>
          <w:sz w:val="24"/>
        </w:rPr>
        <w:t xml:space="preserve">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 </w:t>
      </w:r>
    </w:p>
    <w:p>
      <w:pPr>
        <w:pStyle w:val="TextBody"/>
        <w:spacing w:before="240" w:after="0"/>
        <w:jc w:val="left"/>
        <w:rPr>
          <w:rFonts w:ascii="Times New Roman" w:hAnsi="Times New Roman"/>
          <w:b/>
          <w:i/>
          <w:sz w:val="24"/>
        </w:rPr>
      </w:pPr>
      <w:r>
        <w:rPr>
          <w:rFonts w:ascii="Times New Roman" w:hAnsi="Times New Roman"/>
          <w:b/>
          <w:i/>
          <w:sz w:val="24"/>
        </w:rPr>
        <w:t xml:space="preserve">Failure to establish and maintain effective internal controls could have a material adverse effect on our business and stock price. </w:t>
      </w:r>
    </w:p>
    <w:p>
      <w:pPr>
        <w:pStyle w:val="TextBody"/>
        <w:spacing w:before="240" w:after="0"/>
        <w:jc w:val="left"/>
        <w:rPr>
          <w:rFonts w:ascii="Times New Roman" w:hAnsi="Times New Roman"/>
          <w:sz w:val="24"/>
        </w:rPr>
      </w:pPr>
      <w:r>
        <w:rPr>
          <w:rFonts w:ascii="Times New Roman" w:hAnsi="Times New Roman"/>
          <w:sz w:val="24"/>
        </w:rPr>
        <w:t xml:space="preserve">Pursuant to Section 404, we are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w:t>
      </w:r>
    </w:p>
    <w:p>
      <w:pPr>
        <w:pStyle w:val="TextBody"/>
        <w:spacing w:before="240" w:after="0"/>
        <w:jc w:val="left"/>
        <w:rPr>
          <w:rFonts w:ascii="Times New Roman" w:hAnsi="Times New Roman"/>
          <w:b/>
          <w:i/>
          <w:sz w:val="24"/>
        </w:rPr>
      </w:pPr>
      <w:r>
        <w:rPr>
          <w:rFonts w:ascii="Times New Roman" w:hAnsi="Times New Roman"/>
          <w:b/>
          <w:i/>
          <w:sz w:val="24"/>
        </w:rPr>
        <w:t xml:space="preserve">We may be a passive foreign investment company (“PFIC”) for any taxable year, which could result in material adverse U.S. federal income tax consequences if you are a U.S. investor. </w:t>
      </w:r>
    </w:p>
    <w:p>
      <w:pPr>
        <w:pStyle w:val="TextBody"/>
        <w:spacing w:before="240" w:after="0"/>
        <w:jc w:val="left"/>
        <w:rPr>
          <w:rFonts w:ascii="Times New Roman" w:hAnsi="Times New Roman"/>
          <w:sz w:val="24"/>
        </w:rPr>
      </w:pPr>
      <w:r>
        <w:rPr>
          <w:rFonts w:ascii="Times New Roman" w:hAnsi="Times New Roman"/>
          <w:sz w:val="24"/>
        </w:rPr>
        <w:t xml:space="preserve">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Based on our gross income, the average value of our assets, including goodwill, and the nature of the current state of our business, we believe we were a PFIC for the year ended December 31, 2022.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 </w:t>
      </w:r>
    </w:p>
    <w:p>
      <w:pPr>
        <w:pStyle w:val="TextBody"/>
        <w:spacing w:before="240" w:after="0"/>
        <w:jc w:val="left"/>
        <w:rPr>
          <w:rFonts w:ascii="Times New Roman" w:hAnsi="Times New Roman"/>
          <w:sz w:val="24"/>
        </w:rPr>
      </w:pPr>
      <w:r>
        <w:rPr>
          <w:rFonts w:ascii="Times New Roman" w:hAnsi="Times New Roman"/>
          <w:sz w:val="24"/>
        </w:rPr>
        <w:t xml:space="preserve">If we are a PFIC for any taxable year during which a U.S. investor owns ADSs, certain adverse U.S. federal income tax consequences could apply to such U.S. investor. We will provide the information necessary for a U.S. investor to make a qualified electing fund election with respect to us. See “Item 10. Additional Information—E. Taxation” for further information. U.S. investors should consult their tax advisers regarding our PFIC status for any taxable year and the potential application of the PFIC rules to an investment in our ADSs. </w:t>
      </w:r>
    </w:p>
    <w:p>
      <w:pPr>
        <w:pStyle w:val="TextBody"/>
        <w:spacing w:before="0" w:after="0"/>
        <w:jc w:val="left"/>
        <w:rPr/>
      </w:pPr>
      <w:r>
        <w:rPr/>
        <w:t> </w:t>
      </w:r>
    </w:p>
    <w:tbl>
      <w:tblPr>
        <w:tblW w:w="3970" w:type="dxa"/>
        <w:jc w:val="left"/>
        <w:tblInd w:w="0" w:type="dxa"/>
        <w:tblCellMar>
          <w:top w:w="0" w:type="dxa"/>
          <w:left w:w="0" w:type="dxa"/>
          <w:bottom w:w="0" w:type="dxa"/>
          <w:right w:w="0" w:type="dxa"/>
        </w:tblCellMar>
      </w:tblPr>
      <w:tblGrid>
        <w:gridCol w:w="740"/>
        <w:gridCol w:w="3230"/>
      </w:tblGrid>
      <w:tr>
        <w:trPr/>
        <w:tc>
          <w:tcPr>
            <w:tcW w:w="740" w:type="dxa"/>
            <w:tcBorders/>
            <w:shd w:fill="auto" w:val="clear"/>
            <w:vAlign w:val="center"/>
          </w:tcPr>
          <w:p>
            <w:pPr>
              <w:pStyle w:val="TableContents"/>
              <w:spacing w:before="0" w:after="283"/>
              <w:jc w:val="left"/>
              <w:rPr>
                <w:b/>
              </w:rPr>
            </w:pPr>
            <w:bookmarkStart w:id="7" w:name="tx430075_5"/>
            <w:bookmarkEnd w:id="7"/>
            <w:r>
              <w:rPr>
                <w:b/>
              </w:rPr>
              <w:t>Item 4.</w:t>
            </w:r>
          </w:p>
        </w:tc>
        <w:tc>
          <w:tcPr>
            <w:tcW w:w="323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Information On The Company </w:t>
            </w:r>
          </w:p>
        </w:tc>
      </w:tr>
    </w:tbl>
    <w:p>
      <w:pPr>
        <w:pStyle w:val="TextBody"/>
        <w:spacing w:before="120" w:after="0"/>
        <w:jc w:val="left"/>
        <w:rPr>
          <w:rFonts w:ascii="Times New Roman" w:hAnsi="Times New Roman"/>
          <w:b/>
          <w:sz w:val="24"/>
        </w:rPr>
      </w:pPr>
      <w:r>
        <w:rPr>
          <w:rFonts w:ascii="Times New Roman" w:hAnsi="Times New Roman"/>
          <w:b/>
          <w:sz w:val="24"/>
        </w:rPr>
        <w:t xml:space="preserve">4.A. History and Development of the Company </w:t>
      </w:r>
    </w:p>
    <w:p>
      <w:pPr>
        <w:pStyle w:val="TextBody"/>
        <w:spacing w:before="120" w:after="0"/>
        <w:jc w:val="left"/>
        <w:rPr>
          <w:rFonts w:ascii="Times New Roman" w:hAnsi="Times New Roman"/>
          <w:sz w:val="24"/>
        </w:rPr>
      </w:pPr>
      <w:r>
        <w:rPr>
          <w:rFonts w:ascii="Times New Roman" w:hAnsi="Times New Roman"/>
          <w:sz w:val="24"/>
        </w:rPr>
        <w:t xml:space="preserve">Our legal and commercial name is Mereo BioPharma Group plc. Our company was incorporated on March 10, 2015 and was registered as a private limited company under the laws of England and Wales with the company number 09481161. On June 3, 2016, we were re-registered as a public limited company under the laws of England and Wales. Our principal executive offices are located at 4th Floor, 1 Cavendish Place, London, W1G 0QF, United Kingdom, and our telephone number is +44 333 023 7300. Our website is </w:t>
      </w:r>
      <w:r>
        <w:rPr>
          <w:rFonts w:ascii="Times New Roman" w:hAnsi="Times New Roman"/>
          <w:sz w:val="24"/>
          <w:u w:val="single"/>
        </w:rPr>
        <w:t xml:space="preserve">www.mereobiopharma.com. </w:t>
      </w:r>
      <w:r>
        <w:rPr>
          <w:rFonts w:ascii="Times New Roman" w:hAnsi="Times New Roman"/>
          <w:sz w:val="24"/>
        </w:rPr>
        <w:t xml:space="preserve">Information on Mereo’s website is not incorporated by reference into or otherwise part of this annual report. We have included our website address in this annual report solely for informational purposes. The SEC also maintains a website that contains reports, proxy and information statements and other information regarding issuers that file electronically with the SEC. The address of this website is </w:t>
      </w:r>
      <w:r>
        <w:rPr>
          <w:rFonts w:ascii="Times New Roman" w:hAnsi="Times New Roman"/>
          <w:sz w:val="24"/>
          <w:u w:val="single"/>
        </w:rPr>
        <w:t>http://www.sec.gov.</w:t>
      </w:r>
      <w:r>
        <w:rPr>
          <w:rFonts w:ascii="Times New Roman" w:hAnsi="Times New Roman"/>
          <w:sz w:val="24"/>
        </w:rPr>
        <w:t xml:space="preserve"> </w:t>
      </w:r>
    </w:p>
    <w:p>
      <w:pPr>
        <w:pStyle w:val="TextBody"/>
        <w:spacing w:before="240" w:after="0"/>
        <w:jc w:val="left"/>
        <w:rPr>
          <w:rFonts w:ascii="Times New Roman" w:hAnsi="Times New Roman"/>
          <w:sz w:val="24"/>
        </w:rPr>
      </w:pPr>
      <w:r>
        <w:rPr>
          <w:rFonts w:ascii="Times New Roman" w:hAnsi="Times New Roman"/>
          <w:sz w:val="24"/>
        </w:rPr>
        <w:t xml:space="preserve">Mereo’s portfolio consists of six clinical-stage product candidates, four of which were acquired from large pharmaceutical companies and two oncology anti-cancer product candidates which we acquired in the Merger. Mereo does not have any approved products and, as a result, has not generated any revenue from product sales. Pursuant to the terms of a global out-licensing agreement for navicixizumab to OncXerna in January 2020, the Company received an upfront payment of $4 million and an additional payment of $2 million in February 2022. In December 2020, the Company entered into a license and collaboration agreement with Ultragenyx for setrusumab, under which the Company subsequently received an upfront payment of $50 million in 2021. </w:t>
      </w:r>
    </w:p>
    <w:p>
      <w:pPr>
        <w:pStyle w:val="TextBody"/>
        <w:spacing w:before="240" w:after="0"/>
        <w:jc w:val="left"/>
        <w:rPr>
          <w:rFonts w:ascii="Times New Roman" w:hAnsi="Times New Roman"/>
          <w:sz w:val="24"/>
        </w:rPr>
      </w:pPr>
      <w:r>
        <w:rPr>
          <w:rFonts w:ascii="Times New Roman" w:hAnsi="Times New Roman"/>
          <w:sz w:val="24"/>
        </w:rPr>
        <w:t xml:space="preserve">On April 23, 2019, we completed the Merger, with OncoMed, now called Mereo BioPharma 5, Inc., surviving as a wholly owned subsidiary of Mereo US Holdings, Inc. and as an indirect subsidiary of Mereo BioPharma Group plc. </w:t>
      </w:r>
    </w:p>
    <w:p>
      <w:pPr>
        <w:pStyle w:val="TextBody"/>
        <w:spacing w:before="240" w:after="0"/>
        <w:jc w:val="left"/>
        <w:rPr>
          <w:rFonts w:ascii="Times New Roman" w:hAnsi="Times New Roman"/>
          <w:sz w:val="24"/>
        </w:rPr>
      </w:pPr>
      <w:r>
        <w:rPr>
          <w:rFonts w:ascii="Times New Roman" w:hAnsi="Times New Roman"/>
          <w:sz w:val="24"/>
        </w:rPr>
        <w:t xml:space="preserve">Since April 24, 2019, our ADSs commenced trading on Nasdaq under the symbol “MREO.” </w:t>
      </w:r>
    </w:p>
    <w:p>
      <w:pPr>
        <w:pStyle w:val="TextBody"/>
        <w:spacing w:before="240" w:after="0"/>
        <w:jc w:val="left"/>
        <w:rPr>
          <w:rFonts w:ascii="Times New Roman" w:hAnsi="Times New Roman"/>
          <w:sz w:val="24"/>
        </w:rPr>
      </w:pPr>
      <w:r>
        <w:rPr>
          <w:rFonts w:ascii="Times New Roman" w:hAnsi="Times New Roman"/>
          <w:sz w:val="24"/>
        </w:rPr>
        <w:t xml:space="preserve">On December 18, 2020, admission of our ordinary shares to trading on the AIM market of London Stock Exchange plc was cancelled upon our delisting. </w:t>
      </w:r>
    </w:p>
    <w:p>
      <w:pPr>
        <w:pStyle w:val="TextBody"/>
        <w:spacing w:before="240" w:after="0"/>
        <w:jc w:val="left"/>
        <w:rPr>
          <w:rFonts w:ascii="Times New Roman" w:hAnsi="Times New Roman"/>
          <w:sz w:val="24"/>
        </w:rPr>
      </w:pPr>
      <w:r>
        <w:rPr>
          <w:rFonts w:ascii="Times New Roman" w:hAnsi="Times New Roman"/>
          <w:sz w:val="24"/>
        </w:rPr>
        <w:t xml:space="preserve">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 Oxley Act of 2002. </w:t>
      </w:r>
    </w:p>
    <w:p>
      <w:pPr>
        <w:pStyle w:val="TextBody"/>
        <w:spacing w:before="240" w:after="0"/>
        <w:jc w:val="left"/>
        <w:rPr>
          <w:rFonts w:ascii="Times New Roman" w:hAnsi="Times New Roman"/>
          <w:sz w:val="24"/>
        </w:rPr>
      </w:pPr>
      <w:r>
        <w:rPr>
          <w:rFonts w:ascii="Times New Roman" w:hAnsi="Times New Roman"/>
          <w:sz w:val="24"/>
        </w:rPr>
        <w:t xml:space="preserve">We will remain an Emerging Growth Company until the earliest of: (i) the last day of our fiscal year during which we have total annual gross revenues of at least $1.235 billion; (ii) the last day of our fiscal year following the fifth anniversary of the closing of our initial public offering; (iii) the date on which we have, during the previous three-year period, issued more than $1.0 billion in non-convertible debt; (iv) the date on which we are deemed to be a Large Accelerated Filer under the Exchange Act, with at least $700 million of equity securities held by non-affiliates.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For information regarding our capital expenditures, see “Item 5. Operating and Financial Review and Prospects—B. Liquidity and Capital Resources.” </w:t>
      </w:r>
    </w:p>
    <w:p>
      <w:pPr>
        <w:pStyle w:val="TextBody"/>
        <w:spacing w:before="360" w:after="0"/>
        <w:jc w:val="left"/>
        <w:rPr>
          <w:rFonts w:ascii="Times New Roman" w:hAnsi="Times New Roman"/>
          <w:b/>
          <w:sz w:val="24"/>
        </w:rPr>
      </w:pPr>
      <w:r>
        <w:rPr>
          <w:rFonts w:ascii="Times New Roman" w:hAnsi="Times New Roman"/>
          <w:b/>
          <w:sz w:val="24"/>
        </w:rPr>
        <w:t xml:space="preserve">4.B. Business Overview </w:t>
      </w:r>
    </w:p>
    <w:p>
      <w:pPr>
        <w:pStyle w:val="TextBody"/>
        <w:spacing w:before="120" w:after="0"/>
        <w:jc w:val="left"/>
        <w:rPr>
          <w:rFonts w:ascii="Times New Roman" w:hAnsi="Times New Roman"/>
          <w:sz w:val="24"/>
        </w:rPr>
      </w:pPr>
      <w:r>
        <w:rPr>
          <w:rFonts w:ascii="Times New Roman" w:hAnsi="Times New Roman"/>
          <w:sz w:val="24"/>
        </w:rPr>
        <w:t xml:space="preserve">We are a biopharmaceutical company focused on the development of innovative therapeutics for rare diseases. We have developed a robust portfolio of clinical stage product candidates. Our two rare disease product candidates are setrusumab for the treatment of osteogenesis imperfecta (OI) and alvelestat for the treatment of severe alpha-1-anti-trypsin deficiency-associated lung disease (AATD-LD) and Bronchiolitis Obliterans Syndrome (BOS) following allogenic stem cell transplant. </w:t>
      </w:r>
    </w:p>
    <w:p>
      <w:pPr>
        <w:pStyle w:val="TextBody"/>
        <w:spacing w:before="240" w:after="0"/>
        <w:jc w:val="left"/>
        <w:rPr>
          <w:rFonts w:ascii="Times New Roman" w:hAnsi="Times New Roman"/>
          <w:sz w:val="24"/>
        </w:rPr>
      </w:pPr>
      <w:r>
        <w:rPr>
          <w:rFonts w:ascii="Times New Roman" w:hAnsi="Times New Roman"/>
          <w:sz w:val="24"/>
        </w:rPr>
        <w:t xml:space="preserve">Following the announcement of the results for setrusumab in a Phase 2b study in adults with OI which demonstrated a dose dependent statistically significant increase in bone mineral density and bone strength, we announced a strategic partnership with Ultragenyx in December 2020 for the development of setrusumab in children and adults with OI. Ultragenyx initiated a pivotal, Phase 2/3 pediatric and young adult study (5-25 years old) in the first half of 2022, with the Phase 3 transition expected in mid-2023. Ultragenyx also intends to initiate a study of pediatric patients under age five with OI in the first half of 2023. </w:t>
      </w:r>
    </w:p>
    <w:p>
      <w:pPr>
        <w:pStyle w:val="TextBody"/>
        <w:spacing w:before="240" w:after="0"/>
        <w:jc w:val="left"/>
        <w:rPr>
          <w:rFonts w:ascii="Times New Roman" w:hAnsi="Times New Roman"/>
          <w:sz w:val="24"/>
        </w:rPr>
      </w:pPr>
      <w:r>
        <w:rPr>
          <w:rFonts w:ascii="Times New Roman" w:hAnsi="Times New Roman"/>
          <w:sz w:val="24"/>
        </w:rPr>
        <w:t xml:space="preserve">We announced successful completion of a Phase 2, dose-finding study for alvelestat in AATD-LD in May 2022 which demonstrated statistically significant changes in Neutrophil Elastase (NE) activity and biomarkers of disease severity at different time points up to 12 weeks. Further, in October 2022 we announced that Fast Track designation was granted by the U.S. Food and Drug Administration (FDA) for alvelestat in AATD-LD, along with additional program updates. In March 2023, we announced the outcome of the end-of-Phase 2 discussions with the FDA and the EMA (Scientific Advice) and based on clear recommendations from both Agencies, we are designing a single, global, Phase 3 study evaluating the 240 mg dose of alvelestat versus placebo in patients with AATD-LD to support applications for full marketing approvals in both the U.S. and EU. Alvelestat is also in an ongoing Phase 2 investigator-led study in AATD, including in patients who may be on augmentation therapy. This study has enrolled 60 patients with data expected in the third quarter of 2023. Following successful completion of a Phase 1b investigator-sponsored study in patients with BOS following allogenic stem cell transplant, a Phase 2 study was initiated in the second half of 2022. </w:t>
      </w:r>
    </w:p>
    <w:p>
      <w:pPr>
        <w:pStyle w:val="TextBody"/>
        <w:spacing w:before="240" w:after="0"/>
        <w:jc w:val="left"/>
        <w:rPr>
          <w:rFonts w:ascii="Times New Roman" w:hAnsi="Times New Roman"/>
          <w:sz w:val="24"/>
        </w:rPr>
      </w:pPr>
      <w:r>
        <w:rPr>
          <w:rFonts w:ascii="Times New Roman" w:hAnsi="Times New Roman"/>
          <w:sz w:val="24"/>
        </w:rPr>
        <w:t xml:space="preserve">Our oncology product candidate, etigilimab (an anti-TIGIT antibody), has completed a Phase 1a dose escalation clinical trial in patients with advanced solid tumors and has been evaluated in a Phase 1b study in combination with nivolumab in select tumor types. We have completed Simon Stage 1 of the open label Phase1b/2 basket study (the ACTIVATE study) evaluating etigilimab in combination with nivolumab in three rare tumors, two specific subtypes of soft-tissue sarcomas, uveal melanoma and testicular germ cell cancer, three gynecological carcinomas, cervical, ovarian and endometrial carcinomas, and any solid tumor with high mutation burden, all in the recurrent/metastatic setting. Etigilimab, in combination with nivolumab, is also in an ongoing investigator-led Phase 1b/2 study in clear cell ovarian cancer at The University of Texas MD Anderson Cancer Center (MD Anderson), financed by the Cancer Focus Fund. </w:t>
      </w:r>
    </w:p>
    <w:p>
      <w:pPr>
        <w:pStyle w:val="TextBody"/>
        <w:spacing w:before="240" w:after="0"/>
        <w:jc w:val="left"/>
        <w:rPr>
          <w:rFonts w:ascii="Times New Roman" w:hAnsi="Times New Roman"/>
          <w:sz w:val="24"/>
        </w:rPr>
      </w:pPr>
      <w:r>
        <w:rPr>
          <w:rFonts w:ascii="Times New Roman" w:hAnsi="Times New Roman"/>
          <w:sz w:val="24"/>
        </w:rPr>
        <w:t xml:space="preserve">We plan to develop our product candidates through the next key clinical milestone and then partner where it makes sense strategically to do so, but also in select cases for our rare disease product candidates, to develop them through regulatory approval and potentially commercialization. </w:t>
      </w:r>
    </w:p>
    <w:p>
      <w:pPr>
        <w:pStyle w:val="TextBody"/>
        <w:spacing w:before="240" w:after="0"/>
        <w:jc w:val="left"/>
        <w:rPr>
          <w:rFonts w:ascii="Times New Roman" w:hAnsi="Times New Roman"/>
          <w:sz w:val="24"/>
        </w:rPr>
      </w:pPr>
      <w:r>
        <w:rPr>
          <w:rFonts w:ascii="Times New Roman" w:hAnsi="Times New Roman"/>
          <w:sz w:val="24"/>
        </w:rPr>
        <w:t xml:space="preserve">Our second oncology product, navicixizumab for the treatment of late line ovarian cancer, has completed a Phase 1b study and was partnered in January 2020 for further development with OncXerna on a global basis. </w:t>
      </w:r>
    </w:p>
    <w:p>
      <w:pPr>
        <w:pStyle w:val="TextBody"/>
        <w:spacing w:before="240" w:after="0"/>
        <w:jc w:val="left"/>
        <w:rPr>
          <w:rFonts w:ascii="Times New Roman" w:hAnsi="Times New Roman"/>
          <w:sz w:val="24"/>
        </w:rPr>
      </w:pPr>
      <w:r>
        <w:rPr>
          <w:rFonts w:ascii="Times New Roman" w:hAnsi="Times New Roman"/>
          <w:sz w:val="24"/>
        </w:rPr>
        <w:t xml:space="preserve">We plan to partner or sell our other two product candidates acumapimod for the treatment of AECOPD and leflutrozole for the treatment of male infertility, recognizing the need for greater resources to take these product candidates to market. </w:t>
      </w:r>
    </w:p>
    <w:p>
      <w:pPr>
        <w:pStyle w:val="TextBody"/>
        <w:spacing w:before="240" w:after="0"/>
        <w:jc w:val="left"/>
        <w:rPr>
          <w:rFonts w:ascii="Times New Roman" w:hAnsi="Times New Roman"/>
          <w:sz w:val="24"/>
        </w:rPr>
      </w:pPr>
      <w:r>
        <w:rPr>
          <w:rFonts w:ascii="Times New Roman" w:hAnsi="Times New Roman"/>
          <w:sz w:val="24"/>
        </w:rPr>
        <w:t xml:space="preserve">Our strategy is selectively to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 </w:t>
      </w:r>
    </w:p>
    <w:p>
      <w:pPr>
        <w:pStyle w:val="TextBody"/>
        <w:spacing w:before="240" w:after="0"/>
        <w:jc w:val="left"/>
        <w:rPr>
          <w:rFonts w:ascii="Times New Roman" w:hAnsi="Times New Roman"/>
          <w:sz w:val="24"/>
        </w:rPr>
      </w:pPr>
      <w:r>
        <w:rPr>
          <w:rFonts w:ascii="Times New Roman" w:hAnsi="Times New Roman"/>
          <w:sz w:val="24"/>
        </w:rPr>
        <w:t xml:space="preserve">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 </w:t>
      </w:r>
    </w:p>
    <w:p>
      <w:pPr>
        <w:pStyle w:val="TextBody"/>
        <w:spacing w:before="240" w:after="0"/>
        <w:jc w:val="left"/>
        <w:rPr>
          <w:rFonts w:ascii="Times New Roman" w:hAnsi="Times New Roman"/>
          <w:sz w:val="24"/>
        </w:rPr>
      </w:pPr>
      <w:r>
        <w:rPr>
          <w:rFonts w:ascii="Times New Roman" w:hAnsi="Times New Roman"/>
          <w:sz w:val="24"/>
        </w:rPr>
        <w:t xml:space="preserve">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 standing relationships with senior executives of large pharmaceutical and biotechnology companies which we believe enhances our ability to form strategic partnerships on our product candidates and to identify and acquire additional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Our Pipeline </w:t>
      </w:r>
    </w:p>
    <w:p>
      <w:pPr>
        <w:pStyle w:val="TextBody"/>
        <w:spacing w:before="120" w:after="0"/>
        <w:jc w:val="left"/>
        <w:rPr>
          <w:rFonts w:ascii="Times New Roman" w:hAnsi="Times New Roman"/>
          <w:sz w:val="24"/>
        </w:rPr>
      </w:pPr>
      <w:r>
        <w:rPr>
          <w:rFonts w:ascii="Times New Roman" w:hAnsi="Times New Roman"/>
          <w:sz w:val="24"/>
        </w:rPr>
        <w:t xml:space="preserve">The following tables summarize our pipeline for our product candidates. We have global commercial rights to alvelestat, etigilimab, acumapimod and leflutrozole and commercial rights to setrusumab in Europe and the U.K. We granted Ultragenyx an exclusive license to develop and commercialize setrusumab in the U.S. and rest of the world, and we have licensed global rights for navicixizumab to OncXerna. </w:t>
      </w:r>
    </w:p>
    <w:p>
      <w:pPr>
        <w:pStyle w:val="TextBody"/>
        <w:spacing w:before="0" w:after="0"/>
        <w:jc w:val="left"/>
        <w:rPr/>
      </w:pPr>
      <w:r>
        <w:rPr/>
        <w:t> </w:t>
      </w:r>
    </w:p>
    <w:p>
      <w:pPr>
        <w:pStyle w:val="TextBody"/>
        <w:spacing w:before="0" w:after="0"/>
        <w:jc w:val="center"/>
        <w:rPr/>
      </w:pPr>
      <w:r>
        <w:rPr/>
        <w:drawing>
          <wp:inline distT="0" distB="0" distL="0" distR="0">
            <wp:extent cx="7048500" cy="447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0" cy="4476750"/>
                    </a:xfrm>
                    <a:prstGeom prst="rect">
                      <a:avLst/>
                    </a:prstGeom>
                  </pic:spPr>
                </pic:pic>
              </a:graphicData>
            </a:graphic>
          </wp:inline>
        </w:drawing>
      </w:r>
      <w:r>
        <w:rPr/>
        <w:t xml:space="preserve"> </w:t>
      </w:r>
    </w:p>
    <w:p>
      <w:pPr>
        <w:pStyle w:val="TextBody"/>
        <w:spacing w:before="360" w:after="0"/>
        <w:jc w:val="left"/>
        <w:rPr>
          <w:rFonts w:ascii="Times New Roman" w:hAnsi="Times New Roman"/>
          <w:b/>
          <w:i/>
          <w:sz w:val="24"/>
        </w:rPr>
      </w:pPr>
      <w:r>
        <w:rPr>
          <w:rFonts w:ascii="Times New Roman" w:hAnsi="Times New Roman"/>
          <w:b/>
          <w:i/>
          <w:sz w:val="24"/>
        </w:rPr>
        <w:t xml:space="preserve">Core Rare Disease Product Candidates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sz w:val="24"/>
              </w:rPr>
              <w:t>Setrusumab (BPS-804/UX143):</w:t>
            </w:r>
            <w:r>
              <w:rPr>
                <w:rFonts w:ascii="Times New Roman" w:hAnsi="Times New Roman"/>
                <w:sz w:val="24"/>
              </w:rPr>
              <w:t xml:space="preserve"> Setrusumab is a novel antibody designed to inhibit sclerostin, a protein that inhibits the activity of bone-forming cells. Inhibiting sclerostin has been shown to promote increases in bone mineral density through stimulation of bone-formation (through osteoblasts) and inhibition of bone-resorption (through osteoclasts). We are developing setrusumab as a treatment for OI, a rare genetic disease that results in bones that can break easily and is commonly known as brittle bone disease. OI is a debilitating orphan disease for which there are no treatments approved by the FDA or EMA. It is estimated that OI affects a minimum of 25,000 people in the United States and approximately an aggregate of 32,000 people in Germany, Spain, France, Italy and the United Kingdom. We believe setrusumab’s mechanism of action is well suited for the treatment of OI and has the potential to become a novel treatment option for patients that could reduce fractures and improve patient quality of life. </w:t>
            </w:r>
          </w:p>
        </w:tc>
      </w:tr>
    </w:tbl>
    <w:p>
      <w:pPr>
        <w:pStyle w:val="TextBody"/>
        <w:spacing w:before="120" w:after="0"/>
        <w:jc w:val="left"/>
        <w:rPr>
          <w:rFonts w:ascii="Times New Roman" w:hAnsi="Times New Roman"/>
          <w:sz w:val="24"/>
        </w:rPr>
      </w:pPr>
      <w:r>
        <w:rPr>
          <w:rFonts w:ascii="Times New Roman" w:hAnsi="Times New Roman"/>
          <w:sz w:val="24"/>
        </w:rPr>
        <w:t xml:space="preserve">Prior to our acquisition of setrusumab, Novartis conducted four clinical trials in 106 patients and healthy volunteers. In 2016, we obtained orphan drug designation in OI for setrusumab in the United States and the EU and, in November 2017, it was accepted into the Priority Medicines scheme (“PRIME”) of the EMA. In September 2020 we received rare pediatric disease designation for setrusumab in OI from the FDA. In November 2019 we reported top-line data on a Phase 2b clinical trial of setrusumab for adults with OI. The Phase 2b was a dose ranging study with three blinded arms at high, medium and low doses to establish the dose response curve and an open label arm at the top dose. Setrusumab demonstrated statistically significant improvements in bone formation biomarkers and bone mineral density (measured by Dual Energy X-ray Absorptiometry) and a trend to a reduction in fractures at the high dose, compared to the other doses, even though the study was not powered for fracture reduction. The results support the progression of setrusumab into a pediatric pivotal study in OI. The data was also presented, as a podium presentation, at the American Society of Bone and Mineral Research (“ASBMR”) in October 2021. </w:t>
      </w:r>
    </w:p>
    <w:p>
      <w:pPr>
        <w:pStyle w:val="TextBody"/>
        <w:spacing w:before="120" w:after="0"/>
        <w:jc w:val="left"/>
        <w:rPr>
          <w:rFonts w:ascii="Times New Roman" w:hAnsi="Times New Roman"/>
          <w:sz w:val="24"/>
        </w:rPr>
      </w:pPr>
      <w:r>
        <w:rPr>
          <w:rFonts w:ascii="Times New Roman" w:hAnsi="Times New Roman"/>
          <w:sz w:val="24"/>
        </w:rPr>
        <w:t xml:space="preserve">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 </w:t>
      </w:r>
    </w:p>
    <w:p>
      <w:pPr>
        <w:pStyle w:val="TextBody"/>
        <w:spacing w:before="120" w:after="0"/>
        <w:jc w:val="left"/>
        <w:rPr>
          <w:rFonts w:ascii="Times New Roman" w:hAnsi="Times New Roman"/>
          <w:sz w:val="24"/>
        </w:rPr>
      </w:pPr>
      <w:r>
        <w:rPr>
          <w:rFonts w:ascii="Times New Roman" w:hAnsi="Times New Roman"/>
          <w:sz w:val="24"/>
        </w:rPr>
        <w:t xml:space="preserve">Ultragenyx made an upfront payment of $50 million to Mereo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 Under the terms of our 2015 agreement with Novartis, we will pay Novartis a percentage of proceeds, subject to certain deductions, with Mereo receiving a substantial majority of the payments from Ultragenyx. </w:t>
      </w:r>
    </w:p>
    <w:p>
      <w:pPr>
        <w:pStyle w:val="TextBody"/>
        <w:spacing w:before="120" w:after="0"/>
        <w:jc w:val="left"/>
        <w:rPr>
          <w:rFonts w:ascii="Times New Roman" w:hAnsi="Times New Roman"/>
          <w:sz w:val="24"/>
        </w:rPr>
      </w:pPr>
      <w:r>
        <w:rPr>
          <w:rFonts w:ascii="Times New Roman" w:hAnsi="Times New Roman"/>
          <w:sz w:val="24"/>
        </w:rPr>
        <w:t xml:space="preserve">Ultragenyx initiated a pivotal Phase 2/3 study in pediatric and young adult patients (5-25 years old) in the first half of 2022 and plans to transition to the Phase 3 part of the study in mid-2023. The objective of the Phase 2/3 study will first focus on determining the optimal dose based on increases in collagen production using serum P1NP levels and an acceptable safety profile. Following determination of the dose, Ultragenyx currently intend to adapt the study into a pivotal Phase 3 stage, evaluating fracture reduction over an estimated 15 to 24 months as the primary endpoint, subject to regulatory review. In the first half of 2023, Ultragenyx initiated a randomized study in OI in children under five with serious bone disease, comparing bisphosphonates to BPS804/UX143. Younger pediatric patients with OI often have a much higher fracture rate than other age groups and a greater medical need, driving clinical urgency for better treatment options. Annualized rate of fractures is the primary end-point in the study.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sz w:val="24"/>
              </w:rPr>
              <w:t>Alvelestat (MPH-966):</w:t>
            </w:r>
            <w:r>
              <w:rPr>
                <w:rFonts w:ascii="Times New Roman" w:hAnsi="Times New Roman"/>
                <w:sz w:val="24"/>
              </w:rPr>
              <w:t xml:space="preserve"> Alvelestat is a novel, oral small molecule we are developing for the treatment of severe AATD-associated Lung Disease (AATD-LD) and BOS. AATD is a potentially life-threatening, rare, genetic condition caused by a lack of effective alpha-1 antitrypsin (“AAT”). The lungs are normally protected from enzymatic degradation by neutrophil elastase by the AAT protein, but in severe AATD the AAT is either misfolded and fails to be released into the circulation, inactive or completely missing. The degradation of tissue by unopposed neutrophil elastase leads to severe debilitating diseases, including early-onset pulmonary emphysema, a disease that irreversibly destroys the tissues that support lung function. There are an estimated 50,000 patients in North America and 60,000 patients in Europe with severe AATD, although due to underdiagnosis, there are estimated to be approximately 10,000 patients diagnosed in North America. BOS is a progressive, ultimately fatal fibrotic lung disease due to graft versus host disease following stem cell transplant, or lung transplant rejection. An estimated fifty percent of lung transplant recipients will develop BOS by five years post-transplant, with an average survival of less than five years. There are an estimated 10,000 people living with lung transplant and BOS in the US and Europe. Alvelestat is designed to inhibit NE, a neutrophil protease, which is a key enzyme involved in the destruction of lung tissue. We believe the inhibition of NE has the potential to protect patients with AATD-LD from further lung damage. BOS is characterized by anti-organ auto-immune responses, either graft versus host (in SCT) or host versus graft (in lung transplant), exacerbated by elevated neutrophils in the lung and excess NE activity, leading to lung damage through elastin breakdown in the tissue and progressive fibrosis, and ultimately respiratory failure. By inhibiting NE, alvelestat will reduce the accelerating effects of NE-driven inflammation on BOS. </w:t>
            </w:r>
          </w:p>
        </w:tc>
      </w:tr>
    </w:tbl>
    <w:p>
      <w:pPr>
        <w:pStyle w:val="TextBody"/>
        <w:spacing w:before="120" w:after="0"/>
        <w:jc w:val="left"/>
        <w:rPr>
          <w:rFonts w:ascii="Times New Roman" w:hAnsi="Times New Roman"/>
          <w:sz w:val="24"/>
        </w:rPr>
      </w:pPr>
      <w:r>
        <w:rPr>
          <w:rFonts w:ascii="Times New Roman" w:hAnsi="Times New Roman"/>
          <w:sz w:val="24"/>
        </w:rPr>
        <w:t xml:space="preserve">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These trials created a safety database of 1,149 subjects treated with alvelestat. </w:t>
      </w:r>
    </w:p>
    <w:p>
      <w:pPr>
        <w:pStyle w:val="TextBody"/>
        <w:spacing w:before="120" w:after="0"/>
        <w:jc w:val="left"/>
        <w:rPr>
          <w:rFonts w:ascii="Times New Roman" w:hAnsi="Times New Roman"/>
          <w:sz w:val="24"/>
        </w:rPr>
      </w:pPr>
      <w:r>
        <w:rPr>
          <w:rFonts w:ascii="Times New Roman" w:hAnsi="Times New Roman"/>
          <w:sz w:val="24"/>
        </w:rPr>
        <w:t xml:space="preserve">We announced successful completion of a Phase 2, placebo-controlled, dose-ranging, proof-of-concept clinical trial in 99 patients with AATD-LD in the United States and the EU in May 2022 which demonstrated statistically significant changes in Neutrophil Elastase (NE) activity and biomarkers of disease severity at different time points up to 12 weeks. 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 No new safety signals were detected in patients with AATD-LD. The most frequent adverse event was of headache which was more frequently observed at the higher doses of alvelestat (120 mg and 240 mg) used in AATD-LD than was observed at lower doses used previous studies in COPD, bronchiectasis and cystic fibrosis, There was evidence of tolerance to headache being induced, and we intend to use a dose-escalation regime for initiation of treatment in future trials. A single treatment-emergent adverse event (TEAE) of liver function abnormality (raised hepatic transaminases, withour meeting Hy’s Law) and one TEAE of prolonged QTc, in which study-drug stopping criteria were met were reported in the Phase 2. Both events fully resolved on study drug cessation. We obtained Fast Track designation for alvelestat for AATD-LD in the U.S. in October 2022. In March 2023, we announced the outcome of the end-of-Phase 2 discussions with the FDA and the EMA. Based on clear recommendations from both Agencies, we are designing a single, global, Phase 3 study evaluating the 240 mg dose of alvelestat versus placebo in patients with AATD-LD to support applications for full marketing approvals in both the U.S. and EU. The proposed Phase 3 study has two independent primary endpoints, i) a Patient-Reported Outcome (PRO), as guided by the FDA, and ii) lung density measured by CT scan, as guided by the EMA. </w:t>
      </w:r>
    </w:p>
    <w:p>
      <w:pPr>
        <w:pStyle w:val="TextBody"/>
        <w:spacing w:before="120" w:after="0"/>
        <w:jc w:val="left"/>
        <w:rPr>
          <w:rFonts w:ascii="Times New Roman" w:hAnsi="Times New Roman"/>
          <w:sz w:val="24"/>
        </w:rPr>
      </w:pPr>
      <w:r>
        <w:rPr>
          <w:rFonts w:ascii="Times New Roman" w:hAnsi="Times New Roman"/>
          <w:sz w:val="24"/>
        </w:rPr>
        <w:t xml:space="preserve">Alvelestat is also in an ongoing Phase 2 investigator-led study in AATD-LD, including in patients who may be on augmentation therapy, with data expected in the third quarter of 2023. </w:t>
      </w:r>
    </w:p>
    <w:p>
      <w:pPr>
        <w:pStyle w:val="TextBody"/>
        <w:spacing w:before="120" w:after="0"/>
        <w:jc w:val="left"/>
        <w:rPr>
          <w:rFonts w:ascii="Times New Roman" w:hAnsi="Times New Roman"/>
          <w:sz w:val="24"/>
        </w:rPr>
      </w:pPr>
      <w:r>
        <w:rPr>
          <w:rFonts w:ascii="Times New Roman" w:hAnsi="Times New Roman"/>
          <w:sz w:val="24"/>
        </w:rPr>
        <w:t xml:space="preserve">Emerging data on the potential of NE inhibition to reduce the inflammatory and thrombotic effects of Neutrophil Extracellular Traps (NETs) in COVID-19, led to the initiation of a study in this disease. The top-line results were reported in December 2021. The results demonstrated a safety profile consistent with previous studies, and in the alvelestat arm, a reduction (an improvement) of 2 points or more in the World Health Organization (WHO) Severity Score in 62.5% (5/9) of the patients versus 28.5% (2/7) in the placebo arm at day 5. At day 7 87.5% (7/8) patients in the alvelestat arm had improved by 2 points or more vs 57% (4/7) in the placebo arm. Inflammatory and pro-coagulopathy biomarkers were also supportive. </w:t>
      </w:r>
    </w:p>
    <w:p>
      <w:pPr>
        <w:pStyle w:val="TextBody"/>
        <w:spacing w:before="120" w:after="0"/>
        <w:jc w:val="left"/>
        <w:rPr>
          <w:rFonts w:ascii="Times New Roman" w:hAnsi="Times New Roman"/>
          <w:sz w:val="24"/>
        </w:rPr>
      </w:pPr>
      <w:r>
        <w:rPr>
          <w:rFonts w:ascii="Times New Roman" w:hAnsi="Times New Roman"/>
          <w:sz w:val="24"/>
        </w:rPr>
        <w:t xml:space="preserve">An open-label Phase 1b/2 investigator-sponsored study in BOS following allogeneic stem cell transplant is ongoing. Interim results of Phase 1b were reported in December 2021 showing stabilization or improvement in lung function measured by Forced Expiratory Volume in 1 second, (FEV1) in 6 of 7 patients, and supportive biomarker responses, with reduction in neutrophil elastase and the mature elastin breakdown product (desmosine) and reductions in markers of collagen synthesis associated with fibrosis. Evaluation of the clinical and safety data from 10 patients in Phase 1 supported the dose to be progressed and expansion into the Phase 2 portion of the study was initiated in the second half of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sz w:val="24"/>
              </w:rPr>
              <w:t>Etigilimab (MPH-313):</w:t>
            </w:r>
            <w:r>
              <w:rPr>
                <w:rFonts w:ascii="Times New Roman" w:hAnsi="Times New Roman"/>
                <w:sz w:val="24"/>
              </w:rPr>
              <w:t xml:space="preserve"> 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We completed a Phase 1a dose escalation clinical trial with etigilimab in patients with advanced solid tumors and enrolled patients in a Phase 1b study in combination with nivolumab in selected tumor types.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23 patients were treated in the Phase 1a dose escalation study with doses up to 20mg/kg Q2W. Tumor types included colorectal cancer, endometrial cancer, head and neck cancer, pancreatic cancer, ovarian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 </w:t>
      </w:r>
    </w:p>
    <w:p>
      <w:pPr>
        <w:pStyle w:val="TextBody"/>
        <w:spacing w:before="120" w:after="0"/>
        <w:jc w:val="left"/>
        <w:rPr>
          <w:rFonts w:ascii="Times New Roman" w:hAnsi="Times New Roman"/>
          <w:sz w:val="24"/>
        </w:rPr>
      </w:pPr>
      <w:r>
        <w:rPr>
          <w:rFonts w:ascii="Times New Roman" w:hAnsi="Times New Roman"/>
          <w:sz w:val="24"/>
        </w:rPr>
        <w:t xml:space="preserve">Treatment emergent adverse events (TEAEs) related to study drug were reported by 16 patients (69.6%) in the Phase 1a portion of the study and 7 patients (70.0%) in the Phase 1b portion of the study. The most commonly reported related TEAEs in the Phase 1a portion of the study were pruritus (4 patients, 17.4%) and fatigue, nausea, rash and maculopapular rash (each reported by 3 patients, 8.7%). In the Phase 1b portion of the study, the most commonly reported related TEAEs were fatigue (3 patients, 30.0%) and pruritus, rash and pruritic rash (each reported by 2 patients, 20.0%). </w:t>
      </w:r>
    </w:p>
    <w:p>
      <w:pPr>
        <w:pStyle w:val="TextBody"/>
        <w:spacing w:before="120" w:after="0"/>
        <w:jc w:val="left"/>
        <w:rPr>
          <w:rFonts w:ascii="Times New Roman" w:hAnsi="Times New Roman"/>
          <w:sz w:val="24"/>
        </w:rPr>
      </w:pPr>
      <w:r>
        <w:rPr>
          <w:rFonts w:ascii="Times New Roman" w:hAnsi="Times New Roman"/>
          <w:sz w:val="24"/>
        </w:rPr>
        <w:t xml:space="preserve">There were no treatment-related serious adverse events in the Phase 1a portion and there was only one treatment- related serious adverse event (autoimmune hepatitis) in the Phase 1b portion of the study. The Phase 1b study has now been completed. </w:t>
      </w:r>
    </w:p>
    <w:p>
      <w:pPr>
        <w:pStyle w:val="TextBody"/>
        <w:spacing w:before="120" w:after="0"/>
        <w:jc w:val="left"/>
        <w:rPr>
          <w:rFonts w:ascii="Times New Roman" w:hAnsi="Times New Roman"/>
          <w:sz w:val="24"/>
        </w:rPr>
      </w:pPr>
      <w:r>
        <w:rPr>
          <w:rFonts w:ascii="Times New Roman" w:hAnsi="Times New Roman"/>
          <w:sz w:val="24"/>
        </w:rPr>
        <w:t xml:space="preserve">The ACTIVATE open label Phase 1b/2 basket study of Etigilimab in combination with nivolumab in multiple tumor types enrolled 76 patients and has completed Simon Stage 1of the study. Parallel cohorts in the study have focused on three rare tumors, two subtypes of soft-tissue sarcomas, uveal melanoma and testicular germ cell cancer, three gynecological carcinomas, cervical, ovarian and endometrial carcinomas and any solid tumor with high mutation burden, all in the recurrent/metastatic setting. </w:t>
      </w:r>
    </w:p>
    <w:p>
      <w:pPr>
        <w:pStyle w:val="TextBody"/>
        <w:spacing w:before="120" w:after="0"/>
        <w:jc w:val="left"/>
        <w:rPr>
          <w:rFonts w:ascii="Times New Roman" w:hAnsi="Times New Roman"/>
          <w:sz w:val="24"/>
        </w:rPr>
      </w:pPr>
      <w:r>
        <w:rPr>
          <w:rFonts w:ascii="Times New Roman" w:hAnsi="Times New Roman"/>
          <w:sz w:val="24"/>
        </w:rPr>
        <w:t xml:space="preserve">We enrolled a total of 76 patients in the Phase 1b part of the study. The trial is evaluating objective response rate as a primary endpoint and will also evaluate safety, duration of response, pharmacokinetics, anti-drug antibodies, progression-free survival and additional secondary and exploratory endpoints. The study was designed to expand select cohorts of patients, based on outcomes, to further evaluate responses to etigilimab and anti-PD1. Biomarker analyses will be conducted on tumor tissues and blood samples from treated patients, including quantification of levels of tumor- associated TIGIT, PVR and related biomarkers to evaluate their potential utility for selecting patients most likely to respond to the combination of etigilimab and anti-PD1. </w:t>
      </w:r>
    </w:p>
    <w:p>
      <w:pPr>
        <w:pStyle w:val="TextBody"/>
        <w:spacing w:before="120" w:after="0"/>
        <w:jc w:val="left"/>
        <w:rPr>
          <w:rFonts w:ascii="Times New Roman" w:hAnsi="Times New Roman"/>
          <w:sz w:val="24"/>
        </w:rPr>
      </w:pPr>
      <w:r>
        <w:rPr>
          <w:rFonts w:ascii="Times New Roman" w:hAnsi="Times New Roman"/>
          <w:sz w:val="24"/>
        </w:rPr>
        <w:t xml:space="preserve">We reported an interim clinical and biomarker data update on this study in September 2022. At the time of the data cut-off, there were 63 efficacy-evaluable checkpoint inhibitor-naïve (CPI-naive) subjects with a minimum of 1 staging scan at 8 (+/-1) weeks and RECIST 1.1 response assessment or documented clinical progression. </w:t>
      </w:r>
    </w:p>
    <w:p>
      <w:pPr>
        <w:pStyle w:val="TextBody"/>
        <w:spacing w:before="120" w:after="0"/>
        <w:jc w:val="left"/>
        <w:rPr>
          <w:rFonts w:ascii="Times New Roman" w:hAnsi="Times New Roman"/>
          <w:sz w:val="24"/>
        </w:rPr>
      </w:pPr>
      <w:r>
        <w:rPr>
          <w:rFonts w:ascii="Times New Roman" w:hAnsi="Times New Roman"/>
          <w:sz w:val="24"/>
        </w:rPr>
        <w:t xml:space="preserve">We have completed enrollment in an open label Phase1b/2 basket study (the ACTIVATE study) evaluating etigilimab in combination with nivolumab on three rare tumors, two specific subtypes of soft-tissue sarcomas, uveal melanoma and testicular germ cell cancer, three gynecological carcinomas, cervical, endometrial and ovarian carcinomas and any solid tumor with high mutation burden, all in the recurrent/metastatic setting. These indications were selected based on observations of clinical activity in our prior Phase 1a/1b study and/or based on a comprehensive biomarker analysis of solid tumors which revealed tumor types with a high prevalence of expression of TIGIT and its principal ligand poliovirus receptor (PVR) and concordant expression of TIGIT and PD1. The selected tumor types have shown responsiveness to anti-PD1 therapies with response rates generally ranging from 5-20%. The combination of etigilimab and anti-PD1 may lead to improved responses in these patients. </w:t>
      </w:r>
    </w:p>
    <w:p>
      <w:pPr>
        <w:pStyle w:val="TextBody"/>
        <w:spacing w:before="120" w:after="0"/>
        <w:jc w:val="left"/>
        <w:rPr>
          <w:rFonts w:ascii="Times New Roman" w:hAnsi="Times New Roman"/>
          <w:sz w:val="24"/>
        </w:rPr>
      </w:pPr>
      <w:r>
        <w:rPr>
          <w:rFonts w:ascii="Times New Roman" w:hAnsi="Times New Roman"/>
          <w:sz w:val="24"/>
        </w:rPr>
        <w:t xml:space="preserve">In April 2021, the Company entered into partnership with Cancer Focus Fund for a Phase 1b/2 study of etigilimab in Clear Cell Ovarian Cancer to be conducted at The University of Texas MD Anderson Cancer Center. The Phase 1b/2 study is being financed by Cancer Focus Fund in exchange for upfront consideration of $1.5 million of the Company’s shares and additional payments based on the achievement of certain milestones. Clear cell ovarian cancer is a rare cancer that accounts for approximately 5 to 10% of all ovarian carcinomas in North America. MD Anderson are planning to follow the per protocol procedure to expand the Phase 1b/2 study from an initial 10 patients to 20 patients in the Phase 2 portion of the study. </w:t>
      </w:r>
    </w:p>
    <w:p>
      <w:pPr>
        <w:pStyle w:val="TextBody"/>
        <w:spacing w:before="360" w:after="0"/>
        <w:jc w:val="left"/>
        <w:rPr>
          <w:rFonts w:ascii="Times New Roman" w:hAnsi="Times New Roman"/>
          <w:b/>
          <w:i/>
          <w:sz w:val="24"/>
        </w:rPr>
      </w:pPr>
      <w:r>
        <w:rPr>
          <w:rFonts w:ascii="Times New Roman" w:hAnsi="Times New Roman"/>
          <w:b/>
          <w:i/>
          <w:sz w:val="24"/>
        </w:rPr>
        <w:t xml:space="preserve">Our Non-Core Partnered Programs </w:t>
      </w:r>
    </w:p>
    <w:p>
      <w:pPr>
        <w:pStyle w:val="TextBody"/>
        <w:spacing w:before="120" w:after="0"/>
        <w:jc w:val="left"/>
        <w:rPr>
          <w:rFonts w:ascii="Times New Roman" w:hAnsi="Times New Roman"/>
          <w:sz w:val="24"/>
        </w:rPr>
      </w:pPr>
      <w:r>
        <w:rPr>
          <w:rFonts w:ascii="Times New Roman" w:hAnsi="Times New Roman"/>
          <w:sz w:val="24"/>
        </w:rPr>
        <w:t xml:space="preserve">Following completion of successful Phase 1b or Phase 2 studies the products below are programs which we have successfully partnered.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Navicixizumab (OMP-305B83): Navi is a bispecific antibody that inhibits delta-like ligand 4 (DLL4) and vascular endothelial growth factor (VEGF). We acquired this therapeutic product in the merger with Mereo BioPharma 5 (formerly OncoMed). In a Phase 1a clinical trial, Navi demonstrated single agent activity. Following this we conducted a Phase 1b clinical trial in ovarian cancer, in combination with paclitaxel, in platinum-resistant ovarian cancer. A successful FDA Type B meeting was held in July 2019 the potential for accelerated approval was discussed. Navicixizumab has also been granted Fast Track designation by the FDA. In January 2020, Navi was licensed by the Company to OncXerna pursuant to the terms of a global licensing agreement. Under the terms of the contingent value rights agreement between us and Computershare from April 2019 (the “Mereo CVR Agreement”), the holders of contingent value rights are entitled to receive the benefit of certain cash milestone payments made to Mereo under the license agreement. Pursuant to the terms of the Mereo CVR Agreement, if a milestone occurs prior to the fifth anniversary of the closing of the Merger, April 23, 2024,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 See “—Material Agreements—CVR Agreement Between Us and Computershare—The NAVI Milestones.” </w:t>
            </w:r>
          </w:p>
        </w:tc>
      </w:tr>
    </w:tbl>
    <w:p>
      <w:pPr>
        <w:pStyle w:val="TextBody"/>
        <w:spacing w:before="360" w:after="0"/>
        <w:jc w:val="left"/>
        <w:rPr>
          <w:rFonts w:ascii="Times New Roman" w:hAnsi="Times New Roman"/>
          <w:b/>
          <w:i/>
          <w:sz w:val="24"/>
        </w:rPr>
      </w:pPr>
      <w:r>
        <w:rPr>
          <w:rFonts w:ascii="Times New Roman" w:hAnsi="Times New Roman"/>
          <w:b/>
          <w:i/>
          <w:sz w:val="24"/>
        </w:rPr>
        <w:t xml:space="preserve">Our Non-Core Programs Available for Partnering </w:t>
      </w:r>
    </w:p>
    <w:p>
      <w:pPr>
        <w:pStyle w:val="TextBody"/>
        <w:spacing w:before="120" w:after="0"/>
        <w:jc w:val="left"/>
        <w:rPr>
          <w:rFonts w:ascii="Times New Roman" w:hAnsi="Times New Roman"/>
          <w:sz w:val="24"/>
        </w:rPr>
      </w:pPr>
      <w:r>
        <w:rPr>
          <w:rFonts w:ascii="Times New Roman" w:hAnsi="Times New Roman"/>
          <w:sz w:val="24"/>
        </w:rPr>
        <w:t xml:space="preserve">Following completion of successful Phase 1 or Phase 2 studies the products below are programs which we intend to out-license or sell.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sz w:val="24"/>
              </w:rPr>
              <w:t>Acumapimod (BCT-197):</w:t>
            </w:r>
            <w:r>
              <w:rPr>
                <w:rFonts w:ascii="Times New Roman" w:hAnsi="Times New Roman"/>
                <w:sz w:val="24"/>
              </w:rPr>
              <w:t xml:space="preserve"> Acumapimod is a p38 MAP kinase inhibitor therapy for treatment during severe acute exacerbations of COPD (AECOPD). In a Phase 2 trial, acumapimod given over 5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 and we intend to explore out-licensing or sale opportunities with third parties for the further development of acumapimod.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sz w:val="24"/>
              </w:rPr>
              <w:t>Leflutrozole (BGS-649):</w:t>
            </w:r>
            <w:r>
              <w:rPr>
                <w:rFonts w:ascii="Times New Roman" w:hAnsi="Times New Roman"/>
                <w:sz w:val="24"/>
              </w:rPr>
              <w:t xml:space="preserve"> Leflutrozole is an oral inhibitor of aromatase for the treatment of male infertility associated with HH. Excess aromatase in fat tissue reduces testosterone, LH and FSH, leading to HH. In Phase 2 trials, leflutrozole normalized testosterone, increased LH and FSH and was reported to be well- tolerated. Effects on sperm counts supported that future development of leflutrozole should focus on male infertility associated with HH. We intend to explore out-licensing or sale opportunities with third parties for the further development of leflutrozole. </w:t>
            </w:r>
          </w:p>
        </w:tc>
      </w:tr>
    </w:tbl>
    <w:p>
      <w:pPr>
        <w:pStyle w:val="TextBody"/>
        <w:spacing w:before="360" w:after="0"/>
        <w:jc w:val="left"/>
        <w:rPr>
          <w:rFonts w:ascii="Times New Roman" w:hAnsi="Times New Roman"/>
          <w:b/>
          <w:sz w:val="24"/>
        </w:rPr>
      </w:pPr>
      <w:r>
        <w:rPr>
          <w:rFonts w:ascii="Times New Roman" w:hAnsi="Times New Roman"/>
          <w:b/>
          <w:sz w:val="24"/>
        </w:rPr>
        <w:t xml:space="preserve">Our Strategy </w:t>
      </w:r>
    </w:p>
    <w:p>
      <w:pPr>
        <w:pStyle w:val="TextBody"/>
        <w:spacing w:before="120" w:after="0"/>
        <w:jc w:val="left"/>
        <w:rPr>
          <w:rFonts w:ascii="Times New Roman" w:hAnsi="Times New Roman"/>
          <w:sz w:val="24"/>
        </w:rPr>
      </w:pPr>
      <w:r>
        <w:rPr>
          <w:rFonts w:ascii="Times New Roman" w:hAnsi="Times New Roman"/>
          <w:sz w:val="24"/>
        </w:rPr>
        <w:t xml:space="preserve">We intend to become a leading biopharmaceutical company developing innovative therapeutics that aim to improve outcomes for patients with rare diseases. The key elements of our strategy to achieve this goal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i/>
                <w:sz w:val="24"/>
              </w:rPr>
              <w:t>Rapidly develop our product candidates and potentially commercialize our rare disease product candidates.</w:t>
            </w:r>
            <w:r>
              <w:rPr>
                <w:rFonts w:ascii="Times New Roman" w:hAnsi="Times New Roman"/>
                <w:sz w:val="24"/>
              </w:rPr>
              <w:t xml:space="preserve"> We have completed and announced 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were followed for a further twelve months to examine the off-effects of setrusumab. In September 2020, the FDA granted Rare Pediatric Disease designation to setrusumab for the treatment of OI. Following our completion of the Phase 2b ASTEROID study, we met with both the FDA (end-of-Phase 2 (EOP2) meeting in February 2020) and the EMA (PRIME meeting in May 2020) to discuss the principles of a design of a single Phase 2/3 registrational pediatric study in OI. In December 2020, we signed a license and collaboration agreement for setrusumab in OI with Ultragenyx Pharmaceutical Inc. Ultragenyx initiated a pivotal Phase 2/3 study in young adults and pediatric patients (5-25 years old) in the first half of 2022 and expects to provide an update on the Phase 2 dose ranging part of this study in mid-2023, when the trial will transition into Phase 3. Following selection of the dose for the Phase 3 study, Ultragenyx intend to initiate an additional registrational trial in young pediatric patients ( &lt;5 years old) in the first half of 2023. </w:t>
            </w:r>
          </w:p>
        </w:tc>
      </w:tr>
    </w:tbl>
    <w:p>
      <w:pPr>
        <w:pStyle w:val="TextBody"/>
        <w:spacing w:before="120" w:after="0"/>
        <w:jc w:val="left"/>
        <w:rPr>
          <w:rFonts w:ascii="Times New Roman" w:hAnsi="Times New Roman"/>
          <w:sz w:val="24"/>
        </w:rPr>
      </w:pPr>
      <w:r>
        <w:rPr>
          <w:rFonts w:ascii="Times New Roman" w:hAnsi="Times New Roman"/>
          <w:sz w:val="24"/>
        </w:rPr>
        <w:t xml:space="preserve">We reported successful top-line data from a Phase 2 proof-of-concept clinical trial of alvelestat for the treatment of severe AATD-LD in May 2022 and provided an additional data update in October 2022. We received regulatory feedback on the design of a single, global, pivotal registrational trial for alvelestat in AATD-LD for full approval in Q1 2023 and will now determine the optimum path forward for development of alvelestat towards approval and commercialization, including potential partnering. We also announced the completion and top-line data of a Phase 1b/2 placebo-controlled clinical trial to evaluate the safety and efficacy of alvelestat in hospitalized adult patients with moderate to severe COVID-19 respiratory disease. The investigator-led Phase 1b/2 study in BOS following SCT has completed the Phase 1b stage (10 patients) and commenced the Phase 2 portion of the study in the second half of 2022 to evaluate clinical efficacy on lung function (FEV1) in a 6-month study in up to an additional 24 patients, with expansion for responders to 12 months. </w:t>
      </w:r>
    </w:p>
    <w:p>
      <w:pPr>
        <w:pStyle w:val="TextBody"/>
        <w:spacing w:before="120" w:after="0"/>
        <w:jc w:val="left"/>
        <w:rPr>
          <w:rFonts w:ascii="Times New Roman" w:hAnsi="Times New Roman"/>
          <w:sz w:val="24"/>
        </w:rPr>
      </w:pPr>
      <w:r>
        <w:rPr>
          <w:rFonts w:ascii="Times New Roman" w:hAnsi="Times New Roman"/>
          <w:sz w:val="24"/>
        </w:rPr>
        <w:t xml:space="preserve">Etigilimab, our lead oncology program, has completed a Phase 1a dose escalating monotherapy study and has been evaluated in a Phase 1b combination study with nivolumab in a range of tumor types. We have also completed enrollment in an open label Phase 1b/2 basket study evaluating our anti- TIGIT in combination with nivolumab in a range of tumor types including three rare tumors, sarcoma, uveal melanoma and germ cell cancer, three gynecological carcinomas, cervical, endometrial and ovarian carcinomas and tumors with high mutation burden. We enrolled a total of 76 patients in the Phase 1b part of the study and we reported an interim clinical and biomarker data update on this study in September 2022.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i/>
                <w:sz w:val="24"/>
              </w:rPr>
              <w:t>Efficiently advance our other product candidates and explore out-licensing or sale opportunities with third parties for further clinical development and/or commercialization.</w:t>
            </w:r>
            <w:r>
              <w:rPr>
                <w:rFonts w:ascii="Times New Roman" w:hAnsi="Times New Roman"/>
                <w:sz w:val="24"/>
              </w:rPr>
              <w:t xml:space="preserve"> Our second oncology product, navicixizumab, for the treatment of late line ovarian cancer, has completed a Phase 1 study and has been partnered on a global basis with OncXerna. Based on the results from our Phase 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out-licensing or sale opportunities with third parties for the further development and commercialization of leflutrozole.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i/>
                <w:sz w:val="24"/>
              </w:rPr>
              <w:t>Continue to be a partner of choice for pharmaceutical and biotechnology companies.</w:t>
            </w:r>
            <w:r>
              <w:rPr>
                <w:rFonts w:ascii="Times New Roman" w:hAnsi="Times New Roman"/>
                <w:sz w:val="24"/>
              </w:rPr>
              <w:t xml:space="preserve"> We believe that we are a preferred partner for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b/>
                <w:i/>
                <w:sz w:val="24"/>
              </w:rPr>
              <w:t>Leverage our expertise in business development.</w:t>
            </w:r>
            <w:r>
              <w:rPr>
                <w:rFonts w:ascii="Times New Roman" w:hAnsi="Times New Roman"/>
                <w:sz w:val="24"/>
              </w:rPr>
              <w:t xml:space="preserve"> Our senior management team has extensive relationships with large pharmaceutical and biotechnology companies. These relationships are important to us as we seek to form strategic partnerships on our product candidates and as appropriate, to grow our pipeline of product candidates in rare diseases. </w:t>
            </w:r>
          </w:p>
        </w:tc>
      </w:tr>
    </w:tbl>
    <w:p>
      <w:pPr>
        <w:pStyle w:val="TextBody"/>
        <w:spacing w:before="360" w:after="0"/>
        <w:jc w:val="left"/>
        <w:rPr>
          <w:rFonts w:ascii="Times New Roman" w:hAnsi="Times New Roman"/>
          <w:b/>
          <w:sz w:val="24"/>
        </w:rPr>
      </w:pPr>
      <w:r>
        <w:rPr>
          <w:rFonts w:ascii="Times New Roman" w:hAnsi="Times New Roman"/>
          <w:b/>
          <w:sz w:val="24"/>
        </w:rPr>
        <w:t xml:space="preserve">Therapeutic Candidates </w:t>
      </w:r>
    </w:p>
    <w:p>
      <w:pPr>
        <w:pStyle w:val="TextBody"/>
        <w:spacing w:before="120" w:after="0"/>
        <w:jc w:val="left"/>
        <w:rPr>
          <w:rFonts w:ascii="Times New Roman" w:hAnsi="Times New Roman"/>
          <w:sz w:val="20"/>
        </w:rPr>
      </w:pPr>
      <w:r>
        <w:rPr>
          <w:rFonts w:ascii="Times New Roman" w:hAnsi="Times New Roman"/>
          <w:b/>
          <w:i/>
          <w:sz w:val="20"/>
        </w:rPr>
        <w:t>Core Rare Disease Candidates</w:t>
      </w:r>
      <w:r>
        <w:rPr>
          <w:rFonts w:ascii="Times New Roman" w:hAnsi="Times New Roman"/>
          <w:sz w:val="20"/>
        </w:rPr>
        <w:t xml:space="preserve"> </w:t>
      </w:r>
    </w:p>
    <w:p>
      <w:pPr>
        <w:pStyle w:val="TextBody"/>
        <w:spacing w:before="120" w:after="0"/>
        <w:jc w:val="left"/>
        <w:rPr>
          <w:rFonts w:ascii="Times New Roman" w:hAnsi="Times New Roman"/>
          <w:b/>
          <w:sz w:val="24"/>
        </w:rPr>
      </w:pPr>
      <w:r>
        <w:rPr>
          <w:rFonts w:ascii="Times New Roman" w:hAnsi="Times New Roman"/>
          <w:b/>
          <w:sz w:val="24"/>
        </w:rPr>
        <w:t xml:space="preserve">Setrusumab (BPS-804/UX143) for the Treatment of Osteogenesis Imperfecta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We are developing setrusumab for the treatment of OI in collaboration with Ultragenyx.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 </w:t>
      </w:r>
    </w:p>
    <w:p>
      <w:pPr>
        <w:pStyle w:val="TextBody"/>
        <w:spacing w:before="360" w:after="0"/>
        <w:jc w:val="left"/>
        <w:rPr>
          <w:rFonts w:ascii="Times New Roman" w:hAnsi="Times New Roman"/>
          <w:b/>
          <w:i/>
          <w:sz w:val="24"/>
        </w:rPr>
      </w:pPr>
      <w:r>
        <w:rPr>
          <w:rFonts w:ascii="Times New Roman" w:hAnsi="Times New Roman"/>
          <w:b/>
          <w:i/>
          <w:sz w:val="24"/>
        </w:rPr>
        <w:t xml:space="preserve">Background of Osteogenesis Imperfecta </w:t>
      </w:r>
    </w:p>
    <w:p>
      <w:pPr>
        <w:pStyle w:val="TextBody"/>
        <w:spacing w:before="120" w:after="0"/>
        <w:jc w:val="left"/>
        <w:rPr>
          <w:rFonts w:ascii="Times New Roman" w:hAnsi="Times New Roman"/>
          <w:sz w:val="24"/>
        </w:rPr>
      </w:pPr>
      <w:r>
        <w:rPr>
          <w:rFonts w:ascii="Times New Roman" w:hAnsi="Times New Roman"/>
          <w:sz w:val="24"/>
        </w:rPr>
        <w:t xml:space="preserve">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25,000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 </w:t>
      </w:r>
    </w:p>
    <w:p>
      <w:pPr>
        <w:pStyle w:val="TextBody"/>
        <w:spacing w:before="240" w:after="0"/>
        <w:jc w:val="left"/>
        <w:rPr>
          <w:rFonts w:ascii="Times New Roman" w:hAnsi="Times New Roman"/>
          <w:sz w:val="24"/>
        </w:rPr>
      </w:pPr>
      <w:r>
        <w:rPr>
          <w:rFonts w:ascii="Times New Roman" w:hAnsi="Times New Roman"/>
          <w:sz w:val="24"/>
        </w:rPr>
        <w:t xml:space="preserve">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 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most severe forms of OI, particularly type II, may be characterized by an extremely small, fragile rib cage and underdeveloped lungs. Infants with these abnormalities have life-threatening problems related to breathing and often die shortly after birth. </w:t>
      </w:r>
    </w:p>
    <w:p>
      <w:pPr>
        <w:pStyle w:val="TextBody"/>
        <w:spacing w:before="360" w:after="0"/>
        <w:jc w:val="left"/>
        <w:rPr>
          <w:rFonts w:ascii="Times New Roman" w:hAnsi="Times New Roman"/>
          <w:b/>
          <w:i/>
          <w:sz w:val="24"/>
        </w:rPr>
      </w:pPr>
      <w:r>
        <w:rPr>
          <w:rFonts w:ascii="Times New Roman" w:hAnsi="Times New Roman"/>
          <w:b/>
          <w:i/>
          <w:sz w:val="24"/>
        </w:rPr>
        <w:t xml:space="preserve">Current Treatment Landscape for Osteogenesis Imperfecta </w:t>
      </w:r>
    </w:p>
    <w:p>
      <w:pPr>
        <w:pStyle w:val="TextBody"/>
        <w:spacing w:before="120" w:after="0"/>
        <w:jc w:val="left"/>
        <w:rPr>
          <w:rFonts w:ascii="Times New Roman" w:hAnsi="Times New Roman"/>
          <w:sz w:val="24"/>
        </w:rPr>
      </w:pPr>
      <w:r>
        <w:rPr>
          <w:rFonts w:ascii="Times New Roman" w:hAnsi="Times New Roman"/>
          <w:sz w:val="24"/>
        </w:rPr>
        <w:t xml:space="preserve">There are no therapies approved by the FDA or European Commission for the treatment of OI. The only treatments available to OI patients are the acute management of fractures as they occur and drugs such as bisphosphonates, which are not approved for this indication but are commonly used off-label in children. </w:t>
      </w:r>
    </w:p>
    <w:p>
      <w:pPr>
        <w:pStyle w:val="TextBody"/>
        <w:spacing w:before="240" w:after="0"/>
        <w:jc w:val="left"/>
        <w:rPr>
          <w:rFonts w:ascii="Times New Roman" w:hAnsi="Times New Roman"/>
          <w:sz w:val="24"/>
        </w:rPr>
      </w:pPr>
      <w:r>
        <w:rPr>
          <w:rFonts w:ascii="Times New Roman" w:hAnsi="Times New Roman"/>
          <w:sz w:val="24"/>
        </w:rPr>
        <w:t xml:space="preserve">Current treatment of OI is directed towards management of fractures with casting or surgical fixation. Following either of these, physical therapy will often be required. Preventative surgeries, such as intramedullary, or in-bone, radding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 </w:t>
      </w:r>
    </w:p>
    <w:p>
      <w:pPr>
        <w:pStyle w:val="TextBody"/>
        <w:spacing w:before="240" w:after="0"/>
        <w:jc w:val="left"/>
        <w:rPr>
          <w:rFonts w:ascii="Times New Roman" w:hAnsi="Times New Roman"/>
          <w:sz w:val="24"/>
        </w:rPr>
      </w:pPr>
      <w:r>
        <w:rPr>
          <w:rFonts w:ascii="Times New Roman" w:hAnsi="Times New Roman"/>
          <w:sz w:val="24"/>
        </w:rPr>
        <w:t xml:space="preserve">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 </w:t>
      </w:r>
    </w:p>
    <w:p>
      <w:pPr>
        <w:pStyle w:val="TextBody"/>
        <w:spacing w:before="360" w:after="0"/>
        <w:jc w:val="left"/>
        <w:rPr>
          <w:rFonts w:ascii="Times New Roman" w:hAnsi="Times New Roman"/>
          <w:b/>
          <w:i/>
          <w:sz w:val="24"/>
        </w:rPr>
      </w:pPr>
      <w:r>
        <w:rPr>
          <w:rFonts w:ascii="Times New Roman" w:hAnsi="Times New Roman"/>
          <w:b/>
          <w:i/>
          <w:sz w:val="24"/>
        </w:rPr>
        <w:t xml:space="preserve">Our Approach </w:t>
      </w:r>
    </w:p>
    <w:p>
      <w:pPr>
        <w:pStyle w:val="TextBody"/>
        <w:spacing w:before="120" w:after="0"/>
        <w:jc w:val="left"/>
        <w:rPr>
          <w:rFonts w:ascii="Times New Roman" w:hAnsi="Times New Roman"/>
          <w:sz w:val="24"/>
        </w:rPr>
      </w:pPr>
      <w:r>
        <w:rPr>
          <w:rFonts w:ascii="Times New Roman" w:hAnsi="Times New Roman"/>
          <w:sz w:val="24"/>
        </w:rPr>
        <w:t xml:space="preserve">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 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 </w:t>
      </w:r>
    </w:p>
    <w:p>
      <w:pPr>
        <w:pStyle w:val="TextBody"/>
        <w:spacing w:before="240" w:after="0"/>
        <w:jc w:val="left"/>
        <w:rPr>
          <w:rFonts w:ascii="Times New Roman" w:hAnsi="Times New Roman"/>
          <w:sz w:val="24"/>
        </w:rPr>
      </w:pPr>
      <w:r>
        <w:rPr>
          <w:rFonts w:ascii="Times New Roman" w:hAnsi="Times New Roman"/>
          <w:sz w:val="24"/>
        </w:rPr>
        <w:t xml:space="preserve">In 2016, we obtained orphan drug designation in OI for setrusumab in the United States and the EU and, in November 2017, it was accepted into PRIME by the EMA. 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In September 2020 we received rare pediatric disease designation for setrusumab in OI from the FDA. See “—Government Regulation—Foreign Government Regulation.” </w:t>
      </w:r>
    </w:p>
    <w:p>
      <w:pPr>
        <w:pStyle w:val="TextBody"/>
        <w:spacing w:before="360" w:after="0"/>
        <w:jc w:val="left"/>
        <w:rPr>
          <w:rFonts w:ascii="Times New Roman" w:hAnsi="Times New Roman"/>
          <w:b/>
          <w:i/>
          <w:sz w:val="24"/>
        </w:rPr>
      </w:pPr>
      <w:r>
        <w:rPr>
          <w:rFonts w:ascii="Times New Roman" w:hAnsi="Times New Roman"/>
          <w:b/>
          <w:i/>
          <w:sz w:val="24"/>
        </w:rPr>
        <w:t xml:space="preserve">Clinical Development of Setrusumab </w:t>
      </w:r>
    </w:p>
    <w:p>
      <w:pPr>
        <w:pStyle w:val="TextBody"/>
        <w:spacing w:before="120" w:after="0"/>
        <w:jc w:val="left"/>
        <w:rPr>
          <w:rFonts w:ascii="Times New Roman" w:hAnsi="Times New Roman"/>
          <w:sz w:val="24"/>
        </w:rPr>
      </w:pPr>
      <w:r>
        <w:rPr>
          <w:rFonts w:ascii="Times New Roman" w:hAnsi="Times New Roman"/>
          <w:sz w:val="24"/>
        </w:rPr>
        <w:t xml:space="preserve">In April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were followed for a further twelve months to examine the off-effects of setrusumab. Similar to the Phase 2 clinical trial conducted by Novartis, we enrolled patients with type I, III and IV OI. </w:t>
      </w:r>
    </w:p>
    <w:p>
      <w:pPr>
        <w:pStyle w:val="TextBody"/>
        <w:spacing w:before="360" w:after="0"/>
        <w:jc w:val="left"/>
        <w:rPr>
          <w:rFonts w:ascii="Times New Roman" w:hAnsi="Times New Roman"/>
          <w:i/>
          <w:sz w:val="24"/>
        </w:rPr>
      </w:pPr>
      <w:r>
        <w:rPr>
          <w:rFonts w:ascii="Times New Roman" w:hAnsi="Times New Roman"/>
          <w:i/>
          <w:sz w:val="24"/>
        </w:rPr>
        <w:t xml:space="preserve">12 month Top-line Data From Setrusumab Phase 2b Dose-ranging Study in Adult Patients </w:t>
      </w:r>
    </w:p>
    <w:p>
      <w:pPr>
        <w:pStyle w:val="TextBody"/>
        <w:spacing w:before="120" w:after="0"/>
        <w:jc w:val="left"/>
        <w:rPr>
          <w:rFonts w:ascii="Times New Roman" w:hAnsi="Times New Roman"/>
          <w:sz w:val="24"/>
        </w:rPr>
      </w:pPr>
      <w:r>
        <w:rPr>
          <w:rFonts w:ascii="Times New Roman" w:hAnsi="Times New Roman"/>
          <w:sz w:val="24"/>
        </w:rPr>
        <w:t xml:space="preserve">On November 11, 2019, we reported 12-month top-line data from our Phase 2b dose-ranging clinical trial for setrusumab in adults with Type I, III or IV OI. 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The top-line 12-month results reported on November 11, 2019, and on January 14, 2020, are from the three-arm blinded portion of the study.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 </w:t>
      </w:r>
    </w:p>
    <w:p>
      <w:pPr>
        <w:pStyle w:val="TextBody"/>
        <w:spacing w:before="240" w:after="0"/>
        <w:jc w:val="left"/>
        <w:rPr>
          <w:rFonts w:ascii="Times New Roman" w:hAnsi="Times New Roman"/>
          <w:sz w:val="24"/>
        </w:rPr>
      </w:pPr>
      <w:r>
        <w:rPr>
          <w:rFonts w:ascii="Times New Roman" w:hAnsi="Times New Roman"/>
          <w:sz w:val="24"/>
        </w:rPr>
        <w:t xml:space="preserve">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 0.58% (p=0.97) in the high, medium and low dose cohorts (post hoc analysis), respectively. This suggests total volumetric BMD increases were driven by the ability of setrusumab to increase cortical volumetric BMD. </w:t>
      </w:r>
    </w:p>
    <w:p>
      <w:pPr>
        <w:pStyle w:val="TextBody"/>
        <w:spacing w:before="240" w:after="0"/>
        <w:jc w:val="left"/>
        <w:rPr>
          <w:rFonts w:ascii="Times New Roman" w:hAnsi="Times New Roman"/>
          <w:sz w:val="24"/>
        </w:rPr>
      </w:pPr>
      <w:r>
        <w:rPr>
          <w:rFonts w:ascii="Times New Roman" w:hAnsi="Times New Roman"/>
          <w:sz w:val="24"/>
        </w:rPr>
        <w:t xml:space="preserve">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 </w:t>
      </w:r>
    </w:p>
    <w:p>
      <w:pPr>
        <w:pStyle w:val="TextBody"/>
        <w:spacing w:before="240" w:after="0"/>
        <w:jc w:val="left"/>
        <w:rPr>
          <w:rFonts w:ascii="Times New Roman" w:hAnsi="Times New Roman"/>
          <w:sz w:val="24"/>
        </w:rPr>
      </w:pPr>
      <w:r>
        <w:rPr>
          <w:rFonts w:ascii="Times New Roman" w:hAnsi="Times New Roman"/>
          <w:sz w:val="24"/>
        </w:rPr>
        <w:t xml:space="preserve">On January 14, 2020, we reported additional data to the above from our Phase 2b dose-ranging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 </w:t>
      </w:r>
    </w:p>
    <w:p>
      <w:pPr>
        <w:pStyle w:val="TextBody"/>
        <w:spacing w:before="240" w:after="0"/>
        <w:jc w:val="left"/>
        <w:rPr>
          <w:rFonts w:ascii="Times New Roman" w:hAnsi="Times New Roman"/>
          <w:sz w:val="24"/>
        </w:rPr>
      </w:pPr>
      <w:r>
        <w:rPr>
          <w:rFonts w:ascii="Times New Roman" w:hAnsi="Times New Roman"/>
          <w:sz w:val="24"/>
        </w:rPr>
        <w:t xml:space="preserve">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 </w:t>
      </w:r>
    </w:p>
    <w:p>
      <w:pPr>
        <w:pStyle w:val="TextBody"/>
        <w:spacing w:before="240" w:after="0"/>
        <w:jc w:val="left"/>
        <w:rPr>
          <w:rFonts w:ascii="Times New Roman" w:hAnsi="Times New Roman"/>
          <w:sz w:val="24"/>
        </w:rPr>
      </w:pPr>
      <w:r>
        <w:rPr>
          <w:rFonts w:ascii="Times New Roman" w:hAnsi="Times New Roman"/>
          <w:sz w:val="24"/>
        </w:rPr>
        <w:t xml:space="preserve">Although the Phase 2b trial was not powered to show a difference in fracture rates, a trend of reduction in fractures was observed in the high-dose cohort. Setrusumab was safe and well-tolerated in the study. There were no cardiac-related safety concerns observed in the study. </w:t>
      </w:r>
    </w:p>
    <w:p>
      <w:pPr>
        <w:pStyle w:val="TextBody"/>
        <w:spacing w:before="240" w:after="0"/>
        <w:jc w:val="left"/>
        <w:rPr>
          <w:rFonts w:ascii="Times New Roman" w:hAnsi="Times New Roman"/>
          <w:sz w:val="24"/>
        </w:rPr>
      </w:pPr>
      <w:r>
        <w:rPr>
          <w:rFonts w:ascii="Times New Roman" w:hAnsi="Times New Roman"/>
          <w:sz w:val="24"/>
        </w:rPr>
        <w:t xml:space="preserve">Patients who completed 12 months of treatment in the ASTEROID study continued into a 12-month extension “off therapy” portion to examine the off effect of setrusumab. Patients had the option to receive 12 months of treatment with the bisphosphonate zoledronic acid (given at months six and/or 12) and received both DXA and HRpQCT scans at six and 12 months after entering the extension portion. </w:t>
      </w:r>
    </w:p>
    <w:p>
      <w:pPr>
        <w:pStyle w:val="TextBody"/>
        <w:spacing w:before="360" w:after="0"/>
        <w:jc w:val="left"/>
        <w:rPr>
          <w:rFonts w:ascii="Times New Roman" w:hAnsi="Times New Roman"/>
          <w:i/>
          <w:sz w:val="24"/>
        </w:rPr>
      </w:pPr>
      <w:r>
        <w:rPr>
          <w:rFonts w:ascii="Times New Roman" w:hAnsi="Times New Roman"/>
          <w:i/>
          <w:sz w:val="24"/>
        </w:rPr>
        <w:t xml:space="preserve">Summary of Top-line Safety Results </w:t>
      </w:r>
    </w:p>
    <w:p>
      <w:pPr>
        <w:pStyle w:val="TextBody"/>
        <w:spacing w:before="120" w:after="0"/>
        <w:jc w:val="left"/>
        <w:rPr>
          <w:rFonts w:ascii="Times New Roman" w:hAnsi="Times New Roman"/>
          <w:sz w:val="24"/>
        </w:rPr>
      </w:pPr>
      <w:r>
        <w:rPr>
          <w:rFonts w:ascii="Times New Roman" w:hAnsi="Times New Roman"/>
          <w:sz w:val="24"/>
        </w:rPr>
        <w:t xml:space="preserve">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hematoma and subdural hemorrhage;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 reported as potentially cardiac related were discussed at the DMC (including cardiology review), and none were concluded to represent a cardiovascular safety concern.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Partnership with Ultragenyx </w:t>
      </w:r>
    </w:p>
    <w:p>
      <w:pPr>
        <w:pStyle w:val="TextBody"/>
        <w:spacing w:before="120" w:after="0"/>
        <w:jc w:val="left"/>
        <w:rPr>
          <w:rFonts w:ascii="Times New Roman" w:hAnsi="Times New Roman"/>
          <w:sz w:val="24"/>
        </w:rPr>
      </w:pPr>
      <w:r>
        <w:rPr>
          <w:rFonts w:ascii="Times New Roman" w:hAnsi="Times New Roman"/>
          <w:sz w:val="24"/>
        </w:rPr>
        <w:t xml:space="preserve">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 </w:t>
      </w:r>
    </w:p>
    <w:p>
      <w:pPr>
        <w:pStyle w:val="TextBody"/>
        <w:spacing w:before="240" w:after="0"/>
        <w:jc w:val="left"/>
        <w:rPr>
          <w:rFonts w:ascii="Times New Roman" w:hAnsi="Times New Roman"/>
          <w:sz w:val="24"/>
        </w:rPr>
      </w:pPr>
      <w:r>
        <w:rPr>
          <w:rFonts w:ascii="Times New Roman" w:hAnsi="Times New Roman"/>
          <w:sz w:val="24"/>
        </w:rPr>
        <w:t xml:space="preserve">In October 2021, at the ASBMR annual meeting, we, along with our partner, Ultragenyx, presented additional secondary endpoint data from the Phase 2b ASTEROID study demonstrating that treatment with setrusumab resulted in dose-dependent increase in P1NP serum levels, a marker of bone formation, and a decrease in CTx serum levels, a marker of bone resorption, confirming the mechanism of action of sclerostin inhibition over the 12-month treatment period. Observed improvements in bone mineral density were continuous over the 12 months of the study, with comparable gains achieved in the first and second six months of treatment in the high dose group despite temporal changes in biomarkers. </w:t>
      </w:r>
    </w:p>
    <w:p>
      <w:pPr>
        <w:pStyle w:val="TextBody"/>
        <w:spacing w:before="240" w:after="0"/>
        <w:jc w:val="left"/>
        <w:rPr>
          <w:rFonts w:ascii="Times New Roman" w:hAnsi="Times New Roman"/>
          <w:sz w:val="24"/>
        </w:rPr>
      </w:pPr>
      <w:r>
        <w:rPr>
          <w:rFonts w:ascii="Times New Roman" w:hAnsi="Times New Roman"/>
          <w:sz w:val="24"/>
        </w:rPr>
        <w:t xml:space="preserve">Ultragenyx initiated a pivotal Phase 2/3 study in young adults and pediatric patients (5-25 years old) in the first half of 2022 and plans to provide an update on the Phase 2 dose ranging part of this study in mid-2023. The objective of the Phase 2/3 study will first focus on determining the optimized dose based on increases in collagen production using serum P1NP levels and an acceptable safety profile. Following determination of the dose, Ultragenyx currently intend to adapt the study into a pivotal Phase 3 stage, evaluating fracture reduction over an estimated 15 to 24 months as the primary endpoint, subject to regulatory review. In addition, in the first half of 2023, Ultragenyx intends to initiate a randomized study in OI in children under age five with serious bone disease, comparing bisphosphonates to UX143. Younger pediatric patients with OI often have a much higher fracture rate than other age groups and a greater medical need, driving clinical urgency for better treatment options. The annualized rate of fractures is the primary endpoint in the study. </w:t>
      </w:r>
    </w:p>
    <w:p>
      <w:pPr>
        <w:pStyle w:val="TextBody"/>
        <w:spacing w:before="360" w:after="0"/>
        <w:jc w:val="left"/>
        <w:rPr>
          <w:rFonts w:ascii="Times New Roman" w:hAnsi="Times New Roman"/>
          <w:b/>
          <w:sz w:val="24"/>
        </w:rPr>
      </w:pPr>
      <w:r>
        <w:rPr>
          <w:rFonts w:ascii="Times New Roman" w:hAnsi="Times New Roman"/>
          <w:b/>
          <w:sz w:val="24"/>
        </w:rPr>
        <w:t xml:space="preserve">Alvelestat (MPH-966) for the Treatment of Severe Alpha-1-Antitrypsin Deficiency (“AATD”)-Associated Lung Disease and Brochiolitis Obliterans Syndrome (“BOS”)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We are developing alvelestat for the treatment of severe AATD-LD and BOS. AATD-LD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patient with AATD may be due to inadequately controlled NE caused by insufficient AAT. We believe that by inhibiting NE, alvelestat has the potential to reduce the destruction of lung tissue and stabilize clinical deterioration in patients with severe AATD-LD patients. BOS is characterized by anti-organ auto-immune responses, either graft versus host (in SCT) or host versus graft (in lung transplant), exacerbated by elevated neutrophils in the lung and excess NE activity, leading to lung damage through elastin breakdown in the tissue and progressive fibrosis, and ultimately respiratory failure. By inhibiting NE, alvelestat will reduce the accelerating effects of NE-driven inflammation on BOS. </w:t>
      </w:r>
    </w:p>
    <w:p>
      <w:pPr>
        <w:pStyle w:val="TextBody"/>
        <w:spacing w:before="360" w:after="0"/>
        <w:jc w:val="left"/>
        <w:rPr>
          <w:rFonts w:ascii="Times New Roman" w:hAnsi="Times New Roman"/>
          <w:b/>
          <w:i/>
          <w:sz w:val="24"/>
        </w:rPr>
      </w:pPr>
      <w:r>
        <w:rPr>
          <w:rFonts w:ascii="Times New Roman" w:hAnsi="Times New Roman"/>
          <w:b/>
          <w:i/>
          <w:sz w:val="24"/>
        </w:rPr>
        <w:t xml:space="preserve">Background of Alpha-1-Antitrypsin Deficiency and Bronchiolitis Obliterans Syndrome </w:t>
      </w:r>
    </w:p>
    <w:p>
      <w:pPr>
        <w:pStyle w:val="TextBody"/>
        <w:spacing w:before="120" w:after="0"/>
        <w:jc w:val="left"/>
        <w:rPr>
          <w:rFonts w:ascii="Times New Roman" w:hAnsi="Times New Roman"/>
          <w:sz w:val="24"/>
        </w:rPr>
      </w:pPr>
      <w:r>
        <w:rPr>
          <w:rFonts w:ascii="Times New Roman" w:hAnsi="Times New Roman"/>
          <w:sz w:val="24"/>
        </w:rPr>
        <w:t xml:space="preserve">AATD is a genetic disease. There are estimated to be 50,000 people in North America and 60,000 in Europe with severe AATD, which we define as AATD in patients with either a PiZZ genotype or Null/Null genotype although there are approximately only 10,000 people diagnosed in North America.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 </w:t>
      </w:r>
    </w:p>
    <w:p>
      <w:pPr>
        <w:pStyle w:val="TextBody"/>
        <w:spacing w:before="240" w:after="0"/>
        <w:jc w:val="left"/>
        <w:rPr>
          <w:rFonts w:ascii="Times New Roman" w:hAnsi="Times New Roman"/>
          <w:sz w:val="24"/>
        </w:rPr>
      </w:pPr>
      <w:r>
        <w:rPr>
          <w:rFonts w:ascii="Times New Roman" w:hAnsi="Times New Roman"/>
          <w:sz w:val="24"/>
        </w:rPr>
        <w:t xml:space="preserve">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loss of lung tissue as measured by lung density on computed tomographic (CT) scanning, a decline in FEV1, a standard measure of exhalation and poor quality of life. Respiratory disease can progress to need for chronic oxygen therapy, lung transplant and death. The annual mortality rate in this genotype estimated to be 4%. Given that individuals with the Null/Null genotype do not produce any AAT, we believe that they are likely to experience an even greater annual decline in FEV1.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BOS is a rare progressive fibrosing disease of the lungs affecting approximately 6% of the estimated 12,000 stem cell transplants a year in the United States, often as part of graft versus host disease. For lung transplants, approximately 5% of the patients develop BOS by 5 years, which is the leading cause of retransplant and mortality. BOS is characterized by neutrophil infiltration in the lung, excess neutrophil elastase and inflammation. The pathology of BOS in stem cell transplant and lung transplant is overlapping. </w:t>
      </w:r>
    </w:p>
    <w:p>
      <w:pPr>
        <w:pStyle w:val="TextBody"/>
        <w:spacing w:before="360" w:after="0"/>
        <w:jc w:val="left"/>
        <w:rPr>
          <w:rFonts w:ascii="Times New Roman" w:hAnsi="Times New Roman"/>
          <w:b/>
          <w:i/>
          <w:sz w:val="24"/>
        </w:rPr>
      </w:pPr>
      <w:r>
        <w:rPr>
          <w:rFonts w:ascii="Times New Roman" w:hAnsi="Times New Roman"/>
          <w:b/>
          <w:i/>
          <w:sz w:val="24"/>
        </w:rPr>
        <w:t xml:space="preserve">Current Treatment Landscape for Alpha-1-Antitrypsin Deficiency and Bronchiolitis Obliterans Syndrome </w:t>
      </w:r>
    </w:p>
    <w:p>
      <w:pPr>
        <w:pStyle w:val="TextBody"/>
        <w:spacing w:before="120" w:after="0"/>
        <w:jc w:val="left"/>
        <w:rPr>
          <w:rFonts w:ascii="Times New Roman" w:hAnsi="Times New Roman"/>
          <w:sz w:val="24"/>
        </w:rPr>
      </w:pPr>
      <w:r>
        <w:rPr>
          <w:rFonts w:ascii="Times New Roman" w:hAnsi="Times New Roman"/>
          <w:sz w:val="24"/>
        </w:rPr>
        <w:t xml:space="preserve">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 </w:t>
      </w:r>
    </w:p>
    <w:p>
      <w:pPr>
        <w:pStyle w:val="TextBody"/>
        <w:spacing w:before="240" w:after="0"/>
        <w:jc w:val="left"/>
        <w:rPr>
          <w:rFonts w:ascii="Times New Roman" w:hAnsi="Times New Roman"/>
          <w:sz w:val="24"/>
        </w:rPr>
      </w:pPr>
      <w:r>
        <w:rPr>
          <w:rFonts w:ascii="Times New Roman" w:hAnsi="Times New Roman"/>
          <w:sz w:val="24"/>
        </w:rPr>
        <w:t xml:space="preserve">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 </w:t>
      </w:r>
    </w:p>
    <w:p>
      <w:pPr>
        <w:pStyle w:val="TextBody"/>
        <w:spacing w:before="240" w:after="0"/>
        <w:jc w:val="left"/>
        <w:rPr>
          <w:rFonts w:ascii="Times New Roman" w:hAnsi="Times New Roman"/>
          <w:sz w:val="24"/>
        </w:rPr>
      </w:pPr>
      <w:r>
        <w:rPr>
          <w:rFonts w:ascii="Times New Roman" w:hAnsi="Times New Roman"/>
          <w:sz w:val="24"/>
        </w:rPr>
        <w:t xml:space="preserve">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Europe Regulatory approval was on efficacy based on slowing of CT density decline, without effects on other measures such as FEV1 or patient-reported outcome. Further, AAT augmentation therapy is generally not reimbursed and thus is not currently available to patients in several jurisdictions, including some key European markets. In addition, AAT augmentation therapy requires potentially inconvenient weekly intravenous infusions. </w:t>
      </w:r>
    </w:p>
    <w:p>
      <w:pPr>
        <w:pStyle w:val="TextBody"/>
        <w:spacing w:before="240" w:after="0"/>
        <w:jc w:val="left"/>
        <w:rPr>
          <w:rFonts w:ascii="Times New Roman" w:hAnsi="Times New Roman"/>
          <w:sz w:val="24"/>
        </w:rPr>
      </w:pPr>
      <w:r>
        <w:rPr>
          <w:rFonts w:ascii="Times New Roman" w:hAnsi="Times New Roman"/>
          <w:sz w:val="24"/>
        </w:rPr>
        <w:t xml:space="preserve">There are very limited options for patients with BOS associated with graft versus host disease following stem cell transplant (“SCT”) or those with host versus graft disease and chronic organ rejection following lung transplant. Current therapies are immunosuppressive regimes, with risk of infection along with azithromycin which has both anti-inflammatory and antimicrobial activity. However, there are no approved treatments and the outcome for patients with BOS has not improved in the last 20 years. In development are the Janus Kinase (JAK1) inhibitor, itacitinib and JAK2 inhibitor ruxolitinib (Incyte Corporation) in Phase 1/Phase2 studies in lung transplant-associated and SCT-associated BOS respectively, AI Therapeutics is investigating an inhaled formulation of sirolimus (LAM-001) in Phase 1 and Isopogen allogeneic bone marrow derived mesenchymal stem cells for chronic lung allograft dysfunction, also in Phase 1, and Liposomal inhaled cyclosporin-A (Zambon) in Phase 2 in BOS following SCT and in Phase 3 global pivotal trials in BOS associated with lung transplant. </w:t>
      </w:r>
    </w:p>
    <w:p>
      <w:pPr>
        <w:pStyle w:val="TextBody"/>
        <w:spacing w:before="360" w:after="0"/>
        <w:jc w:val="left"/>
        <w:rPr>
          <w:rFonts w:ascii="Times New Roman" w:hAnsi="Times New Roman"/>
          <w:b/>
          <w:i/>
          <w:sz w:val="24"/>
        </w:rPr>
      </w:pPr>
      <w:r>
        <w:rPr>
          <w:rFonts w:ascii="Times New Roman" w:hAnsi="Times New Roman"/>
          <w:b/>
          <w:i/>
          <w:sz w:val="24"/>
        </w:rPr>
        <w:t xml:space="preserve">Our Approach </w:t>
      </w:r>
    </w:p>
    <w:p>
      <w:pPr>
        <w:pStyle w:val="TextBody"/>
        <w:spacing w:before="120" w:after="0"/>
        <w:jc w:val="left"/>
        <w:rPr>
          <w:rFonts w:ascii="Times New Roman" w:hAnsi="Times New Roman"/>
          <w:sz w:val="24"/>
        </w:rPr>
      </w:pPr>
      <w:r>
        <w:rPr>
          <w:rFonts w:ascii="Times New Roman" w:hAnsi="Times New Roman"/>
          <w:sz w:val="24"/>
        </w:rPr>
        <w:t xml:space="preserve">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 We do not expect alvelestat to be effective in hepatic disease which is due to the damaging effect of accumulated abnormal ZZ protein in the liver, rather than the protein deficiency. Liver disease occurs in approximately 10% cases of severe AATD, predominantly in children. </w:t>
      </w:r>
    </w:p>
    <w:p>
      <w:pPr>
        <w:pStyle w:val="TextBody"/>
        <w:spacing w:before="240" w:after="0"/>
        <w:jc w:val="left"/>
        <w:rPr>
          <w:rFonts w:ascii="Times New Roman" w:hAnsi="Times New Roman"/>
          <w:sz w:val="24"/>
        </w:rPr>
      </w:pPr>
      <w:r>
        <w:rPr>
          <w:rFonts w:ascii="Times New Roman" w:hAnsi="Times New Roman"/>
          <w:sz w:val="24"/>
        </w:rPr>
        <w:t xml:space="preserve">As BOS is driven by elevated neutrophils in the lung and excess NE activity, leading to lung damage through elastin breakdown in the tissue and progressive fibrosis, and ultimately respiratory failure we believe our approach using alvelestat to inhibit NE has significant advantages. By inhibiting NE, we believe alvelestat will reduce the accelerating effects of NE-driven inflammation on BOS leading to increased success rate of SCT and lung transplant. The investigator-led clinical program is designed to generate data on clinical endpoints that would potentially support registration and reimbursement in SCT. </w:t>
      </w:r>
    </w:p>
    <w:p>
      <w:pPr>
        <w:pStyle w:val="TextBody"/>
        <w:spacing w:before="360" w:after="0"/>
        <w:jc w:val="left"/>
        <w:rPr>
          <w:rFonts w:ascii="Times New Roman" w:hAnsi="Times New Roman"/>
          <w:b/>
          <w:i/>
          <w:sz w:val="24"/>
        </w:rPr>
      </w:pPr>
      <w:r>
        <w:rPr>
          <w:rFonts w:ascii="Times New Roman" w:hAnsi="Times New Roman"/>
          <w:b/>
          <w:i/>
          <w:sz w:val="24"/>
        </w:rPr>
        <w:t xml:space="preserve">Clinical Development of Alvelestat </w:t>
      </w:r>
    </w:p>
    <w:p>
      <w:pPr>
        <w:pStyle w:val="TextBody"/>
        <w:spacing w:before="120" w:after="0"/>
        <w:jc w:val="left"/>
        <w:rPr>
          <w:rFonts w:ascii="Times New Roman" w:hAnsi="Times New Roman"/>
          <w:i/>
          <w:sz w:val="24"/>
        </w:rPr>
      </w:pPr>
      <w:r>
        <w:rPr>
          <w:rFonts w:ascii="Times New Roman" w:hAnsi="Times New Roman"/>
          <w:i/>
          <w:sz w:val="24"/>
        </w:rPr>
        <w:t xml:space="preserve">Phase 2 Clinical Trials </w:t>
      </w:r>
    </w:p>
    <w:p>
      <w:pPr>
        <w:pStyle w:val="TextBody"/>
        <w:spacing w:before="120" w:after="0"/>
        <w:jc w:val="left"/>
        <w:rPr>
          <w:rFonts w:ascii="Times New Roman" w:hAnsi="Times New Roman"/>
          <w:sz w:val="24"/>
        </w:rPr>
      </w:pPr>
      <w:r>
        <w:rPr>
          <w:rFonts w:ascii="Times New Roman" w:hAnsi="Times New Roman"/>
          <w:sz w:val="24"/>
        </w:rPr>
        <w:t xml:space="preserve">Although prior clinical trials of alvelestat were in respiratory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Phase 2 Clinical Trials in AATD </w:t>
      </w:r>
    </w:p>
    <w:p>
      <w:pPr>
        <w:pStyle w:val="TextBody"/>
        <w:spacing w:before="120" w:after="0"/>
        <w:jc w:val="left"/>
        <w:rPr>
          <w:rFonts w:ascii="Times New Roman" w:hAnsi="Times New Roman"/>
          <w:sz w:val="24"/>
        </w:rPr>
      </w:pPr>
      <w:r>
        <w:rPr>
          <w:rFonts w:ascii="Times New Roman" w:hAnsi="Times New Roman"/>
          <w:sz w:val="24"/>
        </w:rPr>
        <w:t xml:space="preserve">We successfully completed a Phase 2 proof-of-concept clinical trial of alvelestat in patients with severe AATD with emphysema in the United States and Europe. Due to the effects of the COVID-19 pandemic on this vulnerable population and the impact on enrollment timelines, we closed the study to enrollment at 99 patients at the end of 2021. This is lower than the protocol defined number of patients in the original study design. This was a 12-week, double-blind, placebo-controlled clinical trial examining two doses of alvelestat compared to placebo with three primary endpoints along the pathogenic pathway of lung disease in AATD patients. These primary endpoints were plasma desmosine (a biomarker of protease-driven elastin breakdown), Aα-Val360, a specific biomarker of NE proteolytic activity, and neutrophil elastase activity in blood. Secondary endpoints were safety, exacerbation frequency, and pharmacokinetics. Exploratory endpoints were St. Georges Respiratory Questionnaire (SGRQ) which is a patient-reported outcome of Respiratory Health Status and lung function tests, including FEV1. </w:t>
      </w:r>
    </w:p>
    <w:p>
      <w:pPr>
        <w:pStyle w:val="TextBody"/>
        <w:spacing w:before="240" w:after="0"/>
        <w:jc w:val="left"/>
        <w:rPr>
          <w:rFonts w:ascii="Times New Roman" w:hAnsi="Times New Roman"/>
          <w:sz w:val="24"/>
        </w:rPr>
      </w:pPr>
      <w:r>
        <w:rPr>
          <w:rFonts w:ascii="Times New Roman" w:hAnsi="Times New Roman"/>
          <w:sz w:val="24"/>
        </w:rPr>
        <w:t xml:space="preserve">We enrolled only adult patients with PiZZ or Null/Null genotypes or rare genotypes with severe deficiency of alpha-1 antitrypsin (&lt;11 microMolar) with confirmed emphysema, who have not received AAT augmentation therapy or have undergone a wash-out period following AAT augmentation therapy. </w:t>
      </w:r>
    </w:p>
    <w:p>
      <w:pPr>
        <w:pStyle w:val="TextBody"/>
        <w:spacing w:before="240" w:after="0"/>
        <w:jc w:val="left"/>
        <w:rPr>
          <w:rFonts w:ascii="Times New Roman" w:hAnsi="Times New Roman"/>
          <w:sz w:val="24"/>
        </w:rPr>
      </w:pPr>
      <w:r>
        <w:rPr>
          <w:rFonts w:ascii="Times New Roman" w:hAnsi="Times New Roman"/>
          <w:sz w:val="24"/>
        </w:rPr>
        <w:t xml:space="preserve">Following successful completion of the Phase 2 study, we received regulatory feedback from end-of-Phase 2 meetings with FDA and the EMA related to our alvelestat program for the treatment of severe AATD-LD. Based on clear recommendations from the FDA and the EMA, the Company is designing a single, global, Phase 3 study evaluating the 240 mg dose of alvelestat versus placebo in patients with severe AATD-LD to support applications for full marketing approvals in both the U.S. and EU. The Company’s proposed Phase 3 study has two independent primary endpoints, i) a Patient- Reported Outcome (PRO), as guided by the FDA, and ii) lung density measured by CT scan, as guided by the EMA. </w:t>
      </w:r>
    </w:p>
    <w:p>
      <w:pPr>
        <w:pStyle w:val="TextBody"/>
        <w:spacing w:before="240" w:after="0"/>
        <w:jc w:val="left"/>
        <w:rPr>
          <w:rFonts w:ascii="Times New Roman" w:hAnsi="Times New Roman"/>
          <w:sz w:val="24"/>
        </w:rPr>
      </w:pPr>
      <w:r>
        <w:rPr>
          <w:rFonts w:ascii="Times New Roman" w:hAnsi="Times New Roman"/>
          <w:sz w:val="24"/>
        </w:rPr>
        <w:t xml:space="preserve">The proposed primary endpoints are based on changes in the St. George’s Respiratory Questionnaire (SGRQ) Activity domain and in lung density measured by CT scan. Additional supportive secondary endpoints are being proposed, including biomarker-based endpoints that may provide sufficient data to validate the biomarkers for future studies. </w:t>
      </w:r>
    </w:p>
    <w:p>
      <w:pPr>
        <w:pStyle w:val="TextBody"/>
        <w:spacing w:before="240" w:after="0"/>
        <w:jc w:val="left"/>
        <w:rPr>
          <w:rFonts w:ascii="Times New Roman" w:hAnsi="Times New Roman"/>
          <w:sz w:val="24"/>
        </w:rPr>
      </w:pPr>
      <w:r>
        <w:rPr>
          <w:rFonts w:ascii="Times New Roman" w:hAnsi="Times New Roman"/>
          <w:sz w:val="24"/>
        </w:rPr>
        <w:t xml:space="preserve">If successful, this proposed Phase 3 study, with an expected duration of 12-18 months and an enrollment target of approximately 200 patients, is expected to support full regulatory approvals in both the U.S. and EU without an additional confirmatory trial. This could provide the Company with a path to full approval of alvelestat based on a Phase 3 trial similar in size and length to what would be required for an accelerated or conditional approval based on biomarkers. Mereo also believes that this proposed study, if successful, will support more productive initial reimbursement discussions with payors following potential regulatory approvals. </w:t>
      </w:r>
    </w:p>
    <w:p>
      <w:pPr>
        <w:pStyle w:val="TextBody"/>
        <w:spacing w:before="240" w:after="0"/>
        <w:jc w:val="left"/>
        <w:rPr>
          <w:rFonts w:ascii="Times New Roman" w:hAnsi="Times New Roman"/>
          <w:sz w:val="24"/>
        </w:rPr>
      </w:pPr>
      <w:r>
        <w:rPr>
          <w:rFonts w:ascii="Times New Roman" w:hAnsi="Times New Roman"/>
          <w:sz w:val="24"/>
        </w:rPr>
        <w:t xml:space="preserve">An investigator-led, placebo-controlled-Phase 2 study in AATD is ongoing in the US. This has enrolled 60 patients with SZ as well as ZZ or Null/Null and rare severe mutations, and includes dosing alvelestat on top of stable augmentation. This study will provide additional supportive data for use of alvelestat. No safety signals of concern have been detected through the regular Independent Data Monitoring Committee review. </w:t>
      </w:r>
    </w:p>
    <w:p>
      <w:pPr>
        <w:pStyle w:val="TextBody"/>
        <w:spacing w:before="240" w:after="0"/>
        <w:jc w:val="left"/>
        <w:rPr>
          <w:rFonts w:ascii="Times New Roman" w:hAnsi="Times New Roman"/>
          <w:sz w:val="24"/>
        </w:rPr>
      </w:pPr>
      <w:r>
        <w:rPr>
          <w:rFonts w:ascii="Times New Roman" w:hAnsi="Times New Roman"/>
          <w:sz w:val="24"/>
        </w:rPr>
        <w:t xml:space="preserve">We received an investment from, and are collaborating with, the venture philanthropy arm of the Alpha-1 Foundation, The Alpha-1 Project Inc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$0.4 million. On November 1, 2018, the first tranche of $0.1 million was received and as a result we issued 41,286 warrants to subscribe for our ordinary shares at an exercise price of £0.003 per share. On April 21, 2022, the second tranche of $0.2m was received, and 1,101,683 warrants to subscribe for our ordinary shares were issued at an exercise price of £0.003 per share. </w:t>
      </w:r>
    </w:p>
    <w:p>
      <w:pPr>
        <w:pStyle w:val="TextBody"/>
        <w:spacing w:before="240" w:after="0"/>
        <w:jc w:val="left"/>
        <w:rPr>
          <w:rFonts w:ascii="Times New Roman" w:hAnsi="Times New Roman"/>
          <w:i/>
          <w:sz w:val="24"/>
        </w:rPr>
      </w:pPr>
      <w:r>
        <w:rPr>
          <w:rFonts w:ascii="Times New Roman" w:hAnsi="Times New Roman"/>
          <w:i/>
          <w:sz w:val="24"/>
        </w:rPr>
        <w:t xml:space="preserve">Phase 1b/2 Clinical Trial in Bronchiolitis Obliterans Syndrome (BOS) </w:t>
      </w:r>
    </w:p>
    <w:p>
      <w:pPr>
        <w:pStyle w:val="TextBody"/>
        <w:spacing w:before="120" w:after="0"/>
        <w:jc w:val="left"/>
        <w:rPr>
          <w:rFonts w:ascii="Times New Roman" w:hAnsi="Times New Roman"/>
          <w:sz w:val="24"/>
        </w:rPr>
      </w:pPr>
      <w:r>
        <w:rPr>
          <w:rFonts w:ascii="Times New Roman" w:hAnsi="Times New Roman"/>
          <w:sz w:val="24"/>
        </w:rPr>
        <w:t xml:space="preserve">An investigator-sponsored open-label Phase1b/2 study in Bronchiolitis Obliterans Syndrome (BOS) following allogeneic stem cell transplant is being conducted to inform a potential future indication expansion strategy. The study uses within patient dose escalation from 60 mg BID up to 240 mg BID, over the initial 8 weeks of study, with treatment continued for up to 6 months. Interim results from 7 patients enrolled in the Phase 1b study were reported in December 2021 showing stabilization or improvement in lung function measured by Forced Expiratory Volume in 1 second, (FEV1) in 6 of 7 patients, and supportive biomarker responses, with reduction in neutrophil elastase and the mature elastin breakdown product (desmosine) and reductions in markers of collagen synthesis associated with fibrosis. The Phase 1b component (10 patients) has completed enrollment. Review of the safety and efficacy data from Phase 1 enabled the decision on the optimal dose and the study will progress to enroll up to an additional 24 patients to assess primary lung function endpoint in the Phase 2 component, with initiation in the second half of 2022. No safety signals have been detected in this study. </w:t>
      </w:r>
    </w:p>
    <w:p>
      <w:pPr>
        <w:pStyle w:val="TextBody"/>
        <w:spacing w:before="240" w:after="0"/>
        <w:jc w:val="left"/>
        <w:rPr>
          <w:rFonts w:ascii="Times New Roman" w:hAnsi="Times New Roman"/>
          <w:i/>
          <w:sz w:val="24"/>
        </w:rPr>
      </w:pPr>
      <w:r>
        <w:rPr>
          <w:rFonts w:ascii="Times New Roman" w:hAnsi="Times New Roman"/>
          <w:i/>
          <w:sz w:val="24"/>
        </w:rPr>
        <w:t xml:space="preserve">Phase 1b/2 Clinical Trial in Hospitalized Patients with COVID-19 Respiratory Disease </w:t>
      </w:r>
    </w:p>
    <w:p>
      <w:pPr>
        <w:pStyle w:val="TextBody"/>
        <w:spacing w:before="120" w:after="0"/>
        <w:jc w:val="left"/>
        <w:rPr>
          <w:rFonts w:ascii="Times New Roman" w:hAnsi="Times New Roman"/>
          <w:sz w:val="24"/>
        </w:rPr>
      </w:pPr>
      <w:r>
        <w:rPr>
          <w:rFonts w:ascii="Times New Roman" w:hAnsi="Times New Roman"/>
          <w:sz w:val="24"/>
        </w:rPr>
        <w:t xml:space="preserve">The top-line results of an investigator-initiated Phase 1b/2 double-blind, randomized, placebo-controlled study in hospitalized adult patients with COVID-19 Respiratory Disease were reported in December 2021. The results demonstrated a safety profile consistent with previous studies, and in the alvelestat arm, a reduction (an improvement) of 2 points or more in the World Health Organization (WHO) Severity Score in 62.5% (5/9) of the patients compared to 28.5% (2/7) of patients in the placebo arm at day 5. At day 7, 87.5% (7/8) of patients in the alvelstat arm had improved by 2 points or more compared to 57% (4/7) of patients in the placebo arm. Inflammatory and pro-coagulopathy biomarkers were also supportive. </w:t>
      </w:r>
    </w:p>
    <w:p>
      <w:pPr>
        <w:pStyle w:val="TextBody"/>
        <w:spacing w:before="360" w:after="0"/>
        <w:jc w:val="left"/>
        <w:rPr>
          <w:rFonts w:ascii="Times New Roman" w:hAnsi="Times New Roman"/>
          <w:b/>
          <w:sz w:val="24"/>
        </w:rPr>
      </w:pPr>
      <w:r>
        <w:rPr>
          <w:rFonts w:ascii="Times New Roman" w:hAnsi="Times New Roman"/>
          <w:b/>
          <w:sz w:val="24"/>
        </w:rPr>
        <w:t xml:space="preserve">Etigilimab (MPH-313) for the Treatment of Advanced Solid Tumors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We acquired etigilimab in the Merger with Mereo BioPharma 5 (formerly OncoMed Pharmaceuticals, Inc.) in 2019. TIGIT (T-cell immunoreceptor with Ig and ITIM domains) is an inhibitory receptor and via interactions with its ligands may block T-cells from attacking tumor cells. The anti-TIGIT therapeutic candidate, etigilimab, is an IgG1 human-specific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antibody. It is intended to activate the immune system, through multiple mechanisms and enable anti- tumor activity. 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antibody treatment reduced the abundance of regulatory T-cells (Tregs) within tumors in animal models, and mechanistic studies that demonstrated an important contribution of effector function for anti-tumor efficacy in animal models was presented. </w:t>
      </w:r>
    </w:p>
    <w:p>
      <w:pPr>
        <w:pStyle w:val="TextBody"/>
        <w:spacing w:before="360" w:after="0"/>
        <w:jc w:val="left"/>
        <w:rPr>
          <w:rFonts w:ascii="Times New Roman" w:hAnsi="Times New Roman"/>
          <w:b/>
          <w:i/>
          <w:sz w:val="24"/>
        </w:rPr>
      </w:pPr>
      <w:r>
        <w:rPr>
          <w:rFonts w:ascii="Times New Roman" w:hAnsi="Times New Roman"/>
          <w:b/>
          <w:i/>
          <w:sz w:val="24"/>
        </w:rPr>
        <w:t xml:space="preserve">Our Approach </w:t>
      </w:r>
    </w:p>
    <w:p>
      <w:pPr>
        <w:pStyle w:val="TextBody"/>
        <w:spacing w:before="120" w:after="0"/>
        <w:jc w:val="left"/>
        <w:rPr>
          <w:rFonts w:ascii="Times New Roman" w:hAnsi="Times New Roman"/>
          <w:sz w:val="24"/>
        </w:rPr>
      </w:pPr>
      <w:r>
        <w:rPr>
          <w:rFonts w:ascii="Times New Roman" w:hAnsi="Times New Roman"/>
          <w:sz w:val="24"/>
        </w:rPr>
        <w:t xml:space="preserve">A Phase 1a/b clinical trial of etigilimab enrolled patients with advanced solid tumors into either a Phase 1a single-agent portion (dose escalation in all patients and expansion in selected tumor types) or Phase 1b combination portion in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six other tumor types. No dose limiting toxicities were observed in the Phase 1a or 1b portions of the study. The most common reported related TEAEs in the Phase 1a portion of the study were pruritus (4 patients, 17.4%) and fatigue, nausea, rash and maculopapular rash (each reported by 3 patients, 8.7%). In the Phase 1b portion of the study, the most common reported related TEAEs were fatigue (3 patients, 30.0%) and pruritus, rash, and pruritic rash (each reported by 2 patients, 20.0%). There was only one treatment-related serious adverse event in the Phase 1a portion (autoimmune hepatitis) and there were no treatment-related serious adverse events in the Phase 1b portion of the study. </w:t>
      </w:r>
    </w:p>
    <w:p>
      <w:pPr>
        <w:pStyle w:val="TextBody"/>
        <w:spacing w:before="240" w:after="0"/>
        <w:jc w:val="left"/>
        <w:rPr>
          <w:rFonts w:ascii="Times New Roman" w:hAnsi="Times New Roman"/>
          <w:sz w:val="24"/>
        </w:rPr>
      </w:pPr>
      <w:r>
        <w:rPr>
          <w:rFonts w:ascii="Times New Roman" w:hAnsi="Times New Roman"/>
          <w:sz w:val="24"/>
        </w:rPr>
        <w:t xml:space="preserve">None of the patients in the Phase 1a portion had an objective response and 30% had stable disease. One of the ten patients in the Phase 1b portion had an objective response and one additional patient had stable disease. The study has now completed enrollment. A biomarker analysis of patients enrolled in the Phase 1a portion (single agent etigilimab) revealed a dose-dependent reduction of peripheral Tregulatory cells (Treg) with no change evident in circulating CD8 cells, resulting in an increased CD8/Treg ratio. The study also revealed increased proliferation and activation of effector Tcells and NK cells in response to etigilimab. </w:t>
      </w:r>
    </w:p>
    <w:p>
      <w:pPr>
        <w:pStyle w:val="TextBody"/>
        <w:spacing w:before="240" w:after="0"/>
        <w:jc w:val="left"/>
        <w:rPr>
          <w:rFonts w:ascii="Times New Roman" w:hAnsi="Times New Roman"/>
          <w:sz w:val="24"/>
        </w:rPr>
      </w:pPr>
      <w:r>
        <w:rPr>
          <w:rFonts w:ascii="Times New Roman" w:hAnsi="Times New Roman"/>
          <w:sz w:val="24"/>
        </w:rPr>
        <w:t xml:space="preserve">We have completed enrollment in an open label Phase1b/2 basket study (the ACTIVATE study) evaluating etigilimab in combination with nivolumab on three rare tumors, two specific subtypes of soft-tissue sarcomas, uveal melanoma and testicular germ cell cancer, three gynecological carcinomas, cervical, endometrial and ovarian carcinomas and any solid tumor with high mutation burden, all in the recurrent/metastatic setting. These indications were selected based on observations of clinical activity in our prior Phase 1a/1b study and/or based on a comprehensive biomarker analysis of solid tumors which revealed tumor types with a high prevalence of expression of TIGIT and its principal ligand poliovirus receptor (PVR) and concordant expression of TIGIT and PD1. The selected tumor types have shown responsiveness to anti-PD1 therapies with response rates generally ranging from 5-20%. The combination of etigilimab and anti-PD1 may lead to improved responses in these patients. </w:t>
      </w:r>
    </w:p>
    <w:p>
      <w:pPr>
        <w:pStyle w:val="TextBody"/>
        <w:spacing w:before="240" w:after="0"/>
        <w:jc w:val="left"/>
        <w:rPr>
          <w:rFonts w:ascii="Times New Roman" w:hAnsi="Times New Roman"/>
          <w:sz w:val="24"/>
        </w:rPr>
      </w:pPr>
      <w:r>
        <w:rPr>
          <w:rFonts w:ascii="Times New Roman" w:hAnsi="Times New Roman"/>
          <w:sz w:val="24"/>
        </w:rPr>
        <w:t xml:space="preserve">We enrolled a total of 76 patients in the Phase 1b part of the study. The trial is evaluating objective response rate as a primary endpoint and is also evaluating safety, duration of response, pharmacokinetics, anti-drug antibodies, progression-free survival and additional secondary and exploratory endpoints. The study was designed to expand select cohorts of patients, based on outcomes, to further evaluate responses to etigilimab and anti-PD1. Biomarker analyses have been conducted on tumor tissues and blood samples from treated patients, including quantification of levels of tumor- associated TIGIT, PVR and related biomarkers to evaluate their potential utility for selecting patients most likely to respond to the combination of etigilimab and anti-PD1. </w:t>
      </w:r>
    </w:p>
    <w:p>
      <w:pPr>
        <w:pStyle w:val="TextBody"/>
        <w:spacing w:before="240" w:after="0"/>
        <w:jc w:val="left"/>
        <w:rPr>
          <w:rFonts w:ascii="Times New Roman" w:hAnsi="Times New Roman"/>
          <w:sz w:val="24"/>
        </w:rPr>
      </w:pPr>
      <w:r>
        <w:rPr>
          <w:rFonts w:ascii="Times New Roman" w:hAnsi="Times New Roman"/>
          <w:sz w:val="24"/>
        </w:rPr>
        <w:t xml:space="preserve">We reported an interim clinical and biomarker data update on this study in September 2022. At the time of the data cut-off, there were 63 efficacy-evaluable checkpoint inhibitor-naïve (CPI-naive) subjects with a minimum of 1 staging scan at 8 (+/-1) weeks and RECIST 1.1 response assessment or documented clinical progression.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As at the cut-off date, there 3/7 CPI-naïve cervical cancer subjects who had confirmed complete responses (cCRs), with duration on study of &gt;143 days, 162 days and &gt; 284 days. Two additional patients had stable disease (SD). Overall, the cervical cancer cohort had an objective response rate of 43% and a disease control rate of 71%. </w:t>
      </w:r>
    </w:p>
    <w:p>
      <w:pPr>
        <w:pStyle w:val="TextBody"/>
        <w:spacing w:before="240" w:after="0"/>
        <w:jc w:val="left"/>
        <w:rPr>
          <w:rFonts w:ascii="Times New Roman" w:hAnsi="Times New Roman"/>
          <w:sz w:val="24"/>
        </w:rPr>
      </w:pPr>
      <w:r>
        <w:rPr>
          <w:rFonts w:ascii="Times New Roman" w:hAnsi="Times New Roman"/>
          <w:sz w:val="24"/>
        </w:rPr>
        <w:t xml:space="preserve">Additionally, as of the cut-off date, 1/6 CPI-naïve metastatic uveal melanoma subjects had confirmed partial response (cPR) at &gt;347 days and 2 subjects had SD for 175 and 294 days for an ORR of 17% and DCR of 50%. </w:t>
      </w:r>
    </w:p>
    <w:p>
      <w:pPr>
        <w:pStyle w:val="TextBody"/>
        <w:spacing w:before="240" w:after="0"/>
        <w:jc w:val="left"/>
        <w:rPr>
          <w:rFonts w:ascii="Times New Roman" w:hAnsi="Times New Roman"/>
          <w:sz w:val="24"/>
        </w:rPr>
      </w:pPr>
      <w:r>
        <w:rPr>
          <w:rFonts w:ascii="Times New Roman" w:hAnsi="Times New Roman"/>
          <w:sz w:val="24"/>
        </w:rPr>
        <w:t xml:space="preserve">Biomarker data presented at ESMO 2022 evaluated tumors for baseline expression of PVR, TIGIT, PD-L1 and CD 226 by multiple modalities including immunohistochemistry (IHC) assays. High PVR expression was observed in subjects with decreases in target lesions (TL) from baseline and RECIST 1.1 responses. Additional noteworthy responses observed in subjects with cancer types not typically responsive to CPI monotherapy, with tumors that had high PVR expression and were either PD-L1 negative (CPS &lt;1%), or PD-L1 low (CPS≤3%) include, (i) an ovarian PR (-80% target lesion (TL) decrease, ongoing &gt;255 days, PD-L1 negative), (ii) an endometrial PR (-69% TL decrease, ongoing &gt;150 days, MMR proficient, PD-L1 CPS=3%), (iii) a dedifferentiated liposarcoma PR (-80% TL decrease, ongoing cPR &gt;267 days, high TIGIT, PD-L1 CPS=1%), and (iv) a recurrent/metastatic testicular GCT patient with stable, near normalization of elevated tumor marker alpha feto protein (doing well clinically on study &gt;127 days), PD-L1 negative. The presentation at ESMO 2022 demonstrated robust target engagement in patients as evidenced by significant decreases in peripheral T regulatory cells while maintaining circulation levels of CD8 cells. Increases in proliferating T-cells subsets (CD8, CD4), proliferating NK cells, and intracellular cytokines (IFNg, IL2, and TNFa) were observed and sustained longitudinally. Additionally, etigilimab plus nivolumab reduced TPEX cells (CD8+CCR7+PD1+TIGIT+), progenitor cells believed to be committed to an exhausted-like fate. Further data was reported showing reductions in circulating tumor DNA (ctDNA) measured at ~5-6 weeks post-treatment correlated with clinical benefit. </w:t>
      </w:r>
    </w:p>
    <w:p>
      <w:pPr>
        <w:pStyle w:val="TextBody"/>
        <w:spacing w:before="240" w:after="0"/>
        <w:jc w:val="left"/>
        <w:rPr>
          <w:rFonts w:ascii="Times New Roman" w:hAnsi="Times New Roman"/>
          <w:sz w:val="24"/>
        </w:rPr>
      </w:pPr>
      <w:r>
        <w:rPr>
          <w:rFonts w:ascii="Times New Roman" w:hAnsi="Times New Roman"/>
          <w:sz w:val="24"/>
        </w:rPr>
        <w:t xml:space="preserve">In April 2021, the Company entered into a partnership with Cancer Focus Fund for a Phase 1b/2 study of etigilimab in clear cell ovarian cancer to be conducted at The University of Texas MD Anderson Cancer Center. The Phase 1b/2 study of etigilimab in combination with nivolumab, in clear cell ovarian cancer, is being financed by Cancer Focus Fund in exchange for upfront consideration of $1.5 million of the Company’s shares and additional payments based on the achievement of certain milestones. Clear cell ovarian cancer is a rare cancer that accounts for approximately 5 to 10% of all ovarian carcimomas in North America. MD Anderson are planning to follow the per protocol procedure to expand the Phase 1b/2 study from an initial 10 patients to 20 patients in the Phase 2 portion of the study. </w:t>
      </w:r>
    </w:p>
    <w:p>
      <w:pPr>
        <w:pStyle w:val="TextBody"/>
        <w:spacing w:before="240" w:after="0"/>
        <w:jc w:val="left"/>
        <w:rPr>
          <w:rFonts w:ascii="Times New Roman" w:hAnsi="Times New Roman"/>
          <w:sz w:val="24"/>
        </w:rPr>
      </w:pPr>
      <w:r>
        <w:rPr>
          <w:rFonts w:ascii="Times New Roman" w:hAnsi="Times New Roman"/>
          <w:sz w:val="24"/>
        </w:rPr>
        <w:t xml:space="preserve">We have worldwide rights to etigilimab. </w:t>
      </w:r>
    </w:p>
    <w:p>
      <w:pPr>
        <w:pStyle w:val="TextBody"/>
        <w:spacing w:before="360" w:after="0"/>
        <w:jc w:val="left"/>
        <w:rPr>
          <w:rFonts w:ascii="Times New Roman" w:hAnsi="Times New Roman"/>
          <w:b/>
          <w:i/>
          <w:sz w:val="24"/>
        </w:rPr>
      </w:pPr>
      <w:r>
        <w:rPr>
          <w:rFonts w:ascii="Times New Roman" w:hAnsi="Times New Roman"/>
          <w:b/>
          <w:i/>
          <w:sz w:val="24"/>
        </w:rPr>
        <w:t xml:space="preserve">Partnered Programs and Programs Available for Partnering </w:t>
      </w:r>
    </w:p>
    <w:p>
      <w:pPr>
        <w:pStyle w:val="TextBody"/>
        <w:spacing w:before="120" w:after="0"/>
        <w:jc w:val="left"/>
        <w:rPr>
          <w:rFonts w:ascii="Times New Roman" w:hAnsi="Times New Roman"/>
          <w:b/>
          <w:sz w:val="24"/>
        </w:rPr>
      </w:pPr>
      <w:r>
        <w:rPr>
          <w:rFonts w:ascii="Times New Roman" w:hAnsi="Times New Roman"/>
          <w:b/>
          <w:sz w:val="24"/>
        </w:rPr>
        <w:t xml:space="preserve">Navicixizumab (OMP-305B83) for Treatment of Ovarian Cancer </w:t>
      </w:r>
    </w:p>
    <w:p>
      <w:pPr>
        <w:pStyle w:val="TextBody"/>
        <w:spacing w:before="120" w:after="0"/>
        <w:jc w:val="left"/>
        <w:rPr>
          <w:rFonts w:ascii="Times New Roman" w:hAnsi="Times New Roman"/>
          <w:sz w:val="24"/>
        </w:rPr>
      </w:pPr>
      <w:r>
        <w:rPr>
          <w:rFonts w:ascii="Times New Roman" w:hAnsi="Times New Roman"/>
          <w:sz w:val="24"/>
        </w:rPr>
        <w:t xml:space="preserve">We acquired Navicixizumab (“Navi”) in the Merger. In January 2020, we out-licensed Navi to OncXerna. See “— Material Agreements—Licensing Agreement for Navicixizumab.” In addition, Navi is the subject of the CVR Agreement which sets forth certain rights and obligations of us with respect to Navi. See “—Material Agreements—CVR Agreement Between Us and Computershare—The NAVI Milestones.” </w:t>
      </w:r>
    </w:p>
    <w:p>
      <w:pPr>
        <w:pStyle w:val="TextBody"/>
        <w:spacing w:before="240" w:after="0"/>
        <w:jc w:val="left"/>
        <w:rPr>
          <w:rFonts w:ascii="Times New Roman" w:hAnsi="Times New Roman"/>
          <w:sz w:val="24"/>
        </w:rPr>
      </w:pPr>
      <w:r>
        <w:rPr>
          <w:rFonts w:ascii="Times New Roman" w:hAnsi="Times New Roman"/>
          <w:sz w:val="24"/>
        </w:rPr>
        <w:t xml:space="preserve">In September 2022, OncXerna announced the initiation of dosing in a Phase 2 basket trial evaluating the anti-DLL4/VEGF bispecific antibody navicixizumab, alone or in combination with chemotherapy, in patients with select advanced solid tumors. The trial is a multicenter, open-label, signal finding study with cohorts in colorectal and triple negative breast cancer currently open for enrollment. The colorectal cancer cohort is evaluating navicixizumab alone and in combination with irinotecan, while the triple negative breast cancer cohort is evaluating navicixizumab alone and in combination with paclitaxel. Per the trial protocol, two additional cohorts designed to enroll patients with ovarian cancer and gastric or gastroesophageal cancer may be opened in the future. </w:t>
      </w:r>
    </w:p>
    <w:p>
      <w:pPr>
        <w:pStyle w:val="TextBody"/>
        <w:spacing w:before="360" w:after="0"/>
        <w:jc w:val="left"/>
        <w:rPr>
          <w:rFonts w:ascii="Times New Roman" w:hAnsi="Times New Roman"/>
          <w:b/>
          <w:sz w:val="24"/>
        </w:rPr>
      </w:pPr>
      <w:r>
        <w:rPr>
          <w:rFonts w:ascii="Times New Roman" w:hAnsi="Times New Roman"/>
          <w:b/>
          <w:sz w:val="24"/>
        </w:rPr>
        <w:t xml:space="preserve">Acumapimod (BCT-197) for the Treatment of AECOPD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Acumapimod is a novel, orally active p38 MAP kinase inhibitor in development for first-line acute therapy in patients with a severe hospitalized AECOPD. </w:t>
      </w:r>
    </w:p>
    <w:p>
      <w:pPr>
        <w:pStyle w:val="TextBody"/>
        <w:spacing w:before="360" w:after="0"/>
        <w:jc w:val="left"/>
        <w:rPr>
          <w:rFonts w:ascii="Times New Roman" w:hAnsi="Times New Roman"/>
          <w:b/>
          <w:i/>
          <w:sz w:val="24"/>
        </w:rPr>
      </w:pPr>
      <w:r>
        <w:rPr>
          <w:rFonts w:ascii="Times New Roman" w:hAnsi="Times New Roman"/>
          <w:b/>
          <w:i/>
          <w:sz w:val="24"/>
        </w:rPr>
        <w:t xml:space="preserve">Background of COPD and AECOPD </w:t>
      </w:r>
    </w:p>
    <w:p>
      <w:pPr>
        <w:pStyle w:val="TextBody"/>
        <w:spacing w:before="120" w:after="0"/>
        <w:jc w:val="left"/>
        <w:rPr>
          <w:rFonts w:ascii="Times New Roman" w:hAnsi="Times New Roman"/>
          <w:sz w:val="24"/>
        </w:rPr>
      </w:pPr>
      <w:r>
        <w:rPr>
          <w:rFonts w:ascii="Times New Roman" w:hAnsi="Times New Roman"/>
          <w:sz w:val="24"/>
        </w:rPr>
        <w:t xml:space="preserve">Of all COPD-related hospital admissions in the United States, approximately 63% are for AECOPD patients, representing more than 1.5 million emergency room visits in the United States accounting for approximately 45% to 50% of the total direct costs of COPD. </w:t>
      </w:r>
    </w:p>
    <w:p>
      <w:pPr>
        <w:pStyle w:val="TextBody"/>
        <w:spacing w:before="360" w:after="0"/>
        <w:jc w:val="left"/>
        <w:rPr>
          <w:rFonts w:ascii="Times New Roman" w:hAnsi="Times New Roman"/>
          <w:b/>
          <w:i/>
          <w:sz w:val="24"/>
        </w:rPr>
      </w:pPr>
      <w:r>
        <w:rPr>
          <w:rFonts w:ascii="Times New Roman" w:hAnsi="Times New Roman"/>
          <w:b/>
          <w:i/>
          <w:sz w:val="24"/>
        </w:rPr>
        <w:t xml:space="preserve">Current Treatment Landscape of AECOPD </w:t>
      </w:r>
    </w:p>
    <w:p>
      <w:pPr>
        <w:pStyle w:val="TextBody"/>
        <w:spacing w:before="120" w:after="0"/>
        <w:jc w:val="left"/>
        <w:rPr>
          <w:rFonts w:ascii="Times New Roman" w:hAnsi="Times New Roman"/>
          <w:sz w:val="24"/>
        </w:rPr>
      </w:pPr>
      <w:r>
        <w:rPr>
          <w:rFonts w:ascii="Times New Roman" w:hAnsi="Times New Roman"/>
          <w:sz w:val="24"/>
        </w:rPr>
        <w:t xml:space="preserve">The current recommended management for AECOPD includes bronchodilators, systemic corticosteroids and antibiotics, and with supportive oxygen therapy. We believe that there is a significant medical need for a drug which to improve the outcome of severe hospitalized AECOPDs. </w:t>
      </w:r>
    </w:p>
    <w:p>
      <w:pPr>
        <w:pStyle w:val="TextBody"/>
        <w:spacing w:before="360" w:after="0"/>
        <w:jc w:val="left"/>
        <w:rPr>
          <w:rFonts w:ascii="Times New Roman" w:hAnsi="Times New Roman"/>
          <w:b/>
          <w:i/>
          <w:sz w:val="24"/>
        </w:rPr>
      </w:pPr>
      <w:r>
        <w:rPr>
          <w:rFonts w:ascii="Times New Roman" w:hAnsi="Times New Roman"/>
          <w:b/>
          <w:i/>
          <w:sz w:val="24"/>
        </w:rPr>
        <w:t xml:space="preserve">Clinical Development of Acumapimod </w:t>
      </w:r>
    </w:p>
    <w:p>
      <w:pPr>
        <w:pStyle w:val="TextBody"/>
        <w:spacing w:before="120" w:after="0"/>
        <w:jc w:val="left"/>
        <w:rPr>
          <w:rFonts w:ascii="Times New Roman" w:hAnsi="Times New Roman"/>
          <w:i/>
          <w:sz w:val="24"/>
        </w:rPr>
      </w:pPr>
      <w:r>
        <w:rPr>
          <w:rFonts w:ascii="Times New Roman" w:hAnsi="Times New Roman"/>
          <w:i/>
          <w:sz w:val="24"/>
        </w:rPr>
        <w:t xml:space="preserve">Phase 2 Dose-Ranging Clinical Trial in Severe AECOPD </w:t>
      </w:r>
    </w:p>
    <w:p>
      <w:pPr>
        <w:pStyle w:val="TextBody"/>
        <w:spacing w:before="120" w:after="0"/>
        <w:jc w:val="left"/>
        <w:rPr>
          <w:rFonts w:ascii="Times New Roman" w:hAnsi="Times New Roman"/>
          <w:sz w:val="24"/>
        </w:rPr>
      </w:pPr>
      <w:r>
        <w:rPr>
          <w:rFonts w:ascii="Times New Roman" w:hAnsi="Times New Roman"/>
          <w:sz w:val="24"/>
        </w:rPr>
        <w:t xml:space="preserve">Two dosing regimens of acumapimod were compared to placebo, in patients hospitalized for AECOPD. Both showed a statistically significant change in FEV1 from baseline to Day 7. The high-dose acumapimod group showed a greater than 50% reduction in the number of rehospitalization for recurrent AECOPD compared to the placebo group, at Days 90 through 150. Acumapimod was observed to be generally safe and well tolerated. In 2019, end of Phase 2 and Scientific Advice meetings were held with the FDA and EMA enabling design of a global Phase 3 program. </w:t>
      </w:r>
    </w:p>
    <w:p>
      <w:pPr>
        <w:pStyle w:val="TextBody"/>
        <w:spacing w:before="240" w:after="0"/>
        <w:jc w:val="left"/>
        <w:rPr>
          <w:rFonts w:ascii="Times New Roman" w:hAnsi="Times New Roman"/>
          <w:sz w:val="24"/>
        </w:rPr>
      </w:pPr>
      <w:r>
        <w:rPr>
          <w:rFonts w:ascii="Times New Roman" w:hAnsi="Times New Roman"/>
          <w:sz w:val="24"/>
        </w:rPr>
        <w:t xml:space="preserve">We intend to explore out-licensing or sale opportunities with third parties for further funding and development of acumapimod. </w:t>
      </w:r>
    </w:p>
    <w:p>
      <w:pPr>
        <w:pStyle w:val="TextBody"/>
        <w:spacing w:before="360" w:after="0"/>
        <w:jc w:val="left"/>
        <w:rPr>
          <w:rFonts w:ascii="Times New Roman" w:hAnsi="Times New Roman"/>
          <w:b/>
          <w:sz w:val="24"/>
        </w:rPr>
      </w:pPr>
      <w:r>
        <w:rPr>
          <w:rFonts w:ascii="Times New Roman" w:hAnsi="Times New Roman"/>
          <w:b/>
          <w:sz w:val="24"/>
        </w:rPr>
        <w:t xml:space="preserve">Leflutrozole (BGS-649) for the Treatment of Hypogonadotropic Hypogonadism (HH)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Leflutrozole is in development for the treatment of infertility associated with HH in obese and overweight men. Leflutrozole is a once-weekly oral aromatase inhibitor designed to normalize testosterone levels. In Phase 2 trials leflutrozole was also shown to increase fertility parameters. </w:t>
      </w:r>
    </w:p>
    <w:p>
      <w:pPr>
        <w:pStyle w:val="TextBody"/>
        <w:spacing w:before="360" w:after="0"/>
        <w:jc w:val="left"/>
        <w:rPr>
          <w:rFonts w:ascii="Times New Roman" w:hAnsi="Times New Roman"/>
          <w:b/>
          <w:i/>
          <w:sz w:val="24"/>
        </w:rPr>
      </w:pPr>
      <w:r>
        <w:rPr>
          <w:rFonts w:ascii="Times New Roman" w:hAnsi="Times New Roman"/>
          <w:b/>
          <w:i/>
          <w:sz w:val="24"/>
        </w:rPr>
        <w:t xml:space="preserve">Background of Infertility Associated with Hypogonadotropic Hypogonadism in Obese and Overweight Men </w:t>
      </w:r>
    </w:p>
    <w:p>
      <w:pPr>
        <w:pStyle w:val="TextBody"/>
        <w:spacing w:before="120" w:after="0"/>
        <w:jc w:val="left"/>
        <w:rPr>
          <w:rFonts w:ascii="Times New Roman" w:hAnsi="Times New Roman"/>
          <w:sz w:val="24"/>
        </w:rPr>
      </w:pPr>
      <w:r>
        <w:rPr>
          <w:rFonts w:ascii="Times New Roman" w:hAnsi="Times New Roman"/>
          <w:sz w:val="24"/>
        </w:rPr>
        <w:t xml:space="preserve">Symptoms that are most commonly associated with testosterone deficiency include reduced libido, erectile dysfunction, along with a decrease sperm counts. Overweight and obesity is associated with increased levels of aromatase. Aromatase converts testosterone to estradiol, which directly suppresses gonadotropins, Follicle Stimulating Hormone (FSH) and Luteinizing Hormone (LH), leading to testicular dysfunction, with impaired production of testosterone and sperm, resulting in infertility. Inhibition of excess aromatase may increase the levels of FSH and LH, resulting in normalization of testosterone production and improving sperm counts and potentially fertility.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Current Treatment Landscape of Infertility Associated with Hypogonadotropic Hypogonadism in Obese and Overweight men </w:t>
      </w:r>
    </w:p>
    <w:p>
      <w:pPr>
        <w:pStyle w:val="TextBody"/>
        <w:spacing w:before="120" w:after="0"/>
        <w:jc w:val="left"/>
        <w:rPr>
          <w:rFonts w:ascii="Times New Roman" w:hAnsi="Times New Roman"/>
          <w:sz w:val="24"/>
        </w:rPr>
      </w:pPr>
      <w:r>
        <w:rPr>
          <w:rFonts w:ascii="Times New Roman" w:hAnsi="Times New Roman"/>
          <w:sz w:val="24"/>
        </w:rPr>
        <w:t xml:space="preserve">The current treatment is with injectable FSH, either alone, or in combination with injectable Human Chorionic Gonadotropin which has LH-like activity. If unsuccessful, Assisted Reproductive Technology (ART) using intrauterine insemination, in vitro fertilization and intracytoplasmic sperm injection, and including testicular sperm extraction for those with very low sperm count may be required. </w:t>
      </w:r>
    </w:p>
    <w:p>
      <w:pPr>
        <w:pStyle w:val="TextBody"/>
        <w:spacing w:before="360" w:after="0"/>
        <w:jc w:val="left"/>
        <w:rPr>
          <w:rFonts w:ascii="Times New Roman" w:hAnsi="Times New Roman"/>
          <w:b/>
          <w:i/>
          <w:sz w:val="24"/>
        </w:rPr>
      </w:pPr>
      <w:r>
        <w:rPr>
          <w:rFonts w:ascii="Times New Roman" w:hAnsi="Times New Roman"/>
          <w:b/>
          <w:i/>
          <w:sz w:val="24"/>
        </w:rPr>
        <w:t xml:space="preserve">Clinical Development of Leflutrozole </w:t>
      </w:r>
    </w:p>
    <w:p>
      <w:pPr>
        <w:pStyle w:val="TextBody"/>
        <w:spacing w:before="120" w:after="0"/>
        <w:jc w:val="left"/>
        <w:rPr>
          <w:rFonts w:ascii="Times New Roman" w:hAnsi="Times New Roman"/>
          <w:i/>
          <w:sz w:val="24"/>
        </w:rPr>
      </w:pPr>
      <w:r>
        <w:rPr>
          <w:rFonts w:ascii="Times New Roman" w:hAnsi="Times New Roman"/>
          <w:i/>
          <w:sz w:val="24"/>
        </w:rPr>
        <w:t xml:space="preserve">Phase 2b Clinical Trial in Hypogonadotropic Hypogonadism </w:t>
      </w:r>
    </w:p>
    <w:p>
      <w:pPr>
        <w:pStyle w:val="TextBody"/>
        <w:spacing w:before="120" w:after="0"/>
        <w:jc w:val="left"/>
        <w:rPr>
          <w:rFonts w:ascii="Times New Roman" w:hAnsi="Times New Roman"/>
          <w:sz w:val="24"/>
        </w:rPr>
      </w:pPr>
      <w:r>
        <w:rPr>
          <w:rFonts w:ascii="Times New Roman" w:hAnsi="Times New Roman"/>
          <w:sz w:val="24"/>
        </w:rPr>
        <w:t xml:space="preserve">We conducted a randomized double-blind, dose-ranging, trial of three doses of leflutrozole or placebo in obese males with HH. The primary endpoint of the trial was percentage of patients whose testosterone levels normalized at week 24. Other endpoints were, changes in gonadotropins LH and FSH, sexual function and semen analysis, and evaluation of safety and tolerability. </w:t>
      </w:r>
    </w:p>
    <w:p>
      <w:pPr>
        <w:pStyle w:val="TextBody"/>
        <w:spacing w:before="240" w:after="0"/>
        <w:jc w:val="left"/>
        <w:rPr>
          <w:rFonts w:ascii="Times New Roman" w:hAnsi="Times New Roman"/>
          <w:sz w:val="24"/>
        </w:rPr>
      </w:pPr>
      <w:r>
        <w:rPr>
          <w:rFonts w:ascii="Times New Roman" w:hAnsi="Times New Roman"/>
          <w:sz w:val="24"/>
        </w:rPr>
        <w:t xml:space="preserve">All doses of leflutrozole normalized total testosterone levels in over 75% of subjects after 24 weeks of treatment, with a dose-dependent increase in both LH and FSH. The trial also showed an improvement in sperm counts. There was no effect on exploratory measures of erectile dysfunction and low libido. </w:t>
      </w:r>
    </w:p>
    <w:p>
      <w:pPr>
        <w:pStyle w:val="TextBody"/>
        <w:spacing w:before="240" w:after="0"/>
        <w:jc w:val="left"/>
        <w:rPr>
          <w:rFonts w:ascii="Times New Roman" w:hAnsi="Times New Roman"/>
          <w:sz w:val="24"/>
        </w:rPr>
      </w:pPr>
      <w:r>
        <w:rPr>
          <w:rFonts w:ascii="Times New Roman" w:hAnsi="Times New Roman"/>
          <w:sz w:val="24"/>
        </w:rPr>
        <w:t xml:space="preserve">Leflutrozole was observed to be well tolerated. An increased incidence of elevated haematocrit levels was observed in each of the treatment arms of the trial, consistent with increasing testosterone levels, with a small increase in blood pressure at the two highest doses. A subset of patients entered into a six-month extension study to examine if leflutrozole resulted in reduction in bone mineral density (BMD) at 48 weeks of treatment. None of the doses met the lower bound of the pre-specified safety criterion of reduction in BMD. </w:t>
      </w:r>
    </w:p>
    <w:p>
      <w:pPr>
        <w:pStyle w:val="TextBody"/>
        <w:spacing w:before="240" w:after="0"/>
        <w:jc w:val="left"/>
        <w:rPr>
          <w:rFonts w:ascii="Times New Roman" w:hAnsi="Times New Roman"/>
          <w:sz w:val="24"/>
        </w:rPr>
      </w:pPr>
      <w:r>
        <w:rPr>
          <w:rFonts w:ascii="Times New Roman" w:hAnsi="Times New Roman"/>
          <w:sz w:val="24"/>
        </w:rPr>
        <w:t xml:space="preserve">We concluded that the future development of leflutrozole should focus on male infertility associated with HH. We intend to develop a clinical and regulatory path accordingly. We intend to explore out-licensing or sale opportunities with third parties for the further development of leflutrozole. </w:t>
      </w:r>
    </w:p>
    <w:p>
      <w:pPr>
        <w:pStyle w:val="TextBody"/>
        <w:spacing w:before="360" w:after="0"/>
        <w:jc w:val="left"/>
        <w:rPr>
          <w:rFonts w:ascii="Times New Roman" w:hAnsi="Times New Roman"/>
          <w:b/>
          <w:sz w:val="24"/>
        </w:rPr>
      </w:pPr>
      <w:r>
        <w:rPr>
          <w:rFonts w:ascii="Times New Roman" w:hAnsi="Times New Roman"/>
          <w:b/>
          <w:sz w:val="24"/>
        </w:rPr>
        <w:t xml:space="preserve">Material Agreements </w:t>
      </w:r>
    </w:p>
    <w:p>
      <w:pPr>
        <w:pStyle w:val="TextBody"/>
        <w:spacing w:before="120" w:after="0"/>
        <w:jc w:val="left"/>
        <w:rPr>
          <w:rFonts w:ascii="Times New Roman" w:hAnsi="Times New Roman"/>
          <w:b/>
          <w:i/>
          <w:sz w:val="24"/>
        </w:rPr>
      </w:pPr>
      <w:r>
        <w:rPr>
          <w:rFonts w:ascii="Times New Roman" w:hAnsi="Times New Roman"/>
          <w:b/>
          <w:i/>
          <w:sz w:val="24"/>
        </w:rPr>
        <w:t xml:space="preserve">Licensing Agreement with Ultragenyx for setrusumab </w:t>
      </w:r>
    </w:p>
    <w:p>
      <w:pPr>
        <w:pStyle w:val="TextBody"/>
        <w:spacing w:before="120" w:after="0"/>
        <w:jc w:val="left"/>
        <w:rPr>
          <w:rFonts w:ascii="Times New Roman" w:hAnsi="Times New Roman"/>
          <w:sz w:val="24"/>
        </w:rPr>
      </w:pPr>
      <w:r>
        <w:rPr>
          <w:rFonts w:ascii="Times New Roman" w:hAnsi="Times New Roman"/>
          <w:sz w:val="24"/>
        </w:rPr>
        <w:t xml:space="preserve">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will pay up to $254 million in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Licensing Agreement with AstraZeneca </w:t>
      </w:r>
    </w:p>
    <w:p>
      <w:pPr>
        <w:pStyle w:val="TextBody"/>
        <w:spacing w:before="120" w:after="0"/>
        <w:jc w:val="left"/>
        <w:rPr>
          <w:rFonts w:ascii="Times New Roman" w:hAnsi="Times New Roman"/>
          <w:sz w:val="24"/>
        </w:rPr>
      </w:pPr>
      <w:r>
        <w:rPr>
          <w:rFonts w:ascii="Times New Roman" w:hAnsi="Times New Roman"/>
          <w:sz w:val="24"/>
        </w:rPr>
        <w:t xml:space="preserve">In October 2017, we announced that we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 </w:t>
      </w:r>
    </w:p>
    <w:p>
      <w:pPr>
        <w:pStyle w:val="TextBody"/>
        <w:spacing w:before="240" w:after="0"/>
        <w:jc w:val="left"/>
        <w:rPr>
          <w:rFonts w:ascii="Times New Roman" w:hAnsi="Times New Roman"/>
          <w:sz w:val="24"/>
        </w:rPr>
      </w:pPr>
      <w:r>
        <w:rPr>
          <w:rFonts w:ascii="Times New Roman" w:hAnsi="Times New Roman"/>
          <w:sz w:val="24"/>
        </w:rPr>
        <w:t xml:space="preserve">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(or ADS equivalent)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 </w:t>
      </w:r>
    </w:p>
    <w:p>
      <w:pPr>
        <w:pStyle w:val="TextBody"/>
        <w:spacing w:before="240" w:after="0"/>
        <w:jc w:val="left"/>
        <w:rPr>
          <w:rFonts w:ascii="Times New Roman" w:hAnsi="Times New Roman"/>
          <w:sz w:val="24"/>
        </w:rPr>
      </w:pPr>
      <w:r>
        <w:rPr>
          <w:rFonts w:ascii="Times New Roman" w:hAnsi="Times New Roman"/>
          <w:sz w:val="24"/>
        </w:rPr>
        <w:t xml:space="preserve">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agreed not to assert any AstraZeneca intellectual property rights that were included in the scope of the License Agreement against us. </w:t>
      </w:r>
    </w:p>
    <w:p>
      <w:pPr>
        <w:pStyle w:val="TextBody"/>
        <w:spacing w:before="360" w:after="0"/>
        <w:jc w:val="left"/>
        <w:rPr>
          <w:rFonts w:ascii="Times New Roman" w:hAnsi="Times New Roman"/>
          <w:b/>
          <w:i/>
          <w:sz w:val="24"/>
        </w:rPr>
      </w:pPr>
      <w:r>
        <w:rPr>
          <w:rFonts w:ascii="Times New Roman" w:hAnsi="Times New Roman"/>
          <w:b/>
          <w:i/>
          <w:sz w:val="24"/>
        </w:rPr>
        <w:t xml:space="preserve">Licensing Agreement for Navicixizumab </w:t>
      </w:r>
    </w:p>
    <w:p>
      <w:pPr>
        <w:pStyle w:val="TextBody"/>
        <w:spacing w:before="120" w:after="0"/>
        <w:jc w:val="left"/>
        <w:rPr>
          <w:rFonts w:ascii="Times New Roman" w:hAnsi="Times New Roman"/>
          <w:sz w:val="24"/>
        </w:rPr>
      </w:pPr>
      <w:r>
        <w:rPr>
          <w:rFonts w:ascii="Times New Roman" w:hAnsi="Times New Roman"/>
          <w:sz w:val="24"/>
        </w:rPr>
        <w:t xml:space="preserve">On January 13, 2020, we entered into a global license agreement with OncXerna for the development and commercialization of navicixizumab,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w:t>
      </w:r>
    </w:p>
    <w:p>
      <w:pPr>
        <w:pStyle w:val="TextBody"/>
        <w:spacing w:before="240" w:after="0"/>
        <w:jc w:val="left"/>
        <w:rPr>
          <w:rFonts w:ascii="Times New Roman" w:hAnsi="Times New Roman"/>
          <w:sz w:val="24"/>
        </w:rPr>
      </w:pPr>
      <w:r>
        <w:rPr>
          <w:rFonts w:ascii="Times New Roman" w:hAnsi="Times New Roman"/>
          <w:sz w:val="24"/>
        </w:rPr>
        <w:t xml:space="preserve">Under the terms of the license agreement, OncXerna received an exclusive worldwide license to develop and commercialize Navi. We received an upfront payment of $4.0 million and in February 2022 we received an additional payment of $2.0 million, following satisfaction of a milestone. OncXerna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 </w:t>
      </w:r>
    </w:p>
    <w:p>
      <w:pPr>
        <w:pStyle w:val="TextBody"/>
        <w:spacing w:before="240" w:after="0"/>
        <w:jc w:val="left"/>
        <w:rPr>
          <w:rFonts w:ascii="Times New Roman" w:hAnsi="Times New Roman"/>
          <w:sz w:val="24"/>
        </w:rPr>
      </w:pPr>
      <w:r>
        <w:rPr>
          <w:rFonts w:ascii="Times New Roman" w:hAnsi="Times New Roman"/>
          <w:sz w:val="24"/>
        </w:rPr>
        <w:t xml:space="preserve">As a consequence of the license agreement with OncXerna,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 </w:t>
      </w:r>
    </w:p>
    <w:p>
      <w:pPr>
        <w:pStyle w:val="TextBody"/>
        <w:spacing w:before="240" w:after="0"/>
        <w:jc w:val="left"/>
        <w:rPr>
          <w:rFonts w:ascii="Times New Roman" w:hAnsi="Times New Roman"/>
          <w:sz w:val="24"/>
        </w:rPr>
      </w:pPr>
      <w:r>
        <w:rPr>
          <w:rFonts w:ascii="Times New Roman" w:hAnsi="Times New Roman"/>
          <w:sz w:val="24"/>
        </w:rPr>
        <w:t xml:space="preserve">In February 2022, we received a milestone payment of $2.0 million (£1.5 million) under the Navi License Agreement with OncXerna. An associated payment was made to the former shareholders of Mereo BioPharma 5, Inc. under the CVR Agreement of a total of $0.9 million (£0.7 million), after deductions of costs, charges and expenditures. </w:t>
      </w:r>
    </w:p>
    <w:p>
      <w:pPr>
        <w:pStyle w:val="TextBody"/>
        <w:spacing w:before="360" w:after="0"/>
        <w:jc w:val="left"/>
        <w:rPr>
          <w:rFonts w:ascii="Times New Roman" w:hAnsi="Times New Roman"/>
          <w:b/>
          <w:i/>
          <w:sz w:val="24"/>
        </w:rPr>
      </w:pPr>
      <w:r>
        <w:rPr>
          <w:rFonts w:ascii="Times New Roman" w:hAnsi="Times New Roman"/>
          <w:b/>
          <w:i/>
          <w:sz w:val="24"/>
        </w:rPr>
        <w:t xml:space="preserve">CVR Agreement Between Us and Computershare </w:t>
      </w:r>
    </w:p>
    <w:p>
      <w:pPr>
        <w:pStyle w:val="TextBody"/>
        <w:spacing w:before="120" w:after="0"/>
        <w:jc w:val="left"/>
        <w:rPr>
          <w:rFonts w:ascii="Times New Roman" w:hAnsi="Times New Roman"/>
          <w:sz w:val="24"/>
        </w:rPr>
      </w:pPr>
      <w:r>
        <w:rPr>
          <w:rFonts w:ascii="Times New Roman" w:hAnsi="Times New Roman"/>
          <w:sz w:val="24"/>
        </w:rPr>
        <w:t xml:space="preserve">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 </w:t>
      </w:r>
    </w:p>
    <w:p>
      <w:pPr>
        <w:pStyle w:val="TextBody"/>
        <w:spacing w:before="120" w:after="0"/>
        <w:jc w:val="left"/>
        <w:rPr>
          <w:rFonts w:ascii="Times New Roman" w:hAnsi="Times New Roman"/>
          <w:sz w:val="24"/>
        </w:rPr>
      </w:pPr>
      <w:r>
        <w:rPr>
          <w:rFonts w:ascii="Times New Roman" w:hAnsi="Times New Roman"/>
          <w:sz w:val="24"/>
        </w:rPr>
        <w:t xml:space="preserve">Except in limited circumstances, the CVRs may not be transferred, pledged, hypothecated, encumbered, assigned or otherwise disposed of. </w:t>
      </w:r>
    </w:p>
    <w:p>
      <w:pPr>
        <w:pStyle w:val="TextBody"/>
        <w:spacing w:before="360" w:after="0"/>
        <w:jc w:val="left"/>
        <w:rPr>
          <w:rFonts w:ascii="Times New Roman" w:hAnsi="Times New Roman"/>
          <w:i/>
          <w:sz w:val="24"/>
        </w:rPr>
      </w:pPr>
      <w:r>
        <w:rPr>
          <w:rFonts w:ascii="Times New Roman" w:hAnsi="Times New Roman"/>
          <w:i/>
          <w:sz w:val="24"/>
        </w:rPr>
        <w:t xml:space="preserve">Milestone Events and Payments </w:t>
      </w:r>
    </w:p>
    <w:p>
      <w:pPr>
        <w:pStyle w:val="TextBody"/>
        <w:spacing w:before="120" w:after="0"/>
        <w:jc w:val="left"/>
        <w:rPr>
          <w:rFonts w:ascii="Times New Roman" w:hAnsi="Times New Roman"/>
          <w:sz w:val="24"/>
        </w:rPr>
      </w:pPr>
      <w:r>
        <w:rPr>
          <w:rFonts w:ascii="Times New Roman" w:hAnsi="Times New Roman"/>
          <w:sz w:val="24"/>
        </w:rPr>
        <w:t xml:space="preserve">The CVR milestones relate to Mereo BioPharma 5 (formerly OncoMed)’s etigilimab and Navi therapeutic candidates, though the milestone relevant to etigilimab can no longer be achieved and no payments will become due or payable to CVR holders in relation to etigilimab. </w:t>
      </w:r>
    </w:p>
    <w:p>
      <w:pPr>
        <w:pStyle w:val="TextBody"/>
        <w:spacing w:before="240" w:after="0"/>
        <w:jc w:val="left"/>
        <w:rPr>
          <w:rFonts w:ascii="Times New Roman" w:hAnsi="Times New Roman"/>
          <w:sz w:val="24"/>
        </w:rPr>
      </w:pPr>
      <w:r>
        <w:rPr>
          <w:rFonts w:ascii="Times New Roman" w:hAnsi="Times New Roman"/>
          <w:sz w:val="24"/>
        </w:rPr>
        <w:t xml:space="preserve">The contingent payments would become payable to the rights agent, for subsequent distribution to the holders of the CVRs, upon the achievement of a milestone relating to NAVI as follows: </w:t>
      </w:r>
    </w:p>
    <w:p>
      <w:pPr>
        <w:pStyle w:val="TextBody"/>
        <w:spacing w:before="360" w:after="0"/>
        <w:jc w:val="left"/>
        <w:rPr>
          <w:rFonts w:ascii="Times New Roman" w:hAnsi="Times New Roman"/>
          <w:sz w:val="24"/>
        </w:rPr>
      </w:pPr>
      <w:r>
        <w:rPr>
          <w:rFonts w:ascii="Times New Roman" w:hAnsi="Times New Roman"/>
          <w:sz w:val="24"/>
          <w:u w:val="single"/>
        </w:rPr>
        <w:t>The NAVI Milestones</w:t>
      </w:r>
      <w:r>
        <w:rPr>
          <w:rFonts w:ascii="Times New Roman" w:hAnsi="Times New Roman"/>
          <w:sz w:val="24"/>
        </w:rPr>
        <w:t xml:space="preserve"> </w:t>
      </w:r>
    </w:p>
    <w:p>
      <w:pPr>
        <w:pStyle w:val="TextBody"/>
        <w:spacing w:before="120" w:after="0"/>
        <w:jc w:val="left"/>
        <w:rPr>
          <w:rFonts w:ascii="Times New Roman" w:hAnsi="Times New Roman"/>
          <w:sz w:val="24"/>
        </w:rPr>
      </w:pPr>
      <w:r>
        <w:rPr>
          <w:rFonts w:ascii="Times New Roman" w:hAnsi="Times New Roman"/>
          <w:sz w:val="24"/>
        </w:rPr>
        <w:t xml:space="preserve">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 </w:t>
      </w:r>
    </w:p>
    <w:p>
      <w:pPr>
        <w:pStyle w:val="TextBody"/>
        <w:spacing w:before="240" w:after="0"/>
        <w:jc w:val="left"/>
        <w:rPr>
          <w:rFonts w:ascii="Times New Roman" w:hAnsi="Times New Roman"/>
          <w:sz w:val="24"/>
        </w:rPr>
      </w:pPr>
      <w:r>
        <w:rPr>
          <w:rFonts w:ascii="Times New Roman" w:hAnsi="Times New Roman"/>
          <w:sz w:val="24"/>
        </w:rPr>
        <w:t xml:space="preserve">On January 13, 2020, we entered into a global license agreement with OncXerna for the development and commercialization of Navi. Eligible cash milestone payments pursuant to the NAVI Agreement (as defined in the CVR Agreement) will include each cash milestone payment payable to our Company or one or more of our subsidiaries pursuant to a NAVI Agreement (or any agreement contemplated by such NAVI Agreement), except for any (i) royalty or similar sales- 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 </w:t>
      </w:r>
    </w:p>
    <w:p>
      <w:pPr>
        <w:pStyle w:val="TextBody"/>
        <w:spacing w:before="240" w:after="0"/>
        <w:jc w:val="left"/>
        <w:rPr>
          <w:rFonts w:ascii="Times New Roman" w:hAnsi="Times New Roman"/>
          <w:sz w:val="24"/>
        </w:rPr>
      </w:pPr>
      <w:r>
        <w:rPr>
          <w:rFonts w:ascii="Times New Roman" w:hAnsi="Times New Roman"/>
          <w:sz w:val="24"/>
        </w:rPr>
        <w:t xml:space="preserve">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(including (i) any costs, reasonable out-of-pocket fees, expenses or charges we incurred in excess of the commitments provided for in the budget set forth on a confidential schedule to the CVR Agreement, (ii) any costs, reasonable out-of-pocket fees, expenses or charges we incurred under the NAVI Agreement, and (iii) any costs, reasonable out-of-pocket fees, expenses or charges we incurred, or for which we are responsible, in connection with the preparation, negotiation and execution of the relevant NAVI Agreement, in each case to the extent such costs, out-of-pocket fees, expenses or charges have not been previously accounted for in the calculation of a prior NAVI Milestone payment). </w:t>
      </w:r>
    </w:p>
    <w:p>
      <w:pPr>
        <w:pStyle w:val="TextBody"/>
        <w:spacing w:before="240" w:after="0"/>
        <w:jc w:val="left"/>
        <w:rPr>
          <w:rFonts w:ascii="Times New Roman" w:hAnsi="Times New Roman"/>
          <w:sz w:val="24"/>
        </w:rPr>
      </w:pPr>
      <w:r>
        <w:rPr>
          <w:rFonts w:ascii="Times New Roman" w:hAnsi="Times New Roman"/>
          <w:sz w:val="24"/>
        </w:rPr>
        <w:t xml:space="preserve">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 </w:t>
      </w:r>
    </w:p>
    <w:p>
      <w:pPr>
        <w:pStyle w:val="TextBody"/>
        <w:spacing w:before="240" w:after="0"/>
        <w:jc w:val="left"/>
        <w:rPr>
          <w:rFonts w:ascii="Times New Roman" w:hAnsi="Times New Roman"/>
          <w:sz w:val="24"/>
        </w:rPr>
      </w:pPr>
      <w:r>
        <w:rPr>
          <w:rFonts w:ascii="Times New Roman" w:hAnsi="Times New Roman"/>
          <w:sz w:val="24"/>
        </w:rPr>
        <w:t xml:space="preserve">If a NAVI Milestone occurs at any time prior to the fifth anniversary of the closing of the Merger, being April 23, 2024, and on each such occurrence, then, thirty days following the achievement thereof, we are obligated to notify the rights agent and pay the amounts owed pursuant to the NAVI Agreement.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receipt of the upfront milestone payment of $4.0 million by us under the Navi License Agreement with OncXerna in January 2020 resulted in a payment to CVR holders of approximately 1.2 cents per CVR, a total of approximately $0.5 million, after deductions of costs, charges and expenditures. </w:t>
      </w:r>
    </w:p>
    <w:p>
      <w:pPr>
        <w:pStyle w:val="TextBody"/>
        <w:spacing w:before="240" w:after="0"/>
        <w:jc w:val="left"/>
        <w:rPr>
          <w:rFonts w:ascii="Times New Roman" w:hAnsi="Times New Roman"/>
          <w:sz w:val="24"/>
        </w:rPr>
      </w:pPr>
      <w:r>
        <w:rPr>
          <w:rFonts w:ascii="Times New Roman" w:hAnsi="Times New Roman"/>
          <w:sz w:val="24"/>
        </w:rPr>
        <w:t xml:space="preserve">The receipt of the milestone payment of $2.0 million by us under the Navi License Agreement with OncXerna in February 2022 resulted in a payment to CVR holders of approximately 2.3 cents per CVR, a total of approximately $0.9 million, after deductions of costs, charges and expenditures. </w:t>
      </w:r>
    </w:p>
    <w:p>
      <w:pPr>
        <w:pStyle w:val="TextBody"/>
        <w:spacing w:before="360" w:after="0"/>
        <w:jc w:val="left"/>
        <w:rPr>
          <w:rFonts w:ascii="Times New Roman" w:hAnsi="Times New Roman"/>
          <w:b/>
          <w:i/>
          <w:sz w:val="24"/>
        </w:rPr>
      </w:pPr>
      <w:r>
        <w:rPr>
          <w:rFonts w:ascii="Times New Roman" w:hAnsi="Times New Roman"/>
          <w:b/>
          <w:i/>
          <w:sz w:val="24"/>
        </w:rPr>
        <w:t xml:space="preserve">Novartis Agreements </w:t>
      </w:r>
    </w:p>
    <w:p>
      <w:pPr>
        <w:pStyle w:val="TextBody"/>
        <w:spacing w:before="120" w:after="0"/>
        <w:jc w:val="left"/>
        <w:rPr>
          <w:rFonts w:ascii="Times New Roman" w:hAnsi="Times New Roman"/>
          <w:sz w:val="24"/>
        </w:rPr>
      </w:pPr>
      <w:r>
        <w:rPr>
          <w:rFonts w:ascii="Times New Roman" w:hAnsi="Times New Roman"/>
          <w:sz w:val="24"/>
        </w:rPr>
        <w:t xml:space="preserve">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 </w:t>
      </w:r>
    </w:p>
    <w:p>
      <w:pPr>
        <w:pStyle w:val="TextBody"/>
        <w:spacing w:before="240" w:after="0"/>
        <w:jc w:val="left"/>
        <w:rPr>
          <w:rFonts w:ascii="Times New Roman" w:hAnsi="Times New Roman"/>
          <w:sz w:val="24"/>
        </w:rPr>
      </w:pPr>
      <w:r>
        <w:rPr>
          <w:rFonts w:ascii="Times New Roman" w:hAnsi="Times New Roman"/>
          <w:sz w:val="24"/>
        </w:rPr>
        <w:t xml:space="preserve">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 </w:t>
      </w:r>
    </w:p>
    <w:p>
      <w:pPr>
        <w:pStyle w:val="TextBody"/>
        <w:spacing w:before="240" w:after="0"/>
        <w:jc w:val="left"/>
        <w:rPr>
          <w:rFonts w:ascii="Times New Roman" w:hAnsi="Times New Roman"/>
          <w:sz w:val="24"/>
        </w:rPr>
      </w:pPr>
      <w:r>
        <w:rPr>
          <w:rFonts w:ascii="Times New Roman" w:hAnsi="Times New Roman"/>
          <w:sz w:val="24"/>
        </w:rPr>
        <w:t xml:space="preserve">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 </w:t>
      </w:r>
    </w:p>
    <w:p>
      <w:pPr>
        <w:pStyle w:val="TextBody"/>
        <w:spacing w:before="360" w:after="0"/>
        <w:jc w:val="left"/>
        <w:rPr>
          <w:rFonts w:ascii="Times New Roman" w:hAnsi="Times New Roman"/>
          <w:b/>
          <w:i/>
          <w:sz w:val="24"/>
        </w:rPr>
      </w:pPr>
      <w:r>
        <w:rPr>
          <w:rFonts w:ascii="Times New Roman" w:hAnsi="Times New Roman"/>
          <w:b/>
          <w:i/>
          <w:sz w:val="24"/>
        </w:rPr>
        <w:t xml:space="preserve">Novartis Loan Note </w:t>
      </w:r>
    </w:p>
    <w:p>
      <w:pPr>
        <w:pStyle w:val="TextBody"/>
        <w:spacing w:before="120" w:after="0"/>
        <w:jc w:val="left"/>
        <w:rPr>
          <w:rFonts w:ascii="Times New Roman" w:hAnsi="Times New Roman"/>
          <w:sz w:val="24"/>
        </w:rPr>
      </w:pPr>
      <w:r>
        <w:rPr>
          <w:rFonts w:ascii="Times New Roman" w:hAnsi="Times New Roman"/>
          <w:sz w:val="24"/>
        </w:rPr>
        <w:t xml:space="preserve">On February 10, 2020, we entered into a £3.8 million convertible loan note instrument with Novartis pursuant to which we issued 3,841,479 unsecured convertible loan notes (the “Novartis Loan Note”) with a maturity date of February 10, 2023, and warrants to purchase 1,449,614 ordinary shares, exercisable until February 2025. </w:t>
      </w:r>
    </w:p>
    <w:p>
      <w:pPr>
        <w:pStyle w:val="TextBody"/>
        <w:spacing w:before="240" w:after="0"/>
        <w:jc w:val="left"/>
        <w:rPr>
          <w:rFonts w:ascii="Times New Roman" w:hAnsi="Times New Roman"/>
          <w:sz w:val="24"/>
        </w:rPr>
      </w:pPr>
      <w:r>
        <w:rPr>
          <w:rFonts w:ascii="Times New Roman" w:hAnsi="Times New Roman"/>
          <w:sz w:val="24"/>
        </w:rPr>
        <w:t xml:space="preserve">On February 10, 2023, we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 </w:t>
      </w:r>
    </w:p>
    <w:p>
      <w:pPr>
        <w:pStyle w:val="TextBody"/>
        <w:spacing w:before="360" w:after="0"/>
        <w:jc w:val="left"/>
        <w:rPr>
          <w:rFonts w:ascii="Times New Roman" w:hAnsi="Times New Roman"/>
          <w:b/>
          <w:i/>
          <w:sz w:val="24"/>
        </w:rPr>
      </w:pPr>
      <w:r>
        <w:rPr>
          <w:rFonts w:ascii="Times New Roman" w:hAnsi="Times New Roman"/>
          <w:b/>
          <w:i/>
          <w:sz w:val="24"/>
        </w:rPr>
        <w:t xml:space="preserve">Agreements relating to June 2020 Private Placement </w:t>
      </w:r>
    </w:p>
    <w:p>
      <w:pPr>
        <w:pStyle w:val="TextBody"/>
        <w:spacing w:before="120" w:after="0"/>
        <w:jc w:val="left"/>
        <w:rPr>
          <w:rFonts w:ascii="Times New Roman" w:hAnsi="Times New Roman"/>
          <w:sz w:val="24"/>
        </w:rPr>
      </w:pPr>
      <w:r>
        <w:rPr>
          <w:rFonts w:ascii="Times New Roman" w:hAnsi="Times New Roman"/>
          <w:sz w:val="24"/>
        </w:rPr>
        <w:t xml:space="preserve">On June 3, 2020, we entered into a securities purchase agreement (the “June 2020 Purchase Agreement”) with a number of new and existing principally U.S.-based institutional and accredited investors (the “June 2020 Private Placement”) pursuant to which we received $70.0 million (£56.0 million) comprising: the allotment of ordinary shares at a subscription price of $19.4 (£15.5) million utilizing the pre-existing share authorities of the Company, and the subscription for Tranche 1 convertible loan notes (“Loan Notes”) in an aggregate principal amount of $50.6 million (£40.5 million).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Following the passing of resolutions at our General Meeting on June 30, 2020, the Loan Notes automatically converted into ordinary shares of £0.003 each in the capital of the Company except that no new ordinary shares were issued which would result in any person holding in excess of 9.99 percent of the aggregate voting rights in the Company as a result of the relevant conversion. Accordingly, the automatic conversion resulted in Loan Notes in an aggregate principal amount of £21.8 million (together with accrued interest) converting into 125,061,475 ordinary shares on June 30, 2020. As of December 31, 2022, Loan Notes in an aggregate principal amount of £6.2 million remained outstanding and convertible into ordinary shares or ADSs in accordance with their terms. </w:t>
      </w:r>
    </w:p>
    <w:p>
      <w:pPr>
        <w:pStyle w:val="TextBody"/>
        <w:spacing w:before="240" w:after="0"/>
        <w:jc w:val="left"/>
        <w:rPr>
          <w:rFonts w:ascii="Times New Roman" w:hAnsi="Times New Roman"/>
          <w:sz w:val="24"/>
        </w:rPr>
      </w:pPr>
      <w:r>
        <w:rPr>
          <w:rFonts w:ascii="Times New Roman" w:hAnsi="Times New Roman"/>
          <w:sz w:val="24"/>
        </w:rPr>
        <w:t xml:space="preserve">The Purchasers also received warrants entitling the holders to subscribe for an aggregate of 161,048,366 new ordinary shares. As of December 31, 2022, there were 144,943,535 warrants outstanding to purchase ordinary shares at an exercise price of £0.348 per ordinary share, exercisable until June 30, 2023 and subject to the terms of the warrants. In accordance with the terms of the warrants, holders may elect to exercise their warrants on a cashless basis. </w:t>
      </w:r>
    </w:p>
    <w:p>
      <w:pPr>
        <w:pStyle w:val="TextBody"/>
        <w:spacing w:before="360" w:after="0"/>
        <w:jc w:val="left"/>
        <w:rPr>
          <w:rFonts w:ascii="Times New Roman" w:hAnsi="Times New Roman"/>
          <w:b/>
          <w:i/>
          <w:sz w:val="24"/>
        </w:rPr>
      </w:pPr>
      <w:r>
        <w:rPr>
          <w:rFonts w:ascii="Times New Roman" w:hAnsi="Times New Roman"/>
          <w:b/>
          <w:i/>
          <w:sz w:val="24"/>
        </w:rPr>
        <w:t xml:space="preserve">Cooperation Agreement with Rubric Capital Management LP </w:t>
      </w:r>
    </w:p>
    <w:p>
      <w:pPr>
        <w:pStyle w:val="TextBody"/>
        <w:spacing w:before="120" w:after="0"/>
        <w:jc w:val="left"/>
        <w:rPr>
          <w:rFonts w:ascii="Times New Roman" w:hAnsi="Times New Roman"/>
          <w:sz w:val="24"/>
        </w:rPr>
      </w:pPr>
      <w:r>
        <w:rPr>
          <w:rFonts w:ascii="Times New Roman" w:hAnsi="Times New Roman"/>
          <w:sz w:val="24"/>
        </w:rPr>
        <w:t xml:space="preserve">On October 28, 2022, Mereo entered into a cooperation agreement (the “Cooperation Agreement”) with Rubric Capital Management LP, the Company’s largest shareholder. Pursuant to the Cooperation Agreement, four new directors, Dr. Annalisa Jenkins, Dr. Daniel Shames, Mr. Marc Yoskowitz and Mr. Justin Roberts, were subsequently appointed to the Company’s Board of Directors on November 10, 2022. Concurrent with these appointments taking effect, directors Dr. Peter Fellner, Dr. Brian Schwartz, Dr. Abdul Mullick and Ms. Anne Hyland resigned from the Board. </w:t>
      </w:r>
    </w:p>
    <w:p>
      <w:pPr>
        <w:pStyle w:val="TextBody"/>
        <w:spacing w:before="360" w:after="0"/>
        <w:jc w:val="left"/>
        <w:rPr>
          <w:rFonts w:ascii="Times New Roman" w:hAnsi="Times New Roman"/>
          <w:b/>
          <w:sz w:val="24"/>
        </w:rPr>
      </w:pPr>
      <w:r>
        <w:rPr>
          <w:rFonts w:ascii="Times New Roman" w:hAnsi="Times New Roman"/>
          <w:b/>
          <w:sz w:val="24"/>
        </w:rPr>
        <w:t xml:space="preserve">Manufacturing </w:t>
      </w:r>
    </w:p>
    <w:p>
      <w:pPr>
        <w:pStyle w:val="TextBody"/>
        <w:spacing w:before="120" w:after="0"/>
        <w:jc w:val="left"/>
        <w:rPr>
          <w:rFonts w:ascii="Times New Roman" w:hAnsi="Times New Roman"/>
          <w:sz w:val="24"/>
        </w:rPr>
      </w:pPr>
      <w:r>
        <w:rPr>
          <w:rFonts w:ascii="Times New Roman" w:hAnsi="Times New Roman"/>
          <w:sz w:val="24"/>
        </w:rPr>
        <w:t xml:space="preserve">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alvelestat, etigilimab, acumapimod and leflutrozole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 product formulation trials. We expect that drug product pre- validation and validation batches will be manufactured to satisfy regulatory requirements where we progress product candidates to late-stage trials. </w:t>
      </w:r>
    </w:p>
    <w:p>
      <w:pPr>
        <w:pStyle w:val="TextBody"/>
        <w:spacing w:before="240" w:after="0"/>
        <w:jc w:val="left"/>
        <w:rPr>
          <w:rFonts w:ascii="Times New Roman" w:hAnsi="Times New Roman"/>
          <w:sz w:val="24"/>
        </w:rPr>
      </w:pPr>
      <w:r>
        <w:rPr>
          <w:rFonts w:ascii="Times New Roman" w:hAnsi="Times New Roman"/>
          <w:sz w:val="24"/>
        </w:rPr>
        <w:t xml:space="preserve">We intend to enter into contractual relationships for the manufacture of commercial supplies for setrusumab, alvelestat and etigilimab, if approved for commercial sale.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 </w:t>
      </w:r>
    </w:p>
    <w:p>
      <w:pPr>
        <w:pStyle w:val="TextBody"/>
        <w:spacing w:before="360" w:after="0"/>
        <w:jc w:val="left"/>
        <w:rPr>
          <w:rFonts w:ascii="Times New Roman" w:hAnsi="Times New Roman"/>
          <w:b/>
          <w:sz w:val="24"/>
        </w:rPr>
      </w:pPr>
      <w:r>
        <w:rPr>
          <w:rFonts w:ascii="Times New Roman" w:hAnsi="Times New Roman"/>
          <w:b/>
          <w:sz w:val="24"/>
        </w:rPr>
        <w:t xml:space="preserve">Commercialization, Sales and Marketing </w:t>
      </w:r>
    </w:p>
    <w:p>
      <w:pPr>
        <w:pStyle w:val="TextBody"/>
        <w:spacing w:before="120" w:after="0"/>
        <w:jc w:val="left"/>
        <w:rPr>
          <w:rFonts w:ascii="Times New Roman" w:hAnsi="Times New Roman"/>
          <w:sz w:val="24"/>
        </w:rPr>
      </w:pPr>
      <w:r>
        <w:rPr>
          <w:rFonts w:ascii="Times New Roman" w:hAnsi="Times New Roman"/>
          <w:sz w:val="24"/>
        </w:rPr>
        <w:t xml:space="preserve">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Competition </w:t>
      </w:r>
    </w:p>
    <w:p>
      <w:pPr>
        <w:pStyle w:val="TextBody"/>
        <w:spacing w:before="120" w:after="0"/>
        <w:jc w:val="left"/>
        <w:rPr>
          <w:rFonts w:ascii="Times New Roman" w:hAnsi="Times New Roman"/>
          <w:sz w:val="24"/>
        </w:rPr>
      </w:pPr>
      <w:r>
        <w:rPr>
          <w:rFonts w:ascii="Times New Roman" w:hAnsi="Times New Roman"/>
          <w:sz w:val="24"/>
        </w:rPr>
        <w:t xml:space="preserve">We compete directly with other biopharmaceutical and pharmaceutical companies that focus on the treatment of solid tumor cancers and hematologic cancers, OI, AATD, AECOPD or male infertility.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etigilimab, acumapimod and leflutrozole that we or our partners successfully develop and commercialize will compete with existing therapies and new therapies that may become available in the future. </w:t>
      </w:r>
    </w:p>
    <w:p>
      <w:pPr>
        <w:pStyle w:val="TextBody"/>
        <w:spacing w:before="240" w:after="0"/>
        <w:jc w:val="left"/>
        <w:rPr>
          <w:rFonts w:ascii="Times New Roman" w:hAnsi="Times New Roman"/>
          <w:sz w:val="24"/>
        </w:rPr>
      </w:pPr>
      <w:r>
        <w:rPr>
          <w:rFonts w:ascii="Times New Roman" w:hAnsi="Times New Roman"/>
          <w:sz w:val="24"/>
        </w:rPr>
        <w:t xml:space="preserve">We consider setrusumab’s current closest potential competitors in development for the treatment of OI to be Amgen and UCB’s anti-sclerostin antibody, romosozumab (Evenity), which was approved for osteoporosis in the United States in April 2019 and in December 2019 in Europe.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Baylor College of Medicine has conducted a Phase 1 open label trial of fresolimumab, a TGF-B inhibitor, in adult OI patients, and Sanofi is conducting a Phase 1 trial of SAR439459, a related TGF-B inhibitor, in adult OI patients. Amgen has also conducted two studies of denosumab (Prolia) an anti-resorptive agent in pediatric patients with OI, however, both studies were terminated. </w:t>
      </w:r>
    </w:p>
    <w:p>
      <w:pPr>
        <w:pStyle w:val="TextBody"/>
        <w:spacing w:before="240" w:after="0"/>
        <w:jc w:val="left"/>
        <w:rPr>
          <w:rFonts w:ascii="Times New Roman" w:hAnsi="Times New Roman"/>
          <w:sz w:val="24"/>
        </w:rPr>
      </w:pPr>
      <w:r>
        <w:rPr>
          <w:rFonts w:ascii="Times New Roman" w:hAnsi="Times New Roman"/>
          <w:sz w:val="24"/>
        </w:rPr>
        <w:t xml:space="preserve">We consider alvelestat’s current closest potential competitors for the treatment of severe AATD to be alpha-1- 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InhibRx, Inc. (“InhibRx”) has completed a Phase 1 trial of INBRX-101, a recombinant human alpha-1 antitrypsin Fc fusion protein (rhAAT-Fc) for replacement therapy, and plans to initiate a potential registration study for potential accelerated approval. Apic Bio, Inc. (“Apic Bio”) is in the early stages of developing a dual function vector (df-AAV) gene-therapy approach for AATD silencing the mutant Z-AAT protein and augmenting wildtype M-AAT production. Wave Life Sciences is in early stages of development of RNA base-editing oligonucleotide (WVE-0006) to restore wild-type protein in lung and liver disease, a program that has been recently partnered with GSK. Intellia Therapeutics is in early stages of developing CRISPR/Cas9 -based insertion of normal SERPINA1 gene, targeting lung disease (NTLA-3001). Peak Bio acquired an oral NE inhibitor, PHP-303 from Ph Pharma in March 2022. Peak Bio plans to conduct a Phase 2 proof-of-concept clinical trial in patients with severe AATD with trial initiation, potentially, in 2023 once they have received the necessary funding. Vertex Pharmaceuticals Inc. (“Vertex”) has a small molecule corrector program for AATD in a Phase 1 trial focused on the liver disease, following Phase 2 trials with two other molecules with the same mechanism of action that were discontinued due to toxicity and efficacy. Centessa (previously Z-factor) was previously in a Phase 1trial with ZF874 protein folding corrector for Z-AATD but this has been terminated. Biomarin is in early stages of development of a small molecule corrector (BMN 349). 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Dysfuntion (CLAD) in Phase 1 (NCT02709343 ); and liposomal inhaled cyclosporin-A (Zambon) in Phase 2 in BOS following SCT and in Phase 3 global pivotal trials in BOS associated with lung transplant. In other disease indications, we consider alvelestat’s closest potential competitors to be Santhera Pharmaceuticals (“Santhera”) which has in-licensed the inhaled NE inhibitor POL6014 and has completed a multiple ascending dose study, in the initial indication of CF; and CHF-6333 is an inhaled human NE inhibitor that has completed a Phase 1 trial by Chiesi Farmaceutici S.p.A. (“Chiesi”) for the treatment of non-cystic fibrosis bronchiectasis and CF. </w:t>
      </w:r>
    </w:p>
    <w:p>
      <w:pPr>
        <w:pStyle w:val="TextBody"/>
        <w:spacing w:before="240" w:after="0"/>
        <w:jc w:val="left"/>
        <w:rPr>
          <w:rFonts w:ascii="Times New Roman" w:hAnsi="Times New Roman"/>
          <w:sz w:val="24"/>
        </w:rPr>
      </w:pPr>
      <w:r>
        <w:rPr>
          <w:rFonts w:ascii="Times New Roman" w:hAnsi="Times New Roman"/>
          <w:sz w:val="24"/>
        </w:rPr>
        <w:t xml:space="preserve">We consider etigilimab’s current closest potential competitors to include other anti-TIGIT agents being developed by companies including Roche, Merck, iTeos and GSK, Beigene/Novartis, Seattle Genetics, Inc., Arcus/Gilead and Compugen amongst others. In addition, there are other combinations of existing cancer therapies available commercially for example, Yervoy and Opdivo and Opidivo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 </w:t>
      </w:r>
    </w:p>
    <w:p>
      <w:pPr>
        <w:pStyle w:val="TextBody"/>
        <w:spacing w:before="240" w:after="0"/>
        <w:jc w:val="left"/>
        <w:rPr>
          <w:rFonts w:ascii="Times New Roman" w:hAnsi="Times New Roman"/>
          <w:sz w:val="24"/>
        </w:rPr>
      </w:pPr>
      <w:r>
        <w:rPr>
          <w:rFonts w:ascii="Times New Roman" w:hAnsi="Times New Roman"/>
          <w:sz w:val="24"/>
        </w:rPr>
        <w:t xml:space="preserve">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or “GSK”), and AstraZeneca each conducting Phase 2/3 trials on drugs for the treatment of COPD. In addition, Pulmatrix, Inc. (“Pulmatrix”) has PUR1800, a narrow-spectrum kinase inhibitor (NSKI) that completed a Phase 1b trial in COPD. We consider acumapimod’s current closest potential competitor in development for the treatment of AECOPD to be Verona Pharma’s nebulized and inhaled ensifentrine (RPL554), a PDE3 / PDE4 dual inhibitor that is currently being developed as a bronchodilator and anti-inflammatory agent for COPD, Asthma and Cystic Fibrosis patients. In August 2022 Verona announced positive results (FEV1 and AECOPD exacerbation frequency) from two Phase 3 trials (ENHANCE-1 and ENHANCE-2) in COPD. </w:t>
      </w:r>
    </w:p>
    <w:p>
      <w:pPr>
        <w:pStyle w:val="TextBody"/>
        <w:spacing w:before="240" w:after="0"/>
        <w:jc w:val="left"/>
        <w:rPr>
          <w:rFonts w:ascii="Times New Roman" w:hAnsi="Times New Roman"/>
          <w:sz w:val="24"/>
        </w:rPr>
      </w:pPr>
      <w:r>
        <w:rPr>
          <w:rFonts w:ascii="Times New Roman" w:hAnsi="Times New Roman"/>
          <w:sz w:val="24"/>
        </w:rPr>
        <w:t xml:space="preserve">We consider leflutrozole’s current closest potential competitors for the treatment of male infertility due to HH are Follicle Stimulating Hormone (FSH), injectable recombinant follitropin alpha (Gonal-F, Serono) which is FDA approved for male infertility. Injectable Human Chorionic Gonadotropin (HCG) is not approved for male infertility, but is used ‘off-label.’ AZD-5904 (myeloperoxidase inhibitor) from the AstraZeneca and St George Street Capital collaboration is in a Phase 1b trial for idiopathic male infertility.]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 </w:t>
      </w:r>
    </w:p>
    <w:p>
      <w:pPr>
        <w:pStyle w:val="TextBody"/>
        <w:spacing w:before="240" w:after="0"/>
        <w:jc w:val="left"/>
        <w:rPr>
          <w:rFonts w:ascii="Times New Roman" w:hAnsi="Times New Roman"/>
          <w:sz w:val="24"/>
        </w:rPr>
      </w:pPr>
      <w:r>
        <w:rPr>
          <w:rFonts w:ascii="Times New Roman" w:hAnsi="Times New Roman"/>
          <w:sz w:val="24"/>
        </w:rPr>
        <w:t xml:space="preserve">The key competitive factors affecting the success of setrusumab, alvelestat, etigilimab, acumapimod and leflutrozole, if approved, are likely to be their efficacy, safety, dosing convenience, price, the effectiveness of companion diagnostics in guiding the use of related therapeutics, the level of generic competition and the availability of reimbursement from government and other third-party payors. </w:t>
      </w:r>
    </w:p>
    <w:p>
      <w:pPr>
        <w:pStyle w:val="TextBody"/>
        <w:spacing w:before="240" w:after="0"/>
        <w:jc w:val="left"/>
        <w:rPr>
          <w:rFonts w:ascii="Times New Roman" w:hAnsi="Times New Roman"/>
          <w:sz w:val="24"/>
        </w:rPr>
      </w:pPr>
      <w:r>
        <w:rPr>
          <w:rFonts w:ascii="Times New Roman" w:hAnsi="Times New Roman"/>
          <w:sz w:val="24"/>
        </w:rPr>
        <w:t xml:space="preserve">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etigilimab, acumapimod or leflutrozole achieve marketing approval, they may be priced at a significant premium over competing product candidates if any have been approved by then, potentially reducing our market opportunity. For more information, please see “Risk Factors—Risks Related to Commercialization—We operate in a highly competitive and rapidly changing industry, which may result in others acquiring, developing, or commercializing competing product candidates before or more successfully than we do.” </w:t>
      </w:r>
    </w:p>
    <w:p>
      <w:pPr>
        <w:pStyle w:val="TextBody"/>
        <w:spacing w:before="360" w:after="0"/>
        <w:jc w:val="left"/>
        <w:rPr>
          <w:rFonts w:ascii="Times New Roman" w:hAnsi="Times New Roman"/>
          <w:b/>
          <w:sz w:val="24"/>
        </w:rPr>
      </w:pPr>
      <w:r>
        <w:rPr>
          <w:rFonts w:ascii="Times New Roman" w:hAnsi="Times New Roman"/>
          <w:b/>
          <w:sz w:val="24"/>
        </w:rPr>
        <w:t xml:space="preserve">Intellectual Property </w:t>
      </w:r>
    </w:p>
    <w:p>
      <w:pPr>
        <w:pStyle w:val="TextBody"/>
        <w:spacing w:before="120" w:after="0"/>
        <w:jc w:val="left"/>
        <w:rPr>
          <w:rFonts w:ascii="Times New Roman" w:hAnsi="Times New Roman"/>
          <w:sz w:val="24"/>
        </w:rPr>
      </w:pPr>
      <w:r>
        <w:rPr>
          <w:rFonts w:ascii="Times New Roman" w:hAnsi="Times New Roman"/>
          <w:sz w:val="24"/>
        </w:rPr>
        <w:t xml:space="preserve">We have acquired or exclusively licensed our intellectual property portfolio from Mereo BioPharma 5 (formerly OncoMed), Novartis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 </w:t>
      </w:r>
    </w:p>
    <w:p>
      <w:pPr>
        <w:pStyle w:val="TextBody"/>
        <w:spacing w:before="240" w:after="0"/>
        <w:jc w:val="left"/>
        <w:rPr>
          <w:rFonts w:ascii="Times New Roman" w:hAnsi="Times New Roman"/>
          <w:sz w:val="24"/>
        </w:rPr>
      </w:pPr>
      <w:r>
        <w:rPr>
          <w:rFonts w:ascii="Times New Roman" w:hAnsi="Times New Roman"/>
          <w:sz w:val="24"/>
        </w:rPr>
        <w:t xml:space="preserve">Our intellectual property is held by our wholly owned subsidiaries. As of December 31, 2022, our patent portfolio comprises approximately 600 issued patents and approximately 140 pending patent applications on a global basis. </w:t>
      </w:r>
    </w:p>
    <w:p>
      <w:pPr>
        <w:pStyle w:val="TextBody"/>
        <w:spacing w:before="240" w:after="0"/>
        <w:jc w:val="left"/>
        <w:rPr>
          <w:rFonts w:ascii="Times New Roman" w:hAnsi="Times New Roman"/>
          <w:sz w:val="24"/>
        </w:rPr>
      </w:pPr>
      <w:r>
        <w:rPr>
          <w:rFonts w:ascii="Times New Roman" w:hAnsi="Times New Roman"/>
          <w:sz w:val="24"/>
        </w:rPr>
        <w:t xml:space="preserve">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 </w:t>
      </w:r>
    </w:p>
    <w:p>
      <w:pPr>
        <w:pStyle w:val="TextBody"/>
        <w:spacing w:before="120" w:after="0"/>
        <w:jc w:val="left"/>
        <w:rPr>
          <w:rFonts w:ascii="Times New Roman" w:hAnsi="Times New Roman"/>
          <w:sz w:val="24"/>
        </w:rPr>
      </w:pPr>
      <w:r>
        <w:rPr>
          <w:rFonts w:ascii="Times New Roman" w:hAnsi="Times New Roman"/>
          <w:sz w:val="24"/>
        </w:rPr>
        <w:t xml:space="preserve">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 </w:t>
      </w:r>
    </w:p>
    <w:p>
      <w:pPr>
        <w:pStyle w:val="TextBody"/>
        <w:spacing w:before="120" w:after="0"/>
        <w:jc w:val="left"/>
        <w:rPr>
          <w:rFonts w:ascii="Times New Roman" w:hAnsi="Times New Roman"/>
          <w:sz w:val="24"/>
        </w:rPr>
      </w:pPr>
      <w:r>
        <w:rPr>
          <w:rFonts w:ascii="Times New Roman" w:hAnsi="Times New Roman"/>
          <w:sz w:val="24"/>
        </w:rPr>
        <w:t xml:space="preserve">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 </w:t>
      </w:r>
    </w:p>
    <w:p>
      <w:pPr>
        <w:pStyle w:val="TextBody"/>
        <w:spacing w:before="360" w:after="0"/>
        <w:jc w:val="left"/>
        <w:rPr>
          <w:rFonts w:ascii="Times New Roman" w:hAnsi="Times New Roman"/>
          <w:b/>
          <w:i/>
          <w:sz w:val="24"/>
        </w:rPr>
      </w:pPr>
      <w:r>
        <w:rPr>
          <w:rFonts w:ascii="Times New Roman" w:hAnsi="Times New Roman"/>
          <w:b/>
          <w:i/>
          <w:sz w:val="24"/>
        </w:rPr>
        <w:t xml:space="preserve">Setrusumab (BPS-804/UX143) </w:t>
      </w:r>
    </w:p>
    <w:p>
      <w:pPr>
        <w:pStyle w:val="TextBody"/>
        <w:spacing w:before="120" w:after="0"/>
        <w:jc w:val="left"/>
        <w:rPr>
          <w:rFonts w:ascii="Times New Roman" w:hAnsi="Times New Roman"/>
          <w:sz w:val="24"/>
        </w:rPr>
      </w:pPr>
      <w:r>
        <w:rPr>
          <w:rFonts w:ascii="Times New Roman" w:hAnsi="Times New Roman"/>
          <w:sz w:val="24"/>
        </w:rPr>
        <w:t xml:space="preserve">As of December 31, 2022, we have 124 patents globally (including four issued U.S. patents) and 25 patent applications globally (including a pending U.S. patent application) relating to setrusumab and its use for the treatment of OI. A first patent family includes three issued U.S. patents and 86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an issued U.S. patent and 34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“—Licensing Agreement with Ultragenyx for setrusumab.” </w:t>
      </w:r>
    </w:p>
    <w:p>
      <w:pPr>
        <w:pStyle w:val="TextBody"/>
        <w:spacing w:before="240" w:after="0"/>
        <w:jc w:val="left"/>
        <w:rPr>
          <w:rFonts w:ascii="Times New Roman" w:hAnsi="Times New Roman"/>
          <w:sz w:val="24"/>
        </w:rPr>
      </w:pPr>
      <w:r>
        <w:rPr>
          <w:rFonts w:ascii="Times New Roman" w:hAnsi="Times New Roman"/>
          <w:sz w:val="24"/>
        </w:rPr>
        <w:t>On February 3, 2023, Ultragenyx, Mereo BioPharma 3 Limited, UCB Pharma SA (“</w:t>
      </w:r>
      <w:r>
        <w:rPr>
          <w:rFonts w:ascii="Times New Roman" w:hAnsi="Times New Roman"/>
          <w:sz w:val="24"/>
          <w:u w:val="single"/>
        </w:rPr>
        <w:t>UCB</w:t>
      </w:r>
      <w:r>
        <w:rPr>
          <w:rFonts w:ascii="Times New Roman" w:hAnsi="Times New Roman"/>
          <w:sz w:val="24"/>
        </w:rPr>
        <w:t>”) and Amgen Inc. (“</w:t>
      </w:r>
      <w:r>
        <w:rPr>
          <w:rFonts w:ascii="Times New Roman" w:hAnsi="Times New Roman"/>
          <w:sz w:val="24"/>
          <w:u w:val="single"/>
        </w:rPr>
        <w:t>Amgen</w:t>
      </w:r>
      <w:r>
        <w:rPr>
          <w:rFonts w:ascii="Times New Roman" w:hAnsi="Times New Roman"/>
          <w:sz w:val="24"/>
        </w:rPr>
        <w:t xml:space="preserve">”) entered into a non-exclusive worldwide, royalty-free license to research, develop, and commercialize setrusumab in osteogenesis imperfecta under certain UCB/Amgen-owned patent rights related to anti-sclerostin compounds and their uses. </w:t>
      </w:r>
    </w:p>
    <w:p>
      <w:pPr>
        <w:pStyle w:val="TextBody"/>
        <w:spacing w:before="360" w:after="0"/>
        <w:jc w:val="left"/>
        <w:rPr>
          <w:rFonts w:ascii="Times New Roman" w:hAnsi="Times New Roman"/>
          <w:b/>
          <w:i/>
          <w:sz w:val="24"/>
        </w:rPr>
      </w:pPr>
      <w:r>
        <w:rPr>
          <w:rFonts w:ascii="Times New Roman" w:hAnsi="Times New Roman"/>
          <w:b/>
          <w:i/>
          <w:sz w:val="24"/>
        </w:rPr>
        <w:t xml:space="preserve">Alvelestat (MPH-966) </w:t>
      </w:r>
    </w:p>
    <w:p>
      <w:pPr>
        <w:pStyle w:val="TextBody"/>
        <w:spacing w:before="120" w:after="0"/>
        <w:jc w:val="left"/>
        <w:rPr>
          <w:rFonts w:ascii="Times New Roman" w:hAnsi="Times New Roman"/>
          <w:sz w:val="24"/>
        </w:rPr>
      </w:pPr>
      <w:r>
        <w:rPr>
          <w:rFonts w:ascii="Times New Roman" w:hAnsi="Times New Roman"/>
          <w:sz w:val="24"/>
        </w:rPr>
        <w:t xml:space="preserve">As of December 31, 2022, our patent portfolio relating to our product candidate alvelestat consisted of three issued U.S. patents, no pending U.S. patent applications, 36 issued or allowed foreign patents and two pending foreign patent applications. These patents have all been licensed under our agreement with AstraZeneca. See “Business—Material Agreements—Licensing Agreement with AstraZeneca.” These issued patents and patent applications, if issued, include claims directed to 2-pyridone derivatives as NE inhibitors and their uses as well as claims to polymorphs of the tosylate salt of a 5-pyrazolyl-2-pyridone derivative, with expected expiry dates between 2024 and 2030. </w:t>
      </w:r>
    </w:p>
    <w:p>
      <w:pPr>
        <w:pStyle w:val="TextBody"/>
        <w:spacing w:before="120" w:after="0"/>
        <w:jc w:val="left"/>
        <w:rPr>
          <w:rFonts w:ascii="Times New Roman" w:hAnsi="Times New Roman"/>
          <w:sz w:val="24"/>
        </w:rPr>
      </w:pPr>
      <w:r>
        <w:rPr>
          <w:rFonts w:ascii="Times New Roman" w:hAnsi="Times New Roman"/>
          <w:sz w:val="24"/>
        </w:rPr>
        <w:t xml:space="preserve">Our patent portfolio relating to our product candidate alvelestat also includes one pending international patent application filed under the PCT, three pending U.S. patent applications and seventeen pending foreign patent applications which have been filed subsequent to the license agreement with AstraZeneca. These patent applications, if issued, include claims directed to dosing regimes of alvelestat and methods of treatment using alvelestat with expected expiry dates between 2040 and 2042.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Etigilimab (MPH-313) </w:t>
      </w:r>
    </w:p>
    <w:p>
      <w:pPr>
        <w:pStyle w:val="TextBody"/>
        <w:spacing w:before="120" w:after="0"/>
        <w:jc w:val="left"/>
        <w:rPr>
          <w:rFonts w:ascii="Times New Roman" w:hAnsi="Times New Roman"/>
          <w:sz w:val="24"/>
        </w:rPr>
      </w:pPr>
      <w:r>
        <w:rPr>
          <w:rFonts w:ascii="Times New Roman" w:hAnsi="Times New Roman"/>
          <w:sz w:val="24"/>
        </w:rPr>
        <w:t xml:space="preserve">As of December 31, 2022, our patent portfolio relating to our therapeutic candidate etigilimab consisted of four granted U.S. patents and two pending U.S. patent applications, as well as corresponding patent applications in major foreign jurisdictions. </w:t>
      </w:r>
    </w:p>
    <w:p>
      <w:pPr>
        <w:pStyle w:val="TextBody"/>
        <w:spacing w:before="240" w:after="0"/>
        <w:jc w:val="left"/>
        <w:rPr>
          <w:rFonts w:ascii="Times New Roman" w:hAnsi="Times New Roman"/>
          <w:sz w:val="24"/>
        </w:rPr>
      </w:pPr>
      <w:r>
        <w:rPr>
          <w:rFonts w:ascii="Times New Roman" w:hAnsi="Times New Roman"/>
          <w:sz w:val="24"/>
        </w:rPr>
        <w:t xml:space="preserve">The patent portfolio relating to our therapeutic candidate etigilimab contains one core patent family that covers the product per se as well as medical uses thereof. This patent family currently consists of two granted U.S. patents, fifty-five granted or allowed foreign patents and fifteen pending foreign patent applications. Patents that issue from this core family are generally expected to expire in 2036. </w:t>
      </w:r>
    </w:p>
    <w:p>
      <w:pPr>
        <w:pStyle w:val="TextBody"/>
        <w:spacing w:before="240" w:after="0"/>
        <w:jc w:val="left"/>
        <w:rPr>
          <w:rFonts w:ascii="Times New Roman" w:hAnsi="Times New Roman"/>
          <w:sz w:val="24"/>
        </w:rPr>
      </w:pPr>
      <w:r>
        <w:rPr>
          <w:rFonts w:ascii="Times New Roman" w:hAnsi="Times New Roman"/>
          <w:sz w:val="24"/>
        </w:rPr>
        <w:t xml:space="preserve">The portfolio also includes a second patent family that relates to specific methods of treatment using etigilimab. This patent family currently consists of two granted U.S. patents, one US pending patent application, and 5 granted or allowed foreign patents and 5 pending foreign patent applications. Any patents that issue from this family are generally expected to expire in 2037. </w:t>
      </w:r>
    </w:p>
    <w:p>
      <w:pPr>
        <w:pStyle w:val="TextBody"/>
        <w:spacing w:before="240" w:after="0"/>
        <w:jc w:val="left"/>
        <w:rPr>
          <w:rFonts w:ascii="Times New Roman" w:hAnsi="Times New Roman"/>
          <w:sz w:val="24"/>
        </w:rPr>
      </w:pPr>
      <w:r>
        <w:rPr>
          <w:rFonts w:ascii="Times New Roman" w:hAnsi="Times New Roman"/>
          <w:sz w:val="24"/>
        </w:rPr>
        <w:t xml:space="preserve">The portfolio also includes two PCT patent applications and one US provisional patent application. Any patents that issue from these families are generally expected to expire between 2042 and 2043. </w:t>
      </w:r>
    </w:p>
    <w:p>
      <w:pPr>
        <w:pStyle w:val="TextBody"/>
        <w:spacing w:before="360" w:after="0"/>
        <w:jc w:val="left"/>
        <w:rPr>
          <w:rFonts w:ascii="Times New Roman" w:hAnsi="Times New Roman"/>
          <w:b/>
          <w:i/>
          <w:sz w:val="24"/>
        </w:rPr>
      </w:pPr>
      <w:r>
        <w:rPr>
          <w:rFonts w:ascii="Times New Roman" w:hAnsi="Times New Roman"/>
          <w:b/>
          <w:i/>
          <w:sz w:val="24"/>
        </w:rPr>
        <w:t xml:space="preserve">Navicixizumab (OMP-305B83) </w:t>
      </w:r>
    </w:p>
    <w:p>
      <w:pPr>
        <w:pStyle w:val="TextBody"/>
        <w:spacing w:before="120" w:after="0"/>
        <w:jc w:val="left"/>
        <w:rPr>
          <w:rFonts w:ascii="Times New Roman" w:hAnsi="Times New Roman"/>
          <w:sz w:val="24"/>
        </w:rPr>
      </w:pPr>
      <w:r>
        <w:rPr>
          <w:rFonts w:ascii="Times New Roman" w:hAnsi="Times New Roman"/>
          <w:sz w:val="24"/>
        </w:rPr>
        <w:t xml:space="preserve">As of December 31, 2022, our patent portfolio relating to Navi consisted of 21 issued or allowed U.S. patents and two pending U.S. patent applications, as well as corresponding patents or patent applications in major foreign jurisdictions. </w:t>
      </w:r>
    </w:p>
    <w:p>
      <w:pPr>
        <w:pStyle w:val="TextBody"/>
        <w:spacing w:before="240" w:after="0"/>
        <w:jc w:val="left"/>
        <w:rPr>
          <w:rFonts w:ascii="Times New Roman" w:hAnsi="Times New Roman"/>
          <w:sz w:val="24"/>
        </w:rPr>
      </w:pPr>
      <w:r>
        <w:rPr>
          <w:rFonts w:ascii="Times New Roman" w:hAnsi="Times New Roman"/>
          <w:sz w:val="24"/>
        </w:rPr>
        <w:t xml:space="preserve">The patent portfolio relating to Navi contains two core patent families, both of which cover the product per se as well as medical uses thereof. Patents and patent applications, if issued, in these core families are expected to expire between 2030 and 2032. </w:t>
      </w:r>
    </w:p>
    <w:p>
      <w:pPr>
        <w:pStyle w:val="TextBody"/>
        <w:spacing w:before="240" w:after="0"/>
        <w:jc w:val="left"/>
        <w:rPr>
          <w:rFonts w:ascii="Times New Roman" w:hAnsi="Times New Roman"/>
          <w:sz w:val="24"/>
        </w:rPr>
      </w:pPr>
      <w:r>
        <w:rPr>
          <w:rFonts w:ascii="Times New Roman" w:hAnsi="Times New Roman"/>
          <w:sz w:val="24"/>
        </w:rPr>
        <w:t xml:space="preserve">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 Navi was licensed by the Group to OncXerna Inc. in January 2020 pursuant to the terms of a global licensing agreement. See “—Licensing Agreement for Navicixizumab.” </w:t>
      </w:r>
    </w:p>
    <w:p>
      <w:pPr>
        <w:pStyle w:val="TextBody"/>
        <w:spacing w:before="360" w:after="0"/>
        <w:jc w:val="left"/>
        <w:rPr>
          <w:rFonts w:ascii="Times New Roman" w:hAnsi="Times New Roman"/>
          <w:b/>
          <w:i/>
          <w:sz w:val="24"/>
        </w:rPr>
      </w:pPr>
      <w:r>
        <w:rPr>
          <w:rFonts w:ascii="Times New Roman" w:hAnsi="Times New Roman"/>
          <w:b/>
          <w:i/>
          <w:sz w:val="24"/>
        </w:rPr>
        <w:t xml:space="preserve">Acumapimod (BCT-197) </w:t>
      </w:r>
    </w:p>
    <w:p>
      <w:pPr>
        <w:pStyle w:val="TextBody"/>
        <w:spacing w:before="120" w:after="0"/>
        <w:jc w:val="left"/>
        <w:rPr>
          <w:rFonts w:ascii="Times New Roman" w:hAnsi="Times New Roman"/>
          <w:sz w:val="24"/>
        </w:rPr>
      </w:pPr>
      <w:r>
        <w:rPr>
          <w:rFonts w:ascii="Times New Roman" w:hAnsi="Times New Roman"/>
          <w:sz w:val="24"/>
        </w:rPr>
        <w:t xml:space="preserve">As of December 31, 2022, our patent portfolio relating to our product acumapimod consisted of 14 issued or allowed U.S. patents, 2 pending U.S. patent applications, 293 issued or allowed foreign patents and 51 pending foreign applications.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2039. </w:t>
      </w:r>
    </w:p>
    <w:p>
      <w:pPr>
        <w:pStyle w:val="TextBody"/>
        <w:spacing w:before="360" w:after="0"/>
        <w:jc w:val="left"/>
        <w:rPr>
          <w:rFonts w:ascii="Times New Roman" w:hAnsi="Times New Roman"/>
          <w:b/>
          <w:i/>
          <w:sz w:val="24"/>
        </w:rPr>
      </w:pPr>
      <w:r>
        <w:rPr>
          <w:rFonts w:ascii="Times New Roman" w:hAnsi="Times New Roman"/>
          <w:b/>
          <w:i/>
          <w:sz w:val="24"/>
        </w:rPr>
        <w:t xml:space="preserve">Leflutrozole (BGS-649) </w:t>
      </w:r>
    </w:p>
    <w:p>
      <w:pPr>
        <w:pStyle w:val="TextBody"/>
        <w:spacing w:before="120" w:after="0"/>
        <w:jc w:val="left"/>
        <w:rPr>
          <w:rFonts w:ascii="Times New Roman" w:hAnsi="Times New Roman"/>
          <w:sz w:val="24"/>
        </w:rPr>
      </w:pPr>
      <w:r>
        <w:rPr>
          <w:rFonts w:ascii="Times New Roman" w:hAnsi="Times New Roman"/>
          <w:sz w:val="24"/>
        </w:rPr>
        <w:t xml:space="preserve">As of December 31, 2022, our patent portfolio relating to our product leflutrozole consisted of four issued U.S. patents and 92 issued foreign patents. These issued patents and patent applications, if issued, include claims directed to leflutrozole formulations and the use of leflutrozole in treating hypogonadism according to a specific dosing regimen, with expected expiry dates between 2032 and 2037. </w:t>
      </w:r>
    </w:p>
    <w:p>
      <w:pPr>
        <w:pStyle w:val="TextBody"/>
        <w:spacing w:before="360" w:after="0"/>
        <w:jc w:val="left"/>
        <w:rPr>
          <w:rFonts w:ascii="Times New Roman" w:hAnsi="Times New Roman"/>
          <w:b/>
          <w:sz w:val="24"/>
        </w:rPr>
      </w:pPr>
      <w:r>
        <w:rPr>
          <w:rFonts w:ascii="Times New Roman" w:hAnsi="Times New Roman"/>
          <w:b/>
          <w:sz w:val="24"/>
        </w:rPr>
        <w:t xml:space="preserve">Government Regulation </w:t>
      </w:r>
    </w:p>
    <w:p>
      <w:pPr>
        <w:pStyle w:val="TextBody"/>
        <w:spacing w:before="120" w:after="0"/>
        <w:jc w:val="left"/>
        <w:rPr>
          <w:rFonts w:ascii="Times New Roman" w:hAnsi="Times New Roman"/>
          <w:sz w:val="24"/>
        </w:rPr>
      </w:pPr>
      <w:r>
        <w:rPr>
          <w:rFonts w:ascii="Times New Roman" w:hAnsi="Times New Roman"/>
          <w:sz w:val="24"/>
        </w:rPr>
        <w:t xml:space="preserve">Among others, the FDA, U.S. Department of Health and Human Services Office of Inspector General,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U.S. Government Regulation </w:t>
      </w:r>
    </w:p>
    <w:p>
      <w:pPr>
        <w:pStyle w:val="TextBody"/>
        <w:spacing w:before="120" w:after="0"/>
        <w:jc w:val="left"/>
        <w:rPr>
          <w:rFonts w:ascii="Times New Roman" w:hAnsi="Times New Roman"/>
          <w:sz w:val="24"/>
        </w:rPr>
      </w:pPr>
      <w:r>
        <w:rPr>
          <w:rFonts w:ascii="Times New Roman" w:hAnsi="Times New Roman"/>
          <w:sz w:val="24"/>
        </w:rPr>
        <w:t xml:space="preserve">In the United States, the FDA regulates drugs under the FDCA and its implementing regulations, and biological product candidates (“biologics”), under both the FDCA and the PHSA and its implementing regulations. </w:t>
      </w:r>
    </w:p>
    <w:p>
      <w:pPr>
        <w:pStyle w:val="TextBody"/>
        <w:spacing w:before="240" w:after="0"/>
        <w:jc w:val="left"/>
        <w:rPr>
          <w:rFonts w:ascii="Times New Roman" w:hAnsi="Times New Roman"/>
          <w:sz w:val="24"/>
        </w:rPr>
      </w:pPr>
      <w:r>
        <w:rPr>
          <w:rFonts w:ascii="Times New Roman" w:hAnsi="Times New Roman"/>
          <w:sz w:val="24"/>
        </w:rPr>
        <w:t xml:space="preserve">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 </w:t>
      </w:r>
    </w:p>
    <w:p>
      <w:pPr>
        <w:pStyle w:val="TextBody"/>
        <w:spacing w:before="240" w:after="0"/>
        <w:jc w:val="left"/>
        <w:rPr>
          <w:rFonts w:ascii="Times New Roman" w:hAnsi="Times New Roman"/>
          <w:sz w:val="24"/>
        </w:rPr>
      </w:pPr>
      <w:r>
        <w:rPr>
          <w:rFonts w:ascii="Times New Roman" w:hAnsi="Times New Roman"/>
          <w:sz w:val="24"/>
        </w:rPr>
        <w:t xml:space="preserve">The process required by the FDA before a drug or biologic may be marketed in the United States generally involves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completion of pre-clinical laboratory tests, animal studies and formulation studies in compliance with the FDA’s Good Laboratory Practice (“GLP”) regulations and other applicable regulations;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submission to the FDA of an investigational new drug application (an “IND”), which must become effective before human clinical trials may begin;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approval by an independent Institutional Review Board (“IRB”) at each clinical site before each trial may be initiated;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Good Clinical Practice (“GCP”) requirements to evaluate the safety, purity, potency and/or efficacy of the product candidate for its intended use; </w:t>
            </w:r>
          </w:p>
        </w:tc>
      </w:tr>
    </w:tbl>
    <w:p>
      <w:pPr>
        <w:pStyle w:val="TextBody"/>
        <w:spacing w:before="0" w:after="0"/>
        <w:jc w:val="left"/>
        <w:rPr/>
      </w:pPr>
      <w:r>
        <w:rPr/>
        <w:t> </w:t>
      </w:r>
    </w:p>
    <w:tbl>
      <w:tblPr>
        <w:tblW w:w="7885" w:type="dxa"/>
        <w:jc w:val="left"/>
        <w:tblInd w:w="0" w:type="dxa"/>
        <w:tblCellMar>
          <w:top w:w="0" w:type="dxa"/>
          <w:left w:w="0" w:type="dxa"/>
          <w:bottom w:w="0" w:type="dxa"/>
          <w:right w:w="0" w:type="dxa"/>
        </w:tblCellMar>
      </w:tblPr>
      <w:tblGrid>
        <w:gridCol w:w="75"/>
        <w:gridCol w:w="110"/>
        <w:gridCol w:w="60"/>
        <w:gridCol w:w="7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submission to the FDA of an NDA or BLA after completion of all pivotal trials; </w:t>
            </w:r>
          </w:p>
        </w:tc>
      </w:tr>
    </w:tbl>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satisfactory completion of an FDA advisory committee review, if applicable;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product’s identity, strength, quality and purity;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satisfactory completion of potential FDA audits of clinical trials sites and the sponsor’s clinical trial records to assure compliance with GCPs and the integrity of the clinical data; and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payment of user fees, if applicable, and FDA review and approval of the NDA or BLA; </w:t>
            </w:r>
          </w:p>
        </w:tc>
      </w:tr>
    </w:tbl>
    <w:p>
      <w:pPr>
        <w:pStyle w:val="TextBody"/>
        <w:spacing w:before="360" w:after="0"/>
        <w:jc w:val="left"/>
        <w:rPr>
          <w:rFonts w:ascii="Times New Roman" w:hAnsi="Times New Roman"/>
          <w:b/>
          <w:i/>
          <w:sz w:val="24"/>
        </w:rPr>
      </w:pPr>
      <w:r>
        <w:rPr>
          <w:rFonts w:ascii="Times New Roman" w:hAnsi="Times New Roman"/>
          <w:b/>
          <w:i/>
          <w:sz w:val="24"/>
        </w:rPr>
        <w:t xml:space="preserve">Pre-clinical Studies </w:t>
      </w:r>
    </w:p>
    <w:p>
      <w:pPr>
        <w:pStyle w:val="TextBody"/>
        <w:spacing w:before="120" w:after="0"/>
        <w:jc w:val="left"/>
        <w:rPr>
          <w:rFonts w:ascii="Times New Roman" w:hAnsi="Times New Roman"/>
          <w:sz w:val="24"/>
        </w:rPr>
      </w:pPr>
      <w:r>
        <w:rPr>
          <w:rFonts w:ascii="Times New Roman" w:hAnsi="Times New Roman"/>
          <w:sz w:val="24"/>
        </w:rPr>
        <w:t xml:space="preserve">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Clinical Trials </w:t>
      </w:r>
    </w:p>
    <w:p>
      <w:pPr>
        <w:pStyle w:val="TextBody"/>
        <w:spacing w:before="120" w:after="0"/>
        <w:jc w:val="left"/>
        <w:rPr>
          <w:rFonts w:ascii="Times New Roman" w:hAnsi="Times New Roman"/>
          <w:sz w:val="24"/>
        </w:rPr>
      </w:pPr>
      <w:r>
        <w:rPr>
          <w:rFonts w:ascii="Times New Roman" w:hAnsi="Times New Roman"/>
          <w:sz w:val="24"/>
        </w:rPr>
        <w:t xml:space="preserve">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spacing w:before="240" w:after="0"/>
        <w:jc w:val="left"/>
        <w:rPr>
          <w:rFonts w:ascii="Times New Roman" w:hAnsi="Times New Roman"/>
          <w:sz w:val="24"/>
        </w:rPr>
      </w:pPr>
      <w:r>
        <w:rPr>
          <w:rFonts w:ascii="Times New Roman" w:hAnsi="Times New Roman"/>
          <w:sz w:val="24"/>
        </w:rPr>
        <w:t>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w:t>
      </w:r>
      <w:r>
        <w:rPr>
          <w:rFonts w:ascii="Times New Roman" w:hAnsi="Times New Roman"/>
          <w:sz w:val="24"/>
          <w:u w:val="single"/>
        </w:rPr>
        <w:t xml:space="preserve"> www.clinicaltrials.gov.</w:t>
      </w:r>
      <w:r>
        <w:rPr>
          <w:rFonts w:ascii="Times New Roman" w:hAnsi="Times New Roman"/>
          <w:sz w:val="24"/>
        </w:rPr>
        <w:t xml:space="preserve"> </w:t>
      </w:r>
    </w:p>
    <w:p>
      <w:pPr>
        <w:pStyle w:val="TextBody"/>
        <w:spacing w:before="240" w:after="0"/>
        <w:jc w:val="left"/>
        <w:rPr>
          <w:rFonts w:ascii="Times New Roman" w:hAnsi="Times New Roman"/>
          <w:sz w:val="24"/>
        </w:rPr>
      </w:pPr>
      <w:r>
        <w:rPr>
          <w:rFonts w:ascii="Times New Roman" w:hAnsi="Times New Roman"/>
          <w:sz w:val="24"/>
        </w:rPr>
        <w:t xml:space="preserve">Human clinical trials are typically conducted in three sequential phases, which may overlap or be combined: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Phase 1: The product candidate is initially introduced into healthy human subjects or patients with the target disease or condition and tested for safety, dosage tolerance, absorption, metabolism, distribution, excretion and, if possible, to gain an early indication of its effectiveness.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Phase 2: The product candidate is administered to a limited patient population to identify possible adverse effects and safety risks, to preliminarily evaluate the efficacy of the product for specific targeted diseases and to determine dosage tolerance and optimal dosage.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Phase 3: The product candidate is administered to an expanded patient population, generally at geographically dispersed clinical trial sites, in well- controlled clinical trials to generate enough data to statistically evaluate the efficacy and safety of the product for approval, to establish the overall risk-benefit profile of the product, and to provide adequate information for the labeling of the product. </w:t>
            </w:r>
          </w:p>
        </w:tc>
      </w:tr>
    </w:tbl>
    <w:p>
      <w:pPr>
        <w:pStyle w:val="TextBody"/>
        <w:spacing w:before="240" w:after="0"/>
        <w:jc w:val="left"/>
        <w:rPr>
          <w:rFonts w:ascii="Times New Roman" w:hAnsi="Times New Roman"/>
          <w:sz w:val="24"/>
        </w:rPr>
      </w:pPr>
      <w:r>
        <w:rPr>
          <w:rFonts w:ascii="Times New Roman" w:hAnsi="Times New Roman"/>
          <w:sz w:val="24"/>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 </w:t>
      </w:r>
    </w:p>
    <w:p>
      <w:pPr>
        <w:pStyle w:val="TextBody"/>
        <w:spacing w:before="240" w:after="0"/>
        <w:jc w:val="left"/>
        <w:rPr>
          <w:rFonts w:ascii="Times New Roman" w:hAnsi="Times New Roman"/>
          <w:sz w:val="24"/>
        </w:rPr>
      </w:pPr>
      <w:r>
        <w:rPr>
          <w:rFonts w:ascii="Times New Roman" w:hAnsi="Times New Roman"/>
          <w:sz w:val="24"/>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Rare Pediatric Disease Priority Review Voucher Program </w:t>
      </w:r>
    </w:p>
    <w:p>
      <w:pPr>
        <w:pStyle w:val="TextBody"/>
        <w:spacing w:before="120" w:after="0"/>
        <w:jc w:val="left"/>
        <w:rPr>
          <w:rFonts w:ascii="Times New Roman" w:hAnsi="Times New Roman"/>
          <w:sz w:val="24"/>
        </w:rPr>
      </w:pPr>
      <w:r>
        <w:rPr>
          <w:rFonts w:ascii="Times New Roman" w:hAnsi="Times New Roman"/>
          <w:sz w:val="24"/>
        </w:rPr>
        <w:t xml:space="preserve">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w:t>
      </w:r>
    </w:p>
    <w:p>
      <w:pPr>
        <w:pStyle w:val="TextBody"/>
        <w:spacing w:before="240" w:after="0"/>
        <w:jc w:val="left"/>
        <w:rPr>
          <w:rFonts w:ascii="Times New Roman" w:hAnsi="Times New Roman"/>
          <w:sz w:val="24"/>
        </w:rPr>
      </w:pPr>
      <w:r>
        <w:rPr>
          <w:rFonts w:ascii="Times New Roman" w:hAnsi="Times New Roman"/>
          <w:sz w:val="24"/>
        </w:rPr>
        <w:t xml:space="preserve">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 </w:t>
      </w:r>
    </w:p>
    <w:p>
      <w:pPr>
        <w:pStyle w:val="TextBody"/>
        <w:spacing w:before="240" w:after="0"/>
        <w:jc w:val="left"/>
        <w:rPr>
          <w:rFonts w:ascii="Times New Roman" w:hAnsi="Times New Roman"/>
          <w:sz w:val="24"/>
        </w:rPr>
      </w:pPr>
      <w:r>
        <w:rPr>
          <w:rFonts w:ascii="Times New Roman" w:hAnsi="Times New Roman"/>
          <w:sz w:val="24"/>
        </w:rPr>
        <w:t xml:space="preserve">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Congress has only authorized the Rare Pediatric Disease Priority Review Voucher program until September 30, 2024. Consequently, sponsors of marketing applications approved after that date will not receive the voucher unless Congress reauthorizes the Rare Pediatric Disease Priority Review Voucher program before that time. However, even if the program is not reauthorized, if a drug candidate receives Rare Pediatric Disease Designation before October 1, 2024, the sponsor of the marketing application for such drug will be eligible to receive a voucher if the application for the designated drug is approved by the FDA before October 1, 2026. </w:t>
      </w:r>
    </w:p>
    <w:p>
      <w:pPr>
        <w:pStyle w:val="TextBody"/>
        <w:spacing w:before="360" w:after="0"/>
        <w:jc w:val="left"/>
        <w:rPr>
          <w:rFonts w:ascii="Times New Roman" w:hAnsi="Times New Roman"/>
          <w:b/>
          <w:i/>
          <w:sz w:val="24"/>
        </w:rPr>
      </w:pPr>
      <w:r>
        <w:rPr>
          <w:rFonts w:ascii="Times New Roman" w:hAnsi="Times New Roman"/>
          <w:b/>
          <w:i/>
          <w:sz w:val="24"/>
        </w:rPr>
        <w:t xml:space="preserve">Orphan Product Designation and Exclusivity </w:t>
      </w:r>
    </w:p>
    <w:p>
      <w:pPr>
        <w:pStyle w:val="TextBody"/>
        <w:spacing w:before="120" w:after="0"/>
        <w:jc w:val="left"/>
        <w:rPr>
          <w:rFonts w:ascii="Times New Roman" w:hAnsi="Times New Roman"/>
          <w:sz w:val="24"/>
        </w:rPr>
      </w:pPr>
      <w:r>
        <w:rPr>
          <w:rFonts w:ascii="Times New Roman" w:hAnsi="Times New Roman"/>
          <w:sz w:val="24"/>
        </w:rPr>
        <w:t xml:space="preserve">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 </w:t>
      </w:r>
    </w:p>
    <w:p>
      <w:pPr>
        <w:pStyle w:val="TextBody"/>
        <w:spacing w:before="240" w:after="0"/>
        <w:jc w:val="left"/>
        <w:rPr>
          <w:rFonts w:ascii="Times New Roman" w:hAnsi="Times New Roman"/>
          <w:sz w:val="24"/>
        </w:rPr>
      </w:pPr>
      <w:r>
        <w:rPr>
          <w:rFonts w:ascii="Times New Roman" w:hAnsi="Times New Roman"/>
          <w:sz w:val="24"/>
        </w:rPr>
        <w:t xml:space="preserve">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disease or condition for seven years, except in certain limited circumstances. If a product designated as an orphan product ultimately receives marketing approval for disease or condition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disease or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 </w:t>
      </w:r>
    </w:p>
    <w:p>
      <w:pPr>
        <w:pStyle w:val="TextBody"/>
        <w:spacing w:before="360" w:after="0"/>
        <w:jc w:val="left"/>
        <w:rPr>
          <w:rFonts w:ascii="Times New Roman" w:hAnsi="Times New Roman"/>
          <w:b/>
          <w:i/>
          <w:sz w:val="24"/>
        </w:rPr>
      </w:pPr>
      <w:r>
        <w:rPr>
          <w:rFonts w:ascii="Times New Roman" w:hAnsi="Times New Roman"/>
          <w:b/>
          <w:i/>
          <w:sz w:val="24"/>
        </w:rPr>
        <w:t xml:space="preserve">Marketing Approval </w:t>
      </w:r>
    </w:p>
    <w:p>
      <w:pPr>
        <w:pStyle w:val="TextBody"/>
        <w:spacing w:before="120" w:after="0"/>
        <w:jc w:val="left"/>
        <w:rPr>
          <w:rFonts w:ascii="Times New Roman" w:hAnsi="Times New Roman"/>
          <w:sz w:val="24"/>
        </w:rPr>
      </w:pPr>
      <w:r>
        <w:rPr>
          <w:rFonts w:ascii="Times New Roman" w:hAnsi="Times New Roman"/>
          <w:sz w:val="24"/>
        </w:rPr>
        <w:t xml:space="preserve">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w:t>
      </w:r>
    </w:p>
    <w:p>
      <w:pPr>
        <w:pStyle w:val="TextBody"/>
        <w:spacing w:before="240" w:after="0"/>
        <w:jc w:val="left"/>
        <w:rPr>
          <w:rFonts w:ascii="Times New Roman" w:hAnsi="Times New Roman"/>
          <w:sz w:val="24"/>
        </w:rPr>
      </w:pPr>
      <w:r>
        <w:rPr>
          <w:rFonts w:ascii="Times New Roman" w:hAnsi="Times New Roman"/>
          <w:sz w:val="24"/>
        </w:rPr>
        <w:t xml:space="preserve">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 evaluate the safety and effectiveness of the product for the claimed indications in all relevant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spacing w:before="240" w:after="0"/>
        <w:jc w:val="left"/>
        <w:rPr>
          <w:rFonts w:ascii="Times New Roman" w:hAnsi="Times New Roman"/>
          <w:sz w:val="24"/>
        </w:rPr>
      </w:pPr>
      <w:r>
        <w:rPr>
          <w:rFonts w:ascii="Times New Roman" w:hAnsi="Times New Roman"/>
          <w:sz w:val="24"/>
        </w:rPr>
        <w:t xml:space="preserve">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 </w:t>
      </w:r>
    </w:p>
    <w:p>
      <w:pPr>
        <w:pStyle w:val="TextBody"/>
        <w:spacing w:before="240" w:after="0"/>
        <w:jc w:val="left"/>
        <w:rPr>
          <w:rFonts w:ascii="Times New Roman" w:hAnsi="Times New Roman"/>
          <w:sz w:val="24"/>
        </w:rPr>
      </w:pPr>
      <w:r>
        <w:rPr>
          <w:rFonts w:ascii="Times New Roman" w:hAnsi="Times New Roman"/>
          <w:sz w:val="24"/>
        </w:rPr>
        <w:t xml:space="preserve">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spacing w:before="240" w:after="0"/>
        <w:jc w:val="left"/>
        <w:rPr>
          <w:rFonts w:ascii="Times New Roman" w:hAnsi="Times New Roman"/>
          <w:sz w:val="24"/>
        </w:rPr>
      </w:pPr>
      <w:r>
        <w:rPr>
          <w:rFonts w:ascii="Times New Roman" w:hAnsi="Times New Roman"/>
          <w:sz w:val="24"/>
        </w:rPr>
        <w:t xml:space="preserve">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 </w:t>
      </w:r>
    </w:p>
    <w:p>
      <w:pPr>
        <w:pStyle w:val="TextBody"/>
        <w:spacing w:before="240" w:after="0"/>
        <w:jc w:val="left"/>
        <w:rPr>
          <w:rFonts w:ascii="Times New Roman" w:hAnsi="Times New Roman"/>
          <w:sz w:val="24"/>
        </w:rPr>
      </w:pPr>
      <w:r>
        <w:rPr>
          <w:rFonts w:ascii="Times New Roman" w:hAnsi="Times New Roman"/>
          <w:sz w:val="24"/>
        </w:rPr>
        <w:t xml:space="preserve">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 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 </w:t>
      </w:r>
    </w:p>
    <w:p>
      <w:pPr>
        <w:pStyle w:val="TextBody"/>
        <w:spacing w:before="240" w:after="0"/>
        <w:jc w:val="left"/>
        <w:rPr>
          <w:rFonts w:ascii="Times New Roman" w:hAnsi="Times New Roman"/>
          <w:sz w:val="24"/>
        </w:rPr>
      </w:pPr>
      <w:r>
        <w:rPr>
          <w:rFonts w:ascii="Times New Roman" w:hAnsi="Times New Roman"/>
          <w:sz w:val="24"/>
        </w:rPr>
        <w:t xml:space="preserve">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 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Post-Approval Requirements </w:t>
      </w:r>
    </w:p>
    <w:p>
      <w:pPr>
        <w:pStyle w:val="TextBody"/>
        <w:spacing w:before="120" w:after="0"/>
        <w:jc w:val="left"/>
        <w:rPr>
          <w:rFonts w:ascii="Times New Roman" w:hAnsi="Times New Roman"/>
          <w:sz w:val="24"/>
        </w:rPr>
      </w:pPr>
      <w:r>
        <w:rPr>
          <w:rFonts w:ascii="Times New Roman" w:hAnsi="Times New Roman"/>
          <w:sz w:val="24"/>
        </w:rPr>
        <w:t xml:space="preserve">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 </w:t>
      </w:r>
    </w:p>
    <w:p>
      <w:pPr>
        <w:pStyle w:val="TextBody"/>
        <w:spacing w:before="240" w:after="0"/>
        <w:jc w:val="left"/>
        <w:rPr>
          <w:rFonts w:ascii="Times New Roman" w:hAnsi="Times New Roman"/>
          <w:sz w:val="24"/>
        </w:rPr>
      </w:pPr>
      <w:r>
        <w:rPr>
          <w:rFonts w:ascii="Times New Roman" w:hAnsi="Times New Roman"/>
          <w:sz w:val="24"/>
        </w:rPr>
        <w:t xml:space="preserve">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w:t>
      </w:r>
    </w:p>
    <w:p>
      <w:pPr>
        <w:pStyle w:val="TextBody"/>
        <w:spacing w:before="240" w:after="0"/>
        <w:jc w:val="left"/>
        <w:rPr>
          <w:rFonts w:ascii="Times New Roman" w:hAnsi="Times New Roman"/>
          <w:sz w:val="24"/>
        </w:rPr>
      </w:pPr>
      <w:r>
        <w:rPr>
          <w:rFonts w:ascii="Times New Roman" w:hAnsi="Times New Roman"/>
          <w:sz w:val="24"/>
        </w:rPr>
        <w:t xml:space="preserve">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spacing w:before="240" w:after="0"/>
        <w:jc w:val="left"/>
        <w:rPr>
          <w:rFonts w:ascii="Times New Roman" w:hAnsi="Times New Roman"/>
          <w:sz w:val="24"/>
        </w:rPr>
      </w:pPr>
      <w:r>
        <w:rPr>
          <w:rFonts w:ascii="Times New Roman" w:hAnsi="Times New Roman"/>
          <w:sz w:val="24"/>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restrictions on the marketing or manufacturing of the product, complete withdrawal of the product from the market or product recalls; </w:t>
            </w:r>
          </w:p>
        </w:tc>
      </w:tr>
    </w:tbl>
    <w:p>
      <w:pPr>
        <w:pStyle w:val="TextBody"/>
        <w:spacing w:before="0" w:after="0"/>
        <w:jc w:val="left"/>
        <w:rPr/>
      </w:pPr>
      <w:r>
        <w:rPr/>
        <w:t> </w:t>
      </w:r>
    </w:p>
    <w:tbl>
      <w:tblPr>
        <w:tblW w:w="6085" w:type="dxa"/>
        <w:jc w:val="left"/>
        <w:tblInd w:w="0" w:type="dxa"/>
        <w:tblCellMar>
          <w:top w:w="0" w:type="dxa"/>
          <w:left w:w="0" w:type="dxa"/>
          <w:bottom w:w="0" w:type="dxa"/>
          <w:right w:w="0" w:type="dxa"/>
        </w:tblCellMar>
      </w:tblPr>
      <w:tblGrid>
        <w:gridCol w:w="75"/>
        <w:gridCol w:w="110"/>
        <w:gridCol w:w="60"/>
        <w:gridCol w:w="5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fines, warning letters or holds on post-approval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refusal of the FDA to approve pending applications or supplements to approved applications or suspension or revocation of product approvals; </w:t>
            </w:r>
          </w:p>
        </w:tc>
      </w:tr>
    </w:tbl>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product seizure or detention or refusal to permit the import or export of product candidates; </w:t>
            </w:r>
          </w:p>
        </w:tc>
      </w:tr>
    </w:tbl>
    <w:p>
      <w:pPr>
        <w:pStyle w:val="TextBody"/>
        <w:spacing w:before="0" w:after="0"/>
        <w:jc w:val="left"/>
        <w:rPr/>
      </w:pPr>
      <w:r>
        <w:rPr/>
        <w:t> </w:t>
      </w:r>
    </w:p>
    <w:tbl>
      <w:tblPr>
        <w:tblW w:w="5770" w:type="dxa"/>
        <w:jc w:val="left"/>
        <w:tblInd w:w="0" w:type="dxa"/>
        <w:tblCellMar>
          <w:top w:w="0" w:type="dxa"/>
          <w:left w:w="0" w:type="dxa"/>
          <w:bottom w:w="0" w:type="dxa"/>
          <w:right w:w="0" w:type="dxa"/>
        </w:tblCellMar>
      </w:tblPr>
      <w:tblGrid>
        <w:gridCol w:w="75"/>
        <w:gridCol w:w="110"/>
        <w:gridCol w:w="60"/>
        <w:gridCol w:w="5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injunctions or the imposition of civil or criminal penalties;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consent decrees, corporate integrity agreements, debarment or exclusion from federal healthcare programs;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mandated modification of promotional materials and labeling and the issuance of corrective information;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FDA or other regulatory authorities may issue safety alerts, “Dear Healthcare Provider” letters, press releases or other communications containing warnings or other safety information about the product. </w:t>
            </w:r>
          </w:p>
        </w:tc>
      </w:tr>
    </w:tbl>
    <w:p>
      <w:pPr>
        <w:pStyle w:val="TextBody"/>
        <w:spacing w:before="240" w:after="0"/>
        <w:jc w:val="left"/>
        <w:rPr>
          <w:rFonts w:ascii="Times New Roman" w:hAnsi="Times New Roman"/>
          <w:sz w:val="24"/>
        </w:rPr>
      </w:pPr>
      <w:r>
        <w:rPr>
          <w:rFonts w:ascii="Times New Roman" w:hAnsi="Times New Roman"/>
          <w:sz w:val="24"/>
        </w:rPr>
        <w:t xml:space="preserve">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 </w:t>
      </w:r>
    </w:p>
    <w:p>
      <w:pPr>
        <w:pStyle w:val="TextBody"/>
        <w:spacing w:before="360" w:after="0"/>
        <w:jc w:val="left"/>
        <w:rPr>
          <w:rFonts w:ascii="Times New Roman" w:hAnsi="Times New Roman"/>
          <w:b/>
          <w:i/>
          <w:sz w:val="24"/>
        </w:rPr>
      </w:pPr>
      <w:r>
        <w:rPr>
          <w:rFonts w:ascii="Times New Roman" w:hAnsi="Times New Roman"/>
          <w:b/>
          <w:i/>
          <w:sz w:val="24"/>
        </w:rPr>
        <w:t xml:space="preserve">Special FDA Expedited Review and Approval </w:t>
      </w:r>
    </w:p>
    <w:p>
      <w:pPr>
        <w:pStyle w:val="TextBody"/>
        <w:spacing w:before="120" w:after="0"/>
        <w:jc w:val="left"/>
        <w:rPr>
          <w:rFonts w:ascii="Times New Roman" w:hAnsi="Times New Roman"/>
          <w:sz w:val="24"/>
        </w:rPr>
      </w:pPr>
      <w:r>
        <w:rPr>
          <w:rFonts w:ascii="Times New Roman" w:hAnsi="Times New Roman"/>
          <w:sz w:val="24"/>
        </w:rPr>
        <w:t xml:space="preserve">The FDA has various programs, such as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To be eligible for a Fast-track designation, the FDA must determine, based on the request of a sponsor, that a product candidate is intended to treat a serious or life-threatening disease or condition and demonstrates the potential to address an unmet medical need for such disease or condition. Fast-track designation provides opportunities for frequent interactions with the FDA review team to expedite development and review of the product. The FDA may also review sections of the NDA or BLA for a Fast-Track-designated product on a rolling basis before the complete application is submitted, if the sponsor and FDA agree on a schedule for the submission of the application sections, and the sponsor pays any required user fees upon submission of the first section of the NDA or BLA. </w:t>
      </w:r>
    </w:p>
    <w:p>
      <w:pPr>
        <w:pStyle w:val="TextBody"/>
        <w:spacing w:before="240" w:after="0"/>
        <w:jc w:val="left"/>
        <w:rPr>
          <w:rFonts w:ascii="Times New Roman" w:hAnsi="Times New Roman"/>
          <w:sz w:val="24"/>
        </w:rPr>
      </w:pPr>
      <w:r>
        <w:rPr>
          <w:rFonts w:ascii="Times New Roman" w:hAnsi="Times New Roman"/>
          <w:sz w:val="24"/>
        </w:rPr>
        <w:t xml:space="preserve">In addition, a sponsor can request designation of a product as a “Breakthrough Therapy.” A Breakthrough Therapy is defined as a drug or biologic that is intended, alone or in combination with one or more other drugs or biologics, to treat a serious or life- 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spacing w:before="240" w:after="0"/>
        <w:jc w:val="left"/>
        <w:rPr>
          <w:rFonts w:ascii="Times New Roman" w:hAnsi="Times New Roman"/>
          <w:sz w:val="24"/>
        </w:rPr>
      </w:pPr>
      <w:r>
        <w:rPr>
          <w:rFonts w:ascii="Times New Roman" w:hAnsi="Times New Roman"/>
          <w:sz w:val="24"/>
        </w:rPr>
        <w:t xml:space="preserve">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confirmatory to verify and describe the predicted clinical benefit. Products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spacing w:before="240" w:after="0"/>
        <w:jc w:val="left"/>
        <w:rPr>
          <w:rFonts w:ascii="Times New Roman" w:hAnsi="Times New Roman"/>
          <w:sz w:val="24"/>
        </w:rPr>
      </w:pPr>
      <w:r>
        <w:rPr>
          <w:rFonts w:ascii="Times New Roman" w:hAnsi="Times New Roman"/>
          <w:sz w:val="24"/>
        </w:rPr>
        <w:t xml:space="preserve">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 </w:t>
      </w:r>
    </w:p>
    <w:p>
      <w:pPr>
        <w:pStyle w:val="TextBody"/>
        <w:spacing w:before="240" w:after="0"/>
        <w:jc w:val="left"/>
        <w:rPr>
          <w:rFonts w:ascii="Times New Roman" w:hAnsi="Times New Roman"/>
          <w:sz w:val="24"/>
        </w:rPr>
      </w:pPr>
      <w:r>
        <w:rPr>
          <w:rFonts w:ascii="Times New Roman" w:hAnsi="Times New Roman"/>
          <w:sz w:val="24"/>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 </w:t>
      </w:r>
    </w:p>
    <w:p>
      <w:pPr>
        <w:pStyle w:val="TextBody"/>
        <w:spacing w:before="360" w:after="0"/>
        <w:jc w:val="left"/>
        <w:rPr>
          <w:rFonts w:ascii="Times New Roman" w:hAnsi="Times New Roman"/>
          <w:b/>
          <w:i/>
          <w:sz w:val="24"/>
        </w:rPr>
      </w:pPr>
      <w:r>
        <w:rPr>
          <w:rFonts w:ascii="Times New Roman" w:hAnsi="Times New Roman"/>
          <w:b/>
          <w:i/>
          <w:sz w:val="24"/>
        </w:rPr>
        <w:t xml:space="preserve">Foreign Government Regulation </w:t>
      </w:r>
    </w:p>
    <w:p>
      <w:pPr>
        <w:pStyle w:val="TextBody"/>
        <w:spacing w:before="120" w:after="0"/>
        <w:jc w:val="left"/>
        <w:rPr>
          <w:rFonts w:ascii="Times New Roman" w:hAnsi="Times New Roman"/>
          <w:sz w:val="24"/>
        </w:rPr>
      </w:pPr>
      <w:r>
        <w:rPr>
          <w:rFonts w:ascii="Times New Roman" w:hAnsi="Times New Roman"/>
          <w:sz w:val="24"/>
        </w:rPr>
        <w:t xml:space="preserve">Our product candidates are subject to similar laws and regulations imposed by jurisdictions outside of the United States, and, in particular, the EU, which may include, for instance, applicable post-marketing requirements, including safety surveillance, anti-fraud and abuse laws and implementation of corporate compliance programs and reporting of payments or other transfers of value to healthcare professionals. </w:t>
      </w:r>
    </w:p>
    <w:p>
      <w:pPr>
        <w:pStyle w:val="TextBody"/>
        <w:spacing w:before="360" w:after="0"/>
        <w:jc w:val="left"/>
        <w:rPr>
          <w:rFonts w:ascii="Times New Roman" w:hAnsi="Times New Roman"/>
          <w:i/>
          <w:sz w:val="24"/>
        </w:rPr>
      </w:pPr>
      <w:r>
        <w:rPr>
          <w:rFonts w:ascii="Times New Roman" w:hAnsi="Times New Roman"/>
          <w:i/>
          <w:sz w:val="24"/>
        </w:rPr>
        <w:t xml:space="preserve">Non-clinical Studies and Clinical Trials </w:t>
      </w:r>
    </w:p>
    <w:p>
      <w:pPr>
        <w:pStyle w:val="TextBody"/>
        <w:spacing w:before="120" w:after="0"/>
        <w:jc w:val="left"/>
        <w:rPr>
          <w:rFonts w:ascii="Times New Roman" w:hAnsi="Times New Roman"/>
          <w:sz w:val="24"/>
        </w:rPr>
      </w:pPr>
      <w:r>
        <w:rPr>
          <w:rFonts w:ascii="Times New Roman" w:hAnsi="Times New Roman"/>
          <w:sz w:val="24"/>
        </w:rPr>
        <w:t xml:space="preserve">Similarly to the United States, the various phases of non-clinical and clinical research in the European Union, or EU, are subject to significant regulatory controls.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Non-clinical studies are performed to demonstrate the health or environmental safety of new chemical or biological substances. Non-clinical studies (pharmaco-toxicological) must be conducted in compliance with the principles of good laboratory practice, or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spacing w:before="360" w:after="0"/>
        <w:jc w:val="left"/>
        <w:rPr>
          <w:rFonts w:ascii="Times New Roman" w:hAnsi="Times New Roman"/>
          <w:sz w:val="24"/>
        </w:rPr>
      </w:pPr>
      <w:r>
        <w:rPr>
          <w:rFonts w:ascii="Times New Roman" w:hAnsi="Times New Roman"/>
          <w:sz w:val="24"/>
        </w:rPr>
        <w:t xml:space="preserve">Clinical trials of medicinal products in the EU must be conducted in accordance with EU and national regulations and the International Conference on Harmonization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TextBody"/>
        <w:spacing w:before="360" w:after="0"/>
        <w:jc w:val="left"/>
        <w:rPr>
          <w:rFonts w:ascii="Times New Roman" w:hAnsi="Times New Roman"/>
          <w:sz w:val="24"/>
        </w:rPr>
      </w:pPr>
      <w:r>
        <w:rPr>
          <w:rFonts w:ascii="Times New Roman" w:hAnsi="Times New Roman"/>
          <w:sz w:val="24"/>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spacing w:before="360" w:after="0"/>
        <w:jc w:val="left"/>
        <w:rPr>
          <w:rFonts w:ascii="Times New Roman" w:hAnsi="Times New Roman"/>
          <w:sz w:val="24"/>
        </w:rPr>
      </w:pPr>
      <w:r>
        <w:rPr>
          <w:rFonts w:ascii="Times New Roman" w:hAnsi="Times New Roman"/>
          <w:sz w:val="24"/>
        </w:rPr>
        <w:t xml:space="preserve">While the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spacing w:before="360" w:after="0"/>
        <w:jc w:val="left"/>
        <w:rPr>
          <w:rFonts w:ascii="Times New Roman" w:hAnsi="Times New Roman"/>
          <w:sz w:val="24"/>
        </w:rPr>
      </w:pPr>
      <w:r>
        <w:rPr>
          <w:rFonts w:ascii="Times New Roman" w:hAnsi="Times New Roman"/>
          <w:sz w:val="24"/>
        </w:rPr>
        <w:t xml:space="preserve">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 </w:t>
      </w:r>
    </w:p>
    <w:p>
      <w:pPr>
        <w:pStyle w:val="TextBody"/>
        <w:spacing w:before="360" w:after="0"/>
        <w:jc w:val="left"/>
        <w:rPr>
          <w:rFonts w:ascii="Times New Roman" w:hAnsi="Times New Roman"/>
          <w:sz w:val="24"/>
        </w:rPr>
      </w:pPr>
      <w:r>
        <w:rPr>
          <w:rFonts w:ascii="Times New Roman" w:hAnsi="Times New Roman"/>
          <w:sz w:val="24"/>
        </w:rPr>
        <w:t xml:space="preserve">Medicines used in clinical trials must be manufactured in accordance with Good Manufacturing Practice, or GMP. Other national and EU-wide regulatory requirements may also apply. </w:t>
      </w:r>
    </w:p>
    <w:p>
      <w:pPr>
        <w:pStyle w:val="TextBody"/>
        <w:spacing w:before="360" w:after="0"/>
        <w:jc w:val="left"/>
        <w:rPr>
          <w:rFonts w:ascii="Times New Roman" w:hAnsi="Times New Roman"/>
          <w:i/>
          <w:sz w:val="24"/>
        </w:rPr>
      </w:pPr>
      <w:r>
        <w:rPr>
          <w:rFonts w:ascii="Times New Roman" w:hAnsi="Times New Roman"/>
          <w:i/>
          <w:sz w:val="24"/>
        </w:rPr>
        <w:t xml:space="preserve">Marketing Authorization </w:t>
      </w:r>
    </w:p>
    <w:p>
      <w:pPr>
        <w:pStyle w:val="TextBody"/>
        <w:spacing w:before="120" w:after="0"/>
        <w:jc w:val="left"/>
        <w:rPr>
          <w:rFonts w:ascii="Times New Roman" w:hAnsi="Times New Roman"/>
          <w:sz w:val="24"/>
        </w:rPr>
      </w:pPr>
      <w:r>
        <w:rPr>
          <w:rFonts w:ascii="Times New Roman" w:hAnsi="Times New Roman"/>
          <w:sz w:val="24"/>
        </w:rPr>
        <w:t xml:space="preserve">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Centralized MAs” are issued by the European Commission through the centralized procedure, based on the opinion of the Committee for Medicinal Products for Human Use (“CHMP”) of the EMA and are valid throughout the entire territory of the EU. The centralized procedure is mandatory for certain types of medicinal products, such as (i) medicinal products derived from biotechnological processes, (ii) designated orphan medicinal product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disorders, diabetes, auto-immune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4"/>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spacing w:before="240" w:after="0"/>
        <w:jc w:val="left"/>
        <w:rPr>
          <w:rFonts w:ascii="Times New Roman" w:hAnsi="Times New Roman"/>
          <w:sz w:val="24"/>
        </w:rPr>
      </w:pPr>
      <w:r>
        <w:rPr>
          <w:rFonts w:ascii="Times New Roman" w:hAnsi="Times New Roman"/>
          <w:sz w:val="24"/>
        </w:rPr>
        <w:t xml:space="preserve">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dedicated contact and rapporteur from the CHMP before submission of an MAA, early and proactive dialogue and scientific advice at key development milestones, and the potential to qualify product candidates for accelerated review earlier in the application process. An initial meeting initiates these relationships and includes a team of multidisciplinary experts at the EMA to provide guidance on the overall development and regulatory strategies. </w:t>
      </w:r>
    </w:p>
    <w:p>
      <w:pPr>
        <w:pStyle w:val="TextBody"/>
        <w:spacing w:before="240" w:after="0"/>
        <w:jc w:val="left"/>
        <w:rPr>
          <w:rFonts w:ascii="Times New Roman" w:hAnsi="Times New Roman"/>
          <w:sz w:val="24"/>
        </w:rPr>
      </w:pPr>
      <w:r>
        <w:rPr>
          <w:rFonts w:ascii="Times New Roman" w:hAnsi="Times New Roman"/>
          <w:sz w:val="24"/>
        </w:rPr>
        <w:t xml:space="preserve">Moreover, in the EU, a “conditional” MA may be granted in cases where all the required safety and efficacy data are not yet available. The CMA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w:t>
      </w:r>
    </w:p>
    <w:p>
      <w:pPr>
        <w:pStyle w:val="TextBody"/>
        <w:spacing w:before="240" w:after="0"/>
        <w:jc w:val="left"/>
        <w:rPr>
          <w:rFonts w:ascii="Times New Roman" w:hAnsi="Times New Roman"/>
          <w:sz w:val="24"/>
        </w:rPr>
      </w:pPr>
      <w:r>
        <w:rPr>
          <w:rFonts w:ascii="Times New Roman" w:hAnsi="Times New Roman"/>
          <w:sz w:val="24"/>
        </w:rPr>
        <w:t xml:space="preserve">Under the above described procedures, before granting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Adaptive pathways </w:t>
      </w:r>
    </w:p>
    <w:p>
      <w:pPr>
        <w:pStyle w:val="TextBody"/>
        <w:spacing w:before="120" w:after="0"/>
        <w:jc w:val="left"/>
        <w:rPr>
          <w:rFonts w:ascii="Times New Roman" w:hAnsi="Times New Roman"/>
          <w:sz w:val="24"/>
        </w:rPr>
      </w:pPr>
      <w:r>
        <w:rPr>
          <w:rFonts w:ascii="Times New Roman" w:hAnsi="Times New Roman"/>
          <w:sz w:val="24"/>
        </w:rPr>
        <w:t xml:space="preserve">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 </w:t>
      </w:r>
    </w:p>
    <w:p>
      <w:pPr>
        <w:pStyle w:val="TextBody"/>
        <w:spacing w:before="240" w:after="0"/>
        <w:jc w:val="left"/>
        <w:rPr>
          <w:rFonts w:ascii="Times New Roman" w:hAnsi="Times New Roman"/>
          <w:sz w:val="24"/>
        </w:rPr>
      </w:pPr>
      <w:r>
        <w:rPr>
          <w:rFonts w:ascii="Times New Roman" w:hAnsi="Times New Roman"/>
          <w:sz w:val="24"/>
        </w:rPr>
        <w:t xml:space="preserve">The adaptive pathways program does not change the standards for the evaluation of benefits and risks or the requirement to demonstrate a positive benefit-risk balance to obtain MA. In February 2017, setrusumab was accepted into the adaptive pathways program. </w:t>
      </w:r>
    </w:p>
    <w:p>
      <w:pPr>
        <w:pStyle w:val="TextBody"/>
        <w:spacing w:before="360" w:after="0"/>
        <w:jc w:val="left"/>
        <w:rPr>
          <w:rFonts w:ascii="Times New Roman" w:hAnsi="Times New Roman"/>
          <w:i/>
          <w:sz w:val="24"/>
        </w:rPr>
      </w:pPr>
      <w:r>
        <w:rPr>
          <w:rFonts w:ascii="Times New Roman" w:hAnsi="Times New Roman"/>
          <w:i/>
          <w:sz w:val="24"/>
        </w:rPr>
        <w:t xml:space="preserve">Data and marketing exclusivity </w:t>
      </w:r>
    </w:p>
    <w:p>
      <w:pPr>
        <w:pStyle w:val="TextBody"/>
        <w:spacing w:before="120" w:after="0"/>
        <w:jc w:val="left"/>
        <w:rPr>
          <w:rFonts w:ascii="Times New Roman" w:hAnsi="Times New Roman"/>
          <w:sz w:val="24"/>
        </w:rPr>
      </w:pPr>
      <w:r>
        <w:rPr>
          <w:rFonts w:ascii="Times New Roman" w:hAnsi="Times New Roman"/>
          <w:sz w:val="24"/>
        </w:rPr>
        <w:t xml:space="preserve">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spacing w:before="240" w:after="0"/>
        <w:jc w:val="left"/>
        <w:rPr>
          <w:rFonts w:ascii="Times New Roman" w:hAnsi="Times New Roman"/>
          <w:sz w:val="24"/>
        </w:rPr>
      </w:pPr>
      <w:r>
        <w:rPr>
          <w:rFonts w:ascii="Times New Roman" w:hAnsi="Times New Roman"/>
          <w:sz w:val="24"/>
        </w:rPr>
        <w:t xml:space="preserve">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 </w:t>
      </w:r>
    </w:p>
    <w:p>
      <w:pPr>
        <w:pStyle w:val="TextBody"/>
        <w:spacing w:before="360" w:after="0"/>
        <w:jc w:val="left"/>
        <w:rPr>
          <w:rFonts w:ascii="Times New Roman" w:hAnsi="Times New Roman"/>
          <w:i/>
          <w:sz w:val="24"/>
        </w:rPr>
      </w:pPr>
      <w:r>
        <w:rPr>
          <w:rFonts w:ascii="Times New Roman" w:hAnsi="Times New Roman"/>
          <w:i/>
          <w:sz w:val="24"/>
        </w:rPr>
        <w:t xml:space="preserve">Orphan Medicinal Products </w:t>
      </w:r>
    </w:p>
    <w:p>
      <w:pPr>
        <w:pStyle w:val="TextBody"/>
        <w:spacing w:before="120" w:after="0"/>
        <w:jc w:val="left"/>
        <w:rPr>
          <w:rFonts w:ascii="Times New Roman" w:hAnsi="Times New Roman"/>
          <w:sz w:val="24"/>
        </w:rPr>
      </w:pPr>
      <w:r>
        <w:rPr>
          <w:rFonts w:ascii="Times New Roman" w:hAnsi="Times New Roman"/>
          <w:sz w:val="24"/>
        </w:rPr>
        <w:t xml:space="preserve">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chronically-debilitating condition, (2) either (a) affecting not more than five in 10,000 persons in the EU when the application is made, or (b) that the product without the benefits derived from the orphan status, would generate sufficient return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spacing w:before="240" w:after="0"/>
        <w:jc w:val="left"/>
        <w:rPr>
          <w:rFonts w:ascii="Times New Roman" w:hAnsi="Times New Roman"/>
          <w:sz w:val="24"/>
        </w:rPr>
      </w:pPr>
      <w:r>
        <w:rPr>
          <w:rFonts w:ascii="Times New Roman" w:hAnsi="Times New Roman"/>
          <w:sz w:val="24"/>
        </w:rPr>
        <w:t xml:space="preserve">Orphan designation must be requested before submitting an MAA. Orphan designation entitles a party to incentives such as reduction of fees or fee waivers, protocol assistance, and access to the centralized procedure. Upon grant of a MA for an orphan medicinal product are entitled to a 10 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pediatric investigation plan (“PIP”).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spacing w:before="360" w:after="0"/>
        <w:jc w:val="left"/>
        <w:rPr>
          <w:rFonts w:ascii="Times New Roman" w:hAnsi="Times New Roman"/>
          <w:i/>
          <w:sz w:val="24"/>
        </w:rPr>
      </w:pPr>
      <w:r>
        <w:rPr>
          <w:rFonts w:ascii="Times New Roman" w:hAnsi="Times New Roman"/>
          <w:i/>
          <w:sz w:val="24"/>
        </w:rPr>
        <w:t xml:space="preserve">Pediatric Development </w:t>
      </w:r>
    </w:p>
    <w:p>
      <w:pPr>
        <w:pStyle w:val="TextBody"/>
        <w:spacing w:before="120" w:after="0"/>
        <w:jc w:val="left"/>
        <w:rPr>
          <w:rFonts w:ascii="Times New Roman" w:hAnsi="Times New Roman"/>
          <w:sz w:val="24"/>
        </w:rPr>
      </w:pPr>
      <w:r>
        <w:rPr>
          <w:rFonts w:ascii="Times New Roman" w:hAnsi="Times New Roman"/>
          <w:sz w:val="24"/>
        </w:rPr>
        <w:t xml:space="preserve">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 </w:t>
      </w:r>
    </w:p>
    <w:p>
      <w:pPr>
        <w:pStyle w:val="TextBody"/>
        <w:spacing w:before="240" w:after="0"/>
        <w:jc w:val="left"/>
        <w:rPr>
          <w:rFonts w:ascii="Times New Roman" w:hAnsi="Times New Roman"/>
          <w:sz w:val="24"/>
        </w:rPr>
      </w:pPr>
      <w:r>
        <w:rPr>
          <w:rFonts w:ascii="Times New Roman" w:hAnsi="Times New Roman"/>
          <w:sz w:val="24"/>
        </w:rPr>
        <w:t xml:space="preserve">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 </w:t>
      </w:r>
    </w:p>
    <w:p>
      <w:pPr>
        <w:pStyle w:val="TextBody"/>
        <w:spacing w:before="240" w:after="0"/>
        <w:jc w:val="left"/>
        <w:rPr>
          <w:rFonts w:ascii="Times New Roman" w:hAnsi="Times New Roman"/>
          <w:sz w:val="24"/>
        </w:rPr>
      </w:pPr>
      <w:r>
        <w:rPr>
          <w:rFonts w:ascii="Times New Roman" w:hAnsi="Times New Roman"/>
          <w:sz w:val="24"/>
        </w:rPr>
        <w:t xml:space="preserve">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spacing w:before="240" w:after="0"/>
        <w:jc w:val="left"/>
        <w:rPr>
          <w:rFonts w:ascii="Times New Roman" w:hAnsi="Times New Roman"/>
          <w:sz w:val="24"/>
        </w:rPr>
      </w:pPr>
      <w:r>
        <w:rPr>
          <w:rFonts w:ascii="Times New Roman" w:hAnsi="Times New Roman"/>
          <w:sz w:val="24"/>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 </w:t>
      </w:r>
    </w:p>
    <w:p>
      <w:pPr>
        <w:pStyle w:val="TextBody"/>
        <w:spacing w:before="240" w:after="0"/>
        <w:jc w:val="left"/>
        <w:rPr>
          <w:rFonts w:ascii="Times New Roman" w:hAnsi="Times New Roman"/>
          <w:sz w:val="24"/>
        </w:rPr>
      </w:pPr>
      <w:r>
        <w:rPr>
          <w:rFonts w:ascii="Times New Roman" w:hAnsi="Times New Roman"/>
          <w:sz w:val="24"/>
        </w:rPr>
        <w:t xml:space="preserve">The aforementioned EU rules are generally applicable in the European Economic Area, or EEA, which consists of the 27 EU member states plus Norway, Liechtenstein and Iceland. </w:t>
      </w:r>
    </w:p>
    <w:p>
      <w:pPr>
        <w:pStyle w:val="TextBody"/>
        <w:spacing w:before="240" w:after="0"/>
        <w:jc w:val="left"/>
        <w:rPr>
          <w:rFonts w:ascii="Times New Roman" w:hAnsi="Times New Roman"/>
          <w:sz w:val="24"/>
        </w:rPr>
      </w:pPr>
      <w:r>
        <w:rPr>
          <w:rFonts w:ascii="Times New Roman" w:hAnsi="Times New Roman"/>
          <w:sz w:val="24"/>
        </w:rPr>
        <w:t xml:space="preserve">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spacing w:before="360" w:after="0"/>
        <w:jc w:val="left"/>
        <w:rPr>
          <w:rFonts w:ascii="Times New Roman" w:hAnsi="Times New Roman"/>
          <w:b/>
          <w:i/>
          <w:sz w:val="24"/>
        </w:rPr>
      </w:pPr>
      <w:r>
        <w:rPr>
          <w:rFonts w:ascii="Times New Roman" w:hAnsi="Times New Roman"/>
          <w:b/>
          <w:i/>
          <w:sz w:val="24"/>
        </w:rPr>
        <w:t xml:space="preserve">Regulation in the United Kingdom </w:t>
      </w:r>
    </w:p>
    <w:p>
      <w:pPr>
        <w:pStyle w:val="TextBody"/>
        <w:spacing w:before="120" w:after="0"/>
        <w:jc w:val="left"/>
        <w:rPr>
          <w:rFonts w:ascii="Times New Roman" w:hAnsi="Times New Roman"/>
          <w:sz w:val="24"/>
        </w:rPr>
      </w:pPr>
      <w:r>
        <w:rPr>
          <w:rFonts w:ascii="Times New Roman" w:hAnsi="Times New Roman"/>
          <w:sz w:val="24"/>
        </w:rPr>
        <w:t xml:space="preserve">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However, new legislation such as the EU CTR is not applicable in Great Britain. </w:t>
      </w:r>
    </w:p>
    <w:p>
      <w:pPr>
        <w:pStyle w:val="TextBody"/>
        <w:spacing w:before="240" w:after="0"/>
        <w:jc w:val="left"/>
        <w:rPr>
          <w:rFonts w:ascii="Times New Roman" w:hAnsi="Times New Roman"/>
          <w:sz w:val="24"/>
        </w:rPr>
      </w:pPr>
      <w:r>
        <w:rPr>
          <w:rFonts w:ascii="Times New Roman" w:hAnsi="Times New Roman"/>
          <w:sz w:val="24"/>
        </w:rPr>
        <w:t xml:space="preserve">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w:t>
      </w:r>
    </w:p>
    <w:p>
      <w:pPr>
        <w:pStyle w:val="TextBody"/>
        <w:spacing w:before="240" w:after="0"/>
        <w:jc w:val="left"/>
        <w:rPr>
          <w:rFonts w:ascii="Times New Roman" w:hAnsi="Times New Roman"/>
          <w:sz w:val="24"/>
        </w:rPr>
      </w:pPr>
      <w:r>
        <w:rPr>
          <w:rFonts w:ascii="Times New Roman" w:hAnsi="Times New Roman"/>
          <w:sz w:val="24"/>
        </w:rPr>
        <w:t xml:space="preserve">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 </w:t>
      </w:r>
    </w:p>
    <w:p>
      <w:pPr>
        <w:pStyle w:val="TextBody"/>
        <w:spacing w:before="240" w:after="0"/>
        <w:jc w:val="left"/>
        <w:rPr>
          <w:rFonts w:ascii="Times New Roman" w:hAnsi="Times New Roman"/>
          <w:sz w:val="24"/>
        </w:rPr>
      </w:pPr>
      <w:r>
        <w:rPr>
          <w:rFonts w:ascii="Times New Roman" w:hAnsi="Times New Roman"/>
          <w:sz w:val="24"/>
        </w:rPr>
        <w:t xml:space="preserve">There will be no pre-MA orphan designation. Instead, the MHRA will review applications for orphan designation in parallel to the corresponding MAA.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 </w:t>
      </w:r>
    </w:p>
    <w:p>
      <w:pPr>
        <w:pStyle w:val="TextBody"/>
        <w:spacing w:before="240" w:after="0"/>
        <w:jc w:val="left"/>
        <w:rPr>
          <w:rFonts w:ascii="Times New Roman" w:hAnsi="Times New Roman"/>
          <w:sz w:val="24"/>
        </w:rPr>
      </w:pPr>
      <w:r>
        <w:rPr>
          <w:rFonts w:ascii="Times New Roman" w:hAnsi="Times New Roman"/>
          <w:sz w:val="24"/>
        </w:rPr>
        <w:t xml:space="preserve">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CTR or diverge from it to maintain regulatory flexibility. </w:t>
      </w:r>
    </w:p>
    <w:p>
      <w:pPr>
        <w:pStyle w:val="TextBody"/>
        <w:spacing w:before="240" w:after="0"/>
        <w:jc w:val="left"/>
        <w:rPr>
          <w:rFonts w:ascii="Times New Roman" w:hAnsi="Times New Roman"/>
          <w:sz w:val="24"/>
        </w:rPr>
      </w:pPr>
      <w:r>
        <w:rPr>
          <w:rFonts w:ascii="Times New Roman" w:hAnsi="Times New Roman"/>
          <w:sz w:val="24"/>
        </w:rPr>
        <w:t xml:space="preserve">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w:t>
      </w:r>
    </w:p>
    <w:p>
      <w:pPr>
        <w:pStyle w:val="TextBody"/>
        <w:spacing w:before="240" w:after="0"/>
        <w:jc w:val="left"/>
        <w:rPr>
          <w:rFonts w:ascii="Times New Roman" w:hAnsi="Times New Roman"/>
          <w:sz w:val="24"/>
        </w:rPr>
      </w:pPr>
      <w:r>
        <w:rPr>
          <w:rFonts w:ascii="Times New Roman" w:hAnsi="Times New Roman"/>
          <w:sz w:val="24"/>
        </w:rPr>
        <w:t xml:space="preserve">The uncertainty regarding new or modified arrangements between the U.K. and other countries following the withdrawal may have a material adverse effect on the movement of personnel, goods, information or data between the U.K. and members of the EU and the United States, including the interruption of or delays in imports into the U.K. of goods originating within the EU and exports from the U.K. of goods originating there. For example, shipments into the U.K. of medicinal product substance manufactured for us in the EU may be interrupted or delayed and thereby prevent or delay the manufacture in the U.K. of drug product. Similarly, shipments out of the U.K. of drug product to the United States or the EU may be interrupted or delayed and thereby prevent or delay the delivery of drug product to clinical sites. Such a situation could hinder our ability to conduct current and planned clinical trials and have an adverse effect on our business. </w:t>
      </w:r>
    </w:p>
    <w:p>
      <w:pPr>
        <w:pStyle w:val="TextBody"/>
        <w:spacing w:before="360" w:after="0"/>
        <w:jc w:val="left"/>
        <w:rPr>
          <w:rFonts w:ascii="Times New Roman" w:hAnsi="Times New Roman"/>
          <w:b/>
          <w:i/>
          <w:sz w:val="24"/>
        </w:rPr>
      </w:pPr>
      <w:r>
        <w:rPr>
          <w:rFonts w:ascii="Times New Roman" w:hAnsi="Times New Roman"/>
          <w:b/>
          <w:i/>
          <w:sz w:val="24"/>
        </w:rPr>
        <w:t xml:space="preserve">Other U.S. Healthcare Laws </w:t>
      </w:r>
    </w:p>
    <w:p>
      <w:pPr>
        <w:pStyle w:val="TextBody"/>
        <w:spacing w:before="120" w:after="0"/>
        <w:jc w:val="left"/>
        <w:rPr>
          <w:rFonts w:ascii="Times New Roman" w:hAnsi="Times New Roman"/>
          <w:sz w:val="24"/>
        </w:rPr>
      </w:pPr>
      <w:r>
        <w:rPr>
          <w:rFonts w:ascii="Times New Roman" w:hAnsi="Times New Roman"/>
          <w:sz w:val="24"/>
        </w:rPr>
        <w:t xml:space="preserve">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 </w:t>
      </w:r>
    </w:p>
    <w:p>
      <w:pPr>
        <w:pStyle w:val="TextBody"/>
        <w:spacing w:before="240" w:after="0"/>
        <w:jc w:val="left"/>
        <w:rPr>
          <w:rFonts w:ascii="Times New Roman" w:hAnsi="Times New Roman"/>
          <w:sz w:val="24"/>
        </w:rPr>
      </w:pPr>
      <w:r>
        <w:rPr>
          <w:rFonts w:ascii="Times New Roman" w:hAnsi="Times New Roman"/>
          <w:sz w:val="24"/>
        </w:rPr>
        <w:t xml:space="preserve">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under the U.S. federal Anti-Kickback Statute. Instead, the legality of the arrangement will be evaluated on a case-by- 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 </w:t>
      </w:r>
    </w:p>
    <w:p>
      <w:pPr>
        <w:pStyle w:val="TextBody"/>
        <w:spacing w:before="240" w:after="0"/>
        <w:jc w:val="left"/>
        <w:rPr>
          <w:rFonts w:ascii="Times New Roman" w:hAnsi="Times New Roman"/>
          <w:sz w:val="24"/>
        </w:rPr>
      </w:pPr>
      <w:r>
        <w:rPr>
          <w:rFonts w:ascii="Times New Roman" w:hAnsi="Times New Roman"/>
          <w:sz w:val="24"/>
        </w:rPr>
        <w:t xml:space="preserve">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 </w:t>
      </w:r>
    </w:p>
    <w:p>
      <w:pPr>
        <w:pStyle w:val="TextBody"/>
        <w:spacing w:before="240" w:after="0"/>
        <w:jc w:val="left"/>
        <w:rPr>
          <w:rFonts w:ascii="Times New Roman" w:hAnsi="Times New Roman"/>
          <w:sz w:val="24"/>
        </w:rPr>
      </w:pPr>
      <w:r>
        <w:rPr>
          <w:rFonts w:ascii="Times New Roman" w:hAnsi="Times New Roman"/>
          <w:sz w:val="24"/>
        </w:rPr>
        <w:t xml:space="preserve">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 </w:t>
      </w:r>
    </w:p>
    <w:p>
      <w:pPr>
        <w:pStyle w:val="TextBody"/>
        <w:spacing w:before="240" w:after="0"/>
        <w:jc w:val="left"/>
        <w:rPr>
          <w:rFonts w:ascii="Times New Roman" w:hAnsi="Times New Roman"/>
          <w:sz w:val="24"/>
        </w:rPr>
      </w:pPr>
      <w:r>
        <w:rPr>
          <w:rFonts w:ascii="Times New Roman" w:hAnsi="Times New Roman"/>
          <w:sz w:val="24"/>
        </w:rPr>
        <w:t xml:space="preserve">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spacing w:before="240" w:after="0"/>
        <w:jc w:val="left"/>
        <w:rPr>
          <w:rFonts w:ascii="Times New Roman" w:hAnsi="Times New Roman"/>
          <w:sz w:val="24"/>
        </w:rPr>
      </w:pPr>
      <w:r>
        <w:rPr>
          <w:rFonts w:ascii="Times New Roman" w:hAnsi="Times New Roman"/>
          <w:sz w:val="24"/>
        </w:rPr>
        <w:t xml:space="preserve">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 </w:t>
      </w:r>
    </w:p>
    <w:p>
      <w:pPr>
        <w:pStyle w:val="TextBody"/>
        <w:spacing w:before="240" w:after="0"/>
        <w:jc w:val="left"/>
        <w:rPr>
          <w:rFonts w:ascii="Times New Roman" w:hAnsi="Times New Roman"/>
          <w:sz w:val="24"/>
        </w:rPr>
      </w:pPr>
      <w:r>
        <w:rPr>
          <w:rFonts w:ascii="Times New Roman" w:hAnsi="Times New Roman"/>
          <w:sz w:val="24"/>
        </w:rPr>
        <w:t xml:space="preserve">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 </w:t>
      </w:r>
    </w:p>
    <w:p>
      <w:pPr>
        <w:pStyle w:val="TextBody"/>
        <w:spacing w:before="240" w:after="0"/>
        <w:jc w:val="left"/>
        <w:rPr>
          <w:rFonts w:ascii="Times New Roman" w:hAnsi="Times New Roman"/>
          <w:sz w:val="24"/>
        </w:rPr>
      </w:pPr>
      <w:r>
        <w:rPr>
          <w:rFonts w:ascii="Times New Roman" w:hAnsi="Times New Roman"/>
          <w:sz w:val="24"/>
        </w:rPr>
        <w:t xml:space="preserve">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Privacy and Data Protection Laws in Europe </w:t>
      </w:r>
    </w:p>
    <w:p>
      <w:pPr>
        <w:pStyle w:val="TextBody"/>
        <w:spacing w:before="120" w:after="0"/>
        <w:jc w:val="left"/>
        <w:rPr>
          <w:rFonts w:ascii="Times New Roman" w:hAnsi="Times New Roman"/>
          <w:sz w:val="24"/>
        </w:rPr>
      </w:pPr>
      <w:r>
        <w:rPr>
          <w:rFonts w:ascii="Times New Roman" w:hAnsi="Times New Roman"/>
          <w:sz w:val="24"/>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or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national laws and regulations implementing or supplementing each of them. In the U.K., we are subject to the U.K. Data Protection Act 2018 UK GDPR, along with U.K. regulations implementing the e-Privacy Directive. The U.K.’s data protection regime, while currently closely aligned with the EU’s, may diverge over time. The UK courts also recognize a civil tort for misuse of private information, distinct from a claim for breach of confidence, which may engender some exposure. Additionally, in the EU and U.K., there are strict regulations on electronic marketing communications and the use of cookies and related technologies, with which we are required to adhere. </w:t>
      </w:r>
    </w:p>
    <w:p>
      <w:pPr>
        <w:pStyle w:val="TextBody"/>
        <w:spacing w:before="240" w:after="0"/>
        <w:jc w:val="left"/>
        <w:rPr>
          <w:rFonts w:ascii="Times New Roman" w:hAnsi="Times New Roman"/>
          <w:sz w:val="24"/>
        </w:rPr>
      </w:pPr>
      <w:r>
        <w:rPr>
          <w:rFonts w:ascii="Times New Roman" w:hAnsi="Times New Roman"/>
          <w:sz w:val="24"/>
        </w:rPr>
        <w:t xml:space="preserve">The GDPR and UK GDPR impose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CROs and sponsors. As these laws develop, we may need to make operational changes to adapt to these diverging rules, which could increase our costs and adversely affect our business. </w:t>
      </w:r>
    </w:p>
    <w:p>
      <w:pPr>
        <w:pStyle w:val="TextBody"/>
        <w:spacing w:before="240" w:after="0"/>
        <w:jc w:val="left"/>
        <w:rPr>
          <w:rFonts w:ascii="Times New Roman" w:hAnsi="Times New Roman"/>
          <w:sz w:val="24"/>
        </w:rPr>
      </w:pPr>
      <w:r>
        <w:rPr>
          <w:rFonts w:ascii="Times New Roman" w:hAnsi="Times New Roman"/>
          <w:sz w:val="24"/>
        </w:rPr>
        <w:t xml:space="preserve">We are also subject to EU and U.K. laws on personal data export, as we may transfer personal data from the EU or U.K. to other jurisdictions which are not considered by the European Commission or U.K. Government, respectively, to offer adequate protection of personal data. Recent legal developments in Europe have created complexity and uncertainty regarding such transfers, in particular in relation to transfers to the United States. In 2020, the Court of Justice of the European Union (“CJEU”) invalidated the EU-U.S. Privacy Shield (the “Privacy Shield”), which had been a well-recognized cross-border data transfer framework. Subsequent regulatory decisions have taken a restrictive approach to international data transfers. In the wake of that judgment, referred to as Schrems II, the European Commission has issued new “model clauses” for companies to use to transfer personal data, which take into account concerns expressed by the CJEU. In the U.K., the Information Commissioner has issued an addendum to the new “model clauses”, which is intended to allow for the use of the “model clauses” for ex-U.K. transfers, along with its own international data transfer agreement. We expect EU and U.K. data protection authorities to more closely scrutinize international data transfers going forwards, along with the diligence undertaken in respect of any international transfers and the protections taken to secure personal data. At present, the precise conditions upon which data may be lawfully transferred from the EEA to inadequate jurisdictions such as the U.S., subject to the EU “model clauses” (and so-called “binding corporate rules”) remains unclear, as companies are now required to undertake transfer impact assessments and, where appropriate, apply supplementary measures to ensure that such mechanisms provide adequate protections for EU data.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 / 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 </w:t>
      </w:r>
    </w:p>
    <w:p>
      <w:pPr>
        <w:pStyle w:val="TextBody"/>
        <w:spacing w:before="240" w:after="0"/>
        <w:jc w:val="left"/>
        <w:rPr>
          <w:rFonts w:ascii="Times New Roman" w:hAnsi="Times New Roman"/>
          <w:sz w:val="24"/>
        </w:rPr>
      </w:pPr>
      <w:r>
        <w:rPr>
          <w:rFonts w:ascii="Times New Roman" w:hAnsi="Times New Roman"/>
          <w:sz w:val="24"/>
        </w:rPr>
        <w:t xml:space="preserve">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spacing w:before="360" w:after="0"/>
        <w:jc w:val="left"/>
        <w:rPr>
          <w:rFonts w:ascii="Times New Roman" w:hAnsi="Times New Roman"/>
          <w:b/>
          <w:sz w:val="24"/>
        </w:rPr>
      </w:pPr>
      <w:r>
        <w:rPr>
          <w:rFonts w:ascii="Times New Roman" w:hAnsi="Times New Roman"/>
          <w:b/>
          <w:sz w:val="24"/>
        </w:rPr>
        <w:t xml:space="preserve">Coverage and Reimbursement </w:t>
      </w:r>
    </w:p>
    <w:p>
      <w:pPr>
        <w:pStyle w:val="TextBody"/>
        <w:spacing w:before="120" w:after="0"/>
        <w:jc w:val="left"/>
        <w:rPr>
          <w:rFonts w:ascii="Times New Roman" w:hAnsi="Times New Roman"/>
          <w:sz w:val="24"/>
        </w:rPr>
      </w:pPr>
      <w:r>
        <w:rPr>
          <w:rFonts w:ascii="Times New Roman" w:hAnsi="Times New Roman"/>
          <w:sz w:val="24"/>
        </w:rPr>
        <w:t xml:space="preserve">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 </w:t>
      </w:r>
    </w:p>
    <w:p>
      <w:pPr>
        <w:pStyle w:val="TextBody"/>
        <w:spacing w:before="240" w:after="0"/>
        <w:jc w:val="left"/>
        <w:rPr>
          <w:rFonts w:ascii="Times New Roman" w:hAnsi="Times New Roman"/>
          <w:sz w:val="24"/>
        </w:rPr>
      </w:pPr>
      <w:r>
        <w:rPr>
          <w:rFonts w:ascii="Times New Roman" w:hAnsi="Times New Roman"/>
          <w:sz w:val="24"/>
        </w:rPr>
        <w:t xml:space="preserve">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 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 </w:t>
      </w:r>
    </w:p>
    <w:p>
      <w:pPr>
        <w:pStyle w:val="TextBody"/>
        <w:spacing w:before="240" w:after="0"/>
        <w:jc w:val="left"/>
        <w:rPr>
          <w:rFonts w:ascii="Times New Roman" w:hAnsi="Times New Roman"/>
          <w:sz w:val="24"/>
        </w:rPr>
      </w:pPr>
      <w:r>
        <w:rPr>
          <w:rFonts w:ascii="Times New Roman" w:hAnsi="Times New Roman"/>
          <w:sz w:val="24"/>
        </w:rPr>
        <w:t xml:space="preserve">In the EU, governments set the price of product candidates through their health technology assessment,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 border imports from low-priced markets within the EU single market exert a commercial pressure on pricing within a country. </w:t>
      </w:r>
    </w:p>
    <w:p>
      <w:pPr>
        <w:pStyle w:val="TextBody"/>
        <w:spacing w:before="240" w:after="0"/>
        <w:jc w:val="left"/>
        <w:rPr>
          <w:rFonts w:ascii="Times New Roman" w:hAnsi="Times New Roman"/>
          <w:sz w:val="24"/>
        </w:rPr>
      </w:pPr>
      <w:r>
        <w:rPr>
          <w:rFonts w:ascii="Times New Roman" w:hAnsi="Times New Roman"/>
          <w:sz w:val="24"/>
        </w:rPr>
        <w:t xml:space="preserve">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 </w:t>
      </w:r>
    </w:p>
    <w:p>
      <w:pPr>
        <w:pStyle w:val="TextBody"/>
        <w:spacing w:before="360" w:after="0"/>
        <w:jc w:val="left"/>
        <w:rPr>
          <w:rFonts w:ascii="Times New Roman" w:hAnsi="Times New Roman"/>
          <w:b/>
          <w:sz w:val="24"/>
        </w:rPr>
      </w:pPr>
      <w:r>
        <w:rPr>
          <w:rFonts w:ascii="Times New Roman" w:hAnsi="Times New Roman"/>
          <w:b/>
          <w:sz w:val="24"/>
        </w:rPr>
        <w:t xml:space="preserve">Healthcare Reform </w:t>
      </w:r>
    </w:p>
    <w:p>
      <w:pPr>
        <w:pStyle w:val="TextBody"/>
        <w:spacing w:before="120" w:after="0"/>
        <w:jc w:val="left"/>
        <w:rPr>
          <w:rFonts w:ascii="Times New Roman" w:hAnsi="Times New Roman"/>
          <w:sz w:val="24"/>
        </w:rPr>
      </w:pPr>
      <w:r>
        <w:rPr>
          <w:rFonts w:ascii="Times New Roman" w:hAnsi="Times New Roman"/>
          <w:sz w:val="24"/>
        </w:rPr>
        <w:t xml:space="preserve">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spacing w:before="240" w:after="0"/>
        <w:jc w:val="left"/>
        <w:rPr>
          <w:rFonts w:ascii="Times New Roman" w:hAnsi="Times New Roman"/>
          <w:sz w:val="24"/>
        </w:rPr>
      </w:pPr>
      <w:r>
        <w:rPr>
          <w:rFonts w:ascii="Times New Roman" w:hAnsi="Times New Roman"/>
          <w:sz w:val="24"/>
        </w:rPr>
        <w:t xml:space="preserve">In addition, other legislative changes have been proposed and adopted since the ACA was enacted. In March 2021, the American Rescue Plan Act of 2021 was signed into law, which eliminates the statutory Medicaid drug rebate cap, currently set at 100% of a drug’s average manufacturer price, beginning January 1, 2024. </w:t>
      </w:r>
    </w:p>
    <w:p>
      <w:pPr>
        <w:pStyle w:val="TextBody"/>
        <w:spacing w:before="240" w:after="0"/>
        <w:jc w:val="left"/>
        <w:rPr>
          <w:rFonts w:ascii="Times New Roman" w:hAnsi="Times New Roman"/>
          <w:sz w:val="24"/>
        </w:rPr>
      </w:pPr>
      <w:r>
        <w:rPr>
          <w:rFonts w:ascii="Times New Roman" w:hAnsi="Times New Roman"/>
          <w:sz w:val="24"/>
        </w:rPr>
        <w:t xml:space="preserve">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 </w:t>
      </w:r>
    </w:p>
    <w:p>
      <w:pPr>
        <w:pStyle w:val="TextBody"/>
        <w:spacing w:before="240" w:after="0"/>
        <w:jc w:val="left"/>
        <w:rPr>
          <w:rFonts w:ascii="Times New Roman" w:hAnsi="Times New Roman"/>
          <w:sz w:val="24"/>
        </w:rPr>
      </w:pPr>
      <w:r>
        <w:rPr>
          <w:rFonts w:ascii="Times New Roman" w:hAnsi="Times New Roman"/>
          <w:sz w:val="24"/>
        </w:rPr>
        <w:t xml:space="preserve">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w:t>
      </w:r>
    </w:p>
    <w:p>
      <w:pPr>
        <w:pStyle w:val="TextBody"/>
        <w:spacing w:before="240" w:after="0"/>
        <w:jc w:val="left"/>
        <w:rPr>
          <w:rFonts w:ascii="Times New Roman" w:hAnsi="Times New Roman"/>
          <w:sz w:val="24"/>
        </w:rPr>
      </w:pPr>
      <w:r>
        <w:rPr>
          <w:rFonts w:ascii="Times New Roman" w:hAnsi="Times New Roman"/>
          <w:sz w:val="24"/>
        </w:rPr>
        <w:t xml:space="preserve">Individual states in the United States have also become increasingly active in implementing state laws and regulations addressing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On December 13, 2021, EU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providing the basis for cooperation at the EU level for joint clinical assessments in these areas, using methodologies adapted to the specificities of the type of product in question.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spacing w:before="240" w:after="0"/>
        <w:jc w:val="left"/>
        <w:rPr>
          <w:rFonts w:ascii="Times New Roman" w:hAnsi="Times New Roman"/>
          <w:sz w:val="24"/>
        </w:rPr>
      </w:pPr>
      <w:r>
        <w:rPr>
          <w:rFonts w:ascii="Times New Roman" w:hAnsi="Times New Roman"/>
          <w:sz w:val="24"/>
        </w:rPr>
        <w:t xml:space="preserve">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 </w:t>
      </w:r>
    </w:p>
    <w:p>
      <w:pPr>
        <w:pStyle w:val="TextBody"/>
        <w:spacing w:before="360" w:after="0"/>
        <w:jc w:val="left"/>
        <w:rPr>
          <w:rFonts w:ascii="Times New Roman" w:hAnsi="Times New Roman"/>
          <w:b/>
          <w:sz w:val="24"/>
        </w:rPr>
      </w:pPr>
      <w:r>
        <w:rPr>
          <w:rFonts w:ascii="Times New Roman" w:hAnsi="Times New Roman"/>
          <w:b/>
          <w:sz w:val="24"/>
        </w:rPr>
        <w:t xml:space="preserve">Employees </w:t>
      </w:r>
    </w:p>
    <w:p>
      <w:pPr>
        <w:pStyle w:val="TextBody"/>
        <w:spacing w:before="120" w:after="0"/>
        <w:jc w:val="left"/>
        <w:rPr>
          <w:rFonts w:ascii="Times New Roman" w:hAnsi="Times New Roman"/>
          <w:sz w:val="24"/>
        </w:rPr>
      </w:pPr>
      <w:r>
        <w:rPr>
          <w:rFonts w:ascii="Times New Roman" w:hAnsi="Times New Roman"/>
          <w:sz w:val="24"/>
        </w:rPr>
        <w:t xml:space="preserve">As of December 31, 2022, 2021 and 2020, Mereo had 36, 49, and 38 employees, respectively. As at December 31, 2022, 27 employees are located in the United Kingdom and 9 employees are located in the United States. </w:t>
      </w:r>
    </w:p>
    <w:p>
      <w:pPr>
        <w:pStyle w:val="TextBody"/>
        <w:spacing w:before="240" w:after="0"/>
        <w:jc w:val="left"/>
        <w:rPr>
          <w:rFonts w:ascii="Times New Roman" w:hAnsi="Times New Roman"/>
          <w:sz w:val="24"/>
        </w:rPr>
      </w:pPr>
      <w:r>
        <w:rPr>
          <w:rFonts w:ascii="Times New Roman" w:hAnsi="Times New Roman"/>
          <w:sz w:val="24"/>
        </w:rPr>
        <w:t xml:space="preserve">All of our employees are engaged in either general and administrative or research and development functions. None of our employees are covered by a collective bargaining agreement. We consider our relationship with our employees to be good. </w:t>
      </w:r>
    </w:p>
    <w:p>
      <w:pPr>
        <w:pStyle w:val="TextBody"/>
        <w:spacing w:before="360" w:after="0"/>
        <w:jc w:val="left"/>
        <w:rPr>
          <w:rFonts w:ascii="Times New Roman" w:hAnsi="Times New Roman"/>
          <w:b/>
          <w:sz w:val="24"/>
        </w:rPr>
      </w:pPr>
      <w:r>
        <w:rPr>
          <w:rFonts w:ascii="Times New Roman" w:hAnsi="Times New Roman"/>
          <w:b/>
          <w:sz w:val="24"/>
        </w:rPr>
        <w:t xml:space="preserve">Legal Proceedings </w:t>
      </w:r>
    </w:p>
    <w:p>
      <w:pPr>
        <w:pStyle w:val="TextBody"/>
        <w:spacing w:before="120" w:after="0"/>
        <w:jc w:val="left"/>
        <w:rPr>
          <w:rFonts w:ascii="Times New Roman" w:hAnsi="Times New Roman"/>
          <w:sz w:val="24"/>
        </w:rPr>
      </w:pPr>
      <w:r>
        <w:rPr>
          <w:rFonts w:ascii="Times New Roman" w:hAnsi="Times New Roman"/>
          <w:sz w:val="24"/>
        </w:rPr>
        <w:t xml:space="preserve">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 </w:t>
      </w:r>
    </w:p>
    <w:p>
      <w:pPr>
        <w:pStyle w:val="TextBody"/>
        <w:spacing w:before="360" w:after="0"/>
        <w:jc w:val="left"/>
        <w:rPr>
          <w:rFonts w:ascii="Times New Roman" w:hAnsi="Times New Roman"/>
          <w:b/>
          <w:sz w:val="24"/>
        </w:rPr>
      </w:pPr>
      <w:r>
        <w:rPr>
          <w:rFonts w:ascii="Times New Roman" w:hAnsi="Times New Roman"/>
          <w:b/>
          <w:sz w:val="24"/>
        </w:rPr>
        <w:t xml:space="preserve">4.C. Organizational Structure </w:t>
      </w:r>
    </w:p>
    <w:p>
      <w:pPr>
        <w:pStyle w:val="TextBody"/>
        <w:spacing w:before="120" w:after="0"/>
        <w:jc w:val="left"/>
        <w:rPr>
          <w:rFonts w:ascii="Times New Roman" w:hAnsi="Times New Roman"/>
          <w:sz w:val="24"/>
        </w:rPr>
      </w:pPr>
      <w:r>
        <w:rPr>
          <w:rFonts w:ascii="Times New Roman" w:hAnsi="Times New Roman"/>
          <w:sz w:val="24"/>
        </w:rPr>
        <w:t xml:space="preserve">Mereo BioPharma Group plc was formed as a private limited company organized under the laws of England and Wales on March 10, 2015 and re-registered as a public limited company on June 3, 2016.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As at December 31, 2022, Mereo BioPharma Group plc has the following wholly-owned direct or indirect subsidiaries: </w:t>
      </w:r>
    </w:p>
    <w:p>
      <w:pPr>
        <w:pStyle w:val="TextBody"/>
        <w:spacing w:before="0" w:after="0"/>
        <w:jc w:val="left"/>
        <w:rPr/>
      </w:pPr>
      <w:r>
        <w:rPr/>
        <w:t> </w:t>
      </w:r>
    </w:p>
    <w:tbl>
      <w:tblPr>
        <w:tblW w:w="4990" w:type="dxa"/>
        <w:jc w:val="left"/>
        <w:tblInd w:w="0" w:type="dxa"/>
        <w:tblCellMar>
          <w:top w:w="0" w:type="dxa"/>
          <w:left w:w="0" w:type="dxa"/>
          <w:bottom w:w="0" w:type="dxa"/>
          <w:right w:w="0" w:type="dxa"/>
        </w:tblCellMar>
      </w:tblPr>
      <w:tblGrid>
        <w:gridCol w:w="3230"/>
        <w:gridCol w:w="120"/>
        <w:gridCol w:w="1640"/>
      </w:tblGrid>
      <w:tr>
        <w:trPr/>
        <w:tc>
          <w:tcPr>
            <w:tcW w:w="3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22"/>
              </w:rPr>
            </w:pPr>
            <w:r>
              <w:rPr>
                <w:rFonts w:ascii="Times New Roman" w:hAnsi="Times New Roman"/>
                <w:b/>
                <w:sz w:val="22"/>
              </w:rPr>
              <w:t>Jurisdiction of</w:t>
            </w:r>
          </w:p>
          <w:p>
            <w:pPr>
              <w:pStyle w:val="TableContents"/>
              <w:spacing w:before="0" w:after="20"/>
              <w:jc w:val="center"/>
              <w:rPr>
                <w:rFonts w:ascii="Times New Roman" w:hAnsi="Times New Roman"/>
                <w:b/>
                <w:sz w:val="22"/>
              </w:rPr>
            </w:pPr>
            <w:r>
              <w:rPr>
                <w:rFonts w:ascii="Times New Roman" w:hAnsi="Times New Roman"/>
                <w:b/>
                <w:sz w:val="22"/>
              </w:rPr>
              <w:t>Organization</w:t>
            </w:r>
          </w:p>
        </w:tc>
      </w:tr>
      <w:tr>
        <w:trPr/>
        <w:tc>
          <w:tcPr>
            <w:tcW w:w="3230"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Legal Name of Subsidiary</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1 Limited</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United Kingdom</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2 Limited</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United Kingdom</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3 Limited</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United Kingdom</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4 Limited</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United Kingdom</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Ireland Limited</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Ireland</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US Holdings Inc.</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Delaware</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Mereo BioPharma 5, Inc.</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Delaware</w:t>
            </w:r>
          </w:p>
        </w:tc>
      </w:tr>
      <w:tr>
        <w:trPr/>
        <w:tc>
          <w:tcPr>
            <w:tcW w:w="323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Navi Subsidiary, Inc.</w:t>
            </w:r>
          </w:p>
        </w:tc>
        <w:tc>
          <w:tcPr>
            <w:tcW w:w="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jc w:val="center"/>
              <w:rPr/>
            </w:pPr>
            <w:r>
              <w:rPr/>
              <w:t>Delaware</w:t>
            </w:r>
          </w:p>
        </w:tc>
      </w:tr>
    </w:tbl>
    <w:p>
      <w:pPr>
        <w:pStyle w:val="TextBody"/>
        <w:spacing w:before="360" w:after="0"/>
        <w:jc w:val="left"/>
        <w:rPr>
          <w:rFonts w:ascii="Times New Roman" w:hAnsi="Times New Roman"/>
          <w:b/>
          <w:sz w:val="24"/>
        </w:rPr>
      </w:pPr>
      <w:r>
        <w:rPr>
          <w:rFonts w:ascii="Times New Roman" w:hAnsi="Times New Roman"/>
          <w:b/>
          <w:sz w:val="24"/>
        </w:rPr>
        <w:t xml:space="preserve">4.D. Property, Plants and Equipment </w:t>
      </w:r>
    </w:p>
    <w:p>
      <w:pPr>
        <w:pStyle w:val="TextBody"/>
        <w:spacing w:before="120" w:after="0"/>
        <w:jc w:val="left"/>
        <w:rPr>
          <w:rFonts w:ascii="Times New Roman" w:hAnsi="Times New Roman"/>
          <w:sz w:val="24"/>
        </w:rPr>
      </w:pPr>
      <w:r>
        <w:rPr>
          <w:rFonts w:ascii="Times New Roman" w:hAnsi="Times New Roman"/>
          <w:sz w:val="24"/>
        </w:rPr>
        <w:t xml:space="preserve">Mereo’s principal office is located at 4th Floor, One Cavendish Place, London W1G 0QF, United Kingdom, where Mereo leases approximately 7,400 square feet of office space. Mereo leases this office space under a lease that terminates on June 24, 2026. </w:t>
      </w:r>
    </w:p>
    <w:p>
      <w:pPr>
        <w:pStyle w:val="TextBody"/>
        <w:spacing w:before="0" w:after="0"/>
        <w:jc w:val="left"/>
        <w:rPr/>
      </w:pPr>
      <w:r>
        <w:rPr/>
        <w:t> </w:t>
      </w:r>
    </w:p>
    <w:tbl>
      <w:tblPr>
        <w:tblW w:w="3865" w:type="dxa"/>
        <w:jc w:val="left"/>
        <w:tblInd w:w="0" w:type="dxa"/>
        <w:tblCellMar>
          <w:top w:w="0" w:type="dxa"/>
          <w:left w:w="0" w:type="dxa"/>
          <w:bottom w:w="0" w:type="dxa"/>
          <w:right w:w="0" w:type="dxa"/>
        </w:tblCellMar>
      </w:tblPr>
      <w:tblGrid>
        <w:gridCol w:w="920"/>
        <w:gridCol w:w="2945"/>
      </w:tblGrid>
      <w:tr>
        <w:trPr/>
        <w:tc>
          <w:tcPr>
            <w:tcW w:w="920" w:type="dxa"/>
            <w:tcBorders/>
            <w:shd w:fill="auto" w:val="clear"/>
            <w:vAlign w:val="center"/>
          </w:tcPr>
          <w:p>
            <w:pPr>
              <w:pStyle w:val="TableContents"/>
              <w:spacing w:before="0" w:after="283"/>
              <w:jc w:val="left"/>
              <w:rPr>
                <w:b/>
              </w:rPr>
            </w:pPr>
            <w:bookmarkStart w:id="8" w:name="tx430075_6"/>
            <w:bookmarkEnd w:id="8"/>
            <w:r>
              <w:rPr>
                <w:b/>
              </w:rPr>
              <w:t>Item 4A.</w:t>
            </w:r>
          </w:p>
        </w:tc>
        <w:tc>
          <w:tcPr>
            <w:tcW w:w="294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Unresolved Staff Comments </w:t>
            </w:r>
          </w:p>
        </w:tc>
      </w:tr>
    </w:tbl>
    <w:p>
      <w:pPr>
        <w:pStyle w:val="TextBody"/>
        <w:spacing w:before="120" w:after="0"/>
        <w:jc w:val="left"/>
        <w:rPr>
          <w:rFonts w:ascii="Times New Roman" w:hAnsi="Times New Roman"/>
          <w:sz w:val="24"/>
        </w:rPr>
      </w:pPr>
      <w:r>
        <w:rPr>
          <w:rFonts w:ascii="Times New Roman" w:hAnsi="Times New Roman"/>
          <w:sz w:val="24"/>
        </w:rPr>
        <w:t xml:space="preserve">None. </w:t>
      </w:r>
    </w:p>
    <w:p>
      <w:pPr>
        <w:pStyle w:val="TextBody"/>
        <w:spacing w:before="0" w:after="0"/>
        <w:jc w:val="left"/>
        <w:rPr/>
      </w:pPr>
      <w:r>
        <w:rPr/>
        <w:t> </w:t>
      </w:r>
    </w:p>
    <w:tbl>
      <w:tblPr>
        <w:tblW w:w="5740" w:type="dxa"/>
        <w:jc w:val="left"/>
        <w:tblInd w:w="0" w:type="dxa"/>
        <w:tblCellMar>
          <w:top w:w="0" w:type="dxa"/>
          <w:left w:w="0" w:type="dxa"/>
          <w:bottom w:w="0" w:type="dxa"/>
          <w:right w:w="0" w:type="dxa"/>
        </w:tblCellMar>
      </w:tblPr>
      <w:tblGrid>
        <w:gridCol w:w="740"/>
        <w:gridCol w:w="5000"/>
      </w:tblGrid>
      <w:tr>
        <w:trPr/>
        <w:tc>
          <w:tcPr>
            <w:tcW w:w="740" w:type="dxa"/>
            <w:tcBorders/>
            <w:shd w:fill="auto" w:val="clear"/>
            <w:vAlign w:val="center"/>
          </w:tcPr>
          <w:p>
            <w:pPr>
              <w:pStyle w:val="TableContents"/>
              <w:spacing w:before="0" w:after="283"/>
              <w:jc w:val="left"/>
              <w:rPr>
                <w:b/>
              </w:rPr>
            </w:pPr>
            <w:bookmarkStart w:id="9" w:name="tx430075_7"/>
            <w:bookmarkEnd w:id="9"/>
            <w:r>
              <w:rPr>
                <w:b/>
              </w:rPr>
              <w:t>Item 5.</w:t>
            </w:r>
          </w:p>
        </w:tc>
        <w:tc>
          <w:tcPr>
            <w:tcW w:w="500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Operating And Financial Review And Prospects </w:t>
            </w:r>
          </w:p>
        </w:tc>
      </w:tr>
    </w:tbl>
    <w:p>
      <w:pPr>
        <w:pStyle w:val="TextBody"/>
        <w:spacing w:before="120" w:after="0"/>
        <w:jc w:val="left"/>
        <w:rPr>
          <w:rFonts w:ascii="Times New Roman" w:hAnsi="Times New Roman"/>
          <w:b/>
          <w:sz w:val="24"/>
        </w:rPr>
      </w:pPr>
      <w:r>
        <w:rPr>
          <w:rFonts w:ascii="Times New Roman" w:hAnsi="Times New Roman"/>
          <w:b/>
          <w:sz w:val="24"/>
        </w:rPr>
        <w:t xml:space="preserve">5.A. Operating Results </w:t>
      </w:r>
    </w:p>
    <w:p>
      <w:pPr>
        <w:pStyle w:val="TextBody"/>
        <w:spacing w:before="120" w:after="0"/>
        <w:jc w:val="left"/>
        <w:rPr>
          <w:rFonts w:ascii="Times New Roman" w:hAnsi="Times New Roman"/>
          <w:sz w:val="24"/>
        </w:rPr>
      </w:pPr>
      <w:r>
        <w:rPr>
          <w:rFonts w:ascii="Times New Roman" w:hAnsi="Times New Roman"/>
          <w:sz w:val="24"/>
        </w:rPr>
        <w:t xml:space="preserve">The following discussion of our financial condition and results of operations should be read in conjunction with Mereo’s audited consolidated financial statements and related notes included elsewhere in this annual report.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this annual report. </w:t>
      </w:r>
    </w:p>
    <w:p>
      <w:pPr>
        <w:pStyle w:val="TextBody"/>
        <w:spacing w:before="360" w:after="0"/>
        <w:jc w:val="left"/>
        <w:rPr>
          <w:rFonts w:ascii="Times New Roman" w:hAnsi="Times New Roman"/>
          <w:b/>
          <w:sz w:val="24"/>
        </w:rPr>
      </w:pPr>
      <w:r>
        <w:rPr>
          <w:rFonts w:ascii="Times New Roman" w:hAnsi="Times New Roman"/>
          <w:b/>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We are a biopharmaceutical company focused on the development of innovative therapeutics for rare diseases. We have developed a robust portfolio of clinical stage product candidates. Our two rare disease product candidates are setrusumab for the treatment of osteogenesis imperfecta (OI) and alvelestat for the treatment of severe alpha-1-anti-trypsin deficiency (AATD-LD) and Bronchiolitis Obliterans Syndrome (BOS) following allogenic stem cell transplant. Our partner, Ultragenyx, has initiated a pivotal Phase 2/3 pediatric and young adult study (5-25 years old) for setrusumab in OI, with the Phase 3 transition expected in mid-2023, and intends to initiate a study in pediatric patients under age five in the first half of 2023. </w:t>
      </w:r>
    </w:p>
    <w:p>
      <w:pPr>
        <w:pStyle w:val="TextBody"/>
        <w:spacing w:before="240" w:after="0"/>
        <w:jc w:val="left"/>
        <w:rPr>
          <w:rFonts w:ascii="Times New Roman" w:hAnsi="Times New Roman"/>
          <w:sz w:val="24"/>
        </w:rPr>
      </w:pPr>
      <w:r>
        <w:rPr>
          <w:rFonts w:ascii="Times New Roman" w:hAnsi="Times New Roman"/>
          <w:sz w:val="24"/>
        </w:rPr>
        <w:t xml:space="preserve">We announced successful completion of a Phase 2 study for alvelestat in AATD-LD in May 2022 which demonstrated statistically significant changes in biomarkers of lung function at different time points up to 12 weeks. Further, we recently announced that Fast Track designation has been granted by the U.S. Food and Drug Administration (FDA) for alvelestat in AATD, along with additional program updates. In March 2023, we announced the outcome of the end-of-Phase 2 discussions with the FDA and the EMA (Scientific Advice) and based on clear recommendations from both Agencies, we are designing a single, global, Phase 3 study evaluating the 240 mg dose of alvelestat versus placebo in patients with AATD-LD to support applications for full marketing approvals in both the U.S. and EU. Alvelestat is also in an ongoing Phase 2 investigator-led study in AATD, including in patients who may be on augmentation therapy, with data expected in the third quarter of 2023. Following successful completion of a Phase 1b investigator-led study in BOS patients following allogenic stem cell transplant, a Phase 2 study was initiated in the second half of 2022. </w:t>
      </w:r>
    </w:p>
    <w:p>
      <w:pPr>
        <w:pStyle w:val="TextBody"/>
        <w:spacing w:before="240" w:after="0"/>
        <w:jc w:val="left"/>
        <w:rPr>
          <w:rFonts w:ascii="Times New Roman" w:hAnsi="Times New Roman"/>
          <w:sz w:val="24"/>
        </w:rPr>
      </w:pPr>
      <w:r>
        <w:rPr>
          <w:rFonts w:ascii="Times New Roman" w:hAnsi="Times New Roman"/>
          <w:sz w:val="24"/>
        </w:rPr>
        <w:t xml:space="preserve">Our lead oncology product candidate, etigilimab (an anti-TIGIT antibody), has completed a Phase 1a dose escalation clinical trial in patients with advanced solid tumors and has been evaluated in a Phase 1b study in combination with nivolumab in select tumor types. We have completed enrollment in an open label Phase1b/2 basket study (the ACTIVATE study) evaluating etigilimab in combination with nivolumab in three rare tumors, sarcoma, uveal melanoma and germ cell cancer, three gynecological carcinomas, cervical, ovarian and endometrial carcinomas, and tumors with high mutation burden, along with a Phase 1b/2 study in clear cell ovarian cancer with a partner.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We plan to develop our product candidates through the next key clinical milestone and then partner where it makes sense strategically to do so, but also in select cases for our rare disease product candidates, to develop them through regulatory approval and potentially commercialization. </w:t>
      </w:r>
    </w:p>
    <w:p>
      <w:pPr>
        <w:pStyle w:val="TextBody"/>
        <w:spacing w:before="240" w:after="0"/>
        <w:jc w:val="left"/>
        <w:rPr>
          <w:rFonts w:ascii="Times New Roman" w:hAnsi="Times New Roman"/>
          <w:sz w:val="24"/>
        </w:rPr>
      </w:pPr>
      <w:r>
        <w:rPr>
          <w:rFonts w:ascii="Times New Roman" w:hAnsi="Times New Roman"/>
          <w:sz w:val="24"/>
        </w:rPr>
        <w:t xml:space="preserve">Our second oncology product, navicixizumab for the treatment of late line ovarian cancer has completed a Phase 1b study and was partnered in January 2020 for further development with OncXerna Inc. (“OncXerna”) on a global basis. In February 2022, we received a milestone payment of $2.0 million (£1.5 million) under the license agreement with OncXerna. An associated payment was made to the former shareholders of Mereo BioPharma 5, Inc. under the Contingent Value Rights Agreement (“CVR”) of a total of $0.9 million (£0.7 million), after deductions of costs, charges and expenditures. The milestone received and the associated CVR payment were recorded within “Other income and expense” in the Company’s consolidated statement of comprehensive (loss)/income. </w:t>
      </w:r>
    </w:p>
    <w:p>
      <w:pPr>
        <w:pStyle w:val="TextBody"/>
        <w:spacing w:before="240" w:after="0"/>
        <w:jc w:val="left"/>
        <w:rPr>
          <w:rFonts w:ascii="Times New Roman" w:hAnsi="Times New Roman"/>
          <w:sz w:val="24"/>
        </w:rPr>
      </w:pPr>
      <w:r>
        <w:rPr>
          <w:rFonts w:ascii="Times New Roman" w:hAnsi="Times New Roman"/>
          <w:sz w:val="24"/>
        </w:rPr>
        <w:t xml:space="preserve">We plan to partner or sell our other two product candidates, acumapimod for the treatment of AECOPD and leflutrozole for the treatment of infertility and HH in obese men, recognizing the need for greater resources to take these product candidates to market. </w:t>
      </w:r>
    </w:p>
    <w:p>
      <w:pPr>
        <w:pStyle w:val="TextBody"/>
        <w:spacing w:before="240" w:after="0"/>
        <w:jc w:val="left"/>
        <w:rPr>
          <w:rFonts w:ascii="Times New Roman" w:hAnsi="Times New Roman"/>
          <w:sz w:val="24"/>
        </w:rPr>
      </w:pPr>
      <w:r>
        <w:rPr>
          <w:rFonts w:ascii="Times New Roman" w:hAnsi="Times New Roman"/>
          <w:sz w:val="24"/>
        </w:rPr>
        <w:t xml:space="preserve">In the first half of 2022, we conducted a comprehensive strategic review of our portfolio and capital allocation strategy. This review included a detailed evaluation of current market conditions, the status of our three ongoing programs, an analysis of recent emerging clinical data, our overall cost base and contractual commitments, consideration of obligations in our existing partnership agreements, and feedback from potential new partners and shareholders. In the fourth quarter of 2022 we provided an update to our operating plan, which included a targeted reduction in the employee base of up to 40% and a significant reduction in other costs. Our updated plan maintains the ability to progress our core programs, deliver on multiple near-term milestones and optimize value for shareholders. We will retain the core capabilities and key personnel needed to advance our two core rare disease programs, setrusumab and alvelestat, and to generate value from our assets. The updated plan extends our cash runway into 2026. </w:t>
      </w:r>
    </w:p>
    <w:p>
      <w:pPr>
        <w:pStyle w:val="TextBody"/>
        <w:spacing w:before="240" w:after="0"/>
        <w:jc w:val="left"/>
        <w:rPr>
          <w:rFonts w:ascii="Times New Roman" w:hAnsi="Times New Roman"/>
          <w:sz w:val="24"/>
        </w:rPr>
      </w:pPr>
      <w:r>
        <w:rPr>
          <w:rFonts w:ascii="Times New Roman" w:hAnsi="Times New Roman"/>
          <w:sz w:val="24"/>
        </w:rPr>
        <w:t xml:space="preserve">We do not have any approved product candidates and, as a result, have not generated any revenue from product sales. Our ability to generate revenue sufficient to achieve profitability will depend on successful development and eventual commercialization of our product candidates either directly or with partners, if approved. Since our inception, we have incurred significant operating losses. For the year-ended December 31, 2022 we had a net loss of £34.2 million, including a £7.8 million gain on changes in fair value of financial instruments. For the years ended December 31, 2021 and 2020, we had a net profit of £12.7 million, including a £40.0 million gain on changes in fair value of financial instruments, and a net loss of £163.6 million, including a £109.8 million loss on changes in fair value of financial instruments, respectively. As of December 31, 2022, we had an accumulated net loss of £331.2 million (£297.0 million as of December 31, 2021). </w:t>
      </w:r>
    </w:p>
    <w:p>
      <w:pPr>
        <w:pStyle w:val="TextBody"/>
        <w:spacing w:before="240" w:after="0"/>
        <w:jc w:val="left"/>
        <w:rPr>
          <w:rFonts w:ascii="Times New Roman" w:hAnsi="Times New Roman"/>
          <w:sz w:val="24"/>
        </w:rPr>
      </w:pPr>
      <w:r>
        <w:rPr>
          <w:rFonts w:ascii="Times New Roman" w:hAnsi="Times New Roman"/>
          <w:sz w:val="24"/>
        </w:rPr>
        <w:t xml:space="preserve">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 </w:t>
      </w:r>
    </w:p>
    <w:p>
      <w:pPr>
        <w:pStyle w:val="TextBody"/>
        <w:spacing w:before="240" w:after="0"/>
        <w:jc w:val="left"/>
        <w:rPr>
          <w:rFonts w:ascii="Times New Roman" w:hAnsi="Times New Roman"/>
          <w:sz w:val="24"/>
        </w:rPr>
      </w:pPr>
      <w:r>
        <w:rPr>
          <w:rFonts w:ascii="Times New Roman" w:hAnsi="Times New Roman"/>
          <w:sz w:val="24"/>
        </w:rPr>
        <w:t xml:space="preserve">We also expect to incur expenses in connection with the in-license or acquisition of additional rare disease product candidates and the potential clinical development of any such product candidates. </w:t>
      </w:r>
    </w:p>
    <w:p>
      <w:pPr>
        <w:pStyle w:val="TextBody"/>
        <w:spacing w:before="240" w:after="0"/>
        <w:jc w:val="left"/>
        <w:rPr>
          <w:rFonts w:ascii="Times New Roman" w:hAnsi="Times New Roman"/>
          <w:sz w:val="24"/>
        </w:rPr>
      </w:pPr>
      <w:r>
        <w:rPr>
          <w:rFonts w:ascii="Times New Roman" w:hAnsi="Times New Roman"/>
          <w:sz w:val="24"/>
        </w:rPr>
        <w:t xml:space="preserve">Additionally, we anticipate losing our foreign private issuer status and expect to incur increased costs associated with being a U.S. domestic filer, including expenses related to more frequent financial reporting, preparation of financial statements in accordance with US GAAP, compliance with U.S. federal proxy rules, and additional resources and services we will require in order to comply with Nasdaq and SEC rules and requirements applicable to U.S. domestic filers. </w:t>
      </w:r>
    </w:p>
    <w:p>
      <w:pPr>
        <w:pStyle w:val="TextBody"/>
        <w:spacing w:before="240" w:after="0"/>
        <w:jc w:val="left"/>
        <w:rPr>
          <w:rFonts w:ascii="Times New Roman" w:hAnsi="Times New Roman"/>
          <w:sz w:val="24"/>
        </w:rPr>
      </w:pPr>
      <w:r>
        <w:rPr>
          <w:rFonts w:ascii="Times New Roman" w:hAnsi="Times New Roman"/>
          <w:sz w:val="24"/>
        </w:rPr>
        <w:t xml:space="preserve">We are organized into a single operating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Financial Operations Overview </w:t>
      </w:r>
    </w:p>
    <w:p>
      <w:pPr>
        <w:pStyle w:val="TextBody"/>
        <w:spacing w:before="120" w:after="0"/>
        <w:jc w:val="left"/>
        <w:rPr>
          <w:rFonts w:ascii="Times New Roman" w:hAnsi="Times New Roman"/>
          <w:b/>
          <w:i/>
          <w:sz w:val="24"/>
        </w:rPr>
      </w:pPr>
      <w:r>
        <w:rPr>
          <w:rFonts w:ascii="Times New Roman" w:hAnsi="Times New Roman"/>
          <w:b/>
          <w:i/>
          <w:sz w:val="24"/>
        </w:rPr>
        <w:t xml:space="preserve">Revenue </w:t>
      </w:r>
    </w:p>
    <w:p>
      <w:pPr>
        <w:pStyle w:val="TextBody"/>
        <w:spacing w:before="120" w:after="0"/>
        <w:jc w:val="left"/>
        <w:rPr>
          <w:rFonts w:ascii="Times New Roman" w:hAnsi="Times New Roman"/>
          <w:sz w:val="24"/>
        </w:rPr>
      </w:pPr>
      <w:r>
        <w:rPr>
          <w:rFonts w:ascii="Times New Roman" w:hAnsi="Times New Roman"/>
          <w:sz w:val="24"/>
        </w:rPr>
        <w:t xml:space="preserve">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 </w:t>
      </w:r>
    </w:p>
    <w:p>
      <w:pPr>
        <w:pStyle w:val="TextBody"/>
        <w:spacing w:before="240" w:after="0"/>
        <w:jc w:val="left"/>
        <w:rPr>
          <w:rFonts w:ascii="Times New Roman" w:hAnsi="Times New Roman"/>
          <w:sz w:val="24"/>
        </w:rPr>
      </w:pPr>
      <w:r>
        <w:rPr>
          <w:rFonts w:ascii="Times New Roman" w:hAnsi="Times New Roman"/>
          <w:sz w:val="24"/>
        </w:rPr>
        <w:t xml:space="preserve">Revenue includes income from licensing and collaboration agreements. Consideration received up front is recognized at the point in time in which the right to use an intangible asset is transferred. Income from development, regulatory, commercial or similar milestones is recognized when considered highly probable that a significant reversal will not occur. </w:t>
      </w:r>
    </w:p>
    <w:p>
      <w:pPr>
        <w:pStyle w:val="TextBody"/>
        <w:spacing w:before="240" w:after="0"/>
        <w:jc w:val="left"/>
        <w:rPr>
          <w:rFonts w:ascii="Times New Roman" w:hAnsi="Times New Roman"/>
          <w:sz w:val="24"/>
        </w:rPr>
      </w:pPr>
      <w:r>
        <w:rPr>
          <w:rFonts w:ascii="Times New Roman" w:hAnsi="Times New Roman"/>
          <w:sz w:val="24"/>
        </w:rPr>
        <w:t xml:space="preserve">Intangible assets out-licensed under a license or collaboration agreement are recorded within “Cost of revenue” in the Company’s consolidated statement of comprehensive income/(loss) based on an allocation of cost or value of the rights that have been out-licensed. Payments to third parties arising as a direct consequence of the income recognized are also recorded within “Cost of revenue” in the Company’s consolidated statement of comprehensive income/(loss). </w:t>
      </w:r>
    </w:p>
    <w:p>
      <w:pPr>
        <w:pStyle w:val="TextBody"/>
        <w:spacing w:before="240" w:after="0"/>
        <w:jc w:val="left"/>
        <w:rPr>
          <w:rFonts w:ascii="Times New Roman" w:hAnsi="Times New Roman"/>
          <w:sz w:val="24"/>
        </w:rPr>
      </w:pPr>
      <w:r>
        <w:rPr>
          <w:rFonts w:ascii="Times New Roman" w:hAnsi="Times New Roman"/>
          <w:sz w:val="24"/>
        </w:rPr>
        <w:t xml:space="preserve">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 </w:t>
      </w:r>
    </w:p>
    <w:p>
      <w:pPr>
        <w:pStyle w:val="TextBody"/>
        <w:spacing w:before="360" w:after="0"/>
        <w:jc w:val="left"/>
        <w:rPr>
          <w:rFonts w:ascii="Times New Roman" w:hAnsi="Times New Roman"/>
          <w:b/>
          <w:i/>
          <w:sz w:val="24"/>
        </w:rPr>
      </w:pPr>
      <w:r>
        <w:rPr>
          <w:rFonts w:ascii="Times New Roman" w:hAnsi="Times New Roman"/>
          <w:b/>
          <w:i/>
          <w:sz w:val="24"/>
        </w:rPr>
        <w:t xml:space="preserve">Research and Development Expenses </w:t>
      </w:r>
    </w:p>
    <w:p>
      <w:pPr>
        <w:pStyle w:val="TextBody"/>
        <w:spacing w:before="120" w:after="0"/>
        <w:jc w:val="left"/>
        <w:rPr>
          <w:rFonts w:ascii="Times New Roman" w:hAnsi="Times New Roman"/>
          <w:sz w:val="24"/>
        </w:rPr>
      </w:pPr>
      <w:r>
        <w:rPr>
          <w:rFonts w:ascii="Times New Roman" w:hAnsi="Times New Roman"/>
          <w:sz w:val="24"/>
        </w:rPr>
        <w:t xml:space="preserve">Research and development expenses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employee-related expenses, such as salaries, share-based compensation, and other benefits, for Mereo’s research and development personnel;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costs for production of drug substance and drug product and development of Mereo’s manufacturing processes by CMOs;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fees and other costs paid to CROs, consultants, and other suppliers to conduct Mereo’s clinical trials and pre- clinical and non-clinical studies;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costs of facilities, materials, and equipment related to drug production and Mereo’s clinical trials and pre- clinical and non-clinical studies. </w:t>
            </w:r>
          </w:p>
        </w:tc>
      </w:tr>
    </w:tbl>
    <w:p>
      <w:pPr>
        <w:pStyle w:val="TextBody"/>
        <w:spacing w:before="240" w:after="0"/>
        <w:jc w:val="left"/>
        <w:rPr>
          <w:rFonts w:ascii="Times New Roman" w:hAnsi="Times New Roman"/>
          <w:sz w:val="24"/>
        </w:rPr>
      </w:pPr>
      <w:r>
        <w:rPr>
          <w:rFonts w:ascii="Times New Roman" w:hAnsi="Times New Roman"/>
          <w:sz w:val="24"/>
        </w:rPr>
        <w:t xml:space="preserve">Our direct research and development expenses are allocated on a product-by-product basis. We allocate employee- related expenses for our research and development personnel and other related expenses to specific product candidate development programs. </w:t>
      </w:r>
    </w:p>
    <w:p>
      <w:pPr>
        <w:pStyle w:val="TextBody"/>
        <w:spacing w:before="240" w:after="0"/>
        <w:jc w:val="left"/>
        <w:rPr>
          <w:rFonts w:ascii="Times New Roman" w:hAnsi="Times New Roman"/>
          <w:sz w:val="24"/>
        </w:rPr>
      </w:pPr>
      <w:r>
        <w:rPr>
          <w:rFonts w:ascii="Times New Roman" w:hAnsi="Times New Roman"/>
          <w:sz w:val="24"/>
        </w:rPr>
        <w:t xml:space="preserve">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continue to advance the clinical development of our product candidates, we expect that our research and development expense will include costs associated with laying the groundwork for price reimbursement and manufacturing in Europe, and input into development and regulatory plans with our partner, Ultragenyx, for setrusumab; regulatory interactions following the completion of our Phase 2 study in AATD-LD for alvelestat; and the completion of the Phase 1b portion of the Phase1b/2 basket study for etigilimab. </w:t>
      </w:r>
    </w:p>
    <w:p>
      <w:pPr>
        <w:pStyle w:val="TextBody"/>
        <w:spacing w:before="240" w:after="0"/>
        <w:jc w:val="left"/>
        <w:rPr>
          <w:rFonts w:ascii="Times New Roman" w:hAnsi="Times New Roman"/>
          <w:sz w:val="24"/>
        </w:rPr>
      </w:pPr>
      <w:r>
        <w:rPr>
          <w:rFonts w:ascii="Times New Roman" w:hAnsi="Times New Roman"/>
          <w:sz w:val="24"/>
        </w:rPr>
        <w:t xml:space="preserve">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Our future expenditure on developing our product candidates is therefore highly uncertain. This is due to numerous risks and uncertainties associated with developing our product candidates, including the uncertainty of: </w:t>
      </w:r>
    </w:p>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scope, rate of progress, and expense of our research and development activities;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progress and results of our clinical trials and our pre-clinical and non-clinical studies; </w:t>
            </w:r>
          </w:p>
        </w:tc>
      </w:tr>
    </w:tbl>
    <w:p>
      <w:pPr>
        <w:pStyle w:val="TextBody"/>
        <w:spacing w:before="0" w:after="0"/>
        <w:jc w:val="left"/>
        <w:rPr/>
      </w:pPr>
      <w:r>
        <w:rPr/>
        <w:t> </w:t>
      </w:r>
    </w:p>
    <w:tbl>
      <w:tblPr>
        <w:tblW w:w="5230" w:type="dxa"/>
        <w:jc w:val="left"/>
        <w:tblInd w:w="0" w:type="dxa"/>
        <w:tblCellMar>
          <w:top w:w="0" w:type="dxa"/>
          <w:left w:w="0" w:type="dxa"/>
          <w:bottom w:w="0" w:type="dxa"/>
          <w:right w:w="0" w:type="dxa"/>
        </w:tblCellMar>
      </w:tblPr>
      <w:tblGrid>
        <w:gridCol w:w="75"/>
        <w:gridCol w:w="110"/>
        <w:gridCol w:w="60"/>
        <w:gridCol w:w="4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terms and timing of regulatory approvals, if any; </w:t>
            </w:r>
          </w:p>
        </w:tc>
      </w:tr>
    </w:tbl>
    <w:p>
      <w:pPr>
        <w:pStyle w:val="TextBody"/>
        <w:spacing w:before="0" w:after="0"/>
        <w:jc w:val="left"/>
        <w:rPr/>
      </w:pPr>
      <w:r>
        <w:rPr/>
        <w:t> </w:t>
      </w:r>
    </w:p>
    <w:tbl>
      <w:tblPr>
        <w:tblW w:w="9550" w:type="dxa"/>
        <w:jc w:val="left"/>
        <w:tblInd w:w="0" w:type="dxa"/>
        <w:tblCellMar>
          <w:top w:w="0" w:type="dxa"/>
          <w:left w:w="0" w:type="dxa"/>
          <w:bottom w:w="0" w:type="dxa"/>
          <w:right w:w="0" w:type="dxa"/>
        </w:tblCellMar>
      </w:tblPr>
      <w:tblGrid>
        <w:gridCol w:w="75"/>
        <w:gridCol w:w="110"/>
        <w:gridCol w:w="60"/>
        <w:gridCol w:w="9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establishment of arrangements with our third-party manufacturers to obtain manufacturing supply;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75"/>
        <w:gridCol w:w="110"/>
        <w:gridCol w:w="60"/>
        <w:gridCol w:w="5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protection of our rights in its intellectual property portfolio;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launch of commercial sales of any of our product candidates, if approved, whether alone or in collaboration with others;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third party strategic relationships for clinical development and/or commercialization of our non-core product candidates and performance of our strategic partners under these arrangements; </w:t>
            </w:r>
          </w:p>
        </w:tc>
      </w:tr>
    </w:tbl>
    <w:p>
      <w:pPr>
        <w:pStyle w:val="TextBody"/>
        <w:spacing w:before="0" w:after="0"/>
        <w:jc w:val="left"/>
        <w:rPr/>
      </w:pPr>
      <w:r>
        <w:rPr/>
        <w:t> </w:t>
      </w:r>
    </w:p>
    <w:tbl>
      <w:tblPr>
        <w:tblW w:w="7375" w:type="dxa"/>
        <w:jc w:val="left"/>
        <w:tblInd w:w="0" w:type="dxa"/>
        <w:tblCellMar>
          <w:top w:w="0" w:type="dxa"/>
          <w:left w:w="0" w:type="dxa"/>
          <w:bottom w:w="0" w:type="dxa"/>
          <w:right w:w="0" w:type="dxa"/>
        </w:tblCellMar>
      </w:tblPr>
      <w:tblGrid>
        <w:gridCol w:w="75"/>
        <w:gridCol w:w="110"/>
        <w:gridCol w:w="60"/>
        <w:gridCol w:w="7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sale, if any, of one or more of our non-core disease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acceptance of any of our product candidates, if approved, by patients, the medical community and payors at our desired pricing levels; </w:t>
            </w:r>
          </w:p>
        </w:tc>
      </w:tr>
    </w:tbl>
    <w:p>
      <w:pPr>
        <w:pStyle w:val="TextBody"/>
        <w:spacing w:before="0" w:after="0"/>
        <w:jc w:val="left"/>
        <w:rPr/>
      </w:pPr>
      <w:r>
        <w:rPr/>
        <w:t> </w:t>
      </w:r>
    </w:p>
    <w:tbl>
      <w:tblPr>
        <w:tblW w:w="3835" w:type="dxa"/>
        <w:jc w:val="left"/>
        <w:tblInd w:w="0" w:type="dxa"/>
        <w:tblCellMar>
          <w:top w:w="0" w:type="dxa"/>
          <w:left w:w="0" w:type="dxa"/>
          <w:bottom w:w="0" w:type="dxa"/>
          <w:right w:w="0" w:type="dxa"/>
        </w:tblCellMar>
      </w:tblPr>
      <w:tblGrid>
        <w:gridCol w:w="75"/>
        <w:gridCol w:w="110"/>
        <w:gridCol w:w="60"/>
        <w:gridCol w:w="3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competition with other therapies; and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continued acceptable safety profile of any of our product candidates following approval. </w:t>
            </w:r>
          </w:p>
        </w:tc>
      </w:tr>
    </w:tbl>
    <w:p>
      <w:pPr>
        <w:pStyle w:val="TextBody"/>
        <w:spacing w:before="240" w:after="0"/>
        <w:jc w:val="left"/>
        <w:rPr>
          <w:rFonts w:ascii="Times New Roman" w:hAnsi="Times New Roman"/>
          <w:sz w:val="24"/>
        </w:rPr>
      </w:pPr>
      <w:r>
        <w:rPr>
          <w:rFonts w:ascii="Times New Roman" w:hAnsi="Times New Roman"/>
          <w:sz w:val="24"/>
        </w:rPr>
        <w:t xml:space="preserve">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 </w:t>
      </w:r>
    </w:p>
    <w:p>
      <w:pPr>
        <w:pStyle w:val="TextBody"/>
        <w:spacing w:before="360" w:after="0"/>
        <w:jc w:val="left"/>
        <w:rPr>
          <w:rFonts w:ascii="Times New Roman" w:hAnsi="Times New Roman"/>
          <w:b/>
          <w:i/>
          <w:sz w:val="24"/>
        </w:rPr>
      </w:pPr>
      <w:r>
        <w:rPr>
          <w:rFonts w:ascii="Times New Roman" w:hAnsi="Times New Roman"/>
          <w:b/>
          <w:i/>
          <w:sz w:val="24"/>
        </w:rPr>
        <w:t xml:space="preserve">Administrative Expenses </w:t>
      </w:r>
    </w:p>
    <w:p>
      <w:pPr>
        <w:pStyle w:val="TextBody"/>
        <w:spacing w:before="120" w:after="0"/>
        <w:jc w:val="left"/>
        <w:rPr>
          <w:rFonts w:ascii="Times New Roman" w:hAnsi="Times New Roman"/>
          <w:sz w:val="24"/>
        </w:rPr>
      </w:pPr>
      <w:r>
        <w:rPr>
          <w:rFonts w:ascii="Times New Roman" w:hAnsi="Times New Roman"/>
          <w:sz w:val="24"/>
        </w:rPr>
        <w:t xml:space="preserve">Our administrative expenses principally consist of salaries and related benefits, including share-based compensation, for personnel in our executive, finance and other administrative functions. Other general and administrative costs include facility- related costs, professional services fees for auditing, tax and general legal services, costs to maintain, protect and enforce our intellectual property, costs related to our requirements of being a public company listed on Nasdaq, costs incurred relating to the issue of equity to the extent not capitalized and the costs associated with the cancellation of admission of our ordinary shares to trading on the AIM market of London Stock Exchange plc in December 2020. </w:t>
      </w:r>
    </w:p>
    <w:p>
      <w:pPr>
        <w:pStyle w:val="TextBody"/>
        <w:spacing w:before="360" w:after="0"/>
        <w:jc w:val="left"/>
        <w:rPr>
          <w:rFonts w:ascii="Times New Roman" w:hAnsi="Times New Roman"/>
          <w:b/>
          <w:i/>
          <w:sz w:val="24"/>
        </w:rPr>
      </w:pPr>
      <w:r>
        <w:rPr>
          <w:rFonts w:ascii="Times New Roman" w:hAnsi="Times New Roman"/>
          <w:b/>
          <w:i/>
          <w:sz w:val="24"/>
        </w:rPr>
        <w:t xml:space="preserve">Finance Income </w:t>
      </w:r>
    </w:p>
    <w:p>
      <w:pPr>
        <w:pStyle w:val="TextBody"/>
        <w:spacing w:before="120" w:after="0"/>
        <w:jc w:val="left"/>
        <w:rPr>
          <w:rFonts w:ascii="Times New Roman" w:hAnsi="Times New Roman"/>
          <w:sz w:val="24"/>
        </w:rPr>
      </w:pPr>
      <w:r>
        <w:rPr>
          <w:rFonts w:ascii="Times New Roman" w:hAnsi="Times New Roman"/>
          <w:sz w:val="24"/>
        </w:rPr>
        <w:t xml:space="preserve">Finance income consists of interest earned on short-term cash deposits. </w:t>
      </w:r>
    </w:p>
    <w:p>
      <w:pPr>
        <w:pStyle w:val="TextBody"/>
        <w:spacing w:before="360" w:after="0"/>
        <w:jc w:val="left"/>
        <w:rPr>
          <w:rFonts w:ascii="Times New Roman" w:hAnsi="Times New Roman"/>
          <w:b/>
          <w:i/>
          <w:sz w:val="24"/>
        </w:rPr>
      </w:pPr>
      <w:r>
        <w:rPr>
          <w:rFonts w:ascii="Times New Roman" w:hAnsi="Times New Roman"/>
          <w:b/>
          <w:i/>
          <w:sz w:val="24"/>
        </w:rPr>
        <w:t xml:space="preserve">Finance Costs </w:t>
      </w:r>
    </w:p>
    <w:p>
      <w:pPr>
        <w:pStyle w:val="TextBody"/>
        <w:spacing w:before="120" w:after="0"/>
        <w:jc w:val="left"/>
        <w:rPr>
          <w:rFonts w:ascii="Times New Roman" w:hAnsi="Times New Roman"/>
          <w:sz w:val="24"/>
        </w:rPr>
      </w:pPr>
      <w:r>
        <w:rPr>
          <w:rFonts w:ascii="Times New Roman" w:hAnsi="Times New Roman"/>
          <w:sz w:val="24"/>
        </w:rPr>
        <w:t xml:space="preserve">Finance costs comprise interest on convertible loan notes, finance charges on lease liabilities and discounting on provision for deferred cash consideration. For further information on the terms of our convertible loan notes see “—Liquidity and Capital Resources—Indebtedness”.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Changes in Fair Value of Financial Instruments </w:t>
      </w:r>
    </w:p>
    <w:p>
      <w:pPr>
        <w:pStyle w:val="TextBody"/>
        <w:spacing w:before="120" w:after="0"/>
        <w:jc w:val="left"/>
        <w:rPr>
          <w:rFonts w:ascii="Times New Roman" w:hAnsi="Times New Roman"/>
          <w:sz w:val="24"/>
        </w:rPr>
      </w:pPr>
      <w:r>
        <w:rPr>
          <w:rFonts w:ascii="Times New Roman" w:hAnsi="Times New Roman"/>
          <w:sz w:val="24"/>
        </w:rPr>
        <w:t xml:space="preserve">The fair value changes in financial instruments are recognized in the statement of comprehensive loss. </w:t>
      </w:r>
    </w:p>
    <w:p>
      <w:pPr>
        <w:pStyle w:val="TextBody"/>
        <w:spacing w:before="360" w:after="0"/>
        <w:jc w:val="left"/>
        <w:rPr>
          <w:rFonts w:ascii="Times New Roman" w:hAnsi="Times New Roman"/>
          <w:b/>
          <w:i/>
          <w:sz w:val="24"/>
        </w:rPr>
      </w:pPr>
      <w:r>
        <w:rPr>
          <w:rFonts w:ascii="Times New Roman" w:hAnsi="Times New Roman"/>
          <w:b/>
          <w:i/>
          <w:sz w:val="24"/>
        </w:rPr>
        <w:t xml:space="preserve">Net Foreign Exchange Gain/(Loss) </w:t>
      </w:r>
    </w:p>
    <w:p>
      <w:pPr>
        <w:pStyle w:val="TextBody"/>
        <w:spacing w:before="120" w:after="0"/>
        <w:jc w:val="left"/>
        <w:rPr>
          <w:rFonts w:ascii="Times New Roman" w:hAnsi="Times New Roman"/>
          <w:sz w:val="24"/>
        </w:rPr>
      </w:pPr>
      <w:r>
        <w:rPr>
          <w:rFonts w:ascii="Times New Roman" w:hAnsi="Times New Roman"/>
          <w:sz w:val="24"/>
        </w:rPr>
        <w:t xml:space="preserve">Our functional currency is pound sterling. We initially record transactions in foreign currencies at the rate prevailing on the date the transaction first qualifies for recognition. Net foreign exchange gain/(loss) consists of the difference arising on settlement or translation of our foreign currencies, which are primarily held in U.S. dollars. </w:t>
      </w:r>
    </w:p>
    <w:p>
      <w:pPr>
        <w:pStyle w:val="TextBody"/>
        <w:spacing w:before="360" w:after="0"/>
        <w:jc w:val="left"/>
        <w:rPr>
          <w:rFonts w:ascii="Times New Roman" w:hAnsi="Times New Roman"/>
          <w:b/>
          <w:i/>
          <w:sz w:val="24"/>
        </w:rPr>
      </w:pPr>
      <w:r>
        <w:rPr>
          <w:rFonts w:ascii="Times New Roman" w:hAnsi="Times New Roman"/>
          <w:b/>
          <w:i/>
          <w:sz w:val="24"/>
        </w:rPr>
        <w:t xml:space="preserve">Taxation </w:t>
      </w:r>
    </w:p>
    <w:p>
      <w:pPr>
        <w:pStyle w:val="TextBody"/>
        <w:spacing w:before="120" w:after="0"/>
        <w:jc w:val="left"/>
        <w:rPr>
          <w:rFonts w:ascii="Times New Roman" w:hAnsi="Times New Roman"/>
          <w:sz w:val="24"/>
        </w:rPr>
      </w:pPr>
      <w:r>
        <w:rPr>
          <w:rFonts w:ascii="Times New Roman" w:hAnsi="Times New Roman"/>
          <w:sz w:val="24"/>
        </w:rPr>
        <w:t xml:space="preserve">As a U.K. resident trading entity, we are subject to U.K. corporate taxation. Due to the nature of our business, we have generated losses since formation. As at December 31, 2022, 2021 and 2020, we had cumulative carry-forward tax losses of £125.8 million, £122.6 million and £136.9 million, respectively. The availability to carry forward and offset these tax loss carry forwards against future operating profits is subject to certain restrictions. As a company that carries out extensive research and development (“R&amp;D”) activities, we benefit from the U.K. HMRC R&amp;D small and medium-sized enterprise tax credit regime and are able to surrender some of our trading losses that arise from our research and development activities for a cash rebate. To date, a cash rebate of up to 33.35% of eligible R&amp;D expenditure has been available, but the cash rebate will reduce to a maximum of 27% for R&amp;D intensive companies where at least 40% of their total expenditure in on qualifying R&amp;D, or to 18.6% of eligible R&amp;D expenditure for other companies with effect from April 1, 2023 pursuant to changes made by the Finance Act 2023. Certain subcontracted qualifying research expenditures are eligible for a cash rebate, though the rate of the cash rebate will reduce with effect from April 1, 2023 from up to 21.67% of the subcontracted expenditures to 17.53% for R&amp;D intensive companies or 12.09% for other companies. Qualifying expenditures largely comprise employment costs for research staff, subcontracted CRO and CMO costs, consumables and certain internal overhead cost incurred as part of research projects. We may not be able to continue to claim payable R&amp;D tax credits in the future because we may no longer qualify as a small or medium-sized company. </w:t>
      </w:r>
    </w:p>
    <w:p>
      <w:pPr>
        <w:pStyle w:val="TextBody"/>
        <w:spacing w:before="240" w:after="0"/>
        <w:jc w:val="left"/>
        <w:rPr>
          <w:rFonts w:ascii="Times New Roman" w:hAnsi="Times New Roman"/>
          <w:sz w:val="24"/>
        </w:rPr>
      </w:pPr>
      <w:r>
        <w:rPr>
          <w:rFonts w:ascii="Times New Roman" w:hAnsi="Times New Roman"/>
          <w:sz w:val="24"/>
        </w:rPr>
        <w:t xml:space="preserve">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 forwards and certain built-in losses to reduce future tax payments, our business, results of operations, and financial condition may be adversely affected. </w:t>
      </w:r>
    </w:p>
    <w:p>
      <w:pPr>
        <w:pStyle w:val="TextBody"/>
        <w:spacing w:before="240" w:after="0"/>
        <w:jc w:val="left"/>
        <w:rPr>
          <w:rFonts w:ascii="Times New Roman" w:hAnsi="Times New Roman"/>
          <w:sz w:val="24"/>
        </w:rPr>
      </w:pPr>
      <w:r>
        <w:rPr>
          <w:rFonts w:ascii="Times New Roman" w:hAnsi="Times New Roman"/>
          <w:sz w:val="24"/>
        </w:rPr>
        <w:t xml:space="preserve">As of December 31, 2022, the Company had U.S. federal tax losses to be carried forward of approximately £74.6 million (2021: £65.6 million), of which £67.7 million can be carried forward indefinitely and £6.9 million which will begin to expire in 2023. As of December 31, 2022, the Company had U.S. state tax losses to be carried forward of approximately £4.0 million which begin to expire in 2027. </w:t>
      </w:r>
    </w:p>
    <w:p>
      <w:pPr>
        <w:pStyle w:val="TextBody"/>
        <w:spacing w:before="360" w:after="0"/>
        <w:jc w:val="left"/>
        <w:rPr>
          <w:rFonts w:ascii="Times New Roman" w:hAnsi="Times New Roman"/>
          <w:b/>
          <w:i/>
          <w:sz w:val="24"/>
        </w:rPr>
      </w:pPr>
      <w:r>
        <w:rPr>
          <w:rFonts w:ascii="Times New Roman" w:hAnsi="Times New Roman"/>
          <w:b/>
          <w:i/>
          <w:sz w:val="24"/>
        </w:rPr>
        <w:t xml:space="preserve">Critical Accounting Judgments and Estimates </w:t>
      </w:r>
    </w:p>
    <w:p>
      <w:pPr>
        <w:pStyle w:val="TextBody"/>
        <w:spacing w:before="120" w:after="0"/>
        <w:jc w:val="left"/>
        <w:rPr>
          <w:rFonts w:ascii="Times New Roman" w:hAnsi="Times New Roman"/>
          <w:sz w:val="24"/>
        </w:rPr>
      </w:pPr>
      <w:r>
        <w:rPr>
          <w:rFonts w:ascii="Times New Roman" w:hAnsi="Times New Roman"/>
          <w:sz w:val="24"/>
        </w:rPr>
        <w:t xml:space="preserve">Our consolidated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 </w:t>
      </w:r>
    </w:p>
    <w:p>
      <w:pPr>
        <w:pStyle w:val="TextBody"/>
        <w:spacing w:before="240" w:after="0"/>
        <w:jc w:val="left"/>
        <w:rPr>
          <w:rFonts w:ascii="Times New Roman" w:hAnsi="Times New Roman"/>
          <w:sz w:val="24"/>
        </w:rPr>
      </w:pPr>
      <w:r>
        <w:rPr>
          <w:rFonts w:ascii="Times New Roman" w:hAnsi="Times New Roman"/>
          <w:sz w:val="24"/>
        </w:rPr>
        <w:t xml:space="preserve">Further details relating to critical accounting judgments and estimates can be found in the consolidated financial statements, incorporated herein by reference. </w:t>
      </w:r>
    </w:p>
    <w:p>
      <w:pPr>
        <w:pStyle w:val="TextBody"/>
        <w:spacing w:before="360" w:after="0"/>
        <w:jc w:val="left"/>
        <w:rPr>
          <w:rFonts w:ascii="Times New Roman" w:hAnsi="Times New Roman"/>
          <w:b/>
          <w:sz w:val="24"/>
        </w:rPr>
      </w:pPr>
      <w:r>
        <w:rPr>
          <w:rFonts w:ascii="Times New Roman" w:hAnsi="Times New Roman"/>
          <w:b/>
          <w:sz w:val="24"/>
        </w:rPr>
        <w:t xml:space="preserve">Results of Operations </w:t>
      </w:r>
    </w:p>
    <w:p>
      <w:pPr>
        <w:pStyle w:val="TextBody"/>
        <w:spacing w:before="120" w:after="0"/>
        <w:jc w:val="left"/>
        <w:rPr>
          <w:rFonts w:ascii="Times New Roman" w:hAnsi="Times New Roman"/>
          <w:sz w:val="24"/>
        </w:rPr>
      </w:pPr>
      <w:r>
        <w:rPr>
          <w:rFonts w:ascii="Times New Roman" w:hAnsi="Times New Roman"/>
          <w:sz w:val="24"/>
        </w:rPr>
        <w:t xml:space="preserve">The following table sets forth Mereo’s results of operations for the years ended December 31, 2022 and 2021.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5218"/>
        <w:gridCol w:w="120"/>
        <w:gridCol w:w="81"/>
        <w:gridCol w:w="1030"/>
        <w:gridCol w:w="211"/>
        <w:gridCol w:w="163"/>
        <w:gridCol w:w="81"/>
        <w:gridCol w:w="1034"/>
        <w:gridCol w:w="155"/>
        <w:gridCol w:w="120"/>
        <w:gridCol w:w="60"/>
        <w:gridCol w:w="803"/>
        <w:gridCol w:w="155"/>
        <w:gridCol w:w="120"/>
        <w:gridCol w:w="60"/>
        <w:gridCol w:w="455"/>
        <w:gridCol w:w="339"/>
      </w:tblGrid>
      <w:tr>
        <w:trPr/>
        <w:tc>
          <w:tcPr>
            <w:tcW w:w="52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521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0" w:type="dxa"/>
            <w:gridSpan w:val="6"/>
            <w:tcBorders/>
            <w:shd w:fill="auto" w:val="clear"/>
            <w:vAlign w:val="center"/>
          </w:tcPr>
          <w:p>
            <w:pPr>
              <w:pStyle w:val="TableContents"/>
              <w:spacing w:before="0" w:after="283"/>
              <w:jc w:val="center"/>
              <w:rPr>
                <w:b/>
              </w:rPr>
            </w:pPr>
            <w:r>
              <w:rPr>
                <w:b/>
              </w:rPr>
              <w:t>Year ended December 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3" w:type="dxa"/>
            <w:gridSpan w:val="6"/>
            <w:tcBorders/>
            <w:shd w:fill="auto" w:val="clear"/>
            <w:vAlign w:val="center"/>
          </w:tcPr>
          <w:p>
            <w:pPr>
              <w:pStyle w:val="TableContents"/>
              <w:spacing w:before="0" w:after="283"/>
              <w:jc w:val="center"/>
              <w:rPr>
                <w:b/>
              </w:rPr>
            </w:pPr>
            <w:r>
              <w:rPr>
                <w:b/>
              </w:rPr>
              <w:t>Change</w:t>
            </w:r>
          </w:p>
        </w:tc>
        <w:tc>
          <w:tcPr>
            <w:tcW w:w="339" w:type="dxa"/>
            <w:tcBorders/>
            <w:shd w:fill="auto"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center"/>
          </w:tcPr>
          <w:p>
            <w:pPr>
              <w:pStyle w:val="TableContents"/>
              <w:spacing w:before="0" w:after="283"/>
              <w:rPr>
                <w:b/>
              </w:rPr>
            </w:pPr>
            <w:r>
              <w:rPr>
                <w:b/>
              </w:rPr>
              <w:t>2022</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3" w:type="dxa"/>
            <w:gridSpan w:val="2"/>
            <w:tcBorders/>
            <w:shd w:fill="auto" w:val="clear"/>
            <w:vAlign w:val="center"/>
          </w:tcPr>
          <w:p>
            <w:pPr>
              <w:pStyle w:val="TableContents"/>
              <w:pBdr>
                <w:bottom w:val="single" w:sz="8"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339" w:type="dxa"/>
            <w:tcBorders/>
            <w:shd w:fill="auto"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1" w:type="dxa"/>
            <w:gridSpan w:val="2"/>
            <w:tcBorders/>
            <w:shd w:fill="auto" w:val="clear"/>
            <w:vAlign w:val="center"/>
          </w:tcPr>
          <w:p>
            <w:pPr>
              <w:pStyle w:val="TableContents"/>
              <w:spacing w:before="0" w:after="283"/>
              <w:jc w:val="center"/>
              <w:rPr>
                <w:b/>
              </w:rPr>
            </w:pPr>
            <w:r>
              <w:rPr>
                <w:b/>
              </w:rPr>
              <w:t>£’000s</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£’000s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3" w:type="dxa"/>
            <w:gridSpan w:val="2"/>
            <w:tcBorders/>
            <w:shd w:fill="auto" w:val="clear"/>
            <w:vAlign w:val="center"/>
          </w:tcPr>
          <w:p>
            <w:pPr>
              <w:pStyle w:val="TableContents"/>
              <w:spacing w:before="0" w:after="283"/>
              <w:jc w:val="center"/>
              <w:rPr>
                <w:b/>
              </w:rPr>
            </w:pPr>
            <w:r>
              <w:rPr>
                <w:b/>
              </w:rPr>
              <w:t>£’000s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Revenue</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36,464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(36,464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(100</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Cost of revenue</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936</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(17,908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18,844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(105</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Research and development expenses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(24,962</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(23,559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(1,403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6</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Administrative expenses</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(19,543</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(15,933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(3,610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23</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Operating loss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(43,569</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(20,936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(22,633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108</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Finance income</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696</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695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Finance costs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(3,361</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(4,022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661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(16</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Changes in fair value of financial instruments</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7,805</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40,039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(32,234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(81</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Gain/(loss) on disposal of intangible assets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113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(113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(100</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foreign exchange gain/(loss)</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1,525</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(954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2,479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income and expenses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811</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811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(Loss)/profit before tax</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(36,093</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14,241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(50,334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Taxation</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1,897</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(1,516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3,413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(Loss)/profit attributable to equity holders of the parent</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(34,196</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12,725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(46,921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w:t>
            </w:r>
          </w:p>
        </w:tc>
        <w:tc>
          <w:tcPr>
            <w:tcW w:w="339" w:type="dxa"/>
            <w:tcBorders/>
            <w:shd w:fill="auto" w:val="clear"/>
            <w:vAlign w:val="center"/>
          </w:tcPr>
          <w:p>
            <w:pPr>
              <w:pStyle w:val="TableContents"/>
              <w:spacing w:before="0" w:after="283"/>
              <w:rPr/>
            </w:pPr>
            <w:r>
              <w:rPr/>
              <w:t> </w:t>
            </w:r>
          </w:p>
        </w:tc>
      </w:tr>
      <w:tr>
        <w:trPr/>
        <w:tc>
          <w:tcPr>
            <w:tcW w:w="5218"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Currency translation of foreign operations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(1,828</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jc w:val="right"/>
              <w:rPr/>
            </w:pPr>
            <w:r>
              <w:rPr/>
              <w:t>(191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(1,637)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w:t>
            </w:r>
          </w:p>
        </w:tc>
        <w:tc>
          <w:tcPr>
            <w:tcW w:w="339" w:type="dxa"/>
            <w:tcBorders/>
            <w:shd w:fill="CCEEFF"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pBdr>
                <w:top w:val="single" w:sz="2" w:space="1" w:color="000000"/>
              </w:pBdr>
              <w:spacing w:before="0" w:after="0"/>
              <w:rPr/>
            </w:pPr>
            <w:r>
              <w:rPr/>
              <w:t> </w:t>
            </w:r>
          </w:p>
        </w:tc>
        <w:tc>
          <w:tcPr>
            <w:tcW w:w="1030" w:type="dxa"/>
            <w:tcBorders/>
            <w:shd w:fill="auto" w:val="clear"/>
            <w:vAlign w:val="center"/>
          </w:tcPr>
          <w:p>
            <w:pPr>
              <w:pStyle w:val="TableContents"/>
              <w:pBdr>
                <w:top w:val="single" w:sz="2" w:space="1" w:color="000000"/>
              </w:pBdr>
              <w:spacing w:before="0" w:after="0"/>
              <w:rPr/>
            </w:pPr>
            <w:r>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pBdr>
                <w:top w:val="single" w:sz="2" w:space="1" w:color="000000"/>
              </w:pBdr>
              <w:spacing w:before="0" w:after="0"/>
              <w:rPr/>
            </w:pPr>
            <w:r>
              <w:rPr/>
              <w:t> </w:t>
            </w:r>
          </w:p>
        </w:tc>
        <w:tc>
          <w:tcPr>
            <w:tcW w:w="1034"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80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455" w:type="dxa"/>
            <w:tcBorders/>
            <w:shd w:fill="auto" w:val="clear"/>
            <w:vAlign w:val="center"/>
          </w:tcPr>
          <w:p>
            <w:pPr>
              <w:pStyle w:val="TableContents"/>
              <w:pBdr>
                <w:top w:val="single" w:sz="2" w:space="1" w:color="000000"/>
              </w:pBdr>
              <w:spacing w:before="0" w:after="0"/>
              <w:rPr/>
            </w:pPr>
            <w:r>
              <w:rPr/>
              <w:t> </w:t>
            </w:r>
          </w:p>
        </w:tc>
        <w:tc>
          <w:tcPr>
            <w:tcW w:w="339" w:type="dxa"/>
            <w:tcBorders/>
            <w:shd w:fill="auto"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Total comprehensive (loss)/income attributable to equity holders of the parent</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(36,024</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34" w:type="dxa"/>
            <w:tcBorders/>
            <w:shd w:fill="auto" w:val="clear"/>
            <w:vAlign w:val="center"/>
          </w:tcPr>
          <w:p>
            <w:pPr>
              <w:pStyle w:val="TableContents"/>
              <w:spacing w:before="0" w:after="283"/>
              <w:jc w:val="right"/>
              <w:rPr/>
            </w:pPr>
            <w:r>
              <w:rPr/>
              <w:t>12,534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(48,558)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w:t>
            </w:r>
          </w:p>
        </w:tc>
        <w:tc>
          <w:tcPr>
            <w:tcW w:w="339" w:type="dxa"/>
            <w:tcBorders/>
            <w:shd w:fill="auto" w:val="clear"/>
            <w:vAlign w:val="center"/>
          </w:tcPr>
          <w:p>
            <w:pPr>
              <w:pStyle w:val="TableContents"/>
              <w:spacing w:before="0" w:after="283"/>
              <w:rPr/>
            </w:pPr>
            <w:r>
              <w:rPr/>
              <w:t> </w:t>
            </w:r>
          </w:p>
        </w:tc>
      </w:tr>
      <w:tr>
        <w:trPr/>
        <w:tc>
          <w:tcPr>
            <w:tcW w:w="52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pBdr>
                <w:top w:val="double" w:sz="6" w:space="1" w:color="000000"/>
              </w:pBdr>
              <w:spacing w:before="0" w:after="0"/>
              <w:rPr/>
            </w:pPr>
            <w:r>
              <w:rPr/>
              <w:t> </w:t>
            </w:r>
          </w:p>
        </w:tc>
        <w:tc>
          <w:tcPr>
            <w:tcW w:w="1030" w:type="dxa"/>
            <w:tcBorders/>
            <w:shd w:fill="auto" w:val="clear"/>
            <w:vAlign w:val="center"/>
          </w:tcPr>
          <w:p>
            <w:pPr>
              <w:pStyle w:val="TableContents"/>
              <w:pBdr>
                <w:top w:val="double" w:sz="6" w:space="1" w:color="000000"/>
              </w:pBdr>
              <w:spacing w:before="0" w:after="0"/>
              <w:rPr/>
            </w:pPr>
            <w:r>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pBdr>
                <w:top w:val="double" w:sz="6" w:space="1" w:color="000000"/>
              </w:pBdr>
              <w:spacing w:before="0" w:after="0"/>
              <w:rPr/>
            </w:pPr>
            <w:r>
              <w:rPr/>
              <w:t> </w:t>
            </w:r>
          </w:p>
        </w:tc>
        <w:tc>
          <w:tcPr>
            <w:tcW w:w="1034"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803"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455" w:type="dxa"/>
            <w:tcBorders/>
            <w:shd w:fill="auto" w:val="clear"/>
            <w:vAlign w:val="center"/>
          </w:tcPr>
          <w:p>
            <w:pPr>
              <w:pStyle w:val="TableContents"/>
              <w:pBdr>
                <w:top w:val="double" w:sz="6" w:space="1" w:color="000000"/>
              </w:pBdr>
              <w:spacing w:before="0" w:after="0"/>
              <w:rPr/>
            </w:pPr>
            <w:r>
              <w:rPr/>
              <w:t> </w:t>
            </w:r>
          </w:p>
        </w:tc>
        <w:tc>
          <w:tcPr>
            <w:tcW w:w="33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505" w:type="dxa"/>
        <w:jc w:val="left"/>
        <w:tblInd w:w="0" w:type="dxa"/>
        <w:tblCellMar>
          <w:top w:w="0" w:type="dxa"/>
          <w:left w:w="0" w:type="dxa"/>
          <w:bottom w:w="0" w:type="dxa"/>
          <w:right w:w="0" w:type="dxa"/>
        </w:tblCellMar>
      </w:tblPr>
      <w:tblGrid>
        <w:gridCol w:w="155"/>
        <w:gridCol w:w="3350"/>
      </w:tblGrid>
      <w:tr>
        <w:trPr/>
        <w:tc>
          <w:tcPr>
            <w:tcW w:w="155" w:type="dxa"/>
            <w:tcBorders/>
            <w:shd w:fill="auto" w:val="clear"/>
            <w:vAlign w:val="center"/>
          </w:tcPr>
          <w:p>
            <w:pPr>
              <w:pStyle w:val="TableContents"/>
              <w:spacing w:before="0" w:after="283"/>
              <w:jc w:val="left"/>
              <w:rPr/>
            </w:pPr>
            <w:r>
              <w:rPr/>
              <w:t>*</w:t>
            </w:r>
          </w:p>
        </w:tc>
        <w:tc>
          <w:tcPr>
            <w:tcW w:w="33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Percentage change not meaningful </w:t>
            </w:r>
          </w:p>
        </w:tc>
      </w:tr>
    </w:tbl>
    <w:p>
      <w:pPr>
        <w:pStyle w:val="TextBody"/>
        <w:spacing w:before="360" w:after="0"/>
        <w:jc w:val="left"/>
        <w:rPr>
          <w:rFonts w:ascii="Times New Roman" w:hAnsi="Times New Roman"/>
          <w:b/>
          <w:sz w:val="24"/>
        </w:rPr>
      </w:pPr>
      <w:r>
        <w:rPr>
          <w:rFonts w:ascii="Times New Roman" w:hAnsi="Times New Roman"/>
          <w:b/>
          <w:sz w:val="24"/>
        </w:rPr>
        <w:t xml:space="preserve">Comparison of Years Ended December 31, 2022 and 2021 </w:t>
      </w:r>
    </w:p>
    <w:p>
      <w:pPr>
        <w:pStyle w:val="TextBody"/>
        <w:spacing w:before="120" w:after="0"/>
        <w:jc w:val="left"/>
        <w:rPr>
          <w:rFonts w:ascii="Times New Roman" w:hAnsi="Times New Roman"/>
          <w:i/>
          <w:sz w:val="24"/>
        </w:rPr>
      </w:pPr>
      <w:r>
        <w:rPr>
          <w:rFonts w:ascii="Times New Roman" w:hAnsi="Times New Roman"/>
          <w:i/>
          <w:sz w:val="24"/>
        </w:rPr>
        <w:t xml:space="preserve">Revenue </w:t>
      </w:r>
    </w:p>
    <w:p>
      <w:pPr>
        <w:pStyle w:val="TextBody"/>
        <w:spacing w:before="120" w:after="0"/>
        <w:jc w:val="left"/>
        <w:rPr>
          <w:rFonts w:ascii="Times New Roman" w:hAnsi="Times New Roman"/>
          <w:sz w:val="24"/>
        </w:rPr>
      </w:pPr>
      <w:r>
        <w:rPr>
          <w:rFonts w:ascii="Times New Roman" w:hAnsi="Times New Roman"/>
          <w:sz w:val="24"/>
        </w:rPr>
        <w:t xml:space="preserve">Revenue was nil for the year ended December 31, 2022 compared to £36.5 million for the year ended December 31, 2021. </w:t>
      </w:r>
    </w:p>
    <w:p>
      <w:pPr>
        <w:pStyle w:val="TextBody"/>
        <w:spacing w:before="240" w:after="0"/>
        <w:jc w:val="left"/>
        <w:rPr>
          <w:rFonts w:ascii="Times New Roman" w:hAnsi="Times New Roman"/>
          <w:sz w:val="24"/>
        </w:rPr>
      </w:pPr>
      <w:r>
        <w:rPr>
          <w:rFonts w:ascii="Times New Roman" w:hAnsi="Times New Roman"/>
          <w:sz w:val="24"/>
        </w:rPr>
        <w:t xml:space="preserve">In January 2021, the Company’s licensing and collaboration agreement with Ultragenyx for the development and commercialization of setrusumab for OI became effective.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 </w:t>
      </w:r>
    </w:p>
    <w:p>
      <w:pPr>
        <w:pStyle w:val="TextBody"/>
        <w:spacing w:before="240" w:after="0"/>
        <w:jc w:val="left"/>
        <w:rPr>
          <w:rFonts w:ascii="Times New Roman" w:hAnsi="Times New Roman"/>
          <w:sz w:val="24"/>
        </w:rPr>
      </w:pPr>
      <w:r>
        <w:rPr>
          <w:rFonts w:ascii="Times New Roman" w:hAnsi="Times New Roman"/>
          <w:sz w:val="24"/>
        </w:rPr>
        <w:t xml:space="preserve">Ultragenyx made an upfront payment of £36.5 million ($50 million) to Mereo in January 2021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 </w:t>
      </w:r>
    </w:p>
    <w:p>
      <w:pPr>
        <w:pStyle w:val="TextBody"/>
        <w:spacing w:before="360" w:after="0"/>
        <w:jc w:val="left"/>
        <w:rPr>
          <w:rFonts w:ascii="Times New Roman" w:hAnsi="Times New Roman"/>
          <w:i/>
          <w:sz w:val="24"/>
        </w:rPr>
      </w:pPr>
      <w:r>
        <w:rPr>
          <w:rFonts w:ascii="Times New Roman" w:hAnsi="Times New Roman"/>
          <w:i/>
          <w:sz w:val="24"/>
        </w:rPr>
        <w:t xml:space="preserve">Cost of revenue </w:t>
      </w:r>
    </w:p>
    <w:p>
      <w:pPr>
        <w:pStyle w:val="TextBody"/>
        <w:spacing w:before="120" w:after="0"/>
        <w:jc w:val="left"/>
        <w:rPr>
          <w:rFonts w:ascii="Times New Roman" w:hAnsi="Times New Roman"/>
          <w:sz w:val="24"/>
        </w:rPr>
      </w:pPr>
      <w:r>
        <w:rPr>
          <w:rFonts w:ascii="Times New Roman" w:hAnsi="Times New Roman"/>
          <w:sz w:val="24"/>
        </w:rPr>
        <w:t xml:space="preserve">Cost of revenue for the year ended December 31, 2022 was a credit of £0.9 million compared to £17.9 million of expense for the year ended December 31, 2021. </w:t>
      </w:r>
    </w:p>
    <w:p>
      <w:pPr>
        <w:pStyle w:val="TextBody"/>
        <w:spacing w:before="240" w:after="0"/>
        <w:jc w:val="left"/>
        <w:rPr>
          <w:rFonts w:ascii="Times New Roman" w:hAnsi="Times New Roman"/>
          <w:sz w:val="24"/>
        </w:rPr>
      </w:pPr>
      <w:r>
        <w:rPr>
          <w:rFonts w:ascii="Times New Roman" w:hAnsi="Times New Roman"/>
          <w:sz w:val="24"/>
        </w:rPr>
        <w:t xml:space="preserve">In 2021, cost of revenue was comprised of £9.5 million, representing the carrying value of the setrusumab rights granted to Ultragenyx under the licensing and collaboration agreement, and £8.4 million in relation to our 2015 agreement with Novartis, under which the Company pays a percentage of proceeds, subject to certain exceptions. Under the terms of this agreement, we made a payment of £7.2 million to Novartis for the year-ended December 31, 2021. The payment included a deduction for costs of £2.4 million which was deferred to be recognized in the statement of comprehensive income when the associated costs are incurred. For the year ended December 31, 2022, £0.9 million of these deductions were recognized in cost of revenue compared to £1.1 million for the year ended December 31, 2021.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Research and development (“R&amp;D”) Expenses </w:t>
      </w:r>
    </w:p>
    <w:p>
      <w:pPr>
        <w:pStyle w:val="TextBody"/>
        <w:spacing w:before="120" w:after="0"/>
        <w:jc w:val="left"/>
        <w:rPr>
          <w:rFonts w:ascii="Times New Roman" w:hAnsi="Times New Roman"/>
          <w:sz w:val="24"/>
        </w:rPr>
      </w:pPr>
      <w:r>
        <w:rPr>
          <w:rFonts w:ascii="Times New Roman" w:hAnsi="Times New Roman"/>
          <w:sz w:val="24"/>
        </w:rPr>
        <w:t xml:space="preserve">The following table sets forth our R&amp;D expenses by product development program for the years ended December 31, 2022 and 2021. </w:t>
      </w:r>
    </w:p>
    <w:p>
      <w:pPr>
        <w:pStyle w:val="TextBody"/>
        <w:spacing w:before="0" w:after="0"/>
        <w:jc w:val="left"/>
        <w:rPr/>
      </w:pPr>
      <w:r>
        <w:rPr/>
        <w:t> </w:t>
      </w:r>
    </w:p>
    <w:tbl>
      <w:tblPr>
        <w:tblW w:w="6785" w:type="dxa"/>
        <w:jc w:val="left"/>
        <w:tblInd w:w="0" w:type="dxa"/>
        <w:tblCellMar>
          <w:top w:w="0" w:type="dxa"/>
          <w:left w:w="0" w:type="dxa"/>
          <w:bottom w:w="0" w:type="dxa"/>
          <w:right w:w="0" w:type="dxa"/>
        </w:tblCellMar>
      </w:tblPr>
      <w:tblGrid>
        <w:gridCol w:w="3005"/>
        <w:gridCol w:w="120"/>
        <w:gridCol w:w="60"/>
        <w:gridCol w:w="680"/>
        <w:gridCol w:w="60"/>
        <w:gridCol w:w="120"/>
        <w:gridCol w:w="60"/>
        <w:gridCol w:w="680"/>
        <w:gridCol w:w="60"/>
        <w:gridCol w:w="120"/>
        <w:gridCol w:w="64"/>
        <w:gridCol w:w="601"/>
        <w:gridCol w:w="155"/>
        <w:gridCol w:w="120"/>
        <w:gridCol w:w="60"/>
        <w:gridCol w:w="455"/>
        <w:gridCol w:w="365"/>
      </w:tblGrid>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Year ended</w:t>
              <w:br/>
              <w:t>December 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Change</w:t>
            </w:r>
          </w:p>
        </w:tc>
        <w:tc>
          <w:tcPr>
            <w:tcW w:w="36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b/>
              </w:rPr>
            </w:pPr>
            <w:r>
              <w:rPr>
                <w:b/>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b/>
              </w:rPr>
            </w:pPr>
            <w:r>
              <w:rPr>
                <w:b/>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jc w:val="center"/>
              <w:rPr>
                <w:b/>
              </w:rPr>
            </w:pPr>
            <w:r>
              <w:rPr>
                <w:b/>
              </w:rPr>
              <w:t>£’000s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right"/>
              <w:rPr>
                <w:b/>
              </w:rPr>
            </w:pPr>
            <w:r>
              <w:rPr>
                <w:b/>
              </w:rPr>
              <w:t>%</w:t>
            </w:r>
          </w:p>
        </w:tc>
        <w:tc>
          <w:tcPr>
            <w:tcW w:w="36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Setrusumab (BPS-804/UX143)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3,356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3,597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(241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(7</w:t>
            </w:r>
          </w:p>
        </w:tc>
        <w:tc>
          <w:tcPr>
            <w:tcW w:w="36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Alvelestat (MPH-966)</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5,430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5,303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127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2</w:t>
            </w:r>
          </w:p>
        </w:tc>
        <w:tc>
          <w:tcPr>
            <w:tcW w:w="36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Etigilimab (MPH-313)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15,802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13,499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2,303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17</w:t>
            </w:r>
          </w:p>
        </w:tc>
        <w:tc>
          <w:tcPr>
            <w:tcW w:w="36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Leflutrozole (BGS-649)</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(99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(63</w:t>
            </w:r>
          </w:p>
        </w:tc>
        <w:tc>
          <w:tcPr>
            <w:tcW w:w="36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Acumapimod (BCT-197)</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(44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(47</w:t>
            </w:r>
          </w:p>
        </w:tc>
        <w:tc>
          <w:tcPr>
            <w:tcW w:w="36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Navicixizumab (“Navi”)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(100</w:t>
            </w:r>
          </w:p>
        </w:tc>
        <w:tc>
          <w:tcPr>
            <w:tcW w:w="36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(62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(98</w:t>
            </w:r>
          </w:p>
        </w:tc>
        <w:tc>
          <w:tcPr>
            <w:tcW w:w="36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Unallocated costs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(566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(68</w:t>
            </w:r>
          </w:p>
        </w:tc>
        <w:tc>
          <w:tcPr>
            <w:tcW w:w="36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pBdr>
                <w:top w:val="single" w:sz="2" w:space="1" w:color="000000"/>
              </w:pBdr>
              <w:spacing w:before="0" w:after="0"/>
              <w:rPr/>
            </w:pPr>
            <w:r>
              <w:rPr/>
              <w:t> </w:t>
            </w:r>
          </w:p>
        </w:tc>
        <w:tc>
          <w:tcPr>
            <w:tcW w:w="601"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455" w:type="dxa"/>
            <w:tcBorders/>
            <w:shd w:fill="auto" w:val="clear"/>
            <w:vAlign w:val="center"/>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 R&amp;D expenses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b/>
              </w:rPr>
            </w:pPr>
            <w:r>
              <w:rPr>
                <w:b/>
              </w:rPr>
              <w:t>24,962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b/>
              </w:rPr>
            </w:pPr>
            <w:r>
              <w:rPr>
                <w:b/>
              </w:rPr>
              <w:t>23,559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b/>
              </w:rPr>
            </w:pPr>
            <w:r>
              <w:rPr>
                <w:b/>
              </w:rPr>
              <w:t>1,403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b/>
              </w:rPr>
            </w:pPr>
            <w:r>
              <w:rPr>
                <w:b/>
              </w:rPr>
              <w:t>6</w:t>
            </w:r>
          </w:p>
        </w:tc>
        <w:tc>
          <w:tcPr>
            <w:tcW w:w="365" w:type="dxa"/>
            <w:tcBorders/>
            <w:shd w:fill="CCEEFF" w:val="clear"/>
            <w:vAlign w:val="center"/>
          </w:tcPr>
          <w:p>
            <w:pPr>
              <w:pStyle w:val="TableContents"/>
              <w:spacing w:before="0" w:after="283"/>
              <w:rPr>
                <w:b/>
              </w:rPr>
            </w:pPr>
            <w:r>
              <w:rPr>
                <w:b/>
              </w:rPr>
              <w:t>% </w:t>
            </w:r>
          </w:p>
        </w:tc>
      </w:tr>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68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68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pBdr>
                <w:top w:val="double" w:sz="6" w:space="1" w:color="000000"/>
              </w:pBdr>
              <w:spacing w:before="0" w:after="0"/>
              <w:rPr/>
            </w:pPr>
            <w:r>
              <w:rPr/>
              <w:t> </w:t>
            </w:r>
          </w:p>
        </w:tc>
        <w:tc>
          <w:tcPr>
            <w:tcW w:w="601"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455" w:type="dxa"/>
            <w:tcBorders/>
            <w:shd w:fill="auto" w:val="clear"/>
            <w:vAlign w:val="center"/>
          </w:tcPr>
          <w:p>
            <w:pPr>
              <w:pStyle w:val="TableContents"/>
              <w:pBdr>
                <w:top w:val="double" w:sz="6"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rPr>
      </w:pPr>
      <w:r>
        <w:rPr>
          <w:rFonts w:ascii="Times New Roman" w:hAnsi="Times New Roman"/>
          <w:sz w:val="24"/>
        </w:rPr>
        <w:t xml:space="preserve">Total R&amp;D expenses increased by £1.4 million, or 6%, from £23.6 million in 2021 to £25.0 million in 2022. </w:t>
      </w:r>
    </w:p>
    <w:p>
      <w:pPr>
        <w:pStyle w:val="TextBody"/>
        <w:spacing w:before="240" w:after="0"/>
        <w:jc w:val="left"/>
        <w:rPr>
          <w:rFonts w:ascii="Times New Roman" w:hAnsi="Times New Roman"/>
          <w:sz w:val="24"/>
        </w:rPr>
      </w:pPr>
      <w:r>
        <w:rPr>
          <w:rFonts w:ascii="Times New Roman" w:hAnsi="Times New Roman"/>
          <w:sz w:val="24"/>
        </w:rPr>
        <w:t xml:space="preserve">R&amp;D expenses relating to etigilimab increased by £2.3 million. The increase was due to the costs associated with additional patients and the duration of treatment for patients responding to therapy in 2022 compared to 2021 in the open label Phase 1b/2 basket study in combination with an anti-PD-1 in a range of tumor types. R&amp;D expenses relating to alvelestat increased £0.1 million, or 2%, primarily reflecting the end of study related costs for the Phase 2 proof-of-concept study in AATD-LD. Partially offsetting the increases, R&amp;D expenses relating to setrusumab decreased by £0.2 million, or 7%. Setrusumab R&amp;D expenditure in 2022 comprised activities associated with laying the groundwork for price reimbursement in Europe, and input into development, regulatory and manufacturing plans with our partner, Ultragenyx, as the global development of the program is funded by Ultragenyx pursuant to our licensing and collaboration agreement. </w:t>
      </w:r>
    </w:p>
    <w:p>
      <w:pPr>
        <w:pStyle w:val="TextBody"/>
        <w:spacing w:before="360" w:after="0"/>
        <w:jc w:val="left"/>
        <w:rPr>
          <w:rFonts w:ascii="Times New Roman" w:hAnsi="Times New Roman"/>
          <w:i/>
          <w:sz w:val="24"/>
        </w:rPr>
      </w:pPr>
      <w:r>
        <w:rPr>
          <w:rFonts w:ascii="Times New Roman" w:hAnsi="Times New Roman"/>
          <w:i/>
          <w:sz w:val="24"/>
        </w:rPr>
        <w:t xml:space="preserve">Administrative expenses </w:t>
      </w:r>
    </w:p>
    <w:p>
      <w:pPr>
        <w:pStyle w:val="TextBody"/>
        <w:spacing w:before="120" w:after="0"/>
        <w:jc w:val="left"/>
        <w:rPr>
          <w:rFonts w:ascii="Times New Roman" w:hAnsi="Times New Roman"/>
          <w:sz w:val="24"/>
        </w:rPr>
      </w:pPr>
      <w:r>
        <w:rPr>
          <w:rFonts w:ascii="Times New Roman" w:hAnsi="Times New Roman"/>
          <w:sz w:val="24"/>
        </w:rPr>
        <w:t xml:space="preserve">Administrative expenses increased by £3.6 million, or 23%, from £15.9 million in 2021 to £19.5 million in 2022. </w:t>
      </w:r>
    </w:p>
    <w:p>
      <w:pPr>
        <w:pStyle w:val="TextBody"/>
        <w:spacing w:before="240" w:after="0"/>
        <w:jc w:val="left"/>
        <w:rPr>
          <w:rFonts w:ascii="Times New Roman" w:hAnsi="Times New Roman"/>
          <w:sz w:val="24"/>
        </w:rPr>
      </w:pPr>
      <w:r>
        <w:rPr>
          <w:rFonts w:ascii="Times New Roman" w:hAnsi="Times New Roman"/>
          <w:sz w:val="24"/>
        </w:rPr>
        <w:t xml:space="preserve">The increase was primarily driven by additional costs incurred in connection with the Schedule 13D filings and subsequent Cooperation Agreement with Rubric Capital, and increased share-based payment expenses, partially offset by a reduction in other professional fees. </w:t>
      </w:r>
    </w:p>
    <w:p>
      <w:pPr>
        <w:pStyle w:val="TextBody"/>
        <w:spacing w:before="360" w:after="0"/>
        <w:jc w:val="left"/>
        <w:rPr>
          <w:rFonts w:ascii="Times New Roman" w:hAnsi="Times New Roman"/>
          <w:i/>
          <w:sz w:val="24"/>
        </w:rPr>
      </w:pPr>
      <w:r>
        <w:rPr>
          <w:rFonts w:ascii="Times New Roman" w:hAnsi="Times New Roman"/>
          <w:i/>
          <w:sz w:val="24"/>
        </w:rPr>
        <w:t xml:space="preserve">Finance income and costs </w:t>
      </w:r>
    </w:p>
    <w:p>
      <w:pPr>
        <w:pStyle w:val="TextBody"/>
        <w:spacing w:before="120" w:after="0"/>
        <w:jc w:val="left"/>
        <w:rPr>
          <w:rFonts w:ascii="Times New Roman" w:hAnsi="Times New Roman"/>
          <w:sz w:val="24"/>
        </w:rPr>
      </w:pPr>
      <w:r>
        <w:rPr>
          <w:rFonts w:ascii="Times New Roman" w:hAnsi="Times New Roman"/>
          <w:sz w:val="24"/>
        </w:rPr>
        <w:t xml:space="preserve">Total finance costs decreased from £4.0 million in 2021 to £3.4 million in 2022. The decrease is primarily related to a reduction in the interest on the June 2020 Private Placement convertible loan notes of £0.9 million following conversion of certain loan notes in 2022. </w:t>
      </w:r>
    </w:p>
    <w:p>
      <w:pPr>
        <w:pStyle w:val="TextBody"/>
        <w:spacing w:before="240" w:after="0"/>
        <w:jc w:val="left"/>
        <w:rPr>
          <w:rFonts w:ascii="Times New Roman" w:hAnsi="Times New Roman"/>
          <w:sz w:val="24"/>
        </w:rPr>
      </w:pPr>
      <w:r>
        <w:rPr>
          <w:rFonts w:ascii="Times New Roman" w:hAnsi="Times New Roman"/>
          <w:sz w:val="24"/>
        </w:rPr>
        <w:t xml:space="preserve">Finance income increased by £0.7 million from nil to £0.7 million as a result of interest income on short-term deposits. </w:t>
      </w:r>
    </w:p>
    <w:p>
      <w:pPr>
        <w:pStyle w:val="TextBody"/>
        <w:spacing w:before="360" w:after="0"/>
        <w:jc w:val="left"/>
        <w:rPr>
          <w:rFonts w:ascii="Times New Roman" w:hAnsi="Times New Roman"/>
          <w:i/>
          <w:sz w:val="24"/>
        </w:rPr>
      </w:pPr>
      <w:r>
        <w:rPr>
          <w:rFonts w:ascii="Times New Roman" w:hAnsi="Times New Roman"/>
          <w:i/>
          <w:sz w:val="24"/>
        </w:rPr>
        <w:t xml:space="preserve">Changes in fair value of financial instruments </w:t>
      </w:r>
    </w:p>
    <w:p>
      <w:pPr>
        <w:pStyle w:val="TextBody"/>
        <w:spacing w:before="120" w:after="0"/>
        <w:jc w:val="left"/>
        <w:rPr>
          <w:rFonts w:ascii="Times New Roman" w:hAnsi="Times New Roman"/>
          <w:sz w:val="24"/>
        </w:rPr>
      </w:pPr>
      <w:r>
        <w:rPr>
          <w:rFonts w:ascii="Times New Roman" w:hAnsi="Times New Roman"/>
          <w:sz w:val="24"/>
        </w:rPr>
        <w:t xml:space="preserve">The total change in fair value of financial instruments for 2022 was a gain of £7.8 million, a decrease of £32.2 million compared to a gain of £40.0 million in 2021. The gain resulted from a £7.6 million (2021: £39.5 million) unrealized gain on Warrants in respect of the June 2020 Private Placement and a £0.2 million (2021: £0.5 million) unrealized gain on warrants issued to our former lenders in connection with the loan facility. The unrealized gain in the warrant instruments in both 2022 and 2021 primarily resulted from a decline in the market price of our ADSs as of December 31, 2022 compared to December 31, 2021, and as of December 31, 2021 compared to December 31, 2020. </w:t>
      </w:r>
    </w:p>
    <w:p>
      <w:pPr>
        <w:pStyle w:val="TextBody"/>
        <w:spacing w:before="360" w:after="0"/>
        <w:jc w:val="left"/>
        <w:rPr>
          <w:rFonts w:ascii="Times New Roman" w:hAnsi="Times New Roman"/>
          <w:i/>
          <w:sz w:val="24"/>
        </w:rPr>
      </w:pPr>
      <w:r>
        <w:rPr>
          <w:rFonts w:ascii="Times New Roman" w:hAnsi="Times New Roman"/>
          <w:i/>
          <w:sz w:val="24"/>
        </w:rPr>
        <w:t xml:space="preserve">Net foreign exchange gain/(loss) </w:t>
      </w:r>
    </w:p>
    <w:p>
      <w:pPr>
        <w:pStyle w:val="TextBody"/>
        <w:spacing w:before="120" w:after="0"/>
        <w:jc w:val="left"/>
        <w:rPr>
          <w:rFonts w:ascii="Times New Roman" w:hAnsi="Times New Roman"/>
          <w:sz w:val="24"/>
        </w:rPr>
      </w:pPr>
      <w:r>
        <w:rPr>
          <w:rFonts w:ascii="Times New Roman" w:hAnsi="Times New Roman"/>
          <w:sz w:val="24"/>
        </w:rPr>
        <w:t xml:space="preserve">The net foreign exchange gain for 2022 was £1.5 million compared to a loss of £1.0 million in 2021, a change of £2.5 million. The net foreign exchange gain is primarily related to the translation of non-functional currency balances, primarily denominated in U.S. dollars. </w:t>
      </w:r>
    </w:p>
    <w:p>
      <w:pPr>
        <w:pStyle w:val="TextBody"/>
        <w:spacing w:before="360" w:after="0"/>
        <w:jc w:val="left"/>
        <w:rPr>
          <w:rFonts w:ascii="Times New Roman" w:hAnsi="Times New Roman"/>
          <w:i/>
          <w:sz w:val="24"/>
        </w:rPr>
      </w:pPr>
      <w:r>
        <w:rPr>
          <w:rFonts w:ascii="Times New Roman" w:hAnsi="Times New Roman"/>
          <w:i/>
          <w:sz w:val="24"/>
        </w:rPr>
        <w:t xml:space="preserve">Taxation </w:t>
      </w:r>
    </w:p>
    <w:p>
      <w:pPr>
        <w:pStyle w:val="TextBody"/>
        <w:spacing w:before="120" w:after="0"/>
        <w:jc w:val="left"/>
        <w:rPr>
          <w:rFonts w:ascii="Times New Roman" w:hAnsi="Times New Roman"/>
          <w:sz w:val="24"/>
        </w:rPr>
      </w:pPr>
      <w:r>
        <w:rPr>
          <w:rFonts w:ascii="Times New Roman" w:hAnsi="Times New Roman"/>
          <w:sz w:val="24"/>
        </w:rPr>
        <w:t xml:space="preserve">The income tax benefit for 2022 was £1.9 million. The income tax benefit represents eligible cash rebates paid or receivable from the tax authorities in the jurisdictions within which we operate for eligible types of research and development activities and associated expenditure (the “R&amp;D tax credit”) and and income taxes paid in the prior year for which a carryback claim has been made to offset against taxable income in the prior year.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income tax charge for 2021 was £1.5 million. The income tax charge arises primarily from a £40.0 million unrealized gain resulting from changes in the fair value of warrant instruments. </w:t>
      </w:r>
    </w:p>
    <w:p>
      <w:pPr>
        <w:pStyle w:val="TextBody"/>
        <w:spacing w:before="360" w:after="0"/>
        <w:jc w:val="left"/>
        <w:rPr>
          <w:rFonts w:ascii="Times New Roman" w:hAnsi="Times New Roman"/>
          <w:i/>
          <w:sz w:val="24"/>
        </w:rPr>
      </w:pPr>
      <w:r>
        <w:rPr>
          <w:rFonts w:ascii="Times New Roman" w:hAnsi="Times New Roman"/>
          <w:i/>
          <w:sz w:val="24"/>
        </w:rPr>
        <w:t xml:space="preserve">Currency translation of foreign operations </w:t>
      </w:r>
    </w:p>
    <w:p>
      <w:pPr>
        <w:pStyle w:val="TextBody"/>
        <w:spacing w:before="120" w:after="0"/>
        <w:jc w:val="left"/>
        <w:rPr>
          <w:rFonts w:ascii="Times New Roman" w:hAnsi="Times New Roman"/>
          <w:sz w:val="24"/>
        </w:rPr>
      </w:pPr>
      <w:r>
        <w:rPr>
          <w:rFonts w:ascii="Times New Roman" w:hAnsi="Times New Roman"/>
          <w:sz w:val="24"/>
        </w:rPr>
        <w:t xml:space="preserve">The currency translation of foreign operations for the year ended December 31, 2022 was £1.8 million compared to £0.2 million for the year ended December 31, 2021. The £1.6 million change is primarily related to the devaluation of the pound sterling to the U.S. dollar in the 2022 compared to 2021. </w:t>
      </w:r>
    </w:p>
    <w:p>
      <w:pPr>
        <w:pStyle w:val="TextBody"/>
        <w:spacing w:before="360" w:after="0"/>
        <w:jc w:val="left"/>
        <w:rPr>
          <w:rFonts w:ascii="Times New Roman" w:hAnsi="Times New Roman"/>
          <w:b/>
          <w:i/>
          <w:sz w:val="24"/>
        </w:rPr>
      </w:pPr>
      <w:r>
        <w:rPr>
          <w:rFonts w:ascii="Times New Roman" w:hAnsi="Times New Roman"/>
          <w:b/>
          <w:i/>
          <w:sz w:val="24"/>
        </w:rPr>
        <w:t xml:space="preserve">Comparison of the Years Ended December 31, 2021 and 2020 </w:t>
      </w:r>
    </w:p>
    <w:p>
      <w:pPr>
        <w:pStyle w:val="TextBody"/>
        <w:spacing w:before="120" w:after="0"/>
        <w:jc w:val="left"/>
        <w:rPr>
          <w:rFonts w:ascii="Times New Roman" w:hAnsi="Times New Roman"/>
          <w:sz w:val="24"/>
        </w:rPr>
      </w:pPr>
      <w:r>
        <w:rPr>
          <w:rFonts w:ascii="Times New Roman" w:hAnsi="Times New Roman"/>
          <w:sz w:val="24"/>
        </w:rPr>
        <w:t xml:space="preserve">For information relating to the comparison of the years ended December 31, 2021 and 2020, see “Item 5. Operating and Financial Review and Prospects” in our annual report on Form 20-F for the fiscal year ended December 31, 2021 filed with the SEC on March 31, 2022. </w:t>
      </w:r>
    </w:p>
    <w:p>
      <w:pPr>
        <w:pStyle w:val="TextBody"/>
        <w:spacing w:before="360" w:after="0"/>
        <w:jc w:val="left"/>
        <w:rPr>
          <w:rFonts w:ascii="Times New Roman" w:hAnsi="Times New Roman"/>
          <w:b/>
          <w:sz w:val="24"/>
        </w:rPr>
      </w:pPr>
      <w:r>
        <w:rPr>
          <w:rFonts w:ascii="Times New Roman" w:hAnsi="Times New Roman"/>
          <w:b/>
          <w:sz w:val="24"/>
        </w:rPr>
        <w:t xml:space="preserve">5.B. Liquidity and Capital Resources </w:t>
      </w:r>
    </w:p>
    <w:p>
      <w:pPr>
        <w:pStyle w:val="TextBody"/>
        <w:spacing w:before="120" w:after="0"/>
        <w:jc w:val="left"/>
        <w:rPr>
          <w:rFonts w:ascii="Times New Roman" w:hAnsi="Times New Roman"/>
          <w:b/>
          <w:i/>
          <w:sz w:val="24"/>
        </w:rPr>
      </w:pPr>
      <w:r>
        <w:rPr>
          <w:rFonts w:ascii="Times New Roman" w:hAnsi="Times New Roman"/>
          <w:b/>
          <w:i/>
          <w:sz w:val="24"/>
        </w:rPr>
        <w:t xml:space="preserve">Overview </w:t>
      </w:r>
    </w:p>
    <w:p>
      <w:pPr>
        <w:pStyle w:val="TextBody"/>
        <w:spacing w:before="120" w:after="0"/>
        <w:jc w:val="left"/>
        <w:rPr>
          <w:rFonts w:ascii="Times New Roman" w:hAnsi="Times New Roman"/>
          <w:sz w:val="24"/>
        </w:rPr>
      </w:pPr>
      <w:r>
        <w:rPr>
          <w:rFonts w:ascii="Times New Roman" w:hAnsi="Times New Roman"/>
          <w:sz w:val="24"/>
        </w:rPr>
        <w:t xml:space="preserve">Under the current business plan and cash flow forecasts, and in consideration of our ongoing research and development efforts and our general corporate funding requirements, we anticipate that our current on-hand cash resources will extend into 2026.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 </w:t>
      </w:r>
    </w:p>
    <w:p>
      <w:pPr>
        <w:pStyle w:val="TextBody"/>
        <w:spacing w:before="240" w:after="0"/>
        <w:jc w:val="left"/>
        <w:rPr>
          <w:rFonts w:ascii="Times New Roman" w:hAnsi="Times New Roman"/>
          <w:sz w:val="24"/>
        </w:rPr>
      </w:pPr>
      <w:r>
        <w:rPr>
          <w:rFonts w:ascii="Times New Roman" w:hAnsi="Times New Roman"/>
          <w:sz w:val="24"/>
        </w:rPr>
        <w:t xml:space="preserve">We do not currently have any approved product candidates and as a result, have not generated any revenue from product sales. As a result, to date, we have financed our operations primarily through the issuances of our equity securities, convertible debt and warrants. Through these offerings, we raised $183 million (£137.9 million) We also received an upfront payment of $50 million under the license and collaboration agreement with Ultragenyx for setrusumab in 2021. </w:t>
      </w:r>
    </w:p>
    <w:p>
      <w:pPr>
        <w:pStyle w:val="TextBody"/>
        <w:spacing w:before="360" w:after="0"/>
        <w:jc w:val="left"/>
        <w:rPr>
          <w:rFonts w:ascii="Times New Roman" w:hAnsi="Times New Roman"/>
          <w:b/>
          <w:i/>
          <w:sz w:val="24"/>
        </w:rPr>
      </w:pPr>
      <w:r>
        <w:rPr>
          <w:rFonts w:ascii="Times New Roman" w:hAnsi="Times New Roman"/>
          <w:b/>
          <w:i/>
          <w:sz w:val="24"/>
        </w:rPr>
        <w:t xml:space="preserve">Contractual Obligations </w:t>
      </w:r>
    </w:p>
    <w:p>
      <w:pPr>
        <w:pStyle w:val="TextBody"/>
        <w:spacing w:before="120" w:after="0"/>
        <w:jc w:val="left"/>
        <w:rPr>
          <w:rFonts w:ascii="Times New Roman" w:hAnsi="Times New Roman"/>
          <w:sz w:val="24"/>
        </w:rPr>
      </w:pPr>
      <w:r>
        <w:rPr>
          <w:rFonts w:ascii="Times New Roman" w:hAnsi="Times New Roman"/>
          <w:sz w:val="24"/>
        </w:rPr>
        <w:t xml:space="preserve">As further described above under “—A. Operating Results—Asset Purchase Agreements with Novartis” and “—A. Operating Results—License Agreement with AstraZeneca,” under various agreements with Novartis and AstraZeneca, Mereo has agreed to make milestone payments and pay royalties. The amount, timing, and likelihood of such payments are not known and will remain uncertain for the foreseeable future. </w:t>
      </w:r>
    </w:p>
    <w:p>
      <w:pPr>
        <w:pStyle w:val="TextBody"/>
        <w:spacing w:before="240" w:after="0"/>
        <w:jc w:val="left"/>
        <w:rPr>
          <w:rFonts w:ascii="Times New Roman" w:hAnsi="Times New Roman"/>
          <w:sz w:val="24"/>
        </w:rPr>
      </w:pPr>
      <w:r>
        <w:rPr>
          <w:rFonts w:ascii="Times New Roman" w:hAnsi="Times New Roman"/>
          <w:sz w:val="24"/>
        </w:rPr>
        <w:t xml:space="preserve">In addition, Mereo enters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£0.9 million as of December 31, 2022. </w:t>
      </w:r>
    </w:p>
    <w:p>
      <w:pPr>
        <w:pStyle w:val="TextBody"/>
        <w:spacing w:before="360" w:after="0"/>
        <w:jc w:val="left"/>
        <w:rPr>
          <w:rFonts w:ascii="Times New Roman" w:hAnsi="Times New Roman"/>
          <w:b/>
          <w:i/>
          <w:sz w:val="24"/>
        </w:rPr>
      </w:pPr>
      <w:r>
        <w:rPr>
          <w:rFonts w:ascii="Times New Roman" w:hAnsi="Times New Roman"/>
          <w:b/>
          <w:i/>
          <w:sz w:val="24"/>
        </w:rPr>
        <w:t xml:space="preserve">Cash Flows </w:t>
      </w:r>
    </w:p>
    <w:p>
      <w:pPr>
        <w:pStyle w:val="TextBody"/>
        <w:spacing w:before="120" w:after="0"/>
        <w:jc w:val="left"/>
        <w:rPr>
          <w:rFonts w:ascii="Times New Roman" w:hAnsi="Times New Roman"/>
          <w:b/>
          <w:i/>
          <w:sz w:val="24"/>
        </w:rPr>
      </w:pPr>
      <w:r>
        <w:rPr>
          <w:rFonts w:ascii="Times New Roman" w:hAnsi="Times New Roman"/>
          <w:b/>
          <w:i/>
          <w:sz w:val="24"/>
        </w:rPr>
        <w:t xml:space="preserve">Comparison of Years Ended December 31, 2022 and 2021 </w:t>
      </w:r>
    </w:p>
    <w:p>
      <w:pPr>
        <w:pStyle w:val="TextBody"/>
        <w:spacing w:before="120" w:after="0"/>
        <w:jc w:val="left"/>
        <w:rPr>
          <w:rFonts w:ascii="Times New Roman" w:hAnsi="Times New Roman"/>
          <w:sz w:val="24"/>
        </w:rPr>
      </w:pPr>
      <w:r>
        <w:rPr>
          <w:rFonts w:ascii="Times New Roman" w:hAnsi="Times New Roman"/>
          <w:sz w:val="24"/>
        </w:rPr>
        <w:t xml:space="preserve">The table below summarizes our cash flows (used in) from operating, investing and financing activities for the years ended December 31, 2022 and 2021. Year Ended December 31, </w:t>
      </w:r>
    </w:p>
    <w:p>
      <w:pPr>
        <w:pStyle w:val="TextBody"/>
        <w:spacing w:before="0" w:after="0"/>
        <w:jc w:val="left"/>
        <w:rPr/>
      </w:pPr>
      <w:r>
        <w:rPr/>
        <w:t> </w:t>
      </w:r>
    </w:p>
    <w:tbl>
      <w:tblPr>
        <w:tblW w:w="7961" w:type="dxa"/>
        <w:jc w:val="left"/>
        <w:tblInd w:w="0" w:type="dxa"/>
        <w:tblCellMar>
          <w:top w:w="0" w:type="dxa"/>
          <w:left w:w="0" w:type="dxa"/>
          <w:bottom w:w="0" w:type="dxa"/>
          <w:right w:w="0" w:type="dxa"/>
        </w:tblCellMar>
      </w:tblPr>
      <w:tblGrid>
        <w:gridCol w:w="4955"/>
        <w:gridCol w:w="120"/>
        <w:gridCol w:w="88"/>
        <w:gridCol w:w="1121"/>
        <w:gridCol w:w="230"/>
        <w:gridCol w:w="177"/>
        <w:gridCol w:w="88"/>
        <w:gridCol w:w="1012"/>
        <w:gridCol w:w="170"/>
      </w:tblGrid>
      <w:tr>
        <w:trPr/>
        <w:tc>
          <w:tcPr>
            <w:tcW w:w="4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6"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70" w:type="dxa"/>
            <w:tcBorders/>
            <w:shd w:fill="auto"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9" w:type="dxa"/>
            <w:gridSpan w:val="2"/>
            <w:tcBorders/>
            <w:shd w:fill="auto" w:val="clear"/>
            <w:vAlign w:val="center"/>
          </w:tcPr>
          <w:p>
            <w:pPr>
              <w:pStyle w:val="TableContents"/>
              <w:spacing w:before="0" w:after="283"/>
              <w:jc w:val="center"/>
              <w:rPr>
                <w:b/>
              </w:rPr>
            </w:pPr>
            <w:r>
              <w:rPr>
                <w:b/>
              </w:rPr>
              <w:t>£’000s</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b/>
              </w:rPr>
            </w:pPr>
            <w:r>
              <w:rPr>
                <w:b/>
              </w:rPr>
              <w:t>£’000s</w:t>
            </w:r>
          </w:p>
        </w:tc>
        <w:tc>
          <w:tcPr>
            <w:tcW w:w="170" w:type="dxa"/>
            <w:tcBorders/>
            <w:shd w:fill="auto" w:val="clear"/>
            <w:vAlign w:val="center"/>
          </w:tcPr>
          <w:p>
            <w:pPr>
              <w:pStyle w:val="TableContents"/>
              <w:spacing w:before="0" w:after="283"/>
              <w:rPr/>
            </w:pPr>
            <w:r>
              <w:rPr/>
              <w:t> </w:t>
            </w:r>
          </w:p>
        </w:tc>
      </w:tr>
      <w:tr>
        <w:trPr/>
        <w:tc>
          <w:tcPr>
            <w:tcW w:w="4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Net cash used in operating activities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(38,820</w:t>
            </w:r>
          </w:p>
        </w:tc>
        <w:tc>
          <w:tcPr>
            <w:tcW w:w="23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(5,239</w:t>
            </w:r>
          </w:p>
        </w:tc>
        <w:tc>
          <w:tcPr>
            <w:tcW w:w="170" w:type="dxa"/>
            <w:tcBorders/>
            <w:shd w:fill="CCEEFF"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cash from/(used) in investing activities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1,497</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(421</w:t>
            </w:r>
          </w:p>
        </w:tc>
        <w:tc>
          <w:tcPr>
            <w:tcW w:w="170" w:type="dxa"/>
            <w:tcBorders/>
            <w:shd w:fill="auto" w:val="clear"/>
            <w:vAlign w:val="center"/>
          </w:tcPr>
          <w:p>
            <w:pPr>
              <w:pStyle w:val="TableContents"/>
              <w:spacing w:before="0" w:after="283"/>
              <w:rPr/>
            </w:pPr>
            <w:r>
              <w:rPr/>
              <w:t>) </w:t>
            </w:r>
          </w:p>
        </w:tc>
      </w:tr>
      <w:tr>
        <w:trPr/>
        <w:tc>
          <w:tcPr>
            <w:tcW w:w="4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Net cash (used in)/from financing activities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(784</w:t>
            </w:r>
          </w:p>
        </w:tc>
        <w:tc>
          <w:tcPr>
            <w:tcW w:w="23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77,652</w:t>
            </w:r>
          </w:p>
        </w:tc>
        <w:tc>
          <w:tcPr>
            <w:tcW w:w="170" w:type="dxa"/>
            <w:tcBorders/>
            <w:shd w:fill="CCEEFF"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pBdr>
                <w:top w:val="single" w:sz="2" w:space="1" w:color="000000"/>
              </w:pBdr>
              <w:spacing w:before="0" w:after="0"/>
              <w:rPr/>
            </w:pPr>
            <w:r>
              <w:rPr/>
              <w:t> </w:t>
            </w:r>
          </w:p>
        </w:tc>
        <w:tc>
          <w:tcPr>
            <w:tcW w:w="1121" w:type="dxa"/>
            <w:tcBorders/>
            <w:shd w:fill="auto" w:val="clear"/>
            <w:vAlign w:val="center"/>
          </w:tcPr>
          <w:p>
            <w:pPr>
              <w:pStyle w:val="TableContents"/>
              <w:pBdr>
                <w:top w:val="single" w:sz="2" w:space="1" w:color="000000"/>
              </w:pBdr>
              <w:spacing w:before="0" w:after="0"/>
              <w:rPr/>
            </w:pPr>
            <w:r>
              <w:rPr/>
              <w:t> </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(decrease)/increase in cash and cash equivalents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(38,107</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71,992</w:t>
            </w:r>
          </w:p>
        </w:tc>
        <w:tc>
          <w:tcPr>
            <w:tcW w:w="170" w:type="dxa"/>
            <w:tcBorders/>
            <w:shd w:fill="auto" w:val="clear"/>
            <w:vAlign w:val="center"/>
          </w:tcPr>
          <w:p>
            <w:pPr>
              <w:pStyle w:val="TableContents"/>
              <w:spacing w:before="0" w:after="283"/>
              <w:rPr/>
            </w:pPr>
            <w:r>
              <w:rPr/>
              <w:t> </w:t>
            </w:r>
          </w:p>
        </w:tc>
      </w:tr>
      <w:tr>
        <w:trPr/>
        <w:tc>
          <w:tcPr>
            <w:tcW w:w="4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pBdr>
                <w:top w:val="single" w:sz="2" w:space="1" w:color="000000"/>
              </w:pBdr>
              <w:spacing w:before="0" w:after="0"/>
              <w:rPr/>
            </w:pPr>
            <w:r>
              <w:rPr/>
              <w:t> </w:t>
            </w:r>
          </w:p>
        </w:tc>
        <w:tc>
          <w:tcPr>
            <w:tcW w:w="1121" w:type="dxa"/>
            <w:tcBorders/>
            <w:shd w:fill="auto" w:val="clear"/>
            <w:vAlign w:val="center"/>
          </w:tcPr>
          <w:p>
            <w:pPr>
              <w:pStyle w:val="TableContents"/>
              <w:pBdr>
                <w:top w:val="single" w:sz="2" w:space="1" w:color="000000"/>
              </w:pBdr>
              <w:spacing w:before="0" w:after="0"/>
              <w:rPr/>
            </w:pPr>
            <w:r>
              <w:rPr/>
              <w:t> </w:t>
            </w:r>
          </w:p>
        </w:tc>
        <w:tc>
          <w:tcPr>
            <w:tcW w:w="23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4"/>
        </w:rPr>
      </w:pPr>
      <w:r>
        <w:rPr>
          <w:rFonts w:ascii="Times New Roman" w:hAnsi="Times New Roman"/>
          <w:i/>
          <w:sz w:val="24"/>
        </w:rPr>
        <w:t xml:space="preserve">Operating Activities </w:t>
      </w:r>
    </w:p>
    <w:p>
      <w:pPr>
        <w:pStyle w:val="TextBody"/>
        <w:spacing w:before="120" w:after="0"/>
        <w:jc w:val="left"/>
        <w:rPr>
          <w:rFonts w:ascii="Times New Roman" w:hAnsi="Times New Roman"/>
          <w:sz w:val="24"/>
        </w:rPr>
      </w:pPr>
      <w:r>
        <w:rPr>
          <w:rFonts w:ascii="Times New Roman" w:hAnsi="Times New Roman"/>
          <w:sz w:val="24"/>
        </w:rPr>
        <w:t xml:space="preserve">Net cash used in operating activities for the year ended December 31, 2022 was £38.8 million, an increase of £33.6 million from £5.2 million in 2021. The increase was primarily driven by the receipt of upfront payments from Ultragenyx of £36.5 million, offset by associated payments to Novartis of £7.2 million in 2021. Further, in 2021, we received R&amp;D tax credits from the U.K. tax authorities of £2.8 million compared to a tax payment of £1.5 million in 2022. In 2021, these operating cash inflows primarily offset the operating expenditures of the Company, whereas in 2022, similar cash inflows did not occur.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Investing Activities </w:t>
      </w:r>
    </w:p>
    <w:p>
      <w:pPr>
        <w:pStyle w:val="TextBody"/>
        <w:spacing w:before="120" w:after="0"/>
        <w:jc w:val="left"/>
        <w:rPr>
          <w:rFonts w:ascii="Times New Roman" w:hAnsi="Times New Roman"/>
          <w:sz w:val="24"/>
        </w:rPr>
      </w:pPr>
      <w:r>
        <w:rPr>
          <w:rFonts w:ascii="Times New Roman" w:hAnsi="Times New Roman"/>
          <w:sz w:val="24"/>
        </w:rPr>
        <w:t xml:space="preserve">Net cash from investing activities for the year ended December 31, 2022 was £1.5 million, an increase from a cash outflow of £0.4 million in 2021. The increase was primarily driven by interest earned on short term deposits of £0.7 million and milestone receipt of £1.5 million from OncXerna following the global licensing arrangement for navicixizumab, offset by payments to CVR holders of £0.7 million. </w:t>
      </w:r>
    </w:p>
    <w:p>
      <w:pPr>
        <w:pStyle w:val="TextBody"/>
        <w:spacing w:before="360" w:after="0"/>
        <w:jc w:val="left"/>
        <w:rPr>
          <w:rFonts w:ascii="Times New Roman" w:hAnsi="Times New Roman"/>
          <w:i/>
          <w:sz w:val="24"/>
        </w:rPr>
      </w:pPr>
      <w:r>
        <w:rPr>
          <w:rFonts w:ascii="Times New Roman" w:hAnsi="Times New Roman"/>
          <w:i/>
          <w:sz w:val="24"/>
        </w:rPr>
        <w:t xml:space="preserve">Financing Activities </w:t>
      </w:r>
    </w:p>
    <w:p>
      <w:pPr>
        <w:pStyle w:val="TextBody"/>
        <w:spacing w:before="120" w:after="0"/>
        <w:jc w:val="left"/>
        <w:rPr>
          <w:rFonts w:ascii="Times New Roman" w:hAnsi="Times New Roman"/>
          <w:sz w:val="24"/>
        </w:rPr>
      </w:pPr>
      <w:r>
        <w:rPr>
          <w:rFonts w:ascii="Times New Roman" w:hAnsi="Times New Roman"/>
          <w:sz w:val="24"/>
        </w:rPr>
        <w:t xml:space="preserve">Net cash used in financing activities for the year ended December 31, 2022 was £0.8 million, a decrease of £78.4 million, compared to cash inflow of £77.7 million in 2021. The decrease is primarily attributable to £78.4 million net proceeds from the Public Offering in February 2021. </w:t>
      </w:r>
    </w:p>
    <w:p>
      <w:pPr>
        <w:pStyle w:val="TextBody"/>
        <w:spacing w:before="360" w:after="0"/>
        <w:jc w:val="left"/>
        <w:rPr>
          <w:rFonts w:ascii="Times New Roman" w:hAnsi="Times New Roman"/>
          <w:b/>
          <w:i/>
          <w:sz w:val="24"/>
        </w:rPr>
      </w:pPr>
      <w:r>
        <w:rPr>
          <w:rFonts w:ascii="Times New Roman" w:hAnsi="Times New Roman"/>
          <w:b/>
          <w:i/>
          <w:sz w:val="24"/>
        </w:rPr>
        <w:t xml:space="preserve">Comparison of the Years Ended December 31, 2021 and 2020 </w:t>
      </w:r>
    </w:p>
    <w:p>
      <w:pPr>
        <w:pStyle w:val="TextBody"/>
        <w:spacing w:before="120" w:after="0"/>
        <w:jc w:val="left"/>
        <w:rPr>
          <w:rFonts w:ascii="Times New Roman" w:hAnsi="Times New Roman"/>
          <w:sz w:val="24"/>
        </w:rPr>
      </w:pPr>
      <w:r>
        <w:rPr>
          <w:rFonts w:ascii="Times New Roman" w:hAnsi="Times New Roman"/>
          <w:sz w:val="24"/>
        </w:rPr>
        <w:t xml:space="preserve">For information relating to the comparison of the years ended December 31, 2021 and 2020, see “Item 5. Operating and Financial Review and Prospects” in our annual report on Form 20-F for the fiscal year ended December 31, 2021 filed with the SEC on March 31, 2022. </w:t>
      </w:r>
    </w:p>
    <w:p>
      <w:pPr>
        <w:pStyle w:val="TextBody"/>
        <w:spacing w:before="360" w:after="0"/>
        <w:jc w:val="left"/>
        <w:rPr>
          <w:rFonts w:ascii="Times New Roman" w:hAnsi="Times New Roman"/>
          <w:b/>
          <w:i/>
          <w:sz w:val="24"/>
        </w:rPr>
      </w:pPr>
      <w:r>
        <w:rPr>
          <w:rFonts w:ascii="Times New Roman" w:hAnsi="Times New Roman"/>
          <w:b/>
          <w:i/>
          <w:sz w:val="24"/>
        </w:rPr>
        <w:t xml:space="preserve">Operating and Capital Expenditure Requirements </w:t>
      </w:r>
    </w:p>
    <w:p>
      <w:pPr>
        <w:pStyle w:val="TextBody"/>
        <w:spacing w:before="120" w:after="0"/>
        <w:jc w:val="left"/>
        <w:rPr>
          <w:rFonts w:ascii="Times New Roman" w:hAnsi="Times New Roman"/>
          <w:sz w:val="24"/>
        </w:rPr>
      </w:pPr>
      <w:r>
        <w:rPr>
          <w:rFonts w:ascii="Times New Roman" w:hAnsi="Times New Roman"/>
          <w:sz w:val="24"/>
        </w:rPr>
        <w:t xml:space="preserve">As of December 31, 2022, we had an accumulated loss of £331.2 million. We expect to continue to report significant operating losses for the foreseeable future as we continue our research and development efforts and seek to obtain regulatory approval of our product candidates and any future product we develop. See also “Risk Factors—Risks Related to Our Business and Industry—If we do not obtain adequate and timely funding, we may not be able to continue as a going concern”. </w:t>
      </w:r>
    </w:p>
    <w:p>
      <w:pPr>
        <w:pStyle w:val="TextBody"/>
        <w:spacing w:before="240" w:after="0"/>
        <w:jc w:val="left"/>
        <w:rPr>
          <w:rFonts w:ascii="Times New Roman" w:hAnsi="Times New Roman"/>
          <w:sz w:val="24"/>
        </w:rPr>
      </w:pPr>
      <w:r>
        <w:rPr>
          <w:rFonts w:ascii="Times New Roman" w:hAnsi="Times New Roman"/>
          <w:sz w:val="24"/>
        </w:rPr>
        <w:t xml:space="preserve">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w:t>
      </w:r>
    </w:p>
    <w:p>
      <w:pPr>
        <w:pStyle w:val="TextBody"/>
        <w:spacing w:before="240" w:after="0"/>
        <w:jc w:val="left"/>
        <w:rPr>
          <w:rFonts w:ascii="Times New Roman" w:hAnsi="Times New Roman"/>
          <w:sz w:val="24"/>
        </w:rPr>
      </w:pPr>
      <w:r>
        <w:rPr>
          <w:rFonts w:ascii="Times New Roman" w:hAnsi="Times New Roman"/>
          <w:sz w:val="24"/>
        </w:rPr>
        <w:t xml:space="preserve">These costs will increase further if we: </w:t>
      </w:r>
    </w:p>
    <w:p>
      <w:pPr>
        <w:pStyle w:val="TextBody"/>
        <w:spacing w:before="0" w:after="0"/>
        <w:jc w:val="left"/>
        <w:rPr/>
      </w:pPr>
      <w:r>
        <w:rPr/>
        <w:t> </w:t>
      </w:r>
    </w:p>
    <w:tbl>
      <w:tblPr>
        <w:tblW w:w="4690" w:type="dxa"/>
        <w:jc w:val="left"/>
        <w:tblInd w:w="0" w:type="dxa"/>
        <w:tblCellMar>
          <w:top w:w="0" w:type="dxa"/>
          <w:left w:w="0" w:type="dxa"/>
          <w:bottom w:w="0" w:type="dxa"/>
          <w:right w:w="0" w:type="dxa"/>
        </w:tblCellMar>
      </w:tblPr>
      <w:tblGrid>
        <w:gridCol w:w="75"/>
        <w:gridCol w:w="110"/>
        <w:gridCol w:w="60"/>
        <w:gridCol w:w="4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seek to develop additional product candidates; </w:t>
            </w:r>
          </w:p>
        </w:tc>
      </w:tr>
    </w:tbl>
    <w:p>
      <w:pPr>
        <w:pStyle w:val="TextBody"/>
        <w:spacing w:before="0" w:after="0"/>
        <w:jc w:val="left"/>
        <w:rPr/>
      </w:pPr>
      <w:r>
        <w:rPr/>
        <w:t> </w:t>
      </w:r>
    </w:p>
    <w:tbl>
      <w:tblPr>
        <w:tblW w:w="9865" w:type="dxa"/>
        <w:jc w:val="left"/>
        <w:tblInd w:w="0" w:type="dxa"/>
        <w:tblCellMar>
          <w:top w:w="0" w:type="dxa"/>
          <w:left w:w="0" w:type="dxa"/>
          <w:bottom w:w="0" w:type="dxa"/>
          <w:right w:w="0" w:type="dxa"/>
        </w:tblCellMar>
      </w:tblPr>
      <w:tblGrid>
        <w:gridCol w:w="75"/>
        <w:gridCol w:w="110"/>
        <w:gridCol w:w="60"/>
        <w:gridCol w:w="9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seek regulatory approvals for any of our product candidates that successfully completes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potentially establish a sales, marketing, and distribution infrastructure and scale-up manufacturing capabilities to commercialize or co-commercialize any product candidates for which we may obtain regulatory approval and chose to commercialize directly; </w:t>
            </w:r>
          </w:p>
        </w:tc>
      </w:tr>
    </w:tbl>
    <w:p>
      <w:pPr>
        <w:pStyle w:val="TextBody"/>
        <w:spacing w:before="0" w:after="0"/>
        <w:jc w:val="left"/>
        <w:rPr/>
      </w:pPr>
      <w:r>
        <w:rPr/>
        <w:t> </w:t>
      </w:r>
    </w:p>
    <w:tbl>
      <w:tblPr>
        <w:tblW w:w="4270" w:type="dxa"/>
        <w:jc w:val="left"/>
        <w:tblInd w:w="0" w:type="dxa"/>
        <w:tblCellMar>
          <w:top w:w="0" w:type="dxa"/>
          <w:left w:w="0" w:type="dxa"/>
          <w:bottom w:w="0" w:type="dxa"/>
          <w:right w:w="0" w:type="dxa"/>
        </w:tblCellMar>
      </w:tblPr>
      <w:tblGrid>
        <w:gridCol w:w="75"/>
        <w:gridCol w:w="110"/>
        <w:gridCol w:w="60"/>
        <w:gridCol w:w="4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expand our intellectual property portfolio;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add further clinical, scientific, operational, financial, legal and management information systems, and personnel, including personnel to support our development and to support our operations as a U.S. public company listed on Nasdaq; </w:t>
            </w:r>
          </w:p>
        </w:tc>
      </w:tr>
    </w:tbl>
    <w:p>
      <w:pPr>
        <w:pStyle w:val="TextBody"/>
        <w:spacing w:before="0" w:after="0"/>
        <w:jc w:val="left"/>
        <w:rPr/>
      </w:pPr>
      <w:r>
        <w:rPr/>
        <w:t> </w:t>
      </w:r>
    </w:p>
    <w:tbl>
      <w:tblPr>
        <w:tblW w:w="5230" w:type="dxa"/>
        <w:jc w:val="left"/>
        <w:tblInd w:w="0" w:type="dxa"/>
        <w:tblCellMar>
          <w:top w:w="0" w:type="dxa"/>
          <w:left w:w="0" w:type="dxa"/>
          <w:bottom w:w="0" w:type="dxa"/>
          <w:right w:w="0" w:type="dxa"/>
        </w:tblCellMar>
      </w:tblPr>
      <w:tblGrid>
        <w:gridCol w:w="75"/>
        <w:gridCol w:w="110"/>
        <w:gridCol w:w="60"/>
        <w:gridCol w:w="4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lose our foreign private issuer status in the future;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experience any delays or encounter any issues from any of the above, including but not limited to failed studies, complex results, safety issues, or other regulatory challenges. </w:t>
            </w:r>
          </w:p>
        </w:tc>
      </w:tr>
    </w:tbl>
    <w:p>
      <w:pPr>
        <w:pStyle w:val="TextBody"/>
        <w:spacing w:before="240" w:after="0"/>
        <w:jc w:val="left"/>
        <w:rPr>
          <w:rFonts w:ascii="Times New Roman" w:hAnsi="Times New Roman"/>
          <w:sz w:val="24"/>
        </w:rPr>
      </w:pPr>
      <w:r>
        <w:rPr>
          <w:rFonts w:ascii="Times New Roman" w:hAnsi="Times New Roman"/>
          <w:sz w:val="24"/>
        </w:rPr>
        <w:t xml:space="preserve">We expect that our existing cash and short-term deposits will enable us to fund our currently committed clinical trials, operating expenses and capital expenditure requirements into 2026.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for our activities related to our ongoing collaboration with Ultragenyx for setrusumab for the treatment of adults and children with OI; and potential future clinical trials for alvelestat in AATD and other potential indications;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75"/>
        <w:gridCol w:w="110"/>
        <w:gridCol w:w="60"/>
        <w:gridCol w:w="7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3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and timing of manufacturing clinical supplies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timing, and outcome of regulatory review of our product candidates, including post-marketing studies that could be required by regulatory authorities;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timing, and outcome of potential future commercialization activities, including manufacturing, marketing, sales, life cycle management and distribution, for our product candidates that we commercialize directly;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75"/>
        <w:gridCol w:w="110"/>
        <w:gridCol w:w="60"/>
        <w:gridCol w:w="9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timing and amount of revenue, if any, received from commercial sales of our product candidates;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sales price and availability of adequate third-party coverage and reimbursement for our product candidates;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effect of competitors and market developments;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performance of our collaborators and partners under the existing agreements on setrusumab and navicixizumab;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extent to which we are able to acquire new product candidates or enter into licensing or collaboration arrangements for our product candidates, although we currently have no commitments or agreements to complete any such transactions; </w:t>
            </w:r>
          </w:p>
        </w:tc>
      </w:tr>
    </w:tbl>
    <w:p>
      <w:pPr>
        <w:pStyle w:val="TextBody"/>
        <w:spacing w:before="0" w:after="0"/>
        <w:jc w:val="left"/>
        <w:rPr/>
      </w:pPr>
      <w:r>
        <w:rPr/>
        <w:t> </w:t>
      </w:r>
    </w:p>
    <w:tbl>
      <w:tblPr>
        <w:tblW w:w="9895" w:type="dxa"/>
        <w:jc w:val="left"/>
        <w:tblInd w:w="0" w:type="dxa"/>
        <w:tblCellMar>
          <w:top w:w="0" w:type="dxa"/>
          <w:left w:w="0" w:type="dxa"/>
          <w:bottom w:w="0" w:type="dxa"/>
          <w:right w:w="0" w:type="dxa"/>
        </w:tblCellMar>
      </w:tblPr>
      <w:tblGrid>
        <w:gridCol w:w="75"/>
        <w:gridCol w:w="110"/>
        <w:gridCol w:w="60"/>
        <w:gridCol w:w="9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milestone and deferred payments under Mereo’s license and option agreement with AstraZeneca; and </w:t>
            </w:r>
          </w:p>
        </w:tc>
      </w:tr>
    </w:tbl>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tax liabilities or other assessments and our ability to claim R&amp;D tax credits or other reliefs. </w:t>
            </w:r>
          </w:p>
        </w:tc>
      </w:tr>
    </w:tbl>
    <w:p>
      <w:pPr>
        <w:pStyle w:val="TextBody"/>
        <w:spacing w:before="240" w:after="0"/>
        <w:jc w:val="left"/>
        <w:rPr>
          <w:rFonts w:ascii="Times New Roman" w:hAnsi="Times New Roman"/>
          <w:sz w:val="24"/>
        </w:rPr>
      </w:pPr>
      <w:r>
        <w:rPr>
          <w:rFonts w:ascii="Times New Roman" w:hAnsi="Times New Roman"/>
          <w:sz w:val="24"/>
        </w:rPr>
        <w:t xml:space="preserve">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 </w:t>
      </w:r>
    </w:p>
    <w:p>
      <w:pPr>
        <w:pStyle w:val="TextBody"/>
        <w:spacing w:before="240" w:after="0"/>
        <w:jc w:val="left"/>
        <w:rPr>
          <w:rFonts w:ascii="Times New Roman" w:hAnsi="Times New Roman"/>
          <w:sz w:val="24"/>
        </w:rPr>
      </w:pPr>
      <w:r>
        <w:rPr>
          <w:rFonts w:ascii="Times New Roman" w:hAnsi="Times New Roman"/>
          <w:sz w:val="24"/>
        </w:rPr>
        <w:t xml:space="preserve">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w:t>
      </w:r>
    </w:p>
    <w:p>
      <w:pPr>
        <w:pStyle w:val="TextBody"/>
        <w:spacing w:before="240" w:after="0"/>
        <w:jc w:val="left"/>
        <w:rPr>
          <w:rFonts w:ascii="Times New Roman" w:hAnsi="Times New Roman"/>
          <w:sz w:val="24"/>
        </w:rPr>
      </w:pPr>
      <w:r>
        <w:rPr>
          <w:rFonts w:ascii="Times New Roman" w:hAnsi="Times New Roman"/>
          <w:sz w:val="24"/>
        </w:rPr>
        <w:t xml:space="preserve">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 </w:t>
      </w:r>
    </w:p>
    <w:p>
      <w:pPr>
        <w:pStyle w:val="TextBody"/>
        <w:spacing w:before="240" w:after="0"/>
        <w:jc w:val="left"/>
        <w:rPr>
          <w:rFonts w:ascii="Times New Roman" w:hAnsi="Times New Roman"/>
          <w:sz w:val="24"/>
        </w:rPr>
      </w:pPr>
      <w:r>
        <w:rPr>
          <w:rFonts w:ascii="Times New Roman" w:hAnsi="Times New Roman"/>
          <w:sz w:val="24"/>
        </w:rPr>
        <w:t xml:space="preserve">To the extent that we raise additional capital through the sale of equity or convertible debt securities, your ownership interest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 </w:t>
      </w:r>
    </w:p>
    <w:p>
      <w:pPr>
        <w:pStyle w:val="TextBody"/>
        <w:spacing w:before="360" w:after="0"/>
        <w:jc w:val="left"/>
        <w:rPr>
          <w:rFonts w:ascii="Times New Roman" w:hAnsi="Times New Roman"/>
          <w:b/>
          <w:sz w:val="24"/>
        </w:rPr>
      </w:pPr>
      <w:r>
        <w:rPr>
          <w:rFonts w:ascii="Times New Roman" w:hAnsi="Times New Roman"/>
          <w:b/>
          <w:sz w:val="24"/>
        </w:rPr>
        <w:t xml:space="preserve">Indebtedness </w:t>
      </w:r>
    </w:p>
    <w:p>
      <w:pPr>
        <w:pStyle w:val="TextBody"/>
        <w:spacing w:before="120" w:after="0"/>
        <w:jc w:val="left"/>
        <w:rPr>
          <w:rFonts w:ascii="Times New Roman" w:hAnsi="Times New Roman"/>
          <w:b/>
          <w:i/>
          <w:sz w:val="24"/>
        </w:rPr>
      </w:pPr>
      <w:r>
        <w:rPr>
          <w:rFonts w:ascii="Times New Roman" w:hAnsi="Times New Roman"/>
          <w:b/>
          <w:i/>
          <w:sz w:val="24"/>
        </w:rPr>
        <w:t xml:space="preserve">Former Credit Facility </w:t>
      </w:r>
    </w:p>
    <w:p>
      <w:pPr>
        <w:pStyle w:val="TextBody"/>
        <w:spacing w:before="120" w:after="0"/>
        <w:jc w:val="left"/>
        <w:rPr>
          <w:rFonts w:ascii="Times New Roman" w:hAnsi="Times New Roman"/>
          <w:sz w:val="24"/>
        </w:rPr>
      </w:pPr>
      <w:r>
        <w:rPr>
          <w:rFonts w:ascii="Times New Roman" w:hAnsi="Times New Roman"/>
          <w:sz w:val="24"/>
        </w:rPr>
        <w:t xml:space="preserve">As of December 31, 2022, the former lenders, Silicon Valley Bank and Kreos Capital V (UK) Limited, have warrants outstanding to purchase a total of 1,243,908 ordinary shares at an exercise price of £2.95 per share and a total of 1,243,908 ordinary shares at an exercise price of $0.4144 per share.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June 2020 Private Placement </w:t>
      </w:r>
    </w:p>
    <w:p>
      <w:pPr>
        <w:pStyle w:val="TextBody"/>
        <w:spacing w:before="120" w:after="0"/>
        <w:jc w:val="left"/>
        <w:rPr>
          <w:rFonts w:ascii="Times New Roman" w:hAnsi="Times New Roman"/>
          <w:sz w:val="24"/>
        </w:rPr>
      </w:pPr>
      <w:r>
        <w:rPr>
          <w:rFonts w:ascii="Times New Roman" w:hAnsi="Times New Roman"/>
          <w:sz w:val="24"/>
        </w:rPr>
        <w:t xml:space="preserve">On June 3, 2020, we entered into a securities purchase agreement (the “June 2020 Purchase Agreement”) with a number of new and existing principally U.S based institutional and accredited investors (the “June 2020 Private Placement”) pursuant to which we received $70.0 million (£56.0 million) comprising: the allotment of ordinary shares at a subscription price of $19.4 million (£15.5 million) utilizing the pre-existing share authorities of the Company, and the subscription for Tranche 1 convertible loan notes (“Loan Notes”) in an aggregate principal amount of $50.6 million (£40.5 million). </w:t>
      </w:r>
    </w:p>
    <w:p>
      <w:pPr>
        <w:pStyle w:val="TextBody"/>
        <w:spacing w:before="240" w:after="0"/>
        <w:jc w:val="left"/>
        <w:rPr>
          <w:rFonts w:ascii="Times New Roman" w:hAnsi="Times New Roman"/>
          <w:sz w:val="24"/>
        </w:rPr>
      </w:pPr>
      <w:r>
        <w:rPr>
          <w:rFonts w:ascii="Times New Roman" w:hAnsi="Times New Roman"/>
          <w:sz w:val="24"/>
        </w:rPr>
        <w:t xml:space="preserve">Following the passing of resolutions at our General Meeting on June 30, 2020, the Loan Notes automatically converted into ordinary shares of £0.003 each in the capital of the Company except that no new ordinary shares were issued which would result in any person holding in excess of 9.99 percent. of the aggregate voting rights in the Company as a result of the relevant conversion. Accordingly, the automatic conversion resulted in Loan Notes in an aggregate principal amount of £21.8 million (together with accrued interest) converted into 125,061,475 ordinary shares on June 30, 2020. </w:t>
      </w:r>
    </w:p>
    <w:p>
      <w:pPr>
        <w:pStyle w:val="TextBody"/>
        <w:spacing w:before="240" w:after="0"/>
        <w:jc w:val="left"/>
        <w:rPr>
          <w:rFonts w:ascii="Times New Roman" w:hAnsi="Times New Roman"/>
          <w:sz w:val="24"/>
        </w:rPr>
      </w:pPr>
      <w:r>
        <w:rPr>
          <w:rFonts w:ascii="Times New Roman" w:hAnsi="Times New Roman"/>
          <w:sz w:val="24"/>
        </w:rPr>
        <w:t xml:space="preserve">As of December 31, 2022 Loan Notes in an aggregate principal amount of £6.2 million remained outstanding and convertible into ordinary shares or ADSs in accordance with their terms (2021: £12.4 million). </w:t>
      </w:r>
    </w:p>
    <w:p>
      <w:pPr>
        <w:pStyle w:val="TextBody"/>
        <w:spacing w:before="360" w:after="0"/>
        <w:jc w:val="left"/>
        <w:rPr>
          <w:rFonts w:ascii="Times New Roman" w:hAnsi="Times New Roman"/>
          <w:b/>
          <w:i/>
          <w:sz w:val="24"/>
        </w:rPr>
      </w:pPr>
      <w:r>
        <w:rPr>
          <w:rFonts w:ascii="Times New Roman" w:hAnsi="Times New Roman"/>
          <w:b/>
          <w:i/>
          <w:sz w:val="24"/>
        </w:rPr>
        <w:t xml:space="preserve">Novartis Notes </w:t>
      </w:r>
    </w:p>
    <w:p>
      <w:pPr>
        <w:pStyle w:val="TextBody"/>
        <w:spacing w:before="120" w:after="0"/>
        <w:jc w:val="left"/>
        <w:rPr>
          <w:rFonts w:ascii="Times New Roman" w:hAnsi="Times New Roman"/>
          <w:sz w:val="24"/>
        </w:rPr>
      </w:pPr>
      <w:r>
        <w:rPr>
          <w:rFonts w:ascii="Times New Roman" w:hAnsi="Times New Roman"/>
          <w:sz w:val="24"/>
        </w:rPr>
        <w:t xml:space="preserve">On February 10, 2020, we entered into a £3.8 million convertible loan note instrument relating to the issue of 3,841,479 Novartis Loan Note. The Novartis Loan Note is convertible at any time at a fixed price of £0.265 per ordinary share until February 10, 2023. In addition, on February 10, 2020, in connection with the Novartis Loan Note, we entered into a warrant instrument with Novartis to issue 1,449,614 ordinary shares at an exercise price of £0.265 per ordinary share. These warrants are exercisable until February 10, 2025. </w:t>
      </w:r>
    </w:p>
    <w:p>
      <w:pPr>
        <w:pStyle w:val="TextBody"/>
        <w:spacing w:before="240" w:after="0"/>
        <w:jc w:val="left"/>
        <w:rPr>
          <w:rFonts w:ascii="Times New Roman" w:hAnsi="Times New Roman"/>
          <w:sz w:val="24"/>
        </w:rPr>
      </w:pPr>
      <w:r>
        <w:rPr>
          <w:rFonts w:ascii="Times New Roman" w:hAnsi="Times New Roman"/>
          <w:sz w:val="24"/>
        </w:rPr>
        <w:t xml:space="preserve">On February 10, 2023, we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 </w:t>
      </w:r>
    </w:p>
    <w:p>
      <w:pPr>
        <w:pStyle w:val="TextBody"/>
        <w:spacing w:before="360" w:after="0"/>
        <w:jc w:val="left"/>
        <w:rPr>
          <w:rFonts w:ascii="Times New Roman" w:hAnsi="Times New Roman"/>
          <w:b/>
          <w:i/>
          <w:sz w:val="24"/>
        </w:rPr>
      </w:pPr>
      <w:r>
        <w:rPr>
          <w:rFonts w:ascii="Times New Roman" w:hAnsi="Times New Roman"/>
          <w:b/>
          <w:i/>
          <w:sz w:val="24"/>
        </w:rPr>
        <w:t xml:space="preserve">Contingent Value Rights (“CVR”) arrangement </w:t>
      </w:r>
    </w:p>
    <w:p>
      <w:pPr>
        <w:pStyle w:val="TextBody"/>
        <w:spacing w:before="120" w:after="0"/>
        <w:jc w:val="left"/>
        <w:rPr>
          <w:rFonts w:ascii="Times New Roman" w:hAnsi="Times New Roman"/>
          <w:sz w:val="24"/>
        </w:rPr>
      </w:pPr>
      <w:r>
        <w:rPr>
          <w:rFonts w:ascii="Times New Roman" w:hAnsi="Times New Roman"/>
          <w:sz w:val="24"/>
        </w:rPr>
        <w:t xml:space="preserve">As a consequence of the License Agreement with OncXerna, and in accordance with the terms and conditions of the Contingent Value Rights Agreement for former stockholders of Mereo BioPharma 5 (formerly OncoMed), dated April 23, 2019, by and among Mereo and Computershare Inc., as rights agent, (the “CVR Agreement”), holders of contingent value rights (“CVRs”) pursuant to the CVR Agreement will be entitled to receive certain eligible cash milestone payments made to Mereo under the License Agreement relating to Navi. The receipt of the upfront milestone payment of $4.0 million by us in January 2020 resulted in a payment to CVR holders of approximately 1.2 cents per CVR, a total of approximately $0.5 million (after deductions of costs, charges and expenditures). Future milestone payments occurring prior to the fifth anniversary of the closing of the Merger, April 23, 2024, are also subject to a cash consideration cap, pursuant to which the aggregate principal amount of all cash payments made to holders of CVRs under the CVR Agreement shall in no case exceed $79.7 million. </w:t>
      </w:r>
    </w:p>
    <w:p>
      <w:pPr>
        <w:pStyle w:val="TextBody"/>
        <w:spacing w:before="240" w:after="0"/>
        <w:jc w:val="left"/>
        <w:rPr>
          <w:rFonts w:ascii="Times New Roman" w:hAnsi="Times New Roman"/>
          <w:sz w:val="24"/>
        </w:rPr>
      </w:pPr>
      <w:r>
        <w:rPr>
          <w:rFonts w:ascii="Times New Roman" w:hAnsi="Times New Roman"/>
          <w:sz w:val="24"/>
        </w:rPr>
        <w:t xml:space="preserve">Mereo accounts for the CVR arrangement as contingent consideration at fair value. As at December 31, 2022, the fair value of the contingent consideration is estimated to be nil. The estimated contingent consideration payable is based on a risk- adjusted, probability-based scenario. Under this approach, the likelihood of future payments being made to the former shareholders of Mereo BioPharma 5 under the CVR arrangement is considered. The estimate could materially change over time in line with the development plan and subsequent commercialization of the Navi product, if approved. </w:t>
      </w:r>
    </w:p>
    <w:p>
      <w:pPr>
        <w:pStyle w:val="TextBody"/>
        <w:spacing w:before="360" w:after="0"/>
        <w:jc w:val="left"/>
        <w:rPr>
          <w:rFonts w:ascii="Times New Roman" w:hAnsi="Times New Roman"/>
          <w:b/>
          <w:sz w:val="24"/>
        </w:rPr>
      </w:pPr>
      <w:r>
        <w:rPr>
          <w:rFonts w:ascii="Times New Roman" w:hAnsi="Times New Roman"/>
          <w:b/>
          <w:sz w:val="24"/>
        </w:rPr>
        <w:t xml:space="preserve">5.C. Research and Development, Patents and Licenses, etc. </w:t>
      </w:r>
    </w:p>
    <w:p>
      <w:pPr>
        <w:pStyle w:val="TextBody"/>
        <w:spacing w:before="120" w:after="0"/>
        <w:jc w:val="left"/>
        <w:rPr>
          <w:rFonts w:ascii="Times New Roman" w:hAnsi="Times New Roman"/>
          <w:sz w:val="24"/>
        </w:rPr>
      </w:pPr>
      <w:r>
        <w:rPr>
          <w:rFonts w:ascii="Times New Roman" w:hAnsi="Times New Roman"/>
          <w:sz w:val="24"/>
        </w:rPr>
        <w:t xml:space="preserve">As a development stage company, most of our business operations are focused on research and development. Please refer to “Item 4. Information On the Company—B. Business Overview—Our Strategy and –Intellectual Property”. For a description of the Company’s research and development policies for the last three years see “Item 5. Operating and Financial Review and Prospects—A. Operating Results—Financial Overview—Research and Development Expenses.” For a description of Mereo’s intellectual property, see “Item 4. Information On the Company—B. Business Overview—Intellectual Property.”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5.D. Trend Information </w:t>
      </w:r>
    </w:p>
    <w:p>
      <w:pPr>
        <w:pStyle w:val="TextBody"/>
        <w:spacing w:before="120" w:after="0"/>
        <w:jc w:val="left"/>
        <w:rPr>
          <w:rFonts w:ascii="Times New Roman" w:hAnsi="Times New Roman"/>
          <w:sz w:val="24"/>
        </w:rPr>
      </w:pPr>
      <w:r>
        <w:rPr>
          <w:rFonts w:ascii="Times New Roman" w:hAnsi="Times New Roman"/>
          <w:sz w:val="24"/>
        </w:rPr>
        <w:t xml:space="preserve">Other than as disclosed elsewhere in this Annual Report, we are not aware of any trends, uncertainties, demands, commitments or events that are reasonably likely to have a material adverse effect on our results of operations, financial condition, liquidity or capital resources, or that would cause the disclosed financial information to be not necessarily indicative of future operating results or financial conditions. For more information, see Item 4.B. Business Overview, Item 5.A. Operating Results, and Item 5.B. Liquidity and Capital Resources. </w:t>
      </w:r>
    </w:p>
    <w:p>
      <w:pPr>
        <w:pStyle w:val="TextBody"/>
        <w:spacing w:before="360" w:after="0"/>
        <w:jc w:val="left"/>
        <w:rPr>
          <w:rFonts w:ascii="Times New Roman" w:hAnsi="Times New Roman"/>
          <w:b/>
          <w:sz w:val="24"/>
        </w:rPr>
      </w:pPr>
      <w:r>
        <w:rPr>
          <w:rFonts w:ascii="Times New Roman" w:hAnsi="Times New Roman"/>
          <w:b/>
          <w:sz w:val="24"/>
        </w:rPr>
        <w:t xml:space="preserve">5.E. Critical Accounting Estimates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5620" w:type="dxa"/>
        <w:jc w:val="left"/>
        <w:tblInd w:w="0" w:type="dxa"/>
        <w:tblCellMar>
          <w:top w:w="0" w:type="dxa"/>
          <w:left w:w="0" w:type="dxa"/>
          <w:bottom w:w="0" w:type="dxa"/>
          <w:right w:w="0" w:type="dxa"/>
        </w:tblCellMar>
      </w:tblPr>
      <w:tblGrid>
        <w:gridCol w:w="740"/>
        <w:gridCol w:w="4880"/>
      </w:tblGrid>
      <w:tr>
        <w:trPr/>
        <w:tc>
          <w:tcPr>
            <w:tcW w:w="740" w:type="dxa"/>
            <w:tcBorders/>
            <w:shd w:fill="auto" w:val="clear"/>
            <w:vAlign w:val="center"/>
          </w:tcPr>
          <w:p>
            <w:pPr>
              <w:pStyle w:val="TableContents"/>
              <w:spacing w:before="0" w:after="283"/>
              <w:jc w:val="left"/>
              <w:rPr>
                <w:b/>
              </w:rPr>
            </w:pPr>
            <w:bookmarkStart w:id="10" w:name="tx430075_8"/>
            <w:bookmarkEnd w:id="10"/>
            <w:r>
              <w:rPr>
                <w:b/>
              </w:rPr>
              <w:t>Item 6.</w:t>
            </w:r>
          </w:p>
        </w:tc>
        <w:tc>
          <w:tcPr>
            <w:tcW w:w="488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Directors, Senior Management And Employees </w:t>
            </w:r>
          </w:p>
        </w:tc>
      </w:tr>
    </w:tbl>
    <w:p>
      <w:pPr>
        <w:pStyle w:val="TextBody"/>
        <w:spacing w:before="120" w:after="0"/>
        <w:jc w:val="left"/>
        <w:rPr>
          <w:rFonts w:ascii="Times New Roman" w:hAnsi="Times New Roman"/>
          <w:b/>
          <w:sz w:val="24"/>
        </w:rPr>
      </w:pPr>
      <w:r>
        <w:rPr>
          <w:rFonts w:ascii="Times New Roman" w:hAnsi="Times New Roman"/>
          <w:b/>
          <w:sz w:val="24"/>
        </w:rPr>
        <w:t xml:space="preserve">6.A. Directors and Senior Management </w:t>
      </w:r>
    </w:p>
    <w:p>
      <w:pPr>
        <w:pStyle w:val="TextBody"/>
        <w:spacing w:before="120" w:after="0"/>
        <w:jc w:val="left"/>
        <w:rPr>
          <w:rFonts w:ascii="Times New Roman" w:hAnsi="Times New Roman"/>
          <w:b/>
          <w:sz w:val="24"/>
        </w:rPr>
      </w:pPr>
      <w:r>
        <w:rPr>
          <w:rFonts w:ascii="Times New Roman" w:hAnsi="Times New Roman"/>
          <w:b/>
          <w:sz w:val="24"/>
        </w:rPr>
        <w:t xml:space="preserve">Executive Officers and Non-Executive Directors </w:t>
      </w:r>
    </w:p>
    <w:p>
      <w:pPr>
        <w:pStyle w:val="TextBody"/>
        <w:spacing w:before="120" w:after="0"/>
        <w:jc w:val="left"/>
        <w:rPr>
          <w:rFonts w:ascii="Times New Roman" w:hAnsi="Times New Roman"/>
          <w:sz w:val="24"/>
        </w:rPr>
      </w:pPr>
      <w:r>
        <w:rPr>
          <w:rFonts w:ascii="Times New Roman" w:hAnsi="Times New Roman"/>
          <w:sz w:val="24"/>
        </w:rPr>
        <w:t xml:space="preserve">The following table presents information about Mereo’s executive officers and non-executive directors, including their ages, as of the date of this annual report: </w:t>
      </w:r>
    </w:p>
    <w:p>
      <w:pPr>
        <w:pStyle w:val="TextBody"/>
        <w:spacing w:before="0" w:after="0"/>
        <w:jc w:val="left"/>
        <w:rPr/>
      </w:pPr>
      <w:r>
        <w:rPr/>
        <w:t> </w:t>
      </w:r>
    </w:p>
    <w:tbl>
      <w:tblPr>
        <w:tblW w:w="8400" w:type="dxa"/>
        <w:jc w:val="left"/>
        <w:tblInd w:w="0" w:type="dxa"/>
        <w:tblCellMar>
          <w:top w:w="0" w:type="dxa"/>
          <w:left w:w="0" w:type="dxa"/>
          <w:bottom w:w="0" w:type="dxa"/>
          <w:right w:w="0" w:type="dxa"/>
        </w:tblCellMar>
      </w:tblPr>
      <w:tblGrid>
        <w:gridCol w:w="3215"/>
        <w:gridCol w:w="120"/>
        <w:gridCol w:w="425"/>
        <w:gridCol w:w="120"/>
        <w:gridCol w:w="4520"/>
      </w:tblGrid>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20" w:type="dxa"/>
            <w:tcBorders/>
            <w:shd w:fill="auto" w:val="clear"/>
            <w:vAlign w:val="center"/>
          </w:tcPr>
          <w:p>
            <w:pPr>
              <w:pStyle w:val="TableContents"/>
              <w:spacing w:before="0" w:after="283"/>
              <w:rPr>
                <w:sz w:val="4"/>
                <w:szCs w:val="4"/>
              </w:rPr>
            </w:pPr>
            <w:r>
              <w:rPr>
                <w:sz w:val="4"/>
                <w:szCs w:val="4"/>
              </w:rPr>
            </w:r>
          </w:p>
        </w:tc>
      </w:tr>
      <w:tr>
        <w:trPr/>
        <w:tc>
          <w:tcPr>
            <w:tcW w:w="32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22"/>
              </w:rPr>
            </w:pPr>
            <w:r>
              <w:rPr>
                <w:rFonts w:ascii="Times New Roman" w:hAnsi="Times New Roman"/>
                <w:b/>
                <w:sz w:val="22"/>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452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22"/>
              </w:rPr>
            </w:pPr>
            <w:r>
              <w:rPr>
                <w:rFonts w:ascii="Times New Roman" w:hAnsi="Times New Roman"/>
                <w:b/>
                <w:sz w:val="22"/>
              </w:rPr>
              <w:t>Position</w:t>
            </w:r>
          </w:p>
        </w:tc>
      </w:tr>
      <w:tr>
        <w:trPr/>
        <w:tc>
          <w:tcPr>
            <w:tcW w:w="3215" w:type="dxa"/>
            <w:tcBorders/>
            <w:shd w:fill="CCEEFF" w:val="clear"/>
            <w:vAlign w:val="center"/>
          </w:tcPr>
          <w:p>
            <w:pPr>
              <w:pStyle w:val="TableContents"/>
              <w:spacing w:before="0" w:after="0"/>
              <w:rPr>
                <w:rFonts w:ascii="Times New Roman" w:hAnsi="Times New Roman"/>
                <w:b/>
                <w:sz w:val="22"/>
              </w:rPr>
            </w:pPr>
            <w:r>
              <w:rPr>
                <w:rFonts w:ascii="Times New Roman" w:hAnsi="Times New Roman"/>
                <w:b/>
                <w:sz w:val="22"/>
              </w:rPr>
              <w:t>Executive Officers</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Denise Scots-Knight</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63</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Chief Executive Officer and Director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Christine Fox</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42</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Chief Financial Officer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John Richard</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65</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Chief Business Officer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Charles Sermon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53</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General Counsel</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Alexandra (Wills) Hughes-Wilson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51</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Chief Patient Access and Commercial Planning</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John Lewicki</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71</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Chief Scientific Officer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Suba Krishnan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58</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Senior Vice President Clinical Development</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Jackie Parkin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65</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Senior Vice President and Therapeutic Head</w:t>
            </w:r>
          </w:p>
        </w:tc>
      </w:tr>
      <w:tr>
        <w:trPr/>
        <w:tc>
          <w:tcPr>
            <w:tcW w:w="3215"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Non-Executive Directors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Jeremy Bender</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51</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Director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Anders Ekblom</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68</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Director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Pierre Jacquet</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56</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Director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Annalisa Jenkins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57</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Director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Deepika R. Pakianathan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58</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Director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Justin Roberts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40</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Director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Daniel Shames</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77</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Director</w:t>
            </w:r>
          </w:p>
        </w:tc>
      </w:tr>
      <w:tr>
        <w:trPr/>
        <w:tc>
          <w:tcPr>
            <w:tcW w:w="321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Marc Yoskowitz</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48</w:t>
            </w:r>
          </w:p>
        </w:tc>
        <w:tc>
          <w:tcPr>
            <w:tcW w:w="12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283"/>
              <w:rPr/>
            </w:pPr>
            <w:r>
              <w:rPr/>
              <w:t>Director</w:t>
            </w:r>
          </w:p>
        </w:tc>
      </w:tr>
      <w:tr>
        <w:trPr/>
        <w:tc>
          <w:tcPr>
            <w:tcW w:w="321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Michael S. Wyzga</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68</w:t>
            </w:r>
          </w:p>
        </w:tc>
        <w:tc>
          <w:tcPr>
            <w:tcW w:w="120" w:type="dxa"/>
            <w:tcBorders/>
            <w:shd w:fill="CCEEFF" w:val="clear"/>
            <w:vAlign w:val="center"/>
          </w:tcPr>
          <w:p>
            <w:pPr>
              <w:pStyle w:val="TableContents"/>
              <w:spacing w:before="0" w:after="283"/>
              <w:rPr/>
            </w:pPr>
            <w:r>
              <w:rPr/>
              <w:t>  </w:t>
            </w:r>
          </w:p>
        </w:tc>
        <w:tc>
          <w:tcPr>
            <w:tcW w:w="4520" w:type="dxa"/>
            <w:tcBorders/>
            <w:shd w:fill="CCEEFF" w:val="clear"/>
            <w:vAlign w:val="center"/>
          </w:tcPr>
          <w:p>
            <w:pPr>
              <w:pStyle w:val="TableContents"/>
              <w:spacing w:before="0" w:after="283"/>
              <w:rPr/>
            </w:pPr>
            <w:r>
              <w:rPr/>
              <w:t>Chairman of the Board and Director</w:t>
            </w:r>
          </w:p>
        </w:tc>
      </w:tr>
    </w:tbl>
    <w:p>
      <w:pPr>
        <w:pStyle w:val="TextBody"/>
        <w:spacing w:before="240" w:after="0"/>
        <w:jc w:val="left"/>
        <w:rPr>
          <w:rFonts w:ascii="Times New Roman" w:hAnsi="Times New Roman"/>
          <w:sz w:val="24"/>
        </w:rPr>
      </w:pPr>
      <w:r>
        <w:rPr>
          <w:rFonts w:ascii="Times New Roman" w:hAnsi="Times New Roman"/>
          <w:sz w:val="24"/>
        </w:rPr>
        <w:t xml:space="preserve">The current business addresses for Mereo’s executive officers and directors is c/o Mereo BioPharma Group plc, 4th Floor, One Cavendish Place, London, W1G 0QF, United Kingdom. </w:t>
      </w:r>
    </w:p>
    <w:p>
      <w:pPr>
        <w:pStyle w:val="TextBody"/>
        <w:spacing w:before="240" w:after="0"/>
        <w:jc w:val="left"/>
        <w:rPr>
          <w:rFonts w:ascii="Times New Roman" w:hAnsi="Times New Roman"/>
          <w:sz w:val="24"/>
        </w:rPr>
      </w:pPr>
      <w:r>
        <w:rPr>
          <w:rFonts w:ascii="Times New Roman" w:hAnsi="Times New Roman"/>
          <w:sz w:val="24"/>
        </w:rPr>
        <w:t xml:space="preserve">The following are brief biographies of Mereo’s executive officers and non-executive directors: </w:t>
      </w:r>
    </w:p>
    <w:p>
      <w:pPr>
        <w:pStyle w:val="TextBody"/>
        <w:spacing w:before="240" w:after="0"/>
        <w:jc w:val="left"/>
        <w:rPr>
          <w:rFonts w:ascii="Times New Roman" w:hAnsi="Times New Roman"/>
          <w:sz w:val="24"/>
        </w:rPr>
      </w:pPr>
      <w:r>
        <w:rPr>
          <w:rFonts w:ascii="Times New Roman" w:hAnsi="Times New Roman"/>
          <w:b/>
          <w:i/>
          <w:sz w:val="24"/>
        </w:rPr>
        <w:t>Dr. Denise Scots-Knight.</w:t>
      </w:r>
      <w:r>
        <w:rPr>
          <w:rFonts w:ascii="Times New Roman" w:hAnsi="Times New Roman"/>
          <w:sz w:val="24"/>
        </w:rPr>
        <w:t xml:space="preserve"> Dr. Scots-Knight has served as our Chief Executive Officer since July 2015 and as a member of our Board since our 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Albireo and OncoMed. Dr. Scots-Knight holds a B.Sc. (Hons.) and a Ph.D. from Birmingham University.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b/>
          <w:i/>
          <w:sz w:val="24"/>
        </w:rPr>
        <w:t>Christine Fox</w:t>
      </w:r>
      <w:r>
        <w:rPr>
          <w:rFonts w:ascii="Times New Roman" w:hAnsi="Times New Roman"/>
          <w:sz w:val="24"/>
        </w:rPr>
        <w:t xml:space="preserve">. Ms. Fox joined as our Chief Financial Officer in January 2021. From 2015 until joining us, Ms. Fox was the Vice President Finance, External Reporting and most recently Group Financial Controller and Treasurer of Travelport, and prior to that served more than 10 years at KPMG in the U.S. and Switzerland. Ms. Fox is a Certified Public Accountant (CPA) and holds a B.S. in Accounting from Butler University. </w:t>
      </w:r>
    </w:p>
    <w:p>
      <w:pPr>
        <w:pStyle w:val="TextBody"/>
        <w:spacing w:before="240" w:after="0"/>
        <w:jc w:val="left"/>
        <w:rPr>
          <w:rFonts w:ascii="Times New Roman" w:hAnsi="Times New Roman"/>
          <w:sz w:val="24"/>
        </w:rPr>
      </w:pPr>
      <w:r>
        <w:rPr>
          <w:rFonts w:ascii="Times New Roman" w:hAnsi="Times New Roman"/>
          <w:sz w:val="24"/>
        </w:rPr>
        <w:t>J</w:t>
      </w:r>
      <w:r>
        <w:rPr>
          <w:rFonts w:ascii="Times New Roman" w:hAnsi="Times New Roman"/>
          <w:b/>
          <w:i/>
          <w:sz w:val="24"/>
        </w:rPr>
        <w:t>ohn Richard.</w:t>
      </w:r>
      <w:r>
        <w:rPr>
          <w:rFonts w:ascii="Times New Roman" w:hAnsi="Times New Roman"/>
          <w:sz w:val="24"/>
        </w:rPr>
        <w:t xml:space="preserve"> Mr. Richard has served as our Chief Business Officer, previously titled Head of Corporate Development, since July 2015. Prior to joining us, he was a consultant for Nomura, a global investment bank, and Phase4, and previously served as the head of business development for Sequus Pharmaceuticals Inc., VIVUS Inc. and Genome Therapeutics Corporation. Mr. Richard serves on the boards of Aruna Bio, Inc. and previously served on the boards of Catalyst Biosciences, Vaxart, Inc., Aviragen Therapeutics, Inc., and Targacept, Inc. Mr. Richard holds a B.S. from Stanford University and an MBA from Harvard Business School. </w:t>
      </w:r>
    </w:p>
    <w:p>
      <w:pPr>
        <w:pStyle w:val="TextBody"/>
        <w:spacing w:before="240" w:after="0"/>
        <w:jc w:val="left"/>
        <w:rPr>
          <w:rFonts w:ascii="Times New Roman" w:hAnsi="Times New Roman"/>
          <w:sz w:val="24"/>
        </w:rPr>
      </w:pPr>
      <w:r>
        <w:rPr>
          <w:rFonts w:ascii="Times New Roman" w:hAnsi="Times New Roman"/>
          <w:b/>
          <w:i/>
          <w:sz w:val="24"/>
        </w:rPr>
        <w:t xml:space="preserve">Charles Sermon. </w:t>
      </w:r>
      <w:r>
        <w:rPr>
          <w:rFonts w:ascii="Times New Roman" w:hAnsi="Times New Roman"/>
          <w:sz w:val="24"/>
        </w:rPr>
        <w:t xml:space="preserve">Mr. Sermon has served as our General Counsel and Company Secretary since July 2015. From 2010 until joining us, Mr. Sermon was a Partner of Phase4. Mr Sermon serves as a Director on the Board of Trustees of Rainbow Trust Children’s Charity. Mr. Sermon trained and qualified as a lawyer with Freshfields in London after completing the Law Society’s Final Examination. Mr. Sermon holds an LL.B. (Hons.) from Hull University. </w:t>
      </w:r>
    </w:p>
    <w:p>
      <w:pPr>
        <w:pStyle w:val="TextBody"/>
        <w:spacing w:before="240" w:after="0"/>
        <w:jc w:val="left"/>
        <w:rPr>
          <w:rFonts w:ascii="Times New Roman" w:hAnsi="Times New Roman"/>
          <w:sz w:val="24"/>
        </w:rPr>
      </w:pPr>
      <w:r>
        <w:rPr>
          <w:rFonts w:ascii="Times New Roman" w:hAnsi="Times New Roman"/>
          <w:b/>
          <w:i/>
          <w:sz w:val="24"/>
        </w:rPr>
        <w:t>Alexandra (Wills) Hughes-Wilson</w:t>
      </w:r>
      <w:r>
        <w:rPr>
          <w:rFonts w:ascii="Times New Roman" w:hAnsi="Times New Roman"/>
          <w:sz w:val="24"/>
        </w:rPr>
        <w:t xml:space="preserve">. Ms. Hughes-Wilson has served as our Chief of Patient Access and Commercial Planning, previously titled Head of Patient Access and 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 </w:t>
      </w:r>
    </w:p>
    <w:p>
      <w:pPr>
        <w:pStyle w:val="TextBody"/>
        <w:spacing w:before="240" w:after="0"/>
        <w:jc w:val="left"/>
        <w:rPr>
          <w:rFonts w:ascii="Times New Roman" w:hAnsi="Times New Roman"/>
          <w:sz w:val="24"/>
        </w:rPr>
      </w:pPr>
      <w:r>
        <w:rPr>
          <w:rFonts w:ascii="Times New Roman" w:hAnsi="Times New Roman"/>
          <w:b/>
          <w:i/>
          <w:sz w:val="24"/>
        </w:rPr>
        <w:t>Dr. John Lewicki</w:t>
      </w:r>
      <w:r>
        <w:rPr>
          <w:rFonts w:ascii="Times New Roman" w:hAnsi="Times New Roman"/>
          <w:sz w:val="24"/>
        </w:rPr>
        <w:t xml:space="preserve">. Dr. Lewicki has served as our Chief Scientific Officer since July 2020. He has over 35 years of experience in the 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 </w:t>
      </w:r>
    </w:p>
    <w:p>
      <w:pPr>
        <w:pStyle w:val="TextBody"/>
        <w:spacing w:before="240" w:after="0"/>
        <w:jc w:val="left"/>
        <w:rPr>
          <w:rFonts w:ascii="Times New Roman" w:hAnsi="Times New Roman"/>
          <w:sz w:val="24"/>
        </w:rPr>
      </w:pPr>
      <w:r>
        <w:rPr>
          <w:rFonts w:ascii="Times New Roman" w:hAnsi="Times New Roman"/>
          <w:b/>
          <w:i/>
          <w:sz w:val="24"/>
        </w:rPr>
        <w:t>Dr. Suba Krishnan.</w:t>
      </w:r>
      <w:r>
        <w:rPr>
          <w:rFonts w:ascii="Times New Roman" w:hAnsi="Times New Roman"/>
          <w:sz w:val="24"/>
        </w:rPr>
        <w:t xml:space="preserve"> Dr Krishnan has served as our SVP Clinical Development since she joined us in December 2020 from Genmab, where, as Global Program Head Immuno-Oncology, she led cross-functional teams in the strategy and execution of multiple first-in-class bispecific antibodies. Dr. Krishnan has held positions of increasing scope, working across all stages of drug development, to evaluate PARP-inhibitors, ADCs and IO agents, and filing for approvals of nivolumab in second-line bladder cancer and pembrolizumab in small cell lung cancer. Earlier, Dr. Krishnan was Assistant Professor, Pediatric Hematology, Columbia University, and held the Sickle Cell Scholar position at Thomas Jefferson University. Dr. Krishnan completed her MBBS at the Armed Forces Medical College in Pune, India and trained in Pediatric Hematology/Oncology at Columbia University. </w:t>
      </w:r>
    </w:p>
    <w:p>
      <w:pPr>
        <w:pStyle w:val="TextBody"/>
        <w:spacing w:before="240" w:after="0"/>
        <w:jc w:val="left"/>
        <w:rPr>
          <w:rFonts w:ascii="Times New Roman" w:hAnsi="Times New Roman"/>
          <w:sz w:val="24"/>
        </w:rPr>
      </w:pPr>
      <w:r>
        <w:rPr>
          <w:rFonts w:ascii="Times New Roman" w:hAnsi="Times New Roman"/>
          <w:b/>
          <w:i/>
          <w:sz w:val="24"/>
        </w:rPr>
        <w:t>Dr. Jackie Parkin.</w:t>
      </w:r>
      <w:r>
        <w:rPr>
          <w:rFonts w:ascii="Times New Roman" w:hAnsi="Times New Roman"/>
          <w:sz w:val="24"/>
        </w:rPr>
        <w:t xml:space="preserve"> Dr. Parkin is our SVP and Therapeutic Head, leading clinical development of alvelestat for alpha-1 antitrypsin deficiency (AATD) lung disease and collaborations for studies in COVID-19 and Bronchiolitis Obliterans Syndrome (BOS). She is also responsible for acumapimod in AECOPD and leflutrozole in male hypogonadism. Dr. Parkin previously served as Vice President for Clinical Development at GlaxoSmithKline, leading immuno-inflammatory and infectious diseases. Prior to GSK, Dr. Parkin was a Clinical Senior Lecturer in Immunology at the St Bartholomew’s and Royal London Hospital, caring for patients with HIV infection. </w:t>
      </w:r>
    </w:p>
    <w:p>
      <w:pPr>
        <w:pStyle w:val="TextBody"/>
        <w:spacing w:before="240" w:after="0"/>
        <w:jc w:val="left"/>
        <w:rPr>
          <w:rFonts w:ascii="Times New Roman" w:hAnsi="Times New Roman"/>
          <w:sz w:val="24"/>
        </w:rPr>
      </w:pPr>
      <w:r>
        <w:rPr>
          <w:rFonts w:ascii="Times New Roman" w:hAnsi="Times New Roman"/>
          <w:b/>
          <w:i/>
          <w:sz w:val="24"/>
        </w:rPr>
        <w:t>Dr. Jeremy Bender.</w:t>
      </w:r>
      <w:r>
        <w:rPr>
          <w:rFonts w:ascii="Times New Roman" w:hAnsi="Times New Roman"/>
          <w:sz w:val="24"/>
        </w:rPr>
        <w:t xml:space="preserve"> Dr. Bender has served on our board since October 2020. Dr. Bender is Chief Executive Officer of DayOne Biopharmaceuticals, Inc. (NASDAQ: DAWN). Previously he served as Vice President of Corporate Development at Gilead Sciences, Inc., where he was responsible for development and negotiation of partnerships, alliances, joint ventures, equity investments, licensing agreements and M&amp;A transactions. Dr. Bender joined Gilead from Tizona Therapeutics, Inc., where he was Chief Operating Officer. Prior to Tizona, he was Chief Business Officer of Sutro Biopharma, Inc. Dr. Bender received his undergraduate degree in Biological Sciences from Stanford University and his Ph.D. in Microbiology &amp; Immunology from the University of Colorado. He also holds an M.B.A. from the MIT Sloan School of Management. </w:t>
      </w:r>
    </w:p>
    <w:p>
      <w:pPr>
        <w:pStyle w:val="TextBody"/>
        <w:spacing w:before="240" w:after="0"/>
        <w:jc w:val="left"/>
        <w:rPr>
          <w:rFonts w:ascii="Times New Roman" w:hAnsi="Times New Roman"/>
          <w:sz w:val="24"/>
        </w:rPr>
      </w:pPr>
      <w:r>
        <w:rPr>
          <w:rFonts w:ascii="Times New Roman" w:hAnsi="Times New Roman"/>
          <w:b/>
          <w:i/>
          <w:sz w:val="24"/>
        </w:rPr>
        <w:t xml:space="preserve">Dr. Anders Ekblom. </w:t>
      </w:r>
      <w:r>
        <w:rPr>
          <w:rFonts w:ascii="Times New Roman" w:hAnsi="Times New Roman"/>
          <w:sz w:val="24"/>
        </w:rPr>
        <w:t xml:space="preserve">Dr. Ekblom has served on our Board since July 2015. Dr. Ekblom has held a number of executive positions at AstraZeneca, including Executive Vice President Global Drug Development, Executive Vice President Global Medicines Development, Global Head Clinical Development and Chief Executive Officer of AstraZeneca AB Sweden. He currently serves as Chairman of the Board of Elypta AB and Xspray Pharma AB, and on the boards of directors of Alligator Bioscience AB and AnaMar AB. Dr. Ekblom is a board-certified medical doctor and an Associate Professor at the Karolinska Institutet. Dr. Ekblom holds a M.D., Ph.D. and a D.D.S. from Karolinska Institutet.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b/>
          <w:i/>
          <w:sz w:val="24"/>
        </w:rPr>
        <w:t>Dr. Pierre Jacquet.</w:t>
      </w:r>
      <w:r>
        <w:rPr>
          <w:rFonts w:ascii="Times New Roman" w:hAnsi="Times New Roman"/>
          <w:sz w:val="24"/>
        </w:rPr>
        <w:t xml:space="preserve"> Dr. Jacquet has served on our Board of Directors since September 2021. Dr. Jacquet is currently Managing Director and Vice Chairman of L.E.K. 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Exact Sciences, on the Advisory Board of Life Science Cares, and previously served as a Director of Osprey Pharmaceuticals. He earned a Master of Business Administration from the Darden Graduate School at the University of Virginia, graduated Magna Cum Laude in Medicine from the University of Liège in Belgium and was awarded a Summa Cum Laude Doctor of Philosophy in biomedical sciences from the University of Liège in Belgium. </w:t>
      </w:r>
    </w:p>
    <w:p>
      <w:pPr>
        <w:pStyle w:val="TextBody"/>
        <w:spacing w:before="240" w:after="0"/>
        <w:jc w:val="left"/>
        <w:rPr>
          <w:rFonts w:ascii="Times New Roman" w:hAnsi="Times New Roman"/>
          <w:sz w:val="24"/>
        </w:rPr>
      </w:pPr>
      <w:r>
        <w:rPr>
          <w:rFonts w:ascii="Times New Roman" w:hAnsi="Times New Roman"/>
          <w:b/>
          <w:i/>
          <w:sz w:val="24"/>
        </w:rPr>
        <w:t>Dr. Annalisa Jenkins.</w:t>
      </w:r>
      <w:r>
        <w:rPr>
          <w:rFonts w:ascii="Times New Roman" w:hAnsi="Times New Roman"/>
          <w:sz w:val="24"/>
        </w:rPr>
        <w:t xml:space="preserve"> Dr. Jenkins has served on our Board of Directors since November 2022. Dr. Jenkins served as president and CEO of Dimension Therapeutics, a leading NASDAQ listed gene therapy company that was acquired by Ultragenyx in November 2017. Prior leadership roles have included the head of global research and development at Merck Serono and SVP, Global Development at Bristol Myers-Squibb. Dr. Jenkins is a board member and advisor to a number of public and private health and life science companies globally. She is also a board member of Genomics England and a trustee of The Kings Fund and The British Heart Foundation. Dr. Jenkins graduated with a degree in medicine from St. Bartholomew’s Hospital in the University of London and served as a Surgeon Lieutenant Commander in the British Royal Navy. </w:t>
      </w:r>
    </w:p>
    <w:p>
      <w:pPr>
        <w:pStyle w:val="TextBody"/>
        <w:spacing w:before="240" w:after="0"/>
        <w:jc w:val="left"/>
        <w:rPr>
          <w:rFonts w:ascii="Times New Roman" w:hAnsi="Times New Roman"/>
          <w:sz w:val="24"/>
        </w:rPr>
      </w:pPr>
      <w:r>
        <w:rPr>
          <w:rFonts w:ascii="Times New Roman" w:hAnsi="Times New Roman"/>
          <w:b/>
          <w:i/>
          <w:sz w:val="24"/>
        </w:rPr>
        <w:t>Dr. Deepika R. Pakianathan.</w:t>
      </w:r>
      <w:r>
        <w:rPr>
          <w:rFonts w:ascii="Times New Roman" w:hAnsi="Times New Roman"/>
          <w:sz w:val="24"/>
        </w:rPr>
        <w:t xml:space="preserve"> Dr. Pakianathan has served on our Board since April 2019 following completion of the Merger and served as a director of OncoMed since December 2008 until the closing of the Merger. Since 2001, Dr. Pakianathan has been a Managing Member at Delphi Ventures, a venture capital firm focused on biotechnology and medical device investments. Dr. Pakianathan serves on the boards of directors of Karyopharm Therapeutics, Inc., Theravance Biopharma, Inc., and Calithera Biosciences, Inc. Dr. Pakianathan previously served on the boards of directors of Foresite Development Corp II, Alder Biopharmaceuticals, Inc. and Foresite Development Corp I. and Relypsa, Inc. Dr. Pakianathan received a B.Sc. from the University of Bombay, India, a M.Sc. from The Cancer Research Institute at the University of Bombay, India, and an M.S. and Ph.D. from Wake Forest University. </w:t>
      </w:r>
    </w:p>
    <w:p>
      <w:pPr>
        <w:pStyle w:val="TextBody"/>
        <w:spacing w:before="240" w:after="0"/>
        <w:jc w:val="left"/>
        <w:rPr>
          <w:rFonts w:ascii="Times New Roman" w:hAnsi="Times New Roman"/>
          <w:sz w:val="24"/>
        </w:rPr>
      </w:pPr>
      <w:r>
        <w:rPr>
          <w:rFonts w:ascii="Times New Roman" w:hAnsi="Times New Roman"/>
          <w:b/>
          <w:i/>
          <w:sz w:val="24"/>
        </w:rPr>
        <w:t>Justin Roberts.</w:t>
      </w:r>
      <w:r>
        <w:rPr>
          <w:rFonts w:ascii="Times New Roman" w:hAnsi="Times New Roman"/>
          <w:sz w:val="24"/>
        </w:rPr>
        <w:t xml:space="preserve"> Justin Roberts has served on our Board of Directors since November 2022. Mr. Roberts is a Partner at Rubric Capital Management LP, a role he has held since the formation of the company in 2016. Before Rubric he spent seven years at Point72 Asset Management. Mr. Roberts has also held roles at ZS Associates, Moore Capital Management, and began his career at Lehman Brothers as an investment banker in their M&amp;A practice. Mr. Roberts graduated with honors from Johns Hopkins University. </w:t>
      </w:r>
    </w:p>
    <w:p>
      <w:pPr>
        <w:pStyle w:val="TextBody"/>
        <w:spacing w:before="240" w:after="0"/>
        <w:jc w:val="left"/>
        <w:rPr>
          <w:rFonts w:ascii="Times New Roman" w:hAnsi="Times New Roman"/>
          <w:sz w:val="24"/>
        </w:rPr>
      </w:pPr>
      <w:r>
        <w:rPr>
          <w:rFonts w:ascii="Times New Roman" w:hAnsi="Times New Roman"/>
          <w:b/>
          <w:i/>
          <w:sz w:val="24"/>
        </w:rPr>
        <w:t>Dr. Daniel Shames.</w:t>
      </w:r>
      <w:r>
        <w:rPr>
          <w:rFonts w:ascii="Times New Roman" w:hAnsi="Times New Roman"/>
          <w:sz w:val="24"/>
        </w:rPr>
        <w:t xml:space="preserve"> Dr. Shames has served on our Board of Directors since November 2022. Dr. Shames 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United States Army Medical Corps. Dr. Shames received his undergraduate degree from Brandeis University, his MD from Georgetown University School of Medicine, and did his urology residency at the University of Pennsylvania. </w:t>
      </w:r>
    </w:p>
    <w:p>
      <w:pPr>
        <w:pStyle w:val="TextBody"/>
        <w:spacing w:before="240" w:after="0"/>
        <w:jc w:val="left"/>
        <w:rPr>
          <w:rFonts w:ascii="Times New Roman" w:hAnsi="Times New Roman"/>
          <w:sz w:val="24"/>
        </w:rPr>
      </w:pPr>
      <w:r>
        <w:rPr>
          <w:rFonts w:ascii="Times New Roman" w:hAnsi="Times New Roman"/>
          <w:b/>
          <w:i/>
          <w:sz w:val="24"/>
        </w:rPr>
        <w:t>Marc Yoskowitz.</w:t>
      </w:r>
      <w:r>
        <w:rPr>
          <w:rFonts w:ascii="Times New Roman" w:hAnsi="Times New Roman"/>
          <w:sz w:val="24"/>
        </w:rPr>
        <w:t xml:space="preserve"> Mr. Yoskowitz has served on our Board of Directors since November 2022. Mr. Yoskowitz serves as EVP and Chief Strategy Officer, Life Sciences at Tempus, Inc. Prior to Tempus, Mr. Yoskowitz was Chief 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 </w:t>
      </w:r>
    </w:p>
    <w:p>
      <w:pPr>
        <w:pStyle w:val="TextBody"/>
        <w:spacing w:before="240" w:after="0"/>
        <w:jc w:val="left"/>
        <w:rPr>
          <w:rFonts w:ascii="Times New Roman" w:hAnsi="Times New Roman"/>
          <w:sz w:val="24"/>
        </w:rPr>
      </w:pPr>
      <w:r>
        <w:rPr>
          <w:rFonts w:ascii="Times New Roman" w:hAnsi="Times New Roman"/>
          <w:b/>
          <w:i/>
          <w:sz w:val="24"/>
        </w:rPr>
        <w:t>Michael S. Wyzga</w:t>
      </w:r>
      <w:r>
        <w:rPr>
          <w:rFonts w:ascii="Times New Roman" w:hAnsi="Times New Roman"/>
          <w:sz w:val="24"/>
        </w:rPr>
        <w:t xml:space="preserve">. Mr. Wyzga has served on our Board since April 2019 following completion of the Merger and had served as a director of OncoMed since October 2013 until the closing of the Merger. On May 14, 2020, we entered into the Consulting and Interim Chief Financial Officer Agreement with MSW Consulting Inc. and Michael Wyzga by which Mr.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Wyzga served as Interim Chief Financial Officer from August 1, 2020 to January 4, 2021.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Adagio Therapeutics, Inc.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 </w:t>
      </w:r>
    </w:p>
    <w:p>
      <w:pPr>
        <w:pStyle w:val="TextBody"/>
        <w:spacing w:before="360" w:after="0"/>
        <w:jc w:val="left"/>
        <w:rPr>
          <w:rFonts w:ascii="Times New Roman" w:hAnsi="Times New Roman"/>
          <w:b/>
          <w:i/>
          <w:sz w:val="24"/>
        </w:rPr>
      </w:pPr>
      <w:r>
        <w:rPr>
          <w:rFonts w:ascii="Times New Roman" w:hAnsi="Times New Roman"/>
          <w:b/>
          <w:i/>
          <w:sz w:val="24"/>
        </w:rPr>
        <w:t xml:space="preserve">Arrangements Concerning Election of Directors; Family Relationships </w:t>
      </w:r>
    </w:p>
    <w:p>
      <w:pPr>
        <w:pStyle w:val="TextBody"/>
        <w:spacing w:before="120" w:after="0"/>
        <w:jc w:val="left"/>
        <w:rPr>
          <w:rFonts w:ascii="Times New Roman" w:hAnsi="Times New Roman"/>
          <w:sz w:val="24"/>
        </w:rPr>
      </w:pPr>
      <w:r>
        <w:rPr>
          <w:rFonts w:ascii="Times New Roman" w:hAnsi="Times New Roman"/>
          <w:sz w:val="24"/>
        </w:rPr>
        <w:t xml:space="preserve">We are not a party to, and are not aware of, any voting agreements among our shareholders. In addition, there are no family relationships among our executive officers and directors. </w:t>
      </w:r>
    </w:p>
    <w:p>
      <w:pPr>
        <w:pStyle w:val="TextBody"/>
        <w:spacing w:before="360" w:after="0"/>
        <w:jc w:val="left"/>
        <w:rPr>
          <w:rFonts w:ascii="Times New Roman" w:hAnsi="Times New Roman"/>
          <w:b/>
          <w:sz w:val="24"/>
        </w:rPr>
      </w:pPr>
      <w:r>
        <w:rPr>
          <w:rFonts w:ascii="Times New Roman" w:hAnsi="Times New Roman"/>
          <w:b/>
          <w:sz w:val="24"/>
        </w:rPr>
        <w:t xml:space="preserve">6.B. Compensation </w:t>
      </w:r>
    </w:p>
    <w:p>
      <w:pPr>
        <w:pStyle w:val="TextBody"/>
        <w:spacing w:before="120" w:after="0"/>
        <w:jc w:val="left"/>
        <w:rPr>
          <w:rFonts w:ascii="Times New Roman" w:hAnsi="Times New Roman"/>
          <w:b/>
          <w:sz w:val="24"/>
        </w:rPr>
      </w:pPr>
      <w:r>
        <w:rPr>
          <w:rFonts w:ascii="Times New Roman" w:hAnsi="Times New Roman"/>
          <w:b/>
          <w:sz w:val="24"/>
        </w:rPr>
        <w:t xml:space="preserve">Executive Officer Remuneration </w:t>
      </w:r>
    </w:p>
    <w:p>
      <w:pPr>
        <w:pStyle w:val="TextBody"/>
        <w:spacing w:before="120" w:after="0"/>
        <w:jc w:val="left"/>
        <w:rPr>
          <w:rFonts w:ascii="Times New Roman" w:hAnsi="Times New Roman"/>
          <w:sz w:val="24"/>
        </w:rPr>
      </w:pPr>
      <w:r>
        <w:rPr>
          <w:rFonts w:ascii="Times New Roman" w:hAnsi="Times New Roman"/>
          <w:sz w:val="24"/>
        </w:rPr>
        <w:t xml:space="preserve">The following table sets forth the remuneration paid during the year ended December 31, 2022. </w:t>
      </w:r>
    </w:p>
    <w:p>
      <w:pPr>
        <w:pStyle w:val="TextBody"/>
        <w:spacing w:before="0" w:after="0"/>
        <w:jc w:val="left"/>
        <w:rPr/>
      </w:pPr>
      <w:r>
        <w:rPr/>
        <w:t> </w:t>
      </w:r>
    </w:p>
    <w:tbl>
      <w:tblPr>
        <w:tblW w:w="8618" w:type="dxa"/>
        <w:jc w:val="left"/>
        <w:tblInd w:w="0" w:type="dxa"/>
        <w:tblCellMar>
          <w:top w:w="0" w:type="dxa"/>
          <w:left w:w="0" w:type="dxa"/>
          <w:bottom w:w="0" w:type="dxa"/>
          <w:right w:w="0" w:type="dxa"/>
        </w:tblCellMar>
      </w:tblPr>
      <w:tblGrid>
        <w:gridCol w:w="2405"/>
        <w:gridCol w:w="120"/>
        <w:gridCol w:w="60"/>
        <w:gridCol w:w="980"/>
        <w:gridCol w:w="60"/>
        <w:gridCol w:w="120"/>
        <w:gridCol w:w="110"/>
        <w:gridCol w:w="1469"/>
        <w:gridCol w:w="60"/>
        <w:gridCol w:w="120"/>
        <w:gridCol w:w="126"/>
        <w:gridCol w:w="1693"/>
        <w:gridCol w:w="60"/>
        <w:gridCol w:w="120"/>
        <w:gridCol w:w="60"/>
        <w:gridCol w:w="980"/>
        <w:gridCol w:w="75"/>
      </w:tblGrid>
      <w:tr>
        <w:trPr/>
        <w:tc>
          <w:tcPr>
            <w:tcW w:w="2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Salary</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Cash Bonus (1)</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Compensation (2)</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(3)</w:t>
              <w:br/>
              <w:t>(£)</w:t>
            </w:r>
          </w:p>
        </w:tc>
        <w:tc>
          <w:tcPr>
            <w:tcW w:w="75" w:type="dxa"/>
            <w:tcBorders/>
            <w:shd w:fill="auto"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Dr. Denise Scots-Knight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418,747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69" w:type="dxa"/>
            <w:tcBorders/>
            <w:shd w:fill="CCEEFF" w:val="clear"/>
            <w:vAlign w:val="center"/>
          </w:tcPr>
          <w:p>
            <w:pPr>
              <w:pStyle w:val="TableContents"/>
              <w:spacing w:before="0" w:after="283"/>
              <w:jc w:val="right"/>
              <w:rPr/>
            </w:pPr>
            <w:r>
              <w:rPr/>
              <w:t>226,123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693" w:type="dxa"/>
            <w:tcBorders/>
            <w:shd w:fill="CCEEFF" w:val="clear"/>
            <w:vAlign w:val="center"/>
          </w:tcPr>
          <w:p>
            <w:pPr>
              <w:pStyle w:val="TableContents"/>
              <w:spacing w:before="0" w:after="283"/>
              <w:jc w:val="right"/>
              <w:rPr/>
            </w:pPr>
            <w:r>
              <w:rPr/>
              <w:t>51,106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695,976</w:t>
            </w:r>
          </w:p>
        </w:tc>
        <w:tc>
          <w:tcPr>
            <w:tcW w:w="75" w:type="dxa"/>
            <w:tcBorders/>
            <w:shd w:fill="CCEEFF"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Other Executive Officers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2,063,665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69" w:type="dxa"/>
            <w:tcBorders/>
            <w:shd w:fill="auto" w:val="clear"/>
            <w:vAlign w:val="center"/>
          </w:tcPr>
          <w:p>
            <w:pPr>
              <w:pStyle w:val="TableContents"/>
              <w:spacing w:before="0" w:after="283"/>
              <w:jc w:val="right"/>
              <w:rPr/>
            </w:pPr>
            <w:r>
              <w:rPr/>
              <w:t>762,482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93" w:type="dxa"/>
            <w:tcBorders/>
            <w:shd w:fill="auto" w:val="clear"/>
            <w:vAlign w:val="center"/>
          </w:tcPr>
          <w:p>
            <w:pPr>
              <w:pStyle w:val="TableContents"/>
              <w:spacing w:before="0" w:after="283"/>
              <w:jc w:val="right"/>
              <w:rPr/>
            </w:pPr>
            <w:r>
              <w:rPr/>
              <w:t>219,818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3,045,965</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8470" w:type="dxa"/>
        <w:jc w:val="left"/>
        <w:tblInd w:w="0" w:type="dxa"/>
        <w:tblCellMar>
          <w:top w:w="0" w:type="dxa"/>
          <w:left w:w="0" w:type="dxa"/>
          <w:bottom w:w="0" w:type="dxa"/>
          <w:right w:w="0" w:type="dxa"/>
        </w:tblCellMar>
      </w:tblPr>
      <w:tblGrid>
        <w:gridCol w:w="305"/>
        <w:gridCol w:w="8165"/>
      </w:tblGrid>
      <w:tr>
        <w:trPr/>
        <w:tc>
          <w:tcPr>
            <w:tcW w:w="305" w:type="dxa"/>
            <w:tcBorders/>
            <w:shd w:fill="auto" w:val="clear"/>
            <w:vAlign w:val="center"/>
          </w:tcPr>
          <w:p>
            <w:pPr>
              <w:pStyle w:val="TableContents"/>
              <w:spacing w:before="0" w:after="283"/>
              <w:jc w:val="left"/>
              <w:rPr/>
            </w:pPr>
            <w:r>
              <w:rPr/>
              <w:t>(1)</w:t>
            </w:r>
          </w:p>
        </w:tc>
        <w:tc>
          <w:tcPr>
            <w:tcW w:w="816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Amount shown reflects cash bonuses awarded for achievement of performance goals. </w:t>
            </w:r>
          </w:p>
        </w:tc>
      </w:tr>
    </w:tbl>
    <w:tbl>
      <w:tblPr>
        <w:tblW w:w="8860" w:type="dxa"/>
        <w:jc w:val="left"/>
        <w:tblInd w:w="0" w:type="dxa"/>
        <w:tblCellMar>
          <w:top w:w="0" w:type="dxa"/>
          <w:left w:w="0" w:type="dxa"/>
          <w:bottom w:w="0" w:type="dxa"/>
          <w:right w:w="0" w:type="dxa"/>
        </w:tblCellMar>
      </w:tblPr>
      <w:tblGrid>
        <w:gridCol w:w="305"/>
        <w:gridCol w:w="8555"/>
      </w:tblGrid>
      <w:tr>
        <w:trPr/>
        <w:tc>
          <w:tcPr>
            <w:tcW w:w="305" w:type="dxa"/>
            <w:tcBorders/>
            <w:shd w:fill="auto" w:val="clear"/>
            <w:vAlign w:val="center"/>
          </w:tcPr>
          <w:p>
            <w:pPr>
              <w:pStyle w:val="TableContents"/>
              <w:spacing w:before="0" w:after="283"/>
              <w:jc w:val="left"/>
              <w:rPr/>
            </w:pPr>
            <w:r>
              <w:rPr/>
              <w:t>(2)</w:t>
            </w:r>
          </w:p>
        </w:tc>
        <w:tc>
          <w:tcPr>
            <w:tcW w:w="855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Amount shown represents health benefit payments and pension contributions made by us.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(3)</w:t>
            </w:r>
          </w:p>
        </w:tc>
        <w:tc>
          <w:tcPr>
            <w:tcW w:w="9952"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Total compensation set out in this table does not include any amounts for the value of options to acquire Mereo ordinary shares or awards granted to or held by current senior management, which is described in “—Equity Compensation Awards to Non-Executive Directors and Executive Officers of Mereo.” </w:t>
            </w:r>
          </w:p>
        </w:tc>
      </w:tr>
    </w:tbl>
    <w:p>
      <w:pPr>
        <w:pStyle w:val="TextBody"/>
        <w:spacing w:before="360" w:after="0"/>
        <w:jc w:val="left"/>
        <w:rPr>
          <w:rFonts w:ascii="Times New Roman" w:hAnsi="Times New Roman"/>
          <w:b/>
          <w:sz w:val="24"/>
        </w:rPr>
      </w:pPr>
      <w:r>
        <w:rPr>
          <w:rFonts w:ascii="Times New Roman" w:hAnsi="Times New Roman"/>
          <w:b/>
          <w:sz w:val="24"/>
        </w:rPr>
        <w:t xml:space="preserve">Executive Officer Employment Agreements </w:t>
      </w:r>
    </w:p>
    <w:p>
      <w:pPr>
        <w:pStyle w:val="TextBody"/>
        <w:spacing w:before="120" w:after="0"/>
        <w:jc w:val="left"/>
        <w:rPr>
          <w:rFonts w:ascii="Times New Roman" w:hAnsi="Times New Roman"/>
          <w:b/>
          <w:i/>
          <w:sz w:val="24"/>
        </w:rPr>
      </w:pPr>
      <w:r>
        <w:rPr>
          <w:rFonts w:ascii="Times New Roman" w:hAnsi="Times New Roman"/>
          <w:b/>
          <w:i/>
          <w:sz w:val="24"/>
        </w:rPr>
        <w:t xml:space="preserve">Dr. Denise Scots-Knight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Dr. Scots-Knight on July 29, 2015, as amended and restated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 </w:t>
      </w:r>
    </w:p>
    <w:p>
      <w:pPr>
        <w:pStyle w:val="TextBody"/>
        <w:spacing w:before="360" w:after="0"/>
        <w:jc w:val="left"/>
        <w:rPr>
          <w:rFonts w:ascii="Times New Roman" w:hAnsi="Times New Roman"/>
          <w:b/>
          <w:i/>
          <w:sz w:val="24"/>
        </w:rPr>
      </w:pPr>
      <w:r>
        <w:rPr>
          <w:rFonts w:ascii="Times New Roman" w:hAnsi="Times New Roman"/>
          <w:b/>
          <w:i/>
          <w:sz w:val="24"/>
        </w:rPr>
        <w:t xml:space="preserve">Christine Fox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Ms. Christine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Mereo’s annual bonus plan.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Ms. Fox is also eligible to participate in Mereo’s group personal pension scheme and Mereo has agreed to contribute to the pension scheme an amount equal to 10% of Ms. Fox’s annual salary provided that she contributes 4% or more of her annual salary to that scheme. In lieu of a pension contribution, Mereo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Mereo instead pay her basic salary for any remaining notice period. Ms. Fox’s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 </w:t>
      </w:r>
    </w:p>
    <w:p>
      <w:pPr>
        <w:pStyle w:val="TextBody"/>
        <w:spacing w:before="360" w:after="0"/>
        <w:jc w:val="left"/>
        <w:rPr>
          <w:rFonts w:ascii="Times New Roman" w:hAnsi="Times New Roman"/>
          <w:b/>
          <w:i/>
          <w:sz w:val="24"/>
        </w:rPr>
      </w:pPr>
      <w:r>
        <w:rPr>
          <w:rFonts w:ascii="Times New Roman" w:hAnsi="Times New Roman"/>
          <w:b/>
          <w:i/>
          <w:sz w:val="24"/>
        </w:rPr>
        <w:t xml:space="preserve">John Richard </w:t>
      </w:r>
    </w:p>
    <w:p>
      <w:pPr>
        <w:pStyle w:val="TextBody"/>
        <w:spacing w:before="120" w:after="0"/>
        <w:jc w:val="left"/>
        <w:rPr>
          <w:rFonts w:ascii="Times New Roman" w:hAnsi="Times New Roman"/>
          <w:sz w:val="24"/>
        </w:rPr>
      </w:pPr>
      <w:r>
        <w:rPr>
          <w:rFonts w:ascii="Times New Roman" w:hAnsi="Times New Roman"/>
          <w:sz w:val="24"/>
        </w:rPr>
        <w:t xml:space="preserve">Mr. Richard currently provides services to us pursuant to a revised and restated employment agreement dated September 1, 2019, and a change in control and severance agreement dated September 3, 2021. </w:t>
      </w:r>
    </w:p>
    <w:p>
      <w:pPr>
        <w:pStyle w:val="TextBody"/>
        <w:spacing w:before="240" w:after="0"/>
        <w:jc w:val="left"/>
        <w:rPr>
          <w:rFonts w:ascii="Times New Roman" w:hAnsi="Times New Roman"/>
          <w:sz w:val="24"/>
        </w:rPr>
      </w:pPr>
      <w:r>
        <w:rPr>
          <w:rFonts w:ascii="Times New Roman" w:hAnsi="Times New Roman"/>
          <w:sz w:val="24"/>
        </w:rPr>
        <w:t xml:space="preserve">Mr. Richard’s employment agreement entitles him to receive an annual base salary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 Mr. Richard’s employment agreement includes the provision of accelerated vesting of share options and payments to Mr. Richard equal to 12 months’ annual base salary and Mr. Richard’s target annual bonus in the event of a covered termination following a change in control of the Company. </w:t>
      </w:r>
    </w:p>
    <w:p>
      <w:pPr>
        <w:pStyle w:val="TextBody"/>
        <w:spacing w:before="360" w:after="0"/>
        <w:jc w:val="left"/>
        <w:rPr>
          <w:rFonts w:ascii="Times New Roman" w:hAnsi="Times New Roman"/>
          <w:b/>
          <w:i/>
          <w:sz w:val="24"/>
        </w:rPr>
      </w:pPr>
      <w:r>
        <w:rPr>
          <w:rFonts w:ascii="Times New Roman" w:hAnsi="Times New Roman"/>
          <w:b/>
          <w:i/>
          <w:sz w:val="24"/>
        </w:rPr>
        <w:t xml:space="preserve">Charles Sermon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Mr. Sermon on July 29, 2015 as amended on September 3, 2021. This agreement entitles Mr. Sermon to an annual base salary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 </w:t>
      </w:r>
    </w:p>
    <w:p>
      <w:pPr>
        <w:pStyle w:val="TextBody"/>
        <w:spacing w:before="360" w:after="0"/>
        <w:jc w:val="left"/>
        <w:rPr>
          <w:rFonts w:ascii="Times New Roman" w:hAnsi="Times New Roman"/>
          <w:b/>
          <w:i/>
          <w:sz w:val="24"/>
        </w:rPr>
      </w:pPr>
      <w:r>
        <w:rPr>
          <w:rFonts w:ascii="Times New Roman" w:hAnsi="Times New Roman"/>
          <w:b/>
          <w:i/>
          <w:sz w:val="24"/>
        </w:rPr>
        <w:t xml:space="preserve">Alexandra (Wills) Hughes-Wilson </w:t>
      </w:r>
    </w:p>
    <w:p>
      <w:pPr>
        <w:pStyle w:val="TextBody"/>
        <w:spacing w:before="120" w:after="0"/>
        <w:jc w:val="left"/>
        <w:rPr>
          <w:rFonts w:ascii="Times New Roman" w:hAnsi="Times New Roman"/>
          <w:sz w:val="24"/>
        </w:rPr>
      </w:pPr>
      <w:r>
        <w:rPr>
          <w:rFonts w:ascii="Times New Roman" w:hAnsi="Times New Roman"/>
          <w:sz w:val="24"/>
        </w:rPr>
        <w:t xml:space="preserve">Mereo entered into a part-time employment agreement with Ms. Alexandra (Wills) Hughes-Wilson on March 8, 2019, as amended on September 16, 2021. The employment agreement entitles Ms. Hughes-Wilson to an annual base salary and an opportunity to earn an annual discretionary performance-based bonus, subject to the achievement of performance goals determined in accordance with Mereo’s annual bonus plan. </w:t>
      </w:r>
    </w:p>
    <w:p>
      <w:pPr>
        <w:pStyle w:val="TextBody"/>
        <w:spacing w:before="240" w:after="0"/>
        <w:jc w:val="left"/>
        <w:rPr>
          <w:rFonts w:ascii="Times New Roman" w:hAnsi="Times New Roman"/>
          <w:sz w:val="24"/>
        </w:rPr>
      </w:pPr>
      <w:r>
        <w:rPr>
          <w:rFonts w:ascii="Times New Roman" w:hAnsi="Times New Roman"/>
          <w:sz w:val="24"/>
        </w:rPr>
        <w:t xml:space="preserve">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request, pay a pro-rata amount equal to 10% of her base salary as additional compensation. Either party may terminate the employment agreement by giving the other party not less than six months’ written notice, provided that Mereo may terminate Ms. Hughes- 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 The employment agreement includes the provision of accelerated vesting of share options and payments to Ms Hughes-Wilson equal to 12 months’ annual base salary and Ms. Hughes-Wilson’s target annual bonus in the event of a covered termination during the period commencing on a change in control of the Company and ending 12 months after such change in control. </w:t>
      </w:r>
    </w:p>
    <w:p>
      <w:pPr>
        <w:pStyle w:val="TextBody"/>
        <w:spacing w:before="360" w:after="0"/>
        <w:jc w:val="left"/>
        <w:rPr>
          <w:rFonts w:ascii="Times New Roman" w:hAnsi="Times New Roman"/>
          <w:sz w:val="24"/>
        </w:rPr>
      </w:pPr>
      <w:r>
        <w:rPr>
          <w:rFonts w:ascii="Times New Roman" w:hAnsi="Times New Roman"/>
          <w:b/>
          <w:i/>
          <w:sz w:val="24"/>
        </w:rPr>
        <w:t>Dr. John Lewicki</w:t>
      </w:r>
      <w:r>
        <w:rPr>
          <w:rFonts w:ascii="Times New Roman" w:hAnsi="Times New Roman"/>
          <w:sz w:val="24"/>
        </w:rPr>
        <w:t xml:space="preserve">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Dr. Lewicki on July 1, 2020, as amended on September 3, 2021. This agreement entitles Dr. Lewicki to receive an annual base salary and an opportunity to earn an annual discretionary performance-based bonus, subject to the achievement of performance goals determined in accordance with our annual bonus plan. Either party can terminate the employment agreement at any time, with or without cause. Dr. Lewicki’s employment agreement also contains restrictive covenants pursuant to which he has agreed to refrain from soliciting our key employees for a period of one year following his termination of employment. The employment agreement includes the provision of accelerated vesting of share options and payments to Dr. Lewicki in the event of a covered termination following a change in control of the Company. </w:t>
      </w:r>
    </w:p>
    <w:p>
      <w:pPr>
        <w:pStyle w:val="TextBody"/>
        <w:spacing w:before="240" w:after="0"/>
        <w:jc w:val="left"/>
        <w:rPr>
          <w:rFonts w:ascii="Times New Roman" w:hAnsi="Times New Roman"/>
          <w:sz w:val="24"/>
        </w:rPr>
      </w:pPr>
      <w:r>
        <w:rPr>
          <w:rFonts w:ascii="Times New Roman" w:hAnsi="Times New Roman"/>
          <w:sz w:val="24"/>
        </w:rPr>
        <w:t xml:space="preserve">During 2020, we also made payments due to Dr. Lewicki pursuant to (i) a Consulting Agreement, dated April 23, 2019, between Dr. Lewicki and OncoMed and (ii) a Severance Agreement, dated October 17, 2018, between Dr. Lewicki and OncoMed. </w:t>
      </w:r>
    </w:p>
    <w:p>
      <w:pPr>
        <w:pStyle w:val="TextBody"/>
        <w:spacing w:before="360" w:after="0"/>
        <w:jc w:val="left"/>
        <w:rPr>
          <w:rFonts w:ascii="Times New Roman" w:hAnsi="Times New Roman"/>
          <w:b/>
          <w:i/>
          <w:sz w:val="24"/>
        </w:rPr>
      </w:pPr>
      <w:r>
        <w:rPr>
          <w:rFonts w:ascii="Times New Roman" w:hAnsi="Times New Roman"/>
          <w:b/>
          <w:i/>
          <w:sz w:val="24"/>
        </w:rPr>
        <w:t xml:space="preserve">Dr. Suba Krishnan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Dr. Krishnan on December 7, 2020. This agreement entitles Dr. Krishnan to receive an annual base salary and an opportunity to earn an annual discretionary performance-based bonus, subject to the achievement of performance goals determined in accordance with our annual bonus plan. Either party can terminate the employment agreement at any time, with or without cause. Dr. Krishnan’s employment agreement also contains restrictive covenants pursuant to which she has agreed to refrain from soliciting our key employees for a period of one year following her termination of employment. The employment agreement includes the provision of accelerated vesting of share options and payments to Dr. Krishnan in the event of a covered termination following a change in control of the Company. </w:t>
      </w:r>
    </w:p>
    <w:p>
      <w:pPr>
        <w:pStyle w:val="TextBody"/>
        <w:spacing w:before="360" w:after="0"/>
        <w:jc w:val="left"/>
        <w:rPr>
          <w:rFonts w:ascii="Times New Roman" w:hAnsi="Times New Roman"/>
          <w:b/>
          <w:i/>
          <w:sz w:val="24"/>
        </w:rPr>
      </w:pPr>
      <w:r>
        <w:rPr>
          <w:rFonts w:ascii="Times New Roman" w:hAnsi="Times New Roman"/>
          <w:b/>
          <w:i/>
          <w:sz w:val="24"/>
        </w:rPr>
        <w:t xml:space="preserve">Dr. Jackie Parkin </w:t>
      </w:r>
    </w:p>
    <w:p>
      <w:pPr>
        <w:pStyle w:val="TextBody"/>
        <w:spacing w:before="120" w:after="0"/>
        <w:jc w:val="left"/>
        <w:rPr>
          <w:rFonts w:ascii="Times New Roman" w:hAnsi="Times New Roman"/>
          <w:sz w:val="24"/>
        </w:rPr>
      </w:pPr>
      <w:r>
        <w:rPr>
          <w:rFonts w:ascii="Times New Roman" w:hAnsi="Times New Roman"/>
          <w:sz w:val="24"/>
        </w:rPr>
        <w:t xml:space="preserve">We entered into an employment agreement with Dr. Parkin on October 26, 2015 as amended on October 12, 2021. This agreement entitles Dr. Parkin to an annual base salary and an opportunity to earn an annual discretionary performance- based bonus, subject to the achievement of performance goals determined in accordance with our annual bonus plan. We have agreed to contribute to Dr. Parkin’s Self-Invested Personal Pension Scheme an amount equal to 10% of Dr. Parkin’s annual salary provided that she contributes 4% or more of her annual salary to that scheme. In lieu of a pension contribution, we may, at Dr. Parkin’s request, pay a pro-rata amount equal to 10% of her base salary as additional compensation. Either party may terminate the employment agreement by giving the other party not less than six months’ written notice, provided that we may terminate Dr. Parkin at any time with immediate effect for cause or by giving written notice to Dr. Parkin’s that we will instead pay her basic salary for any remaining notice period. Dr. Parkin’s employment agreement also contains restrictive covenants pursuant to which she has agreed to refrain from competing with us or soliciting our key employees for a period of nine months following her termination of employment or soliciting our customers for a period of six months following her termination of employment. The employment agreement includes the provision of accelerated vesting of share options and payments to Dr. Parkin equal to 12 months’ annual base salary and Dr. Parkin’s target annual bonus in the event of a covered termination during the period commencing on a change in control of the Company and ending 12 months after such change in control. </w:t>
      </w:r>
    </w:p>
    <w:p>
      <w:pPr>
        <w:pStyle w:val="TextBody"/>
        <w:spacing w:before="360" w:after="0"/>
        <w:jc w:val="left"/>
        <w:rPr>
          <w:rFonts w:ascii="Times New Roman" w:hAnsi="Times New Roman"/>
          <w:b/>
          <w:sz w:val="24"/>
        </w:rPr>
      </w:pPr>
      <w:r>
        <w:rPr>
          <w:rFonts w:ascii="Times New Roman" w:hAnsi="Times New Roman"/>
          <w:b/>
          <w:sz w:val="24"/>
        </w:rPr>
        <w:t xml:space="preserve">Equity Compensation Awards to Non-Executive Directors and Executive Officers of Mereo </w:t>
      </w:r>
    </w:p>
    <w:p>
      <w:pPr>
        <w:pStyle w:val="TextBody"/>
        <w:spacing w:before="120" w:after="0"/>
        <w:jc w:val="left"/>
        <w:rPr>
          <w:rFonts w:ascii="Times New Roman" w:hAnsi="Times New Roman"/>
          <w:sz w:val="24"/>
        </w:rPr>
      </w:pPr>
      <w:r>
        <w:rPr>
          <w:rFonts w:ascii="Times New Roman" w:hAnsi="Times New Roman"/>
          <w:sz w:val="24"/>
        </w:rPr>
        <w:t xml:space="preserve">The following table summarizes: (i) the outstanding number of options and awards under the equity incentive plans; and (ii) the number of shares granted to executive officers and non-executive directors, as of December 31, 2022: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114 </w:t>
      </w:r>
      <w:r>
        <w:br w:type="page"/>
      </w:r>
    </w:p>
    <w:p>
      <w:pPr>
        <w:pStyle w:val="HorizontalLine"/>
        <w:rPr/>
      </w:pPr>
      <w:r>
        <w:rPr/>
      </w:r>
    </w:p>
    <w:p>
      <w:pPr>
        <w:pStyle w:val="Heading5"/>
        <w:rPr/>
      </w:pPr>
      <w:hyperlink w:anchor="toc">
        <w:r>
          <w:rPr>
            <w:rStyle w:val="InternetLink"/>
          </w:rPr>
          <w:t>Table of Contents</w:t>
        </w:r>
      </w:hyperlink>
    </w:p>
    <w:tbl>
      <w:tblPr>
        <w:tblW w:w="11920" w:type="dxa"/>
        <w:jc w:val="left"/>
        <w:tblInd w:w="0" w:type="dxa"/>
        <w:tblCellMar>
          <w:top w:w="0" w:type="dxa"/>
          <w:left w:w="0" w:type="dxa"/>
          <w:bottom w:w="0" w:type="dxa"/>
          <w:right w:w="0" w:type="dxa"/>
        </w:tblCellMar>
      </w:tblPr>
      <w:tblGrid>
        <w:gridCol w:w="1250"/>
        <w:gridCol w:w="120"/>
        <w:gridCol w:w="70"/>
        <w:gridCol w:w="1150"/>
        <w:gridCol w:w="60"/>
        <w:gridCol w:w="120"/>
        <w:gridCol w:w="67"/>
        <w:gridCol w:w="1108"/>
        <w:gridCol w:w="60"/>
        <w:gridCol w:w="120"/>
        <w:gridCol w:w="117"/>
        <w:gridCol w:w="863"/>
        <w:gridCol w:w="60"/>
        <w:gridCol w:w="120"/>
        <w:gridCol w:w="67"/>
        <w:gridCol w:w="1108"/>
        <w:gridCol w:w="60"/>
        <w:gridCol w:w="120"/>
        <w:gridCol w:w="105"/>
        <w:gridCol w:w="770"/>
        <w:gridCol w:w="60"/>
        <w:gridCol w:w="120"/>
        <w:gridCol w:w="60"/>
        <w:gridCol w:w="1925"/>
        <w:gridCol w:w="60"/>
        <w:gridCol w:w="120"/>
        <w:gridCol w:w="60"/>
        <w:gridCol w:w="1925"/>
        <w:gridCol w:w="75"/>
      </w:tblGrid>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Name</w:t>
            </w:r>
          </w:p>
          <w:p>
            <w:pPr>
              <w:pStyle w:val="TableContents"/>
              <w:pBdr>
                <w:bottom w:val="single" w:sz="8" w:space="1" w:color="000000"/>
              </w:pBdr>
              <w:spacing w:before="0" w:after="20"/>
              <w:rPr>
                <w:rFonts w:ascii="Times New Roman" w:hAnsi="Times New Roman"/>
                <w:b/>
                <w:sz w:val="22"/>
              </w:rPr>
            </w:pPr>
            <w:r>
              <w:rPr>
                <w:rFonts w:ascii="Times New Roman" w:hAnsi="Times New Roman"/>
                <w:b/>
                <w:sz w:val="22"/>
              </w:rPr>
              <w:t>Dr. or</w:t>
              <w:br/>
              <w:t>Ph.D or</w:t>
              <w:br/>
              <w:t>MBBS</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Ordinary</w:t>
              <w:br/>
              <w:t>Shares</w:t>
              <w:br/>
              <w:t>(including</w:t>
              <w:br/>
              <w:t>those</w:t>
              <w:br/>
              <w:t>represented</w:t>
              <w:br/>
              <w:t>by 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Ordinary</w:t>
              <w:br/>
              <w:t>Shares</w:t>
              <w:br/>
              <w:t>Underlying</w:t>
              <w:b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Exercise</w:t>
              <w:br/>
              <w:t>Price</w:t>
              <w:br/>
              <w:t>Per</w:t>
              <w:br/>
              <w:t>Ordinary</w:t>
              <w:br/>
              <w:t>Share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ADSs</w:t>
              <w:br/>
              <w:t>Underlying</w:t>
              <w:br/>
              <w:t>Options</w:t>
              <w:br/>
              <w:t>and</w:t>
              <w:br/>
              <w:t>Deferred</w:t>
              <w:br/>
              <w:t>RSUs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Exercise</w:t>
              <w:br/>
              <w:t>Price</w:t>
              <w:br/>
              <w:t>Per</w:t>
              <w:br/>
              <w:t>ADS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Expiration Date</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Denise Scots-Knight</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1,544,745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jc w:val="right"/>
              <w:rPr/>
            </w:pPr>
            <w:r>
              <w:rPr/>
              <w:t>1.29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September 25, 2015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September 25, 2025</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87,500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5.40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2029</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87,500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2029</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2030</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520,000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2031</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1,100,000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2032</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150" w:type="dxa"/>
            <w:tcBorders/>
            <w:shd w:fill="CCEEFF" w:val="clear"/>
            <w:vAlign w:val="center"/>
          </w:tcPr>
          <w:p>
            <w:pPr>
              <w:pStyle w:val="TableContents"/>
              <w:spacing w:before="0" w:after="283"/>
              <w:rPr/>
            </w:pPr>
            <w:r>
              <w:rPr/>
              <w:t>1,078,274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25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Christine Fox</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170,000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19,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19, 2031</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220,000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2032</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John Richard</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772,371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1.29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September 25, 2015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September 25, 2025</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jc w:val="right"/>
              <w:rPr/>
            </w:pPr>
            <w:r>
              <w:rPr/>
              <w:t>2.21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June 1, 2016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June 1, 2026</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27,500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5.40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2029</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27,500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2029</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2030</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140,000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2031</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220,000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2032</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150" w:type="dxa"/>
            <w:tcBorders/>
            <w:shd w:fill="CCEEFF" w:val="clear"/>
            <w:vAlign w:val="center"/>
          </w:tcPr>
          <w:p>
            <w:pPr>
              <w:pStyle w:val="TableContents"/>
              <w:spacing w:before="0" w:after="283"/>
              <w:rPr/>
            </w:pPr>
            <w:r>
              <w:rPr/>
              <w:t>386,158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250"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Charles Sermon</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772,371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1.29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September 25, 2015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September 25, 2025</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27,500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5.40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2029</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27,500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2029</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85,000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2030</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2031</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275,000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2032</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rPr/>
            </w:pPr>
            <w:r>
              <w:rPr/>
              <w:t>685,849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Alexandra (Wills) Hughes-Wilson</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30,769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jc w:val="right"/>
              <w:rPr/>
            </w:pPr>
            <w:r>
              <w:rPr/>
              <w:t>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 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 2028</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9,231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3.25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 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 2028</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18,000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5.40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2029</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18,000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2029</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2030</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2031</w:t>
            </w:r>
          </w:p>
        </w:tc>
        <w:tc>
          <w:tcPr>
            <w:tcW w:w="75"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160,000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2032</w:t>
            </w:r>
          </w:p>
        </w:tc>
        <w:tc>
          <w:tcPr>
            <w:tcW w:w="75" w:type="dxa"/>
            <w:tcBorders/>
            <w:shd w:fill="CCEEFF"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rPr/>
            </w:pPr>
            <w:r>
              <w:rPr/>
              <w:t>38,250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John Lewicki</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11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sz w:val="4"/>
                <w:szCs w:val="4"/>
              </w:rPr>
            </w:pPr>
            <w:r>
              <w:rPr>
                <w:sz w:val="4"/>
                <w:szCs w:val="4"/>
              </w:rPr>
            </w:r>
          </w:p>
        </w:tc>
        <w:tc>
          <w:tcPr>
            <w:tcW w:w="110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August 12,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August 12, 2030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115 </w:t>
      </w:r>
      <w:r>
        <w:br w:type="page"/>
      </w:r>
    </w:p>
    <w:p>
      <w:pPr>
        <w:pStyle w:val="HorizontalLine"/>
        <w:rPr/>
      </w:pPr>
      <w:r>
        <w:rPr/>
      </w:r>
    </w:p>
    <w:p>
      <w:pPr>
        <w:pStyle w:val="Heading5"/>
        <w:rPr/>
      </w:pPr>
      <w:hyperlink w:anchor="toc">
        <w:r>
          <w:rPr>
            <w:rStyle w:val="InternetLink"/>
          </w:rPr>
          <w:t>Table of Contents</w:t>
        </w:r>
      </w:hyperlink>
    </w:p>
    <w:tbl>
      <w:tblPr>
        <w:tblW w:w="12150" w:type="dxa"/>
        <w:jc w:val="left"/>
        <w:tblInd w:w="0" w:type="dxa"/>
        <w:tblCellMar>
          <w:top w:w="0" w:type="dxa"/>
          <w:left w:w="0" w:type="dxa"/>
          <w:bottom w:w="0" w:type="dxa"/>
          <w:right w:w="0" w:type="dxa"/>
        </w:tblCellMar>
      </w:tblPr>
      <w:tblGrid>
        <w:gridCol w:w="1445"/>
        <w:gridCol w:w="120"/>
        <w:gridCol w:w="63"/>
        <w:gridCol w:w="1157"/>
        <w:gridCol w:w="60"/>
        <w:gridCol w:w="120"/>
        <w:gridCol w:w="81"/>
        <w:gridCol w:w="1094"/>
        <w:gridCol w:w="60"/>
        <w:gridCol w:w="120"/>
        <w:gridCol w:w="117"/>
        <w:gridCol w:w="863"/>
        <w:gridCol w:w="60"/>
        <w:gridCol w:w="120"/>
        <w:gridCol w:w="81"/>
        <w:gridCol w:w="1094"/>
        <w:gridCol w:w="60"/>
        <w:gridCol w:w="120"/>
        <w:gridCol w:w="105"/>
        <w:gridCol w:w="770"/>
        <w:gridCol w:w="155"/>
        <w:gridCol w:w="60"/>
        <w:gridCol w:w="60"/>
        <w:gridCol w:w="1925"/>
        <w:gridCol w:w="60"/>
        <w:gridCol w:w="120"/>
        <w:gridCol w:w="60"/>
        <w:gridCol w:w="1925"/>
        <w:gridCol w:w="75"/>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Name</w:t>
            </w:r>
          </w:p>
          <w:p>
            <w:pPr>
              <w:pStyle w:val="TableContents"/>
              <w:pBdr>
                <w:bottom w:val="single" w:sz="8" w:space="1" w:color="000000"/>
              </w:pBdr>
              <w:spacing w:before="0" w:after="20"/>
              <w:rPr>
                <w:rFonts w:ascii="Times New Roman" w:hAnsi="Times New Roman"/>
                <w:b/>
                <w:sz w:val="22"/>
              </w:rPr>
            </w:pPr>
            <w:r>
              <w:rPr>
                <w:rFonts w:ascii="Times New Roman" w:hAnsi="Times New Roman"/>
                <w:b/>
                <w:sz w:val="22"/>
              </w:rPr>
              <w:t>Dr. or</w:t>
              <w:br/>
              <w:t>Ph.D or</w:t>
              <w:br/>
              <w:t>MBBS</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Ordinary</w:t>
              <w:br/>
              <w:t>Shares</w:t>
              <w:br/>
              <w:t>(including</w:t>
              <w:br/>
              <w:t>those</w:t>
              <w:br/>
              <w:t>represented</w:t>
              <w:br/>
              <w:t>by 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Ordinary</w:t>
              <w:br/>
              <w:t>Shares</w:t>
              <w:br/>
              <w:t>Underlying</w:t>
              <w:b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Exercise</w:t>
              <w:br/>
              <w:t>Price</w:t>
              <w:br/>
              <w:t>Per</w:t>
              <w:br/>
              <w:t>Ordinary</w:t>
              <w:br/>
              <w:t>Share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ADSs</w:t>
              <w:br/>
              <w:t>Underlying</w:t>
              <w:br/>
              <w:t>Options</w:t>
              <w:br/>
              <w:t>and</w:t>
              <w:br/>
              <w:t>Deferred</w:t>
              <w:br/>
              <w:t>RSUs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Exercise</w:t>
              <w:br/>
              <w:t>Price</w:t>
              <w:br/>
              <w:t>Per</w:t>
              <w:br/>
              <w:t>ADS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Expiration Date</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2031</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2032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157" w:type="dxa"/>
            <w:tcBorders/>
            <w:shd w:fill="CCEEFF" w:val="clear"/>
            <w:vAlign w:val="center"/>
          </w:tcPr>
          <w:p>
            <w:pPr>
              <w:pStyle w:val="TableContents"/>
              <w:spacing w:before="0" w:after="283"/>
              <w:rPr/>
            </w:pPr>
            <w:r>
              <w:rPr/>
              <w:t>90,995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44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Suba Krishnan</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19,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19, 2031</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180,000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14,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Jackie Parkin</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406,240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1.29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October 26, 2015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October 26, 2025</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5.40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2029</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2030</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2031</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January 14, 2032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Jeremy Bender</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3.32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19,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January 19, 2031</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31,500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2031</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38,032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Anders Ekblom</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216,264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jc w:val="right"/>
              <w:rPr/>
            </w:pPr>
            <w:r>
              <w:rPr/>
              <w:t>1.29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September 25, 2015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September 25, 2025</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5.40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May 20, 2029</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July 23, 2029</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20, 2030</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31,500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2031</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44,042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1,540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December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157" w:type="dxa"/>
            <w:tcBorders/>
            <w:shd w:fill="CCEEFF" w:val="clear"/>
            <w:vAlign w:val="center"/>
          </w:tcPr>
          <w:p>
            <w:pPr>
              <w:pStyle w:val="TableContents"/>
              <w:spacing w:before="0" w:after="283"/>
              <w:rPr/>
            </w:pPr>
            <w:r>
              <w:rPr/>
              <w:t>189,702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sz w:val="4"/>
                <w:szCs w:val="4"/>
              </w:rPr>
            </w:pPr>
            <w:r>
              <w:rPr>
                <w:sz w:val="4"/>
                <w:szCs w:val="4"/>
              </w:rPr>
            </w:r>
          </w:p>
        </w:tc>
        <w:tc>
          <w:tcPr>
            <w:tcW w:w="77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92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44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Dr. Pierre Jacquet</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88,393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1.31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32,867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1,583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December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Annalisa Jenkins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9,167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9,946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December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Deepika R. Pakianathan</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5.40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2029</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2029</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2030</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31,500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2031</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sz w:val="22"/>
              </w:rPr>
            </w:pPr>
            <w:r>
              <w:rPr>
                <w:rFonts w:ascii="Times New Roman" w:hAnsi="Times New Roman"/>
                <w:sz w:val="22"/>
              </w:rPr>
              <w:t>Justin Roberts(1)</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57" w:type="dxa"/>
            <w:tcBorders/>
            <w:shd w:fill="auto" w:val="clear"/>
            <w:vAlign w:val="center"/>
          </w:tcPr>
          <w:p>
            <w:pPr>
              <w:pStyle w:val="TableContents"/>
              <w:spacing w:before="0" w:after="283"/>
              <w:jc w:val="right"/>
              <w:rPr/>
            </w:pPr>
            <w:r>
              <w:rPr/>
              <w:t>83,780,600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Dr. Daniel Shames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9,167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9,946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December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Marc Yoskowitz</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9,167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December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9,946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December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sz w:val="22"/>
              </w:rPr>
            </w:pPr>
            <w:r>
              <w:rPr>
                <w:rFonts w:ascii="Times New Roman" w:hAnsi="Times New Roman"/>
                <w:sz w:val="22"/>
              </w:rPr>
              <w:t>Michael S. Wyzga</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5.40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May 20, 2029</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3.00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July 23, 2029</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20, 2030</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31,500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2031</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1.31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February 1, 2032</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43,524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February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(2)</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sz w:val="4"/>
                <w:szCs w:val="4"/>
              </w:rPr>
            </w:pPr>
            <w:r>
              <w:rPr>
                <w:sz w:val="4"/>
                <w:szCs w:val="4"/>
              </w:rPr>
            </w:r>
          </w:p>
        </w:tc>
        <w:tc>
          <w:tcPr>
            <w:tcW w:w="11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sz w:val="4"/>
                <w:szCs w:val="4"/>
              </w:rPr>
            </w:pPr>
            <w:r>
              <w:rPr>
                <w:sz w:val="4"/>
                <w:szCs w:val="4"/>
              </w:rPr>
            </w:r>
          </w:p>
        </w:tc>
        <w:tc>
          <w:tcPr>
            <w:tcW w:w="10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56,342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jc w:val="right"/>
              <w:rPr/>
            </w:pPr>
            <w:r>
              <w:rPr/>
              <w:t>(2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June 1,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rPr/>
            </w:pPr>
            <w:r>
              <w:rPr/>
              <w:t>(2)</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(1)</w:t>
            </w:r>
          </w:p>
        </w:tc>
        <w:tc>
          <w:tcPr>
            <w:tcW w:w="9957"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Mr. Roberts is a partner of Rubric Capital Management LP, which has ultimate voting and investment power over the ordinary shares and ADSs held by Rubric Capital Management LP. He disclaims beneficial ownership of such shares except to the extent of any pecuniary interest therein. Mr. Roberts has waived all remuneration in respect of his appointment as a non-executive director.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(2)</w:t>
            </w:r>
          </w:p>
        </w:tc>
        <w:tc>
          <w:tcPr>
            <w:tcW w:w="9922"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Deferred RSUs do not have an exercise price and payment of Deferred RSUs will generally be made 180 days following separation of service.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Mereo has granted or may grant or intend to grant share options and awards under the following seven equity award plans (the “Mereo Share Plans”): (i) the 2015 Plan; (ii) the Share Option Plan; (iii) the LTIP; (iv) the Mereo 2019 DBP; (v) the Mereo 2019 Equity Incentive Plan (the 2019 Plan), (vi) the 2019 NED Equity Incentive Plan (the “2019 NED Plan”) (each as defined below). </w:t>
      </w:r>
    </w:p>
    <w:p>
      <w:pPr>
        <w:pStyle w:val="TextBody"/>
        <w:spacing w:before="360" w:after="0"/>
        <w:jc w:val="left"/>
        <w:rPr>
          <w:rFonts w:ascii="Times New Roman" w:hAnsi="Times New Roman"/>
          <w:b/>
          <w:i/>
          <w:sz w:val="24"/>
        </w:rPr>
      </w:pPr>
      <w:r>
        <w:rPr>
          <w:rFonts w:ascii="Times New Roman" w:hAnsi="Times New Roman"/>
          <w:b/>
          <w:i/>
          <w:sz w:val="24"/>
        </w:rPr>
        <w:t xml:space="preserve">The 2015 Plan </w:t>
      </w:r>
    </w:p>
    <w:p>
      <w:pPr>
        <w:pStyle w:val="TextBody"/>
        <w:spacing w:before="120" w:after="0"/>
        <w:jc w:val="left"/>
        <w:rPr>
          <w:rFonts w:ascii="Times New Roman" w:hAnsi="Times New Roman"/>
          <w:sz w:val="24"/>
        </w:rPr>
      </w:pPr>
      <w:r>
        <w:rPr>
          <w:rFonts w:ascii="Times New Roman" w:hAnsi="Times New Roman"/>
          <w:sz w:val="24"/>
        </w:rPr>
        <w:t xml:space="preserve">Prior to the admission of Mereo ordinary shares to trading on the AIM market of the London Stock Exchange plc in June 2016 (“Admission”), Mereo granted options under the 2015 Plan. No further grants have been made under the 2015 Plan since Admission. On December 18, 2020, admission of our ordinary shares to trading on the AIM market of the London Stock Exchange plc was cancelled. The 2015 Plan was amended on December 3, 2020. </w:t>
      </w:r>
    </w:p>
    <w:p>
      <w:pPr>
        <w:pStyle w:val="TextBody"/>
        <w:spacing w:before="360" w:after="0"/>
        <w:jc w:val="left"/>
        <w:rPr>
          <w:rFonts w:ascii="Times New Roman" w:hAnsi="Times New Roman"/>
          <w:i/>
          <w:sz w:val="24"/>
        </w:rPr>
      </w:pPr>
      <w:r>
        <w:rPr>
          <w:rFonts w:ascii="Times New Roman" w:hAnsi="Times New Roman"/>
          <w:i/>
          <w:sz w:val="24"/>
        </w:rPr>
        <w:t xml:space="preserve">Eligibility, Awards and Administration </w:t>
      </w:r>
    </w:p>
    <w:p>
      <w:pPr>
        <w:pStyle w:val="TextBody"/>
        <w:spacing w:before="120" w:after="0"/>
        <w:jc w:val="left"/>
        <w:rPr>
          <w:rFonts w:ascii="Times New Roman" w:hAnsi="Times New Roman"/>
          <w:sz w:val="24"/>
        </w:rPr>
      </w:pPr>
      <w:r>
        <w:rPr>
          <w:rFonts w:ascii="Times New Roman" w:hAnsi="Times New Roman"/>
          <w:sz w:val="24"/>
        </w:rPr>
        <w:t xml:space="preserve">The 2015 Plan provides for the grant of options to executive directors, non-executive directors, employees and consultants. </w:t>
      </w:r>
    </w:p>
    <w:p>
      <w:pPr>
        <w:pStyle w:val="TextBody"/>
        <w:spacing w:before="240" w:after="0"/>
        <w:jc w:val="left"/>
        <w:rPr>
          <w:rFonts w:ascii="Times New Roman" w:hAnsi="Times New Roman"/>
          <w:sz w:val="24"/>
        </w:rPr>
      </w:pPr>
      <w:r>
        <w:rPr>
          <w:rFonts w:ascii="Times New Roman" w:hAnsi="Times New Roman"/>
          <w:sz w:val="24"/>
        </w:rPr>
        <w:t xml:space="preserve">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 </w:t>
      </w:r>
    </w:p>
    <w:p>
      <w:pPr>
        <w:pStyle w:val="TextBody"/>
        <w:spacing w:before="240" w:after="0"/>
        <w:jc w:val="left"/>
        <w:rPr>
          <w:rFonts w:ascii="Times New Roman" w:hAnsi="Times New Roman"/>
          <w:sz w:val="24"/>
        </w:rPr>
      </w:pPr>
      <w:r>
        <w:rPr>
          <w:rFonts w:ascii="Times New Roman" w:hAnsi="Times New Roman"/>
          <w:sz w:val="24"/>
        </w:rPr>
        <w:t xml:space="preserve">Admission did not automatically accelerate the vesting of options, and unvested options continue to vest in accordance with their original vesting schedule, subject to the rules of the 2015 Plan. The options are not subject to performance conditions other than continued service. </w:t>
      </w:r>
    </w:p>
    <w:p>
      <w:pPr>
        <w:pStyle w:val="TextBody"/>
        <w:spacing w:before="240" w:after="0"/>
        <w:jc w:val="left"/>
        <w:rPr>
          <w:rFonts w:ascii="Times New Roman" w:hAnsi="Times New Roman"/>
          <w:sz w:val="24"/>
        </w:rPr>
      </w:pPr>
      <w:r>
        <w:rPr>
          <w:rFonts w:ascii="Times New Roman" w:hAnsi="Times New Roman"/>
          <w:sz w:val="24"/>
        </w:rPr>
        <w:t xml:space="preserve">Options are not automatically exercisable on vesting, but upon Admission became exercisable to the extent vested. Options may generally be exercised until the day immediately preceding the tenth anniversary of the date of grant. Options have been granted under the 2015 Plan with an exercise price ranging from £1.43 per Mereo ordinary share to £2.44 per Mereo ordinary share.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Plan Leavers </w:t>
      </w:r>
    </w:p>
    <w:p>
      <w:pPr>
        <w:pStyle w:val="TextBody"/>
        <w:spacing w:before="120" w:after="0"/>
        <w:jc w:val="left"/>
        <w:rPr>
          <w:rFonts w:ascii="Times New Roman" w:hAnsi="Times New Roman"/>
          <w:sz w:val="24"/>
        </w:rPr>
      </w:pPr>
      <w:r>
        <w:rPr>
          <w:rFonts w:ascii="Times New Roman" w:hAnsi="Times New Roman"/>
          <w:sz w:val="24"/>
        </w:rPr>
        <w:t xml:space="preserve">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 </w:t>
      </w:r>
    </w:p>
    <w:p>
      <w:pPr>
        <w:pStyle w:val="TextBody"/>
        <w:spacing w:before="360" w:after="0"/>
        <w:jc w:val="left"/>
        <w:rPr>
          <w:rFonts w:ascii="Times New Roman" w:hAnsi="Times New Roman"/>
          <w:i/>
          <w:sz w:val="24"/>
        </w:rPr>
      </w:pPr>
      <w:r>
        <w:rPr>
          <w:rFonts w:ascii="Times New Roman" w:hAnsi="Times New Roman"/>
          <w:i/>
          <w:sz w:val="24"/>
        </w:rPr>
        <w:t xml:space="preserve">Certain Transactions </w:t>
      </w:r>
    </w:p>
    <w:p>
      <w:pPr>
        <w:pStyle w:val="TextBody"/>
        <w:spacing w:before="120" w:after="0"/>
        <w:jc w:val="left"/>
        <w:rPr>
          <w:rFonts w:ascii="Times New Roman" w:hAnsi="Times New Roman"/>
          <w:sz w:val="24"/>
        </w:rPr>
      </w:pPr>
      <w:r>
        <w:rPr>
          <w:rFonts w:ascii="Times New Roman" w:hAnsi="Times New Roman"/>
          <w:sz w:val="24"/>
        </w:rPr>
        <w:t xml:space="preserve">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 </w:t>
      </w:r>
    </w:p>
    <w:p>
      <w:pPr>
        <w:pStyle w:val="TextBody"/>
        <w:spacing w:before="360" w:after="0"/>
        <w:jc w:val="left"/>
        <w:rPr>
          <w:rFonts w:ascii="Times New Roman" w:hAnsi="Times New Roman"/>
          <w:i/>
          <w:sz w:val="24"/>
        </w:rPr>
      </w:pPr>
      <w:r>
        <w:rPr>
          <w:rFonts w:ascii="Times New Roman" w:hAnsi="Times New Roman"/>
          <w:i/>
          <w:sz w:val="24"/>
        </w:rPr>
        <w:t xml:space="preserve">Adjustments </w:t>
      </w:r>
    </w:p>
    <w:p>
      <w:pPr>
        <w:pStyle w:val="TextBody"/>
        <w:spacing w:before="120" w:after="0"/>
        <w:jc w:val="left"/>
        <w:rPr>
          <w:rFonts w:ascii="Times New Roman" w:hAnsi="Times New Roman"/>
          <w:sz w:val="24"/>
        </w:rPr>
      </w:pPr>
      <w:r>
        <w:rPr>
          <w:rFonts w:ascii="Times New Roman" w:hAnsi="Times New Roman"/>
          <w:sz w:val="24"/>
        </w:rPr>
        <w:t xml:space="preserve">In the event of any capitalization, rights issue, consolidation, subdivision, reduction or any other variation of Mereo’s share capital, the number of Mereo ordinary shares subject to an option and the exercise price applying to an option may be varied in such manner as the Mereo Board may determine. </w:t>
      </w:r>
    </w:p>
    <w:p>
      <w:pPr>
        <w:pStyle w:val="TextBody"/>
        <w:spacing w:before="360" w:after="0"/>
        <w:jc w:val="left"/>
        <w:rPr>
          <w:rFonts w:ascii="Times New Roman" w:hAnsi="Times New Roman"/>
          <w:i/>
          <w:sz w:val="24"/>
        </w:rPr>
      </w:pPr>
      <w:r>
        <w:rPr>
          <w:rFonts w:ascii="Times New Roman" w:hAnsi="Times New Roman"/>
          <w:i/>
          <w:sz w:val="24"/>
        </w:rPr>
        <w:t xml:space="preserve">Amendment and Termination </w:t>
      </w:r>
    </w:p>
    <w:p>
      <w:pPr>
        <w:pStyle w:val="TextBody"/>
        <w:spacing w:before="120" w:after="0"/>
        <w:jc w:val="left"/>
        <w:rPr>
          <w:rFonts w:ascii="Times New Roman" w:hAnsi="Times New Roman"/>
          <w:sz w:val="24"/>
        </w:rPr>
      </w:pPr>
      <w:r>
        <w:rPr>
          <w:rFonts w:ascii="Times New Roman" w:hAnsi="Times New Roman"/>
          <w:sz w:val="24"/>
        </w:rPr>
        <w:t xml:space="preserve">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 </w:t>
      </w:r>
    </w:p>
    <w:p>
      <w:pPr>
        <w:pStyle w:val="TextBody"/>
        <w:spacing w:before="360" w:after="0"/>
        <w:jc w:val="left"/>
        <w:rPr>
          <w:rFonts w:ascii="Times New Roman" w:hAnsi="Times New Roman"/>
          <w:b/>
          <w:i/>
          <w:sz w:val="24"/>
        </w:rPr>
      </w:pPr>
      <w:r>
        <w:rPr>
          <w:rFonts w:ascii="Times New Roman" w:hAnsi="Times New Roman"/>
          <w:b/>
          <w:i/>
          <w:sz w:val="24"/>
        </w:rPr>
        <w:t xml:space="preserve">The Mereo Share Option Plan (the “Share Option Plan”) </w:t>
      </w:r>
    </w:p>
    <w:p>
      <w:pPr>
        <w:pStyle w:val="TextBody"/>
        <w:spacing w:before="120" w:after="0"/>
        <w:jc w:val="left"/>
        <w:rPr>
          <w:rFonts w:ascii="Times New Roman" w:hAnsi="Times New Roman"/>
          <w:sz w:val="24"/>
        </w:rPr>
      </w:pPr>
      <w:r>
        <w:rPr>
          <w:rFonts w:ascii="Times New Roman" w:hAnsi="Times New Roman"/>
          <w:sz w:val="24"/>
        </w:rPr>
        <w:t xml:space="preserve">The Mereo Board adopted the Share Option Plan on June 9, 2016, and has subsequently amended it. Except where the context indicates otherwise, references to Mereo ordinary shares shall be deemed to include a number of our ADSs representing the right to receive our ordinary shares. </w:t>
      </w:r>
    </w:p>
    <w:p>
      <w:pPr>
        <w:pStyle w:val="TextBody"/>
        <w:spacing w:before="360" w:after="0"/>
        <w:jc w:val="left"/>
        <w:rPr>
          <w:rFonts w:ascii="Times New Roman" w:hAnsi="Times New Roman"/>
          <w:i/>
          <w:sz w:val="24"/>
        </w:rPr>
      </w:pPr>
      <w:r>
        <w:rPr>
          <w:rFonts w:ascii="Times New Roman" w:hAnsi="Times New Roman"/>
          <w:i/>
          <w:sz w:val="24"/>
        </w:rPr>
        <w:t xml:space="preserve">Eligibility, Awards and Administration </w:t>
      </w:r>
    </w:p>
    <w:p>
      <w:pPr>
        <w:pStyle w:val="TextBody"/>
        <w:spacing w:before="120" w:after="0"/>
        <w:jc w:val="left"/>
        <w:rPr>
          <w:rFonts w:ascii="Times New Roman" w:hAnsi="Times New Roman"/>
          <w:sz w:val="24"/>
        </w:rPr>
      </w:pPr>
      <w:r>
        <w:rPr>
          <w:rFonts w:ascii="Times New Roman" w:hAnsi="Times New Roman"/>
          <w:sz w:val="24"/>
        </w:rPr>
        <w:t xml:space="preserve">The Share Option Plan provides for the grant of options to acquire Mereo ordinary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 </w:t>
      </w:r>
    </w:p>
    <w:p>
      <w:pPr>
        <w:pStyle w:val="TextBody"/>
        <w:spacing w:before="360" w:after="0"/>
        <w:jc w:val="left"/>
        <w:rPr>
          <w:rFonts w:ascii="Times New Roman" w:hAnsi="Times New Roman"/>
          <w:i/>
          <w:sz w:val="24"/>
        </w:rPr>
      </w:pPr>
      <w:r>
        <w:rPr>
          <w:rFonts w:ascii="Times New Roman" w:hAnsi="Times New Roman"/>
          <w:i/>
          <w:sz w:val="24"/>
        </w:rPr>
        <w:t xml:space="preserve">Vesting and Exercise </w:t>
      </w:r>
    </w:p>
    <w:p>
      <w:pPr>
        <w:pStyle w:val="TextBody"/>
        <w:spacing w:before="120" w:after="0"/>
        <w:jc w:val="left"/>
        <w:rPr>
          <w:rFonts w:ascii="Times New Roman" w:hAnsi="Times New Roman"/>
          <w:sz w:val="24"/>
        </w:rPr>
      </w:pPr>
      <w:r>
        <w:rPr>
          <w:rFonts w:ascii="Times New Roman" w:hAnsi="Times New Roman"/>
          <w:sz w:val="24"/>
        </w:rPr>
        <w:t xml:space="preserve">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 </w:t>
      </w:r>
    </w:p>
    <w:p>
      <w:pPr>
        <w:pStyle w:val="TextBody"/>
        <w:spacing w:before="360" w:after="0"/>
        <w:jc w:val="left"/>
        <w:rPr>
          <w:rFonts w:ascii="Times New Roman" w:hAnsi="Times New Roman"/>
          <w:i/>
          <w:sz w:val="24"/>
        </w:rPr>
      </w:pPr>
      <w:r>
        <w:rPr>
          <w:rFonts w:ascii="Times New Roman" w:hAnsi="Times New Roman"/>
          <w:i/>
          <w:sz w:val="24"/>
        </w:rPr>
        <w:t xml:space="preserve">Limitation on Awards </w:t>
      </w:r>
    </w:p>
    <w:p>
      <w:pPr>
        <w:pStyle w:val="TextBody"/>
        <w:spacing w:before="120" w:after="0"/>
        <w:jc w:val="left"/>
        <w:rPr>
          <w:rFonts w:ascii="Times New Roman" w:hAnsi="Times New Roman"/>
          <w:sz w:val="24"/>
        </w:rPr>
      </w:pPr>
      <w:r>
        <w:rPr>
          <w:rFonts w:ascii="Times New Roman" w:hAnsi="Times New Roman"/>
          <w:sz w:val="24"/>
        </w:rPr>
        <w:t xml:space="preserve">No eligible employee may be granted options that, at the time they are granted, would cause the market value of shares subject to the options granted to the employee in respect of a financial year to exceed 400% of the employee’s salary.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Plan Leavers </w:t>
      </w:r>
    </w:p>
    <w:p>
      <w:pPr>
        <w:pStyle w:val="TextBody"/>
        <w:spacing w:before="120" w:after="0"/>
        <w:jc w:val="left"/>
        <w:rPr>
          <w:rFonts w:ascii="Times New Roman" w:hAnsi="Times New Roman"/>
          <w:sz w:val="24"/>
        </w:rPr>
      </w:pPr>
      <w:r>
        <w:rPr>
          <w:rFonts w:ascii="Times New Roman" w:hAnsi="Times New Roman"/>
          <w:sz w:val="24"/>
        </w:rPr>
        <w:t xml:space="preserve">If a participant ceases to hold office or employment with Mereo as a result of dismissal for gross misconduct, any option the participant holds, whether vested or unvested, will lapse. </w:t>
      </w:r>
    </w:p>
    <w:p>
      <w:pPr>
        <w:pStyle w:val="TextBody"/>
        <w:spacing w:before="240" w:after="0"/>
        <w:jc w:val="left"/>
        <w:rPr>
          <w:rFonts w:ascii="Times New Roman" w:hAnsi="Times New Roman"/>
          <w:sz w:val="24"/>
        </w:rPr>
      </w:pPr>
      <w:r>
        <w:rPr>
          <w:rFonts w:ascii="Times New Roman" w:hAnsi="Times New Roman"/>
          <w:sz w:val="24"/>
        </w:rPr>
        <w:t xml:space="preserve">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 </w:t>
      </w:r>
    </w:p>
    <w:p>
      <w:pPr>
        <w:pStyle w:val="TextBody"/>
        <w:spacing w:before="240" w:after="0"/>
        <w:jc w:val="left"/>
        <w:rPr>
          <w:rFonts w:ascii="Times New Roman" w:hAnsi="Times New Roman"/>
          <w:sz w:val="24"/>
        </w:rPr>
      </w:pPr>
      <w:r>
        <w:rPr>
          <w:rFonts w:ascii="Times New Roman" w:hAnsi="Times New Roman"/>
          <w:sz w:val="24"/>
        </w:rPr>
        <w:t xml:space="preserve">Unless the board determines otherwise, options may not be transferred in any way and will lapse immediately on any attempt to do so, except that options may be transferred to a participant’s personal representative upon death. </w:t>
      </w:r>
    </w:p>
    <w:p>
      <w:pPr>
        <w:pStyle w:val="TextBody"/>
        <w:spacing w:before="360" w:after="0"/>
        <w:jc w:val="left"/>
        <w:rPr>
          <w:rFonts w:ascii="Times New Roman" w:hAnsi="Times New Roman"/>
          <w:i/>
          <w:sz w:val="24"/>
        </w:rPr>
      </w:pPr>
      <w:r>
        <w:rPr>
          <w:rFonts w:ascii="Times New Roman" w:hAnsi="Times New Roman"/>
          <w:i/>
          <w:sz w:val="24"/>
        </w:rPr>
        <w:t xml:space="preserve">Certain Transactions </w:t>
      </w:r>
    </w:p>
    <w:p>
      <w:pPr>
        <w:pStyle w:val="TextBody"/>
        <w:spacing w:before="120" w:after="0"/>
        <w:jc w:val="left"/>
        <w:rPr>
          <w:rFonts w:ascii="Times New Roman" w:hAnsi="Times New Roman"/>
          <w:sz w:val="24"/>
        </w:rPr>
      </w:pPr>
      <w:r>
        <w:rPr>
          <w:rFonts w:ascii="Times New Roman" w:hAnsi="Times New Roman"/>
          <w:sz w:val="24"/>
        </w:rPr>
        <w:t xml:space="preserve">Under the Share Option Plan, if certain changes are made in, or events occur with respect to, Mereo ordinary shares (including any variation of share capital, demerger, cancellation of admission, special dividend, rights issue or any other event, which may, in the opinion of the Mereo Board affect the current or future value of Mereo ordinary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 </w:t>
      </w:r>
    </w:p>
    <w:p>
      <w:pPr>
        <w:pStyle w:val="TextBody"/>
        <w:spacing w:before="240" w:after="0"/>
        <w:jc w:val="left"/>
        <w:rPr>
          <w:rFonts w:ascii="Times New Roman" w:hAnsi="Times New Roman"/>
          <w:sz w:val="24"/>
        </w:rPr>
      </w:pPr>
      <w:r>
        <w:rPr>
          <w:rFonts w:ascii="Times New Roman" w:hAnsi="Times New Roman"/>
          <w:sz w:val="24"/>
        </w:rPr>
        <w:t xml:space="preserve">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 </w:t>
      </w:r>
    </w:p>
    <w:p>
      <w:pPr>
        <w:pStyle w:val="TextBody"/>
        <w:spacing w:before="360" w:after="0"/>
        <w:jc w:val="left"/>
        <w:rPr>
          <w:rFonts w:ascii="Times New Roman" w:hAnsi="Times New Roman"/>
          <w:i/>
          <w:sz w:val="24"/>
        </w:rPr>
      </w:pPr>
      <w:r>
        <w:rPr>
          <w:rFonts w:ascii="Times New Roman" w:hAnsi="Times New Roman"/>
          <w:i/>
          <w:sz w:val="24"/>
        </w:rPr>
        <w:t xml:space="preserve">Amendment and Termination </w:t>
      </w:r>
    </w:p>
    <w:p>
      <w:pPr>
        <w:pStyle w:val="TextBody"/>
        <w:spacing w:before="120" w:after="0"/>
        <w:jc w:val="left"/>
        <w:rPr>
          <w:rFonts w:ascii="Times New Roman" w:hAnsi="Times New Roman"/>
          <w:sz w:val="24"/>
        </w:rPr>
      </w:pPr>
      <w:r>
        <w:rPr>
          <w:rFonts w:ascii="Times New Roman" w:hAnsi="Times New Roman"/>
          <w:sz w:val="24"/>
        </w:rPr>
        <w:t xml:space="preserve">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U.K. Companies Act 2006. No options may be granted pursuant to the Share Option Plan after the tenth anniversary of the date of Mereo’s Admission.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The Mereo 2019 Equity Incentive Plan (the 2019 EIP) </w:t>
      </w:r>
    </w:p>
    <w:p>
      <w:pPr>
        <w:pStyle w:val="TextBody"/>
        <w:spacing w:before="120" w:after="0"/>
        <w:jc w:val="left"/>
        <w:rPr>
          <w:rFonts w:ascii="Times New Roman" w:hAnsi="Times New Roman"/>
          <w:sz w:val="24"/>
        </w:rPr>
      </w:pPr>
      <w:r>
        <w:rPr>
          <w:rFonts w:ascii="Times New Roman" w:hAnsi="Times New Roman"/>
          <w:sz w:val="24"/>
        </w:rPr>
        <w:t xml:space="preserve">Our Board adopted the 2019 EIP on April 4, 2019. The Remuneration Committee made minor amendments to the rules of the 2019 EIP on May 16, 2019 and subsequently on February 13, 2020 and January 15, 2021. </w:t>
      </w:r>
    </w:p>
    <w:p>
      <w:pPr>
        <w:pStyle w:val="TextBody"/>
        <w:spacing w:before="360" w:after="0"/>
        <w:jc w:val="left"/>
        <w:rPr>
          <w:rFonts w:ascii="Times New Roman" w:hAnsi="Times New Roman"/>
          <w:i/>
          <w:sz w:val="24"/>
        </w:rPr>
      </w:pPr>
      <w:r>
        <w:rPr>
          <w:rFonts w:ascii="Times New Roman" w:hAnsi="Times New Roman"/>
          <w:i/>
          <w:sz w:val="24"/>
        </w:rPr>
        <w:t xml:space="preserve">Eligibility, Awards and Administration </w:t>
      </w:r>
    </w:p>
    <w:p>
      <w:pPr>
        <w:pStyle w:val="TextBody"/>
        <w:spacing w:before="120" w:after="0"/>
        <w:jc w:val="left"/>
        <w:rPr>
          <w:rFonts w:ascii="Times New Roman" w:hAnsi="Times New Roman"/>
          <w:sz w:val="24"/>
        </w:rPr>
      </w:pPr>
      <w:r>
        <w:rPr>
          <w:rFonts w:ascii="Times New Roman" w:hAnsi="Times New Roman"/>
          <w:sz w:val="24"/>
        </w:rPr>
        <w:t xml:space="preserve">The 2019 EIP provides for the grant of the following types of awards to executive directors and employees: (i) market value options; (ii) share appreciation rights; (iii) restricted stock / restricted stock unit awards; (iv) performance awards (awards subject to performance conditions) and (v) other share-based awards. </w:t>
      </w:r>
    </w:p>
    <w:p>
      <w:pPr>
        <w:pStyle w:val="TextBody"/>
        <w:spacing w:before="240" w:after="0"/>
        <w:jc w:val="left"/>
        <w:rPr>
          <w:rFonts w:ascii="Times New Roman" w:hAnsi="Times New Roman"/>
          <w:sz w:val="24"/>
        </w:rPr>
      </w:pPr>
      <w:r>
        <w:rPr>
          <w:rFonts w:ascii="Times New Roman" w:hAnsi="Times New Roman"/>
          <w:sz w:val="24"/>
        </w:rPr>
        <w:t xml:space="preserve">Subject to the terms of the 2019 EIP awards can be granted in respect of ordinary shares, ADSs, cash or a combination thereof. References in this section to ordinary shares will be deemed references to ADSs, as applicable. </w:t>
      </w:r>
    </w:p>
    <w:p>
      <w:pPr>
        <w:pStyle w:val="TextBody"/>
        <w:spacing w:before="240" w:after="0"/>
        <w:jc w:val="left"/>
        <w:rPr>
          <w:rFonts w:ascii="Times New Roman" w:hAnsi="Times New Roman"/>
          <w:sz w:val="24"/>
        </w:rPr>
      </w:pPr>
      <w:r>
        <w:rPr>
          <w:rFonts w:ascii="Times New Roman" w:hAnsi="Times New Roman"/>
          <w:sz w:val="24"/>
        </w:rPr>
        <w:t xml:space="preserve">The 2019 EIP is administered by the Remuneration Committee unless the Remuneration Committee designates one or more directors as a subcommittee who may act for the Remuneration Committee if necessary. The Board may also choose to administer the 2019 EIP itself. </w:t>
      </w:r>
    </w:p>
    <w:p>
      <w:pPr>
        <w:pStyle w:val="TextBody"/>
        <w:spacing w:before="360" w:after="0"/>
        <w:jc w:val="left"/>
        <w:rPr>
          <w:rFonts w:ascii="Times New Roman" w:hAnsi="Times New Roman"/>
          <w:i/>
          <w:sz w:val="24"/>
        </w:rPr>
      </w:pPr>
      <w:r>
        <w:rPr>
          <w:rFonts w:ascii="Times New Roman" w:hAnsi="Times New Roman"/>
          <w:i/>
          <w:sz w:val="24"/>
        </w:rPr>
        <w:t xml:space="preserve">Vesting Schedule </w:t>
      </w:r>
    </w:p>
    <w:p>
      <w:pPr>
        <w:pStyle w:val="TextBody"/>
        <w:spacing w:before="120" w:after="0"/>
        <w:jc w:val="left"/>
        <w:rPr>
          <w:rFonts w:ascii="Times New Roman" w:hAnsi="Times New Roman"/>
          <w:sz w:val="24"/>
        </w:rPr>
      </w:pPr>
      <w:r>
        <w:rPr>
          <w:rFonts w:ascii="Times New Roman" w:hAnsi="Times New Roman"/>
          <w:sz w:val="24"/>
        </w:rPr>
        <w:t xml:space="preserve">Awards vest in accordance with the vesting schedule set for the relevant award in its award agreement. Subject to the executive director or employees continued employment, one-fourth of each market value option grant shall vest on the first anniversary of the grant date and the remainder shall vest in equal monthly installments over the three-year period following the first anniversary.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Limitation on Awards </w:t>
      </w:r>
    </w:p>
    <w:p>
      <w:pPr>
        <w:pStyle w:val="TextBody"/>
        <w:spacing w:before="120" w:after="0"/>
        <w:jc w:val="left"/>
        <w:rPr>
          <w:rFonts w:ascii="Times New Roman" w:hAnsi="Times New Roman"/>
          <w:sz w:val="24"/>
        </w:rPr>
      </w:pPr>
      <w:r>
        <w:rPr>
          <w:rFonts w:ascii="Times New Roman" w:hAnsi="Times New Roman"/>
          <w:sz w:val="24"/>
        </w:rPr>
        <w:t xml:space="preserve">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 </w:t>
      </w:r>
    </w:p>
    <w:p>
      <w:pPr>
        <w:pStyle w:val="TextBody"/>
        <w:spacing w:before="360" w:after="0"/>
        <w:jc w:val="left"/>
        <w:rPr>
          <w:rFonts w:ascii="Times New Roman" w:hAnsi="Times New Roman"/>
          <w:i/>
          <w:sz w:val="24"/>
        </w:rPr>
      </w:pPr>
      <w:r>
        <w:rPr>
          <w:rFonts w:ascii="Times New Roman" w:hAnsi="Times New Roman"/>
          <w:i/>
          <w:sz w:val="24"/>
        </w:rPr>
        <w:t xml:space="preserve">Leavers </w:t>
      </w:r>
    </w:p>
    <w:p>
      <w:pPr>
        <w:pStyle w:val="TextBody"/>
        <w:spacing w:before="120" w:after="0"/>
        <w:jc w:val="left"/>
        <w:rPr>
          <w:rFonts w:ascii="Times New Roman" w:hAnsi="Times New Roman"/>
          <w:sz w:val="24"/>
        </w:rPr>
      </w:pPr>
      <w:r>
        <w:rPr>
          <w:rFonts w:ascii="Times New Roman" w:hAnsi="Times New Roman"/>
          <w:sz w:val="24"/>
        </w:rPr>
        <w:t xml:space="preserve">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 </w:t>
      </w:r>
    </w:p>
    <w:p>
      <w:pPr>
        <w:pStyle w:val="TextBody"/>
        <w:spacing w:before="360" w:after="0"/>
        <w:jc w:val="left"/>
        <w:rPr>
          <w:rFonts w:ascii="Times New Roman" w:hAnsi="Times New Roman"/>
          <w:i/>
          <w:sz w:val="24"/>
        </w:rPr>
      </w:pPr>
      <w:r>
        <w:rPr>
          <w:rFonts w:ascii="Times New Roman" w:hAnsi="Times New Roman"/>
          <w:i/>
          <w:sz w:val="24"/>
        </w:rPr>
        <w:t xml:space="preserve">Certain Transactions </w:t>
      </w:r>
    </w:p>
    <w:p>
      <w:pPr>
        <w:pStyle w:val="TextBody"/>
        <w:spacing w:before="120" w:after="0"/>
        <w:jc w:val="left"/>
        <w:rPr>
          <w:rFonts w:ascii="Times New Roman" w:hAnsi="Times New Roman"/>
          <w:sz w:val="24"/>
        </w:rPr>
      </w:pPr>
      <w:r>
        <w:rPr>
          <w:rFonts w:ascii="Times New Roman" w:hAnsi="Times New Roman"/>
          <w:sz w:val="24"/>
        </w:rPr>
        <w:t xml:space="preserve">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 </w:t>
      </w:r>
    </w:p>
    <w:p>
      <w:pPr>
        <w:pStyle w:val="TextBody"/>
        <w:spacing w:before="240" w:after="0"/>
        <w:jc w:val="left"/>
        <w:rPr>
          <w:rFonts w:ascii="Times New Roman" w:hAnsi="Times New Roman"/>
          <w:sz w:val="24"/>
        </w:rPr>
      </w:pPr>
      <w:r>
        <w:rPr>
          <w:rFonts w:ascii="Times New Roman" w:hAnsi="Times New Roman"/>
          <w:sz w:val="24"/>
        </w:rPr>
        <w:t xml:space="preserve">The number and type of securities subject to award and any exercise price may also be adjusted for various events that may affect the value of ADSs and for changes in applicable laws, regulations or accounting principles. </w:t>
      </w:r>
    </w:p>
    <w:p>
      <w:pPr>
        <w:pStyle w:val="TextBody"/>
        <w:spacing w:before="360" w:after="0"/>
        <w:jc w:val="left"/>
        <w:rPr>
          <w:rFonts w:ascii="Times New Roman" w:hAnsi="Times New Roman"/>
          <w:i/>
          <w:sz w:val="24"/>
        </w:rPr>
      </w:pPr>
      <w:r>
        <w:rPr>
          <w:rFonts w:ascii="Times New Roman" w:hAnsi="Times New Roman"/>
          <w:i/>
          <w:sz w:val="24"/>
        </w:rPr>
        <w:t xml:space="preserve">Amendment and Termination </w:t>
      </w:r>
    </w:p>
    <w:p>
      <w:pPr>
        <w:pStyle w:val="TextBody"/>
        <w:spacing w:before="120" w:after="0"/>
        <w:jc w:val="left"/>
        <w:rPr>
          <w:rFonts w:ascii="Times New Roman" w:hAnsi="Times New Roman"/>
          <w:sz w:val="24"/>
        </w:rPr>
      </w:pPr>
      <w:r>
        <w:rPr>
          <w:rFonts w:ascii="Times New Roman" w:hAnsi="Times New Roman"/>
          <w:sz w:val="24"/>
        </w:rPr>
        <w:t xml:space="preserve">The Board may amend, alter, suspend, discontinue or terminate the 2019 EIP or any portion thereof at any time, subject to shareholder approval where required by applicable law or the rules of the stock market or exchange, if any, on which the shares are principally quoted or traded. </w:t>
      </w:r>
    </w:p>
    <w:p>
      <w:pPr>
        <w:pStyle w:val="TextBody"/>
        <w:spacing w:before="240" w:after="0"/>
        <w:jc w:val="left"/>
        <w:rPr>
          <w:rFonts w:ascii="Times New Roman" w:hAnsi="Times New Roman"/>
          <w:sz w:val="24"/>
        </w:rPr>
      </w:pPr>
      <w:r>
        <w:rPr>
          <w:rFonts w:ascii="Times New Roman" w:hAnsi="Times New Roman"/>
          <w:sz w:val="24"/>
        </w:rPr>
        <w:t xml:space="preserve">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 </w:t>
      </w:r>
    </w:p>
    <w:p>
      <w:pPr>
        <w:pStyle w:val="TextBody"/>
        <w:spacing w:before="240" w:after="0"/>
        <w:jc w:val="left"/>
        <w:rPr>
          <w:rFonts w:ascii="Times New Roman" w:hAnsi="Times New Roman"/>
          <w:sz w:val="24"/>
        </w:rPr>
      </w:pPr>
      <w:r>
        <w:rPr>
          <w:rFonts w:ascii="Times New Roman" w:hAnsi="Times New Roman"/>
          <w:sz w:val="24"/>
        </w:rPr>
        <w:t xml:space="preserve">Beginning in the 2021 calendar year, 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 </w:t>
      </w:r>
    </w:p>
    <w:p>
      <w:pPr>
        <w:pStyle w:val="TextBody"/>
        <w:spacing w:before="360" w:after="0"/>
        <w:jc w:val="left"/>
        <w:rPr>
          <w:rFonts w:ascii="Times New Roman" w:hAnsi="Times New Roman"/>
          <w:b/>
          <w:i/>
          <w:sz w:val="24"/>
        </w:rPr>
      </w:pPr>
      <w:r>
        <w:rPr>
          <w:rFonts w:ascii="Times New Roman" w:hAnsi="Times New Roman"/>
          <w:b/>
          <w:i/>
          <w:sz w:val="24"/>
        </w:rPr>
        <w:t xml:space="preserve">The Mereo 2019 NED Equity Incentive Plan (the 2019 NED EIP) </w:t>
      </w:r>
    </w:p>
    <w:p>
      <w:pPr>
        <w:pStyle w:val="TextBody"/>
        <w:spacing w:before="120" w:after="0"/>
        <w:jc w:val="left"/>
        <w:rPr>
          <w:rFonts w:ascii="Times New Roman" w:hAnsi="Times New Roman"/>
          <w:sz w:val="24"/>
        </w:rPr>
      </w:pPr>
      <w:r>
        <w:rPr>
          <w:rFonts w:ascii="Times New Roman" w:hAnsi="Times New Roman"/>
          <w:sz w:val="24"/>
        </w:rPr>
        <w:t xml:space="preserve">Our Board adopted the 2019 NED EIP on April 4, 2019. The Remuneration Committee made minor amendments to the rules of the 2019 NED EIP on May 16, 2019 and subsequently on February 13, 2020 and January 15, 2021. </w:t>
      </w:r>
    </w:p>
    <w:p>
      <w:pPr>
        <w:pStyle w:val="TextBody"/>
        <w:spacing w:before="360" w:after="0"/>
        <w:jc w:val="left"/>
        <w:rPr>
          <w:rFonts w:ascii="Times New Roman" w:hAnsi="Times New Roman"/>
          <w:i/>
          <w:sz w:val="24"/>
        </w:rPr>
      </w:pPr>
      <w:r>
        <w:rPr>
          <w:rFonts w:ascii="Times New Roman" w:hAnsi="Times New Roman"/>
          <w:i/>
          <w:sz w:val="24"/>
        </w:rPr>
        <w:t xml:space="preserve">Eligibility, Awards and Administration </w:t>
      </w:r>
    </w:p>
    <w:p>
      <w:pPr>
        <w:pStyle w:val="TextBody"/>
        <w:spacing w:before="120" w:after="0"/>
        <w:jc w:val="left"/>
        <w:rPr>
          <w:rFonts w:ascii="Times New Roman" w:hAnsi="Times New Roman"/>
          <w:sz w:val="24"/>
        </w:rPr>
      </w:pPr>
      <w:r>
        <w:rPr>
          <w:rFonts w:ascii="Times New Roman" w:hAnsi="Times New Roman"/>
          <w:sz w:val="24"/>
        </w:rPr>
        <w:t xml:space="preserve">The 2019 NED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 </w:t>
      </w:r>
    </w:p>
    <w:p>
      <w:pPr>
        <w:pStyle w:val="TextBody"/>
        <w:spacing w:before="240" w:after="0"/>
        <w:jc w:val="left"/>
        <w:rPr>
          <w:rFonts w:ascii="Times New Roman" w:hAnsi="Times New Roman"/>
          <w:sz w:val="24"/>
        </w:rPr>
      </w:pPr>
      <w:r>
        <w:rPr>
          <w:rFonts w:ascii="Times New Roman" w:hAnsi="Times New Roman"/>
          <w:sz w:val="24"/>
        </w:rPr>
        <w:t xml:space="preserve">Subject to the terms of the 2019 NED EIP awards can be granted in respect of ordinary shares, ADSs, cash or a combination thereof. References in this section to ordinary shares will be deemed references to ADSs, as applicable. </w:t>
      </w:r>
    </w:p>
    <w:p>
      <w:pPr>
        <w:pStyle w:val="TextBody"/>
        <w:spacing w:before="240" w:after="0"/>
        <w:jc w:val="left"/>
        <w:rPr>
          <w:rFonts w:ascii="Times New Roman" w:hAnsi="Times New Roman"/>
          <w:sz w:val="24"/>
        </w:rPr>
      </w:pPr>
      <w:r>
        <w:rPr>
          <w:rFonts w:ascii="Times New Roman" w:hAnsi="Times New Roman"/>
          <w:sz w:val="24"/>
        </w:rPr>
        <w:t xml:space="preserve">The 2019 NED EIP is administered by the Remuneration Committee unless the Remuneration Committee designates one or more directors as a subcommittee who may act for the Remuneration Committee if necessary. The Board may also choose to administer the 2019 NED EIP itself. </w:t>
      </w:r>
    </w:p>
    <w:p>
      <w:pPr>
        <w:pStyle w:val="TextBody"/>
        <w:spacing w:before="360" w:after="0"/>
        <w:jc w:val="left"/>
        <w:rPr>
          <w:rFonts w:ascii="Times New Roman" w:hAnsi="Times New Roman"/>
          <w:i/>
          <w:sz w:val="24"/>
        </w:rPr>
      </w:pPr>
      <w:r>
        <w:rPr>
          <w:rFonts w:ascii="Times New Roman" w:hAnsi="Times New Roman"/>
          <w:i/>
          <w:sz w:val="24"/>
        </w:rPr>
        <w:t xml:space="preserve">Vesting Schedule </w:t>
      </w:r>
    </w:p>
    <w:p>
      <w:pPr>
        <w:pStyle w:val="TextBody"/>
        <w:spacing w:before="120" w:after="0"/>
        <w:jc w:val="left"/>
        <w:rPr>
          <w:rFonts w:ascii="Times New Roman" w:hAnsi="Times New Roman"/>
          <w:sz w:val="24"/>
        </w:rPr>
      </w:pPr>
      <w:r>
        <w:rPr>
          <w:rFonts w:ascii="Times New Roman" w:hAnsi="Times New Roman"/>
          <w:sz w:val="24"/>
        </w:rPr>
        <w:t xml:space="preserve">Awards vest in accordance with the vesting schedule set for the relevant award in its award agreement. In the normal course of events and subject to the non-executive directors holding their current office (or otherwise being employed) through each applicable vesting date, awards over market value option grants shall vest in substantially equal monthly installments over a one-year period following the grant date.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During the year ended December 31, 2022, deferred restricted stock units (“Deferred RSUs”) under the 2019 NED EIP were granted to non-executive directors who elected to receive Deferred RSUs over ADSs in lieu of annual cash compensation. The number of Deferred RSUs to be granted were determined by dividing the estimated amount of the annual cash compensation by the average closing trading price of the Company’s ADSs over the most recent 30 trading days as of the grant date. </w:t>
      </w:r>
    </w:p>
    <w:p>
      <w:pPr>
        <w:pStyle w:val="TextBody"/>
        <w:spacing w:before="240" w:after="0"/>
        <w:jc w:val="left"/>
        <w:rPr>
          <w:rFonts w:ascii="Times New Roman" w:hAnsi="Times New Roman"/>
          <w:sz w:val="24"/>
        </w:rPr>
      </w:pPr>
      <w:r>
        <w:rPr>
          <w:rFonts w:ascii="Times New Roman" w:hAnsi="Times New Roman"/>
          <w:sz w:val="24"/>
        </w:rPr>
        <w:t xml:space="preserve">In the normal course of events and subject to the participant holding the participant’s current office (or being otherwise employed) through each applicable vesting date, such Deferred RSUs shall vest in substantially equal monthly installments over the year following their grant date. Payment of Deferred RSUs in ADSs will generally be made 180 days following separation of service. No performance conditions apply to such awards. </w:t>
      </w:r>
    </w:p>
    <w:p>
      <w:pPr>
        <w:pStyle w:val="TextBody"/>
        <w:spacing w:before="360" w:after="0"/>
        <w:jc w:val="left"/>
        <w:rPr>
          <w:rFonts w:ascii="Times New Roman" w:hAnsi="Times New Roman"/>
          <w:i/>
          <w:sz w:val="24"/>
        </w:rPr>
      </w:pPr>
      <w:r>
        <w:rPr>
          <w:rFonts w:ascii="Times New Roman" w:hAnsi="Times New Roman"/>
          <w:i/>
          <w:sz w:val="24"/>
        </w:rPr>
        <w:t xml:space="preserve">Limitation on Awards </w:t>
      </w:r>
    </w:p>
    <w:p>
      <w:pPr>
        <w:pStyle w:val="TextBody"/>
        <w:spacing w:before="120" w:after="0"/>
        <w:jc w:val="left"/>
        <w:rPr>
          <w:rFonts w:ascii="Times New Roman" w:hAnsi="Times New Roman"/>
          <w:sz w:val="24"/>
        </w:rPr>
      </w:pPr>
      <w:r>
        <w:rPr>
          <w:rFonts w:ascii="Times New Roman" w:hAnsi="Times New Roman"/>
          <w:sz w:val="24"/>
        </w:rPr>
        <w:t xml:space="preserve">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 </w:t>
      </w:r>
    </w:p>
    <w:p>
      <w:pPr>
        <w:pStyle w:val="TextBody"/>
        <w:spacing w:before="360" w:after="0"/>
        <w:jc w:val="left"/>
        <w:rPr>
          <w:rFonts w:ascii="Times New Roman" w:hAnsi="Times New Roman"/>
          <w:i/>
          <w:sz w:val="24"/>
        </w:rPr>
      </w:pPr>
      <w:r>
        <w:rPr>
          <w:rFonts w:ascii="Times New Roman" w:hAnsi="Times New Roman"/>
          <w:i/>
          <w:sz w:val="24"/>
        </w:rPr>
        <w:t xml:space="preserve">Leavers </w:t>
      </w:r>
    </w:p>
    <w:p>
      <w:pPr>
        <w:pStyle w:val="TextBody"/>
        <w:spacing w:before="120" w:after="0"/>
        <w:jc w:val="left"/>
        <w:rPr>
          <w:rFonts w:ascii="Times New Roman" w:hAnsi="Times New Roman"/>
          <w:sz w:val="24"/>
        </w:rPr>
      </w:pPr>
      <w:r>
        <w:rPr>
          <w:rFonts w:ascii="Times New Roman" w:hAnsi="Times New Roman"/>
          <w:sz w:val="24"/>
        </w:rPr>
        <w:t xml:space="preserve">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 </w:t>
      </w:r>
    </w:p>
    <w:p>
      <w:pPr>
        <w:pStyle w:val="TextBody"/>
        <w:spacing w:before="360" w:after="0"/>
        <w:jc w:val="left"/>
        <w:rPr>
          <w:rFonts w:ascii="Times New Roman" w:hAnsi="Times New Roman"/>
          <w:i/>
          <w:sz w:val="24"/>
        </w:rPr>
      </w:pPr>
      <w:r>
        <w:rPr>
          <w:rFonts w:ascii="Times New Roman" w:hAnsi="Times New Roman"/>
          <w:i/>
          <w:sz w:val="24"/>
        </w:rPr>
        <w:t xml:space="preserve">Certain Transactions </w:t>
      </w:r>
    </w:p>
    <w:p>
      <w:pPr>
        <w:pStyle w:val="TextBody"/>
        <w:spacing w:before="120" w:after="0"/>
        <w:jc w:val="left"/>
        <w:rPr>
          <w:rFonts w:ascii="Times New Roman" w:hAnsi="Times New Roman"/>
          <w:sz w:val="24"/>
        </w:rPr>
      </w:pPr>
      <w:r>
        <w:rPr>
          <w:rFonts w:ascii="Times New Roman" w:hAnsi="Times New Roman"/>
          <w:sz w:val="24"/>
        </w:rPr>
        <w:t xml:space="preserve">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 </w:t>
      </w:r>
    </w:p>
    <w:p>
      <w:pPr>
        <w:pStyle w:val="TextBody"/>
        <w:spacing w:before="240" w:after="0"/>
        <w:jc w:val="left"/>
        <w:rPr>
          <w:rFonts w:ascii="Times New Roman" w:hAnsi="Times New Roman"/>
          <w:sz w:val="24"/>
        </w:rPr>
      </w:pPr>
      <w:r>
        <w:rPr>
          <w:rFonts w:ascii="Times New Roman" w:hAnsi="Times New Roman"/>
          <w:sz w:val="24"/>
        </w:rPr>
        <w:t xml:space="preserve">The number and type of securities subject to award and any exercise price may also be adjusted for various events that may affect the value of ADSs and for changes in applicable laws, regulations or accounting principles. </w:t>
      </w:r>
    </w:p>
    <w:p>
      <w:pPr>
        <w:pStyle w:val="TextBody"/>
        <w:spacing w:before="360" w:after="0"/>
        <w:jc w:val="left"/>
        <w:rPr>
          <w:rFonts w:ascii="Times New Roman" w:hAnsi="Times New Roman"/>
          <w:i/>
          <w:sz w:val="24"/>
        </w:rPr>
      </w:pPr>
      <w:r>
        <w:rPr>
          <w:rFonts w:ascii="Times New Roman" w:hAnsi="Times New Roman"/>
          <w:i/>
          <w:sz w:val="24"/>
        </w:rPr>
        <w:t xml:space="preserve">Amendment and Termination </w:t>
      </w:r>
    </w:p>
    <w:p>
      <w:pPr>
        <w:pStyle w:val="TextBody"/>
        <w:spacing w:before="120" w:after="0"/>
        <w:jc w:val="left"/>
        <w:rPr>
          <w:rFonts w:ascii="Times New Roman" w:hAnsi="Times New Roman"/>
          <w:sz w:val="24"/>
        </w:rPr>
      </w:pPr>
      <w:r>
        <w:rPr>
          <w:rFonts w:ascii="Times New Roman" w:hAnsi="Times New Roman"/>
          <w:sz w:val="24"/>
        </w:rPr>
        <w:t xml:space="preserve">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 </w:t>
      </w:r>
    </w:p>
    <w:p>
      <w:pPr>
        <w:pStyle w:val="TextBody"/>
        <w:spacing w:before="240" w:after="0"/>
        <w:jc w:val="left"/>
        <w:rPr>
          <w:rFonts w:ascii="Times New Roman" w:hAnsi="Times New Roman"/>
          <w:sz w:val="24"/>
        </w:rPr>
      </w:pPr>
      <w:r>
        <w:rPr>
          <w:rFonts w:ascii="Times New Roman" w:hAnsi="Times New Roman"/>
          <w:sz w:val="24"/>
        </w:rPr>
        <w:t xml:space="preserve">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 </w:t>
      </w:r>
    </w:p>
    <w:p>
      <w:pPr>
        <w:pStyle w:val="TextBody"/>
        <w:spacing w:before="240" w:after="0"/>
        <w:jc w:val="left"/>
        <w:rPr>
          <w:rFonts w:ascii="Times New Roman" w:hAnsi="Times New Roman"/>
          <w:sz w:val="24"/>
        </w:rPr>
      </w:pPr>
      <w:r>
        <w:rPr>
          <w:rFonts w:ascii="Times New Roman" w:hAnsi="Times New Roman"/>
          <w:sz w:val="24"/>
        </w:rPr>
        <w:t xml:space="preserve">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 </w:t>
      </w:r>
    </w:p>
    <w:p>
      <w:pPr>
        <w:pStyle w:val="TextBody"/>
        <w:spacing w:before="360" w:after="0"/>
        <w:jc w:val="left"/>
        <w:rPr>
          <w:rFonts w:ascii="Times New Roman" w:hAnsi="Times New Roman"/>
          <w:b/>
          <w:sz w:val="24"/>
        </w:rPr>
      </w:pPr>
      <w:r>
        <w:rPr>
          <w:rFonts w:ascii="Times New Roman" w:hAnsi="Times New Roman"/>
          <w:b/>
          <w:sz w:val="24"/>
        </w:rPr>
        <w:t xml:space="preserve">Incentive Award Arrangements </w:t>
      </w:r>
    </w:p>
    <w:p>
      <w:pPr>
        <w:pStyle w:val="TextBody"/>
        <w:spacing w:before="120" w:after="0"/>
        <w:jc w:val="left"/>
        <w:rPr>
          <w:rFonts w:ascii="Times New Roman" w:hAnsi="Times New Roman"/>
          <w:sz w:val="24"/>
        </w:rPr>
      </w:pPr>
      <w:r>
        <w:rPr>
          <w:rFonts w:ascii="Times New Roman" w:hAnsi="Times New Roman"/>
          <w:sz w:val="24"/>
        </w:rPr>
        <w:t xml:space="preserve">We have no incentive award arrangements in place as of the date of this Annual Report. </w:t>
      </w:r>
    </w:p>
    <w:p>
      <w:pPr>
        <w:pStyle w:val="TextBody"/>
        <w:spacing w:before="240" w:after="0"/>
        <w:jc w:val="left"/>
        <w:rPr>
          <w:rFonts w:ascii="Times New Roman" w:hAnsi="Times New Roman"/>
          <w:sz w:val="24"/>
        </w:rPr>
      </w:pPr>
      <w:r>
        <w:rPr>
          <w:rFonts w:ascii="Times New Roman" w:hAnsi="Times New Roman"/>
          <w:sz w:val="24"/>
        </w:rPr>
        <w:t xml:space="preserve">For a description of the equity incentive plans see “—B. Compensation—Equity Compensation Awards to Non-Executive Directors and Executive Officers of Mereo.”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Non-Executive Directors Remuneration </w:t>
      </w:r>
    </w:p>
    <w:p>
      <w:pPr>
        <w:pStyle w:val="TextBody"/>
        <w:spacing w:before="120" w:after="0"/>
        <w:jc w:val="left"/>
        <w:rPr>
          <w:rFonts w:ascii="Times New Roman" w:hAnsi="Times New Roman"/>
          <w:sz w:val="24"/>
        </w:rPr>
      </w:pPr>
      <w:r>
        <w:rPr>
          <w:rFonts w:ascii="Times New Roman" w:hAnsi="Times New Roman"/>
          <w:sz w:val="24"/>
        </w:rPr>
        <w:t xml:space="preserve">The following table sets forth the remuneration paid during 2022 to the current non-executive directors, all of which was in the form of annual fees and Deferred RSUs: </w:t>
      </w:r>
    </w:p>
    <w:p>
      <w:pPr>
        <w:pStyle w:val="TextBody"/>
        <w:spacing w:before="0" w:after="0"/>
        <w:jc w:val="left"/>
        <w:rPr/>
      </w:pPr>
      <w:r>
        <w:rPr/>
        <w:t> </w:t>
      </w:r>
    </w:p>
    <w:tbl>
      <w:tblPr>
        <w:tblW w:w="7214" w:type="dxa"/>
        <w:jc w:val="left"/>
        <w:tblInd w:w="0" w:type="dxa"/>
        <w:tblCellMar>
          <w:top w:w="0" w:type="dxa"/>
          <w:left w:w="0" w:type="dxa"/>
          <w:bottom w:w="0" w:type="dxa"/>
          <w:right w:w="0" w:type="dxa"/>
        </w:tblCellMar>
      </w:tblPr>
      <w:tblGrid>
        <w:gridCol w:w="2705"/>
        <w:gridCol w:w="120"/>
        <w:gridCol w:w="131"/>
        <w:gridCol w:w="1494"/>
        <w:gridCol w:w="60"/>
        <w:gridCol w:w="120"/>
        <w:gridCol w:w="203"/>
        <w:gridCol w:w="2306"/>
        <w:gridCol w:w="75"/>
      </w:tblGrid>
      <w:tr>
        <w:trPr/>
        <w:tc>
          <w:tcPr>
            <w:tcW w:w="2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pBdr>
                <w:bottom w:val="single" w:sz="8" w:space="1" w:color="000000"/>
              </w:pBdr>
              <w:spacing w:before="0" w:after="0"/>
              <w:rPr>
                <w:rFonts w:ascii="Times New Roman" w:hAnsi="Times New Roman"/>
                <w:b/>
                <w:sz w:val="22"/>
              </w:rPr>
            </w:pPr>
            <w:r>
              <w:rPr>
                <w:rFonts w:ascii="Times New Roman" w:hAnsi="Times New Roman"/>
                <w:b/>
                <w:sz w:val="22"/>
              </w:rPr>
              <w:t>Name</w:t>
            </w:r>
          </w:p>
        </w:tc>
        <w:tc>
          <w:tcPr>
            <w:tcW w:w="120" w:type="dxa"/>
            <w:tcBorders/>
            <w:shd w:fill="auto" w:val="clear"/>
            <w:vAlign w:val="center"/>
          </w:tcPr>
          <w:p>
            <w:pPr>
              <w:pStyle w:val="TableContents"/>
              <w:spacing w:before="0" w:after="283"/>
              <w:rPr/>
            </w:pPr>
            <w:r>
              <w:rPr/>
              <w:t>  </w:t>
            </w:r>
          </w:p>
        </w:tc>
        <w:tc>
          <w:tcPr>
            <w:tcW w:w="16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Annual Fees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0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Deferred RSU (number)</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Dr. Jeremy Bender</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494" w:type="dxa"/>
            <w:tcBorders/>
            <w:shd w:fill="CCEEFF" w:val="clear"/>
            <w:vAlign w:val="center"/>
          </w:tcPr>
          <w:p>
            <w:pPr>
              <w:pStyle w:val="TableContents"/>
              <w:spacing w:before="0" w:after="283"/>
              <w:jc w:val="right"/>
              <w:rPr/>
            </w:pPr>
            <w:r>
              <w:rPr/>
              <w:t>3,375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06" w:type="dxa"/>
            <w:tcBorders/>
            <w:shd w:fill="CCEEFF" w:val="clear"/>
            <w:vAlign w:val="center"/>
          </w:tcPr>
          <w:p>
            <w:pPr>
              <w:pStyle w:val="TableContents"/>
              <w:spacing w:before="0" w:after="283"/>
              <w:jc w:val="right"/>
              <w:rPr/>
            </w:pPr>
            <w:r>
              <w:rPr/>
              <w:t>38,032</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Dr. Anders Ekblom</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3,908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06" w:type="dxa"/>
            <w:tcBorders/>
            <w:shd w:fill="auto" w:val="clear"/>
            <w:vAlign w:val="center"/>
          </w:tcPr>
          <w:p>
            <w:pPr>
              <w:pStyle w:val="TableContents"/>
              <w:spacing w:before="0" w:after="283"/>
              <w:jc w:val="right"/>
              <w:rPr/>
            </w:pPr>
            <w:r>
              <w:rPr/>
              <w:t>45,582</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Dr. Pierre Jacquet</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4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06" w:type="dxa"/>
            <w:tcBorders/>
            <w:shd w:fill="CCEEFF" w:val="clear"/>
            <w:vAlign w:val="center"/>
          </w:tcPr>
          <w:p>
            <w:pPr>
              <w:pStyle w:val="TableContents"/>
              <w:spacing w:before="0" w:after="283"/>
              <w:jc w:val="right"/>
              <w:rPr/>
            </w:pPr>
            <w:r>
              <w:rPr/>
              <w:t>34,450</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Dr. Annalisa Jenkins</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06" w:type="dxa"/>
            <w:tcBorders/>
            <w:shd w:fill="auto" w:val="clear"/>
            <w:vAlign w:val="center"/>
          </w:tcPr>
          <w:p>
            <w:pPr>
              <w:pStyle w:val="TableContents"/>
              <w:spacing w:before="0" w:after="283"/>
              <w:jc w:val="right"/>
              <w:rPr/>
            </w:pPr>
            <w:r>
              <w:rPr/>
              <w:t>9,946</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Dr. Deepika R. Pakianathan</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494" w:type="dxa"/>
            <w:tcBorders/>
            <w:shd w:fill="CCEEFF" w:val="clear"/>
            <w:vAlign w:val="center"/>
          </w:tcPr>
          <w:p>
            <w:pPr>
              <w:pStyle w:val="TableContents"/>
              <w:spacing w:before="0" w:after="283"/>
              <w:jc w:val="right"/>
              <w:rPr/>
            </w:pPr>
            <w:r>
              <w:rPr/>
              <w:t>45,686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0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Justin Roberts(1)</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0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Dr. Daniel Shames</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4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06" w:type="dxa"/>
            <w:tcBorders/>
            <w:shd w:fill="CCEEFF" w:val="clear"/>
            <w:vAlign w:val="center"/>
          </w:tcPr>
          <w:p>
            <w:pPr>
              <w:pStyle w:val="TableContents"/>
              <w:spacing w:before="0" w:after="283"/>
              <w:jc w:val="right"/>
              <w:rPr/>
            </w:pPr>
            <w:r>
              <w:rPr/>
              <w:t>9,946</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Marc Yoskowitz</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4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06" w:type="dxa"/>
            <w:tcBorders/>
            <w:shd w:fill="auto" w:val="clear"/>
            <w:vAlign w:val="center"/>
          </w:tcPr>
          <w:p>
            <w:pPr>
              <w:pStyle w:val="TableContents"/>
              <w:spacing w:before="0" w:after="283"/>
              <w:jc w:val="right"/>
              <w:rPr/>
            </w:pPr>
            <w:r>
              <w:rPr/>
              <w:t>9,946</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Michael S. Wyzga</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494" w:type="dxa"/>
            <w:tcBorders/>
            <w:shd w:fill="CCEEFF" w:val="clear"/>
            <w:vAlign w:val="center"/>
          </w:tcPr>
          <w:p>
            <w:pPr>
              <w:pStyle w:val="TableContents"/>
              <w:spacing w:before="0" w:after="283"/>
              <w:jc w:val="right"/>
              <w:rPr/>
            </w:pPr>
            <w:r>
              <w:rPr/>
              <w:t>4,167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06" w:type="dxa"/>
            <w:tcBorders/>
            <w:shd w:fill="CCEEFF" w:val="clear"/>
            <w:vAlign w:val="center"/>
          </w:tcPr>
          <w:p>
            <w:pPr>
              <w:pStyle w:val="TableContents"/>
              <w:spacing w:before="0" w:after="283"/>
              <w:jc w:val="right"/>
              <w:rPr/>
            </w:pPr>
            <w:r>
              <w:rPr/>
              <w:t>99,866</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9685" w:type="dxa"/>
        <w:jc w:val="left"/>
        <w:tblInd w:w="0" w:type="dxa"/>
        <w:tblCellMar>
          <w:top w:w="0" w:type="dxa"/>
          <w:left w:w="0" w:type="dxa"/>
          <w:bottom w:w="0" w:type="dxa"/>
          <w:right w:w="0" w:type="dxa"/>
        </w:tblCellMar>
      </w:tblPr>
      <w:tblGrid>
        <w:gridCol w:w="305"/>
        <w:gridCol w:w="9380"/>
      </w:tblGrid>
      <w:tr>
        <w:trPr/>
        <w:tc>
          <w:tcPr>
            <w:tcW w:w="305" w:type="dxa"/>
            <w:tcBorders/>
            <w:shd w:fill="auto" w:val="clear"/>
            <w:vAlign w:val="center"/>
          </w:tcPr>
          <w:p>
            <w:pPr>
              <w:pStyle w:val="TableContents"/>
              <w:spacing w:before="0" w:after="283"/>
              <w:jc w:val="left"/>
              <w:rPr/>
            </w:pPr>
            <w:r>
              <w:rPr/>
              <w:t>(1)</w:t>
            </w:r>
          </w:p>
        </w:tc>
        <w:tc>
          <w:tcPr>
            <w:tcW w:w="938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Mr. Roberts has waived all remuneration in respect of his appointment as a non-executive director. </w:t>
            </w:r>
          </w:p>
        </w:tc>
      </w:tr>
    </w:tbl>
    <w:p>
      <w:pPr>
        <w:pStyle w:val="TextBody"/>
        <w:spacing w:before="240" w:after="0"/>
        <w:jc w:val="left"/>
        <w:rPr>
          <w:rFonts w:ascii="Times New Roman" w:hAnsi="Times New Roman"/>
          <w:sz w:val="24"/>
        </w:rPr>
      </w:pPr>
      <w:r>
        <w:rPr>
          <w:rFonts w:ascii="Times New Roman" w:hAnsi="Times New Roman"/>
          <w:sz w:val="24"/>
        </w:rPr>
        <w:t xml:space="preserve">Peter Fellner and Brian Schwartz served as non-executive directors until their resignation on November 10, 2022. Between January 1, 2022 and November 10, 2025 Peter Fellner was paid total remuneration of £54,342 and Brian Schwartz was paid £3,283 and received 28,586 Deferred RSUs in lieu of fees. Anne Hyland was appointed as a non-executive director on March 1, 2022 and resigned from the Board on November 10, 2022. Ms. Hyland received 34,758 Deferred RSUs in lieu of the fees for this period. Abdul Mullick was appointed as a non-executive director on May 17, 2022 and resigned from the Board on November 10, 2022. Dr. Mullick received 32,928 Deferred RSUs in lieu of fees. </w:t>
      </w:r>
    </w:p>
    <w:p>
      <w:pPr>
        <w:pStyle w:val="TextBody"/>
        <w:spacing w:before="240" w:after="0"/>
        <w:jc w:val="left"/>
        <w:rPr>
          <w:rFonts w:ascii="Times New Roman" w:hAnsi="Times New Roman"/>
          <w:sz w:val="24"/>
        </w:rPr>
      </w:pPr>
      <w:r>
        <w:rPr>
          <w:rFonts w:ascii="Times New Roman" w:hAnsi="Times New Roman"/>
          <w:sz w:val="24"/>
        </w:rPr>
        <w:t xml:space="preserve">Deferred restricted stock units (“Deferred RSUs”) under the 2019 NED Plan were granted to NEDs who elected to receive Deferred RSUs over ADSs in lieu of annual cash compensation for the year commencing February 1, 2022 (“Plan Year”). Subject to the continued service of the NEDs, the Deferred RSUs vest in substantially equal monthly installments over the Plan Year. Payment of Deferred RSUs in ADSs will generally be made 180 days following separation of service. </w:t>
      </w:r>
    </w:p>
    <w:p>
      <w:pPr>
        <w:pStyle w:val="TextBody"/>
        <w:spacing w:before="240" w:after="0"/>
        <w:jc w:val="left"/>
        <w:rPr>
          <w:rFonts w:ascii="Times New Roman" w:hAnsi="Times New Roman"/>
          <w:sz w:val="24"/>
        </w:rPr>
      </w:pPr>
      <w:r>
        <w:rPr>
          <w:rFonts w:ascii="Times New Roman" w:hAnsi="Times New Roman"/>
          <w:sz w:val="24"/>
        </w:rPr>
        <w:t xml:space="preserve">The number of Deferred RSUs to be granted were determined by dividing the estimated amount of the annual cash compensation by the average closing trading price of the Company’s ADSs over the most recent 30 trading days as of the grant date. </w:t>
      </w:r>
    </w:p>
    <w:p>
      <w:pPr>
        <w:pStyle w:val="TextBody"/>
        <w:spacing w:before="360" w:after="0"/>
        <w:jc w:val="left"/>
        <w:rPr>
          <w:rFonts w:ascii="Times New Roman" w:hAnsi="Times New Roman"/>
          <w:b/>
          <w:sz w:val="24"/>
        </w:rPr>
      </w:pPr>
      <w:r>
        <w:rPr>
          <w:rFonts w:ascii="Times New Roman" w:hAnsi="Times New Roman"/>
          <w:b/>
          <w:sz w:val="24"/>
        </w:rPr>
        <w:t xml:space="preserve">Non-Executive Director Service Contracts </w:t>
      </w:r>
    </w:p>
    <w:p>
      <w:pPr>
        <w:pStyle w:val="TextBody"/>
        <w:spacing w:before="120" w:after="0"/>
        <w:jc w:val="left"/>
        <w:rPr>
          <w:rFonts w:ascii="Times New Roman" w:hAnsi="Times New Roman"/>
          <w:sz w:val="24"/>
        </w:rPr>
      </w:pPr>
      <w:r>
        <w:rPr>
          <w:rFonts w:ascii="Times New Roman" w:hAnsi="Times New Roman"/>
          <w:sz w:val="24"/>
        </w:rPr>
        <w:t xml:space="preserve">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 </w:t>
      </w:r>
    </w:p>
    <w:p>
      <w:pPr>
        <w:pStyle w:val="TextBody"/>
        <w:spacing w:before="360" w:after="0"/>
        <w:jc w:val="left"/>
        <w:rPr>
          <w:rFonts w:ascii="Times New Roman" w:hAnsi="Times New Roman"/>
          <w:b/>
          <w:sz w:val="24"/>
        </w:rPr>
      </w:pPr>
      <w:r>
        <w:rPr>
          <w:rFonts w:ascii="Times New Roman" w:hAnsi="Times New Roman"/>
          <w:b/>
          <w:sz w:val="24"/>
        </w:rPr>
        <w:t xml:space="preserve">Pension, Retirement or Similar Benefits </w:t>
      </w:r>
    </w:p>
    <w:p>
      <w:pPr>
        <w:pStyle w:val="TextBody"/>
        <w:spacing w:before="120" w:after="0"/>
        <w:jc w:val="left"/>
        <w:rPr>
          <w:rFonts w:ascii="Times New Roman" w:hAnsi="Times New Roman"/>
          <w:sz w:val="24"/>
        </w:rPr>
      </w:pPr>
      <w:r>
        <w:rPr>
          <w:rFonts w:ascii="Times New Roman" w:hAnsi="Times New Roman"/>
          <w:sz w:val="24"/>
        </w:rPr>
        <w:t xml:space="preserve">Mereo operates a defined contribution pension scheme which is available to all employees. Mereo makes payments of up to 10% of basic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2022 was £157,586, which represents contributions made by Mereo in 2022 in respect of a defined contribution scheme. </w:t>
      </w:r>
    </w:p>
    <w:p>
      <w:pPr>
        <w:pStyle w:val="TextBody"/>
        <w:spacing w:before="360" w:after="0"/>
        <w:jc w:val="left"/>
        <w:rPr>
          <w:rFonts w:ascii="Times New Roman" w:hAnsi="Times New Roman"/>
          <w:b/>
          <w:sz w:val="24"/>
        </w:rPr>
      </w:pPr>
      <w:r>
        <w:rPr>
          <w:rFonts w:ascii="Times New Roman" w:hAnsi="Times New Roman"/>
          <w:b/>
          <w:sz w:val="24"/>
        </w:rPr>
        <w:t xml:space="preserve">6.C. Board practices </w:t>
      </w:r>
    </w:p>
    <w:p>
      <w:pPr>
        <w:pStyle w:val="TextBody"/>
        <w:spacing w:before="120" w:after="0"/>
        <w:jc w:val="left"/>
        <w:rPr>
          <w:rFonts w:ascii="Times New Roman" w:hAnsi="Times New Roman"/>
          <w:b/>
          <w:sz w:val="24"/>
        </w:rPr>
      </w:pPr>
      <w:r>
        <w:rPr>
          <w:rFonts w:ascii="Times New Roman" w:hAnsi="Times New Roman"/>
          <w:b/>
          <w:sz w:val="24"/>
        </w:rPr>
        <w:t xml:space="preserve">Composition of the Mereo Board </w:t>
      </w:r>
    </w:p>
    <w:p>
      <w:pPr>
        <w:pStyle w:val="TextBody"/>
        <w:spacing w:before="120" w:after="0"/>
        <w:jc w:val="left"/>
        <w:rPr>
          <w:rFonts w:ascii="Times New Roman" w:hAnsi="Times New Roman"/>
          <w:sz w:val="24"/>
        </w:rPr>
      </w:pPr>
      <w:r>
        <w:rPr>
          <w:rFonts w:ascii="Times New Roman" w:hAnsi="Times New Roman"/>
          <w:sz w:val="24"/>
        </w:rPr>
        <w:t xml:space="preserve">Our Board currently consists of ten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Insurance and Indemnification </w:t>
      </w:r>
    </w:p>
    <w:p>
      <w:pPr>
        <w:pStyle w:val="TextBody"/>
        <w:spacing w:before="120" w:after="0"/>
        <w:jc w:val="left"/>
        <w:rPr>
          <w:rFonts w:ascii="Times New Roman" w:hAnsi="Times New Roman"/>
          <w:sz w:val="24"/>
        </w:rPr>
      </w:pPr>
      <w:r>
        <w:rPr>
          <w:rFonts w:ascii="Times New Roman" w:hAnsi="Times New Roman"/>
          <w:sz w:val="24"/>
        </w:rPr>
        <w:t xml:space="preserve">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 </w:t>
      </w:r>
    </w:p>
    <w:p>
      <w:pPr>
        <w:pStyle w:val="TextBody"/>
        <w:spacing w:before="240" w:after="0"/>
        <w:jc w:val="left"/>
        <w:rPr>
          <w:rFonts w:ascii="Times New Roman" w:hAnsi="Times New Roman"/>
          <w:sz w:val="24"/>
        </w:rPr>
      </w:pPr>
      <w:r>
        <w:rPr>
          <w:rFonts w:ascii="Times New Roman" w:hAnsi="Times New Roman"/>
          <w:sz w:val="24"/>
        </w:rPr>
        <w:t xml:space="preserve">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4"/>
        </w:rPr>
      </w:pPr>
      <w:r>
        <w:rPr>
          <w:rFonts w:ascii="Times New Roman" w:hAnsi="Times New Roman"/>
          <w:b/>
          <w:sz w:val="24"/>
        </w:rPr>
        <w:t xml:space="preserve">Committees of the Mereo Board </w:t>
      </w:r>
    </w:p>
    <w:p>
      <w:pPr>
        <w:pStyle w:val="TextBody"/>
        <w:spacing w:before="120" w:after="0"/>
        <w:jc w:val="left"/>
        <w:rPr>
          <w:rFonts w:ascii="Times New Roman" w:hAnsi="Times New Roman"/>
          <w:sz w:val="24"/>
        </w:rPr>
      </w:pPr>
      <w:r>
        <w:rPr>
          <w:rFonts w:ascii="Times New Roman" w:hAnsi="Times New Roman"/>
          <w:sz w:val="24"/>
        </w:rPr>
        <w:t xml:space="preserve">The Mereo Board has four standing committees: an audit and risk committee, a remuneration committee, a nomination and governance committee, and a research and development committee. </w:t>
      </w:r>
    </w:p>
    <w:p>
      <w:pPr>
        <w:pStyle w:val="TextBody"/>
        <w:spacing w:before="360" w:after="0"/>
        <w:jc w:val="left"/>
        <w:rPr>
          <w:rFonts w:ascii="Times New Roman" w:hAnsi="Times New Roman"/>
          <w:b/>
          <w:i/>
          <w:sz w:val="24"/>
        </w:rPr>
      </w:pPr>
      <w:r>
        <w:rPr>
          <w:rFonts w:ascii="Times New Roman" w:hAnsi="Times New Roman"/>
          <w:b/>
          <w:i/>
          <w:sz w:val="24"/>
        </w:rPr>
        <w:t xml:space="preserve">Audit and Risk Committee </w:t>
      </w:r>
    </w:p>
    <w:p>
      <w:pPr>
        <w:pStyle w:val="TextBody"/>
        <w:spacing w:before="120" w:after="0"/>
        <w:jc w:val="left"/>
        <w:rPr>
          <w:rFonts w:ascii="Times New Roman" w:hAnsi="Times New Roman"/>
          <w:sz w:val="24"/>
        </w:rPr>
      </w:pPr>
      <w:r>
        <w:rPr>
          <w:rFonts w:ascii="Times New Roman" w:hAnsi="Times New Roman"/>
          <w:sz w:val="24"/>
        </w:rPr>
        <w:t xml:space="preserve">The audit and risk committee which consists of Deepika R. Pakianathan, Annalisa Jenkins, Michael S. Wyzga and Jeremy Bender, assists the board in overseeing our accounting and financial reporting processes and the audits of our financial statements. Dr. Pakianathan serves as Chair of the committee. The audit and risk committee consists exclusively of members of our board who are financially literate, and Dr. Pakianathan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 </w:t>
      </w:r>
    </w:p>
    <w:p>
      <w:pPr>
        <w:pStyle w:val="TextBody"/>
        <w:spacing w:before="360" w:after="0"/>
        <w:jc w:val="left"/>
        <w:rPr>
          <w:rFonts w:ascii="Times New Roman" w:hAnsi="Times New Roman"/>
          <w:sz w:val="24"/>
        </w:rPr>
      </w:pPr>
      <w:r>
        <w:rPr>
          <w:rFonts w:ascii="Times New Roman" w:hAnsi="Times New Roman"/>
          <w:sz w:val="24"/>
        </w:rPr>
        <w:t xml:space="preserve">The audit and risk committee’s responsibilities include: </w:t>
      </w:r>
    </w:p>
    <w:p>
      <w:pPr>
        <w:pStyle w:val="TextBody"/>
        <w:spacing w:before="0" w:after="0"/>
        <w:jc w:val="left"/>
        <w:rPr/>
      </w:pPr>
      <w:r>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recommending the appointment of the independent auditor to the general meeting of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appointment, compensation, retention and oversight of any accounting firm engaged for the purpose of preparing or issuing an audit report or performing other audit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pre-approving the audit services and non-audit services to be provided by our independent auditor before the auditor is engaged to render such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evaluating the independent auditor’s qualifications, performance and independence, and presenting its conclusions to the full board on at least an annual basis;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reviewing and discussing with the executive officers, the board, and the independent auditor our financial statements and our financial reporting process;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approving or ratifying any related person transaction (as defined in our related person transaction policy) in accordance with our related person transaction policy. </w:t>
            </w:r>
          </w:p>
        </w:tc>
      </w:tr>
    </w:tbl>
    <w:p>
      <w:pPr>
        <w:pStyle w:val="TextBody"/>
        <w:spacing w:before="240" w:after="0"/>
        <w:jc w:val="left"/>
        <w:rPr>
          <w:rFonts w:ascii="Times New Roman" w:hAnsi="Times New Roman"/>
          <w:sz w:val="24"/>
        </w:rPr>
      </w:pPr>
      <w:r>
        <w:rPr>
          <w:rFonts w:ascii="Times New Roman" w:hAnsi="Times New Roman"/>
          <w:sz w:val="24"/>
        </w:rPr>
        <w:t xml:space="preserve">The audit and risk committee will meet as often as one or more members of the audit and risk committee deem necessary, but in any event will meet at least three times per year. The audit and risk committee will meet at least once per year with our independent accountant, without our senior management being present. </w:t>
      </w:r>
    </w:p>
    <w:p>
      <w:pPr>
        <w:pStyle w:val="TextBody"/>
        <w:spacing w:before="360" w:after="0"/>
        <w:jc w:val="left"/>
        <w:rPr>
          <w:rFonts w:ascii="Times New Roman" w:hAnsi="Times New Roman"/>
          <w:b/>
          <w:i/>
          <w:sz w:val="24"/>
        </w:rPr>
      </w:pPr>
      <w:r>
        <w:rPr>
          <w:rFonts w:ascii="Times New Roman" w:hAnsi="Times New Roman"/>
          <w:b/>
          <w:i/>
          <w:sz w:val="24"/>
        </w:rPr>
        <w:t xml:space="preserve">Remuneration Committee </w:t>
      </w:r>
    </w:p>
    <w:p>
      <w:pPr>
        <w:pStyle w:val="TextBody"/>
        <w:spacing w:before="120" w:after="0"/>
        <w:jc w:val="left"/>
        <w:rPr>
          <w:rFonts w:ascii="Times New Roman" w:hAnsi="Times New Roman"/>
          <w:sz w:val="24"/>
        </w:rPr>
      </w:pPr>
      <w:r>
        <w:rPr>
          <w:rFonts w:ascii="Times New Roman" w:hAnsi="Times New Roman"/>
          <w:sz w:val="24"/>
        </w:rPr>
        <w:t xml:space="preserve">The remuneration committee which consists of Deepika R.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Dr. Pakianathan, Mr. Roberts and Dr. Ekblom meet this heightened standard. The remuneration committee is governed by a charter that complies with Nasdaq rules.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The remuneration committee’s responsibilities include: </w:t>
      </w:r>
    </w:p>
    <w:p>
      <w:pPr>
        <w:pStyle w:val="TextBody"/>
        <w:spacing w:before="0" w:after="0"/>
        <w:jc w:val="left"/>
        <w:rPr/>
      </w:pPr>
      <w:r>
        <w:rPr/>
        <w:t> </w:t>
      </w:r>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identifying, reviewing, and proposing policies relevant to senior management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evaluating each member of senior management’s performance in light of such policies and reporting to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analyzing the possible outcomes of the variable compensation components and how they may affect the compensation of senior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recommending any equity long-term incentive component of each member of senior management’s compensation in line with any compensation policy and reviewing our senior management compensation and benefits policies generally; and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reviewing and assessing risks arising from our compensation policies and practices. </w:t>
            </w:r>
          </w:p>
        </w:tc>
      </w:tr>
    </w:tbl>
    <w:p>
      <w:pPr>
        <w:pStyle w:val="TextBody"/>
        <w:spacing w:before="360" w:after="0"/>
        <w:jc w:val="left"/>
        <w:rPr>
          <w:rFonts w:ascii="Times New Roman" w:hAnsi="Times New Roman"/>
          <w:b/>
          <w:i/>
          <w:sz w:val="24"/>
        </w:rPr>
      </w:pPr>
      <w:r>
        <w:rPr>
          <w:rFonts w:ascii="Times New Roman" w:hAnsi="Times New Roman"/>
          <w:b/>
          <w:i/>
          <w:sz w:val="24"/>
        </w:rPr>
        <w:t xml:space="preserve">Nomination and Corporate Governance Committee </w:t>
      </w:r>
    </w:p>
    <w:p>
      <w:pPr>
        <w:pStyle w:val="TextBody"/>
        <w:spacing w:before="120" w:after="0"/>
        <w:jc w:val="left"/>
        <w:rPr>
          <w:rFonts w:ascii="Times New Roman" w:hAnsi="Times New Roman"/>
          <w:sz w:val="24"/>
        </w:rPr>
      </w:pPr>
      <w:r>
        <w:rPr>
          <w:rFonts w:ascii="Times New Roman" w:hAnsi="Times New Roman"/>
          <w:sz w:val="24"/>
        </w:rPr>
        <w:t xml:space="preserve">The nomination and corporate governance committee which consists of Michael S.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Chairman of the nomination and corporate governance committee. The nomination and corporate governance committee is governed by a charter that complies with Nasdaq rules. </w:t>
      </w:r>
    </w:p>
    <w:p>
      <w:pPr>
        <w:pStyle w:val="TextBody"/>
        <w:spacing w:before="240" w:after="0"/>
        <w:jc w:val="left"/>
        <w:rPr>
          <w:rFonts w:ascii="Times New Roman" w:hAnsi="Times New Roman"/>
          <w:sz w:val="24"/>
        </w:rPr>
      </w:pPr>
      <w:r>
        <w:rPr>
          <w:rFonts w:ascii="Times New Roman" w:hAnsi="Times New Roman"/>
          <w:sz w:val="24"/>
        </w:rPr>
        <w:t xml:space="preserve">The nomination and corporate governance committee’s responsibilities include: </w:t>
      </w:r>
    </w:p>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75"/>
        <w:gridCol w:w="110"/>
        <w:gridCol w:w="6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0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drawing up selection criteria and appointment procedures for board members;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reviewing and evaluating the size and composition of our board and making a proposal for a composition profile of the board at least annually;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110"/>
        <w:gridCol w:w="60"/>
        <w:gridCol w:w="8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recommending nominees for election to our board and its corresponding committees;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assessing the functioning of individual members of the board and senior management and reporting the results of such assessment to the board;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developing and recommending to the board rules governing the board, reviewing and reassessing the adequacy of such rules governing the board, and recommending any proposed changes to the board. </w:t>
            </w:r>
          </w:p>
        </w:tc>
      </w:tr>
    </w:tbl>
    <w:p>
      <w:pPr>
        <w:pStyle w:val="TextBody"/>
        <w:spacing w:before="360" w:after="0"/>
        <w:jc w:val="left"/>
        <w:rPr>
          <w:rFonts w:ascii="Times New Roman" w:hAnsi="Times New Roman"/>
          <w:b/>
          <w:i/>
          <w:sz w:val="24"/>
        </w:rPr>
      </w:pPr>
      <w:r>
        <w:rPr>
          <w:rFonts w:ascii="Times New Roman" w:hAnsi="Times New Roman"/>
          <w:b/>
          <w:i/>
          <w:sz w:val="24"/>
        </w:rPr>
        <w:t xml:space="preserve">Research and Development Committee </w:t>
      </w:r>
    </w:p>
    <w:p>
      <w:pPr>
        <w:pStyle w:val="TextBody"/>
        <w:spacing w:before="120" w:after="0"/>
        <w:jc w:val="left"/>
        <w:rPr>
          <w:rFonts w:ascii="Times New Roman" w:hAnsi="Times New Roman"/>
          <w:sz w:val="24"/>
        </w:rPr>
      </w:pPr>
      <w:r>
        <w:rPr>
          <w:rFonts w:ascii="Times New Roman" w:hAnsi="Times New Roman"/>
          <w:sz w:val="24"/>
        </w:rPr>
        <w:t xml:space="preserve">The research and development committee, which consists of Pierre Jacquet, Dr. Daniel Shames,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 </w:t>
      </w:r>
    </w:p>
    <w:p>
      <w:pPr>
        <w:pStyle w:val="TextBody"/>
        <w:spacing w:before="240" w:after="0"/>
        <w:jc w:val="left"/>
        <w:rPr>
          <w:rFonts w:ascii="Times New Roman" w:hAnsi="Times New Roman"/>
          <w:sz w:val="24"/>
        </w:rPr>
      </w:pPr>
      <w:r>
        <w:rPr>
          <w:rFonts w:ascii="Times New Roman" w:hAnsi="Times New Roman"/>
          <w:sz w:val="24"/>
        </w:rPr>
        <w:t xml:space="preserve">The research and development committee’s responsibilities include oversight of: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our strategic development plans for product candidates, taking into account any regulatory feedback; and </w:t>
            </w:r>
          </w:p>
        </w:tc>
      </w:tr>
    </w:tbl>
    <w:p>
      <w:pPr>
        <w:pStyle w:val="TextBody"/>
        <w:spacing w:before="0" w:after="0"/>
        <w:jc w:val="left"/>
        <w:rPr/>
      </w:pPr>
      <w:r>
        <w:rPr/>
        <w:t> </w:t>
      </w:r>
    </w:p>
    <w:tbl>
      <w:tblPr>
        <w:tblW w:w="4315" w:type="dxa"/>
        <w:jc w:val="left"/>
        <w:tblInd w:w="0" w:type="dxa"/>
        <w:tblCellMar>
          <w:top w:w="0" w:type="dxa"/>
          <w:left w:w="0" w:type="dxa"/>
          <w:bottom w:w="0" w:type="dxa"/>
          <w:right w:w="0" w:type="dxa"/>
        </w:tblCellMar>
      </w:tblPr>
      <w:tblGrid>
        <w:gridCol w:w="75"/>
        <w:gridCol w:w="110"/>
        <w:gridCol w:w="60"/>
        <w:gridCol w:w="40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7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acquisition of new product candidates. </w:t>
            </w:r>
          </w:p>
        </w:tc>
      </w:tr>
    </w:tbl>
    <w:p>
      <w:pPr>
        <w:pStyle w:val="TextBody"/>
        <w:spacing w:before="240" w:after="0"/>
        <w:jc w:val="left"/>
        <w:rPr>
          <w:rFonts w:ascii="Times New Roman" w:hAnsi="Times New Roman"/>
          <w:sz w:val="24"/>
        </w:rPr>
      </w:pPr>
      <w:r>
        <w:rPr>
          <w:rFonts w:ascii="Times New Roman" w:hAnsi="Times New Roman"/>
          <w:sz w:val="24"/>
        </w:rPr>
        <w:t xml:space="preserve">In addition, the research and development committee is tasked with keeping informed of strategic issues and commercial changes affecting our development programs and potential product acquisitions. </w:t>
      </w:r>
    </w:p>
    <w:p>
      <w:pPr>
        <w:pStyle w:val="TextBody"/>
        <w:spacing w:before="360" w:after="0"/>
        <w:jc w:val="left"/>
        <w:rPr>
          <w:rFonts w:ascii="Times New Roman" w:hAnsi="Times New Roman"/>
          <w:b/>
          <w:sz w:val="24"/>
        </w:rPr>
      </w:pPr>
      <w:r>
        <w:rPr>
          <w:rFonts w:ascii="Times New Roman" w:hAnsi="Times New Roman"/>
          <w:b/>
          <w:sz w:val="24"/>
        </w:rPr>
        <w:t xml:space="preserve">6.D. Employees </w:t>
      </w:r>
    </w:p>
    <w:p>
      <w:pPr>
        <w:pStyle w:val="TextBody"/>
        <w:spacing w:before="120" w:after="0"/>
        <w:jc w:val="left"/>
        <w:rPr>
          <w:rFonts w:ascii="Times New Roman" w:hAnsi="Times New Roman"/>
          <w:sz w:val="24"/>
        </w:rPr>
      </w:pPr>
      <w:r>
        <w:rPr>
          <w:rFonts w:ascii="Times New Roman" w:hAnsi="Times New Roman"/>
          <w:sz w:val="24"/>
        </w:rPr>
        <w:t xml:space="preserve">As of December 31, 2022, 2021 and 2020, Mereo had 36, 49, and 38 employees, respectively. As at December 31, 2022, 27 employees are located in the United Kingdom and 9 employees are located in the United States. </w:t>
      </w:r>
    </w:p>
    <w:p>
      <w:pPr>
        <w:pStyle w:val="TextBody"/>
        <w:spacing w:before="240" w:after="0"/>
        <w:jc w:val="left"/>
        <w:rPr>
          <w:rFonts w:ascii="Times New Roman" w:hAnsi="Times New Roman"/>
          <w:sz w:val="24"/>
        </w:rPr>
      </w:pPr>
      <w:r>
        <w:rPr>
          <w:rFonts w:ascii="Times New Roman" w:hAnsi="Times New Roman"/>
          <w:sz w:val="24"/>
        </w:rPr>
        <w:t xml:space="preserve">All of our employees are engaged in either general and administrative or research and development functions. None of our employees are covered by a collective bargaining agreement.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6.E. Share Ownership </w:t>
      </w:r>
    </w:p>
    <w:p>
      <w:pPr>
        <w:pStyle w:val="TextBody"/>
        <w:spacing w:before="120" w:after="0"/>
        <w:jc w:val="left"/>
        <w:rPr>
          <w:rFonts w:ascii="Times New Roman" w:hAnsi="Times New Roman"/>
          <w:b/>
          <w:sz w:val="24"/>
        </w:rPr>
      </w:pPr>
      <w:r>
        <w:rPr>
          <w:rFonts w:ascii="Times New Roman" w:hAnsi="Times New Roman"/>
          <w:b/>
          <w:sz w:val="24"/>
        </w:rPr>
        <w:t xml:space="preserve">Share Ownership </w:t>
      </w:r>
    </w:p>
    <w:p>
      <w:pPr>
        <w:pStyle w:val="TextBody"/>
        <w:spacing w:before="120" w:after="0"/>
        <w:jc w:val="left"/>
        <w:rPr>
          <w:rFonts w:ascii="Times New Roman" w:hAnsi="Times New Roman"/>
          <w:sz w:val="24"/>
        </w:rPr>
      </w:pPr>
      <w:r>
        <w:rPr>
          <w:rFonts w:ascii="Times New Roman" w:hAnsi="Times New Roman"/>
          <w:sz w:val="24"/>
        </w:rPr>
        <w:t xml:space="preserve">The total number of ordinary shares of the company beneficially owned by our directors and executive officers including in the form of ADSs, as of the date of this annual report, was 112,636,815 (which includes shares subject to options that are currently exercisable or will be exercisable within 60 days of February 28, 2023) which represents 18.02% of the total number of ordinary shares outstanding as of February 28, 2023. See Item 7.A. below. </w:t>
      </w:r>
    </w:p>
    <w:p>
      <w:pPr>
        <w:pStyle w:val="TextBody"/>
        <w:spacing w:before="360" w:after="0"/>
        <w:jc w:val="left"/>
        <w:rPr>
          <w:rFonts w:ascii="Times New Roman" w:hAnsi="Times New Roman"/>
          <w:b/>
          <w:sz w:val="24"/>
        </w:rPr>
      </w:pPr>
      <w:r>
        <w:rPr>
          <w:rFonts w:ascii="Times New Roman" w:hAnsi="Times New Roman"/>
          <w:b/>
          <w:sz w:val="24"/>
        </w:rPr>
        <w:t xml:space="preserve">Share Options </w:t>
      </w:r>
    </w:p>
    <w:p>
      <w:pPr>
        <w:pStyle w:val="TextBody"/>
        <w:spacing w:before="120" w:after="0"/>
        <w:jc w:val="left"/>
        <w:rPr>
          <w:rFonts w:ascii="Times New Roman" w:hAnsi="Times New Roman"/>
          <w:sz w:val="24"/>
        </w:rPr>
      </w:pPr>
      <w:r>
        <w:rPr>
          <w:rFonts w:ascii="Times New Roman" w:hAnsi="Times New Roman"/>
          <w:sz w:val="24"/>
        </w:rPr>
        <w:t xml:space="preserve">See “—B. Compensation—Equity Compensation Awards to Non-Executive Directors and Executive Officers of Mereo.” </w:t>
      </w:r>
    </w:p>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740"/>
        <w:gridCol w:w="5510"/>
      </w:tblGrid>
      <w:tr>
        <w:trPr/>
        <w:tc>
          <w:tcPr>
            <w:tcW w:w="740" w:type="dxa"/>
            <w:tcBorders/>
            <w:shd w:fill="auto" w:val="clear"/>
            <w:vAlign w:val="center"/>
          </w:tcPr>
          <w:p>
            <w:pPr>
              <w:pStyle w:val="TableContents"/>
              <w:spacing w:before="0" w:after="283"/>
              <w:jc w:val="left"/>
              <w:rPr>
                <w:b/>
              </w:rPr>
            </w:pPr>
            <w:bookmarkStart w:id="11" w:name="tx430075_9"/>
            <w:bookmarkEnd w:id="11"/>
            <w:r>
              <w:rPr>
                <w:b/>
              </w:rPr>
              <w:t>Item 7.</w:t>
            </w:r>
          </w:p>
        </w:tc>
        <w:tc>
          <w:tcPr>
            <w:tcW w:w="551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Major Shareholders And Related Party Transactions </w:t>
            </w:r>
          </w:p>
        </w:tc>
      </w:tr>
    </w:tbl>
    <w:p>
      <w:pPr>
        <w:pStyle w:val="TextBody"/>
        <w:spacing w:before="120" w:after="0"/>
        <w:jc w:val="left"/>
        <w:rPr>
          <w:rFonts w:ascii="Times New Roman" w:hAnsi="Times New Roman"/>
          <w:b/>
          <w:sz w:val="24"/>
        </w:rPr>
      </w:pPr>
      <w:r>
        <w:rPr>
          <w:rFonts w:ascii="Times New Roman" w:hAnsi="Times New Roman"/>
          <w:b/>
          <w:sz w:val="24"/>
        </w:rPr>
        <w:t xml:space="preserve">7.A. Major Shareholders </w:t>
      </w:r>
    </w:p>
    <w:p>
      <w:pPr>
        <w:pStyle w:val="TextBody"/>
        <w:spacing w:before="120" w:after="0"/>
        <w:jc w:val="left"/>
        <w:rPr>
          <w:rFonts w:ascii="Times New Roman" w:hAnsi="Times New Roman"/>
          <w:sz w:val="24"/>
        </w:rPr>
      </w:pPr>
      <w:r>
        <w:rPr>
          <w:rFonts w:ascii="Times New Roman" w:hAnsi="Times New Roman"/>
          <w:sz w:val="24"/>
        </w:rPr>
        <w:t xml:space="preserve">The following table sets forth information relating to the beneficial ownership of Mereo ordinary shares as of February 28, 2023 by each person known by Mereo to own beneficially 5% or more of the outstanding Mereo ordinary shares. </w:t>
      </w:r>
    </w:p>
    <w:p>
      <w:pPr>
        <w:pStyle w:val="TextBody"/>
        <w:spacing w:before="240" w:after="0"/>
        <w:jc w:val="left"/>
        <w:rPr>
          <w:rFonts w:ascii="Times New Roman" w:hAnsi="Times New Roman"/>
          <w:sz w:val="24"/>
        </w:rPr>
      </w:pPr>
      <w:r>
        <w:rPr>
          <w:rFonts w:ascii="Times New Roman" w:hAnsi="Times New Roman"/>
          <w:sz w:val="24"/>
        </w:rPr>
        <w:t xml:space="preserve">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 </w:t>
      </w:r>
    </w:p>
    <w:p>
      <w:pPr>
        <w:pStyle w:val="TextBody"/>
        <w:spacing w:before="240" w:after="0"/>
        <w:jc w:val="left"/>
        <w:rPr>
          <w:rFonts w:ascii="Times New Roman" w:hAnsi="Times New Roman"/>
          <w:sz w:val="24"/>
        </w:rPr>
      </w:pPr>
      <w:r>
        <w:rPr>
          <w:rFonts w:ascii="Times New Roman" w:hAnsi="Times New Roman"/>
          <w:sz w:val="24"/>
        </w:rPr>
        <w:t xml:space="preserve">The percentage of Mereo ordinary shares beneficially owned as of February 28, 2023 is computed on the basis of 624,928,519 ordinary shares outstanding as of February 28, 2023. Mereo ordinary shares that a person has the right to acquire within 60 days of February 28, 2023 are deemed outstanding for purposes of computing the percentage ownership of the person holding such rights, but are not deemed outstanding for purposes of computing the percentage ownership of any other person. </w:t>
      </w:r>
    </w:p>
    <w:p>
      <w:pPr>
        <w:pStyle w:val="TextBody"/>
        <w:spacing w:before="0" w:after="0"/>
        <w:jc w:val="left"/>
        <w:rPr/>
      </w:pPr>
      <w:r>
        <w:rPr/>
        <w:t> </w:t>
      </w:r>
    </w:p>
    <w:tbl>
      <w:tblPr>
        <w:tblW w:w="8975" w:type="dxa"/>
        <w:jc w:val="left"/>
        <w:tblInd w:w="0" w:type="dxa"/>
        <w:tblCellMar>
          <w:top w:w="0" w:type="dxa"/>
          <w:left w:w="0" w:type="dxa"/>
          <w:bottom w:w="0" w:type="dxa"/>
          <w:right w:w="0" w:type="dxa"/>
        </w:tblCellMar>
      </w:tblPr>
      <w:tblGrid>
        <w:gridCol w:w="4025"/>
        <w:gridCol w:w="120"/>
        <w:gridCol w:w="61"/>
        <w:gridCol w:w="1129"/>
        <w:gridCol w:w="60"/>
        <w:gridCol w:w="120"/>
        <w:gridCol w:w="306"/>
        <w:gridCol w:w="2864"/>
        <w:gridCol w:w="290"/>
      </w:tblGrid>
      <w:tr>
        <w:trPr/>
        <w:tc>
          <w:tcPr>
            <w:tcW w:w="4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pBdr>
                <w:bottom w:val="single" w:sz="8" w:space="1" w:color="000000"/>
              </w:pBdr>
              <w:spacing w:before="0" w:after="0"/>
              <w:rPr>
                <w:rFonts w:ascii="Times New Roman" w:hAnsi="Times New Roman"/>
                <w:b/>
                <w:sz w:val="22"/>
              </w:rPr>
            </w:pPr>
            <w:r>
              <w:rPr>
                <w:rFonts w:ascii="Times New Roman" w:hAnsi="Times New Roman"/>
                <w:b/>
                <w:sz w:val="22"/>
              </w:rPr>
              <w:t>Name and Address of Beneficial Owner</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Ordinary</w:t>
              <w:br/>
              <w:t>Shares</w:t>
              <w:br/>
              <w:t>Beneficially</w:t>
              <w:br/>
              <w:t>Owned(1)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Percentage of Ordinary Shares</w:t>
              <w:br/>
              <w:t>Beneficially Owned</w:t>
            </w:r>
          </w:p>
        </w:tc>
        <w:tc>
          <w:tcPr>
            <w:tcW w:w="29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5% or Greater Shareholders: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11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rPr>
                <w:sz w:val="4"/>
                <w:szCs w:val="4"/>
              </w:rPr>
            </w:pPr>
            <w:r>
              <w:rPr>
                <w:sz w:val="4"/>
                <w:szCs w:val="4"/>
              </w:rPr>
            </w:r>
          </w:p>
        </w:tc>
        <w:tc>
          <w:tcPr>
            <w:tcW w:w="2864"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Rubric Capital Management LP (2)</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83,780,600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2864" w:type="dxa"/>
            <w:tcBorders/>
            <w:shd w:fill="auto" w:val="clear"/>
            <w:vAlign w:val="center"/>
          </w:tcPr>
          <w:p>
            <w:pPr>
              <w:pStyle w:val="TableContents"/>
              <w:spacing w:before="0" w:after="283"/>
              <w:jc w:val="right"/>
              <w:rPr/>
            </w:pPr>
            <w:r>
              <w:rPr/>
              <w:t>13.41</w:t>
            </w:r>
          </w:p>
        </w:tc>
        <w:tc>
          <w:tcPr>
            <w:tcW w:w="29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Baker Bros. Advisors LP (3)</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69,359,359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rPr/>
            </w:pPr>
            <w:r>
              <w:rPr/>
              <w:t> </w:t>
            </w:r>
          </w:p>
        </w:tc>
        <w:tc>
          <w:tcPr>
            <w:tcW w:w="2864" w:type="dxa"/>
            <w:tcBorders/>
            <w:shd w:fill="CCEEFF" w:val="clear"/>
            <w:vAlign w:val="center"/>
          </w:tcPr>
          <w:p>
            <w:pPr>
              <w:pStyle w:val="TableContents"/>
              <w:spacing w:before="0" w:after="283"/>
              <w:jc w:val="right"/>
              <w:rPr/>
            </w:pPr>
            <w:r>
              <w:rPr/>
              <w:t>9.99</w:t>
            </w:r>
          </w:p>
        </w:tc>
        <w:tc>
          <w:tcPr>
            <w:tcW w:w="29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Suvretta Capital Management, LLC (4)</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36,822,190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2864" w:type="dxa"/>
            <w:tcBorders/>
            <w:shd w:fill="auto" w:val="clear"/>
            <w:vAlign w:val="center"/>
          </w:tcPr>
          <w:p>
            <w:pPr>
              <w:pStyle w:val="TableContents"/>
              <w:spacing w:before="0" w:after="283"/>
              <w:jc w:val="right"/>
              <w:rPr/>
            </w:pPr>
            <w:r>
              <w:rPr/>
              <w:t>5.89</w:t>
            </w:r>
          </w:p>
        </w:tc>
        <w:tc>
          <w:tcPr>
            <w:tcW w:w="29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Rock Springs Capital Management LP (5)</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31,224,485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rPr/>
            </w:pPr>
            <w:r>
              <w:rPr/>
              <w:t> </w:t>
            </w:r>
          </w:p>
        </w:tc>
        <w:tc>
          <w:tcPr>
            <w:tcW w:w="2864" w:type="dxa"/>
            <w:tcBorders/>
            <w:shd w:fill="CCEEFF" w:val="clear"/>
            <w:vAlign w:val="center"/>
          </w:tcPr>
          <w:p>
            <w:pPr>
              <w:pStyle w:val="TableContents"/>
              <w:spacing w:before="0" w:after="283"/>
              <w:jc w:val="right"/>
              <w:rPr/>
            </w:pPr>
            <w:r>
              <w:rPr/>
              <w:t>5.00</w:t>
            </w:r>
          </w:p>
        </w:tc>
        <w:tc>
          <w:tcPr>
            <w:tcW w:w="290"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7000" w:type="dxa"/>
        <w:jc w:val="left"/>
        <w:tblInd w:w="0" w:type="dxa"/>
        <w:tblCellMar>
          <w:top w:w="0" w:type="dxa"/>
          <w:left w:w="0" w:type="dxa"/>
          <w:bottom w:w="0" w:type="dxa"/>
          <w:right w:w="0" w:type="dxa"/>
        </w:tblCellMar>
      </w:tblPr>
      <w:tblGrid>
        <w:gridCol w:w="305"/>
        <w:gridCol w:w="6695"/>
      </w:tblGrid>
      <w:tr>
        <w:trPr/>
        <w:tc>
          <w:tcPr>
            <w:tcW w:w="305" w:type="dxa"/>
            <w:tcBorders/>
            <w:shd w:fill="auto" w:val="clear"/>
            <w:vAlign w:val="center"/>
          </w:tcPr>
          <w:p>
            <w:pPr>
              <w:pStyle w:val="TableContents"/>
              <w:spacing w:before="0" w:after="283"/>
              <w:jc w:val="left"/>
              <w:rPr/>
            </w:pPr>
            <w:r>
              <w:rPr/>
              <w:t>(1)</w:t>
            </w:r>
          </w:p>
        </w:tc>
        <w:tc>
          <w:tcPr>
            <w:tcW w:w="66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Ordinary shares figures include ordinary shares represented by ADSs. </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(2)</w:t>
            </w:r>
          </w:p>
        </w:tc>
        <w:tc>
          <w:tcPr>
            <w:tcW w:w="9946"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Based on information contained in a Statement on Schedule 13G filed by the shareholder on October 28, 2022. The address of the principal business office of Rubric Capital Management LP is 155 East 44th Street, Suite 1630, New York, NY 10017. </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(3)</w:t>
            </w:r>
          </w:p>
        </w:tc>
        <w:tc>
          <w:tcPr>
            <w:tcW w:w="9951"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Based on information known to Mereo and information contained in a Statement on Schedule 13G filed by the shareholder. Advisors LP on February 14, 2023. The address of the principal business office of Baker Bros. Advisors LP is 860 Washington St, 3rd Floor, New York, NY 10014.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(4)</w:t>
            </w:r>
          </w:p>
        </w:tc>
        <w:tc>
          <w:tcPr>
            <w:tcW w:w="9948"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Based upon information contained in a Statement on Schedule 13G filed by the shareholder on February 14, 2023. The address of the principal business office of Suvretta Capital Management, LLC is 540 Madison Avenue, 7th Floor, New York, New York 10022. </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(5)</w:t>
            </w:r>
          </w:p>
        </w:tc>
        <w:tc>
          <w:tcPr>
            <w:tcW w:w="9951"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Based upon information known to Mereo and information contained in a Statement on Schedule 13G filed by the shareholder on February 14, 2023. The address of the principal business office of Rock Springs Capital Management LP is 650 South Exeter, Suite 1070 Baltimore, MD 21202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On February 12, 2021, we announced the completion of an underwritten public offering of 39,675,000 ADSs, at a public offering price of $2.90 per ADS, which included 5,175,000 additional ADSs issued upon the exercise in full of the underwriters’ option to purchase additional ADSs. The aggregate gross proceeds to us from the public offering, before deducting underwriting discounts and commissions and offering expenses were $115.1 million. The net proceeds, after transaction costs, were £78.4 million ($108.2 million). </w:t>
      </w:r>
    </w:p>
    <w:p>
      <w:pPr>
        <w:pStyle w:val="TextBody"/>
        <w:spacing w:before="240" w:after="0"/>
        <w:jc w:val="left"/>
        <w:rPr>
          <w:rFonts w:ascii="Times New Roman" w:hAnsi="Times New Roman"/>
          <w:sz w:val="24"/>
        </w:rPr>
      </w:pPr>
      <w:r>
        <w:rPr>
          <w:rFonts w:ascii="Times New Roman" w:hAnsi="Times New Roman"/>
          <w:sz w:val="24"/>
        </w:rPr>
        <w:t xml:space="preserve">To our knowledge, and other than changes in percentage ownership as a result of the transaction described above and other than as disclosed in this Annual Report and in our other filings with the SEC, there has been no significant change in the percentage ownership held by the major shareholders listed above since January 1, 2021. The major shareholders listed above do not have voting rights with respect to their ordinary shares or ADSs that are different from the voting rights of other holders of our ordinary shares or ADSs. </w:t>
      </w:r>
    </w:p>
    <w:p>
      <w:pPr>
        <w:pStyle w:val="TextBody"/>
        <w:spacing w:before="240" w:after="0"/>
        <w:jc w:val="left"/>
        <w:rPr>
          <w:rFonts w:ascii="Times New Roman" w:hAnsi="Times New Roman"/>
          <w:sz w:val="24"/>
        </w:rPr>
      </w:pPr>
      <w:r>
        <w:rPr>
          <w:rFonts w:ascii="Times New Roman" w:hAnsi="Times New Roman"/>
          <w:sz w:val="24"/>
        </w:rPr>
        <w:t xml:space="preserve">As of December 31, 2022, assuming that all of our ordinary shares represented by ADSs are held by residents of the United States, including ADSs held by the entities set forth in the table above, and excluding certain other holders that we know to be non-residents of the United States, we estimate that approximately 92% of our outstanding ordinary shares (including ordinary shares underlying ADSs) were held in the United States. The number of record holders in the United States is not representative of the number of beneficial holders nor is it representative of where such beneficial holders are resident since many of these shares were held by brokers or other nominees. </w:t>
      </w:r>
    </w:p>
    <w:p>
      <w:pPr>
        <w:pStyle w:val="TextBody"/>
        <w:spacing w:before="360" w:after="0"/>
        <w:jc w:val="left"/>
        <w:rPr>
          <w:rFonts w:ascii="Times New Roman" w:hAnsi="Times New Roman"/>
          <w:b/>
          <w:sz w:val="24"/>
        </w:rPr>
      </w:pPr>
      <w:r>
        <w:rPr>
          <w:rFonts w:ascii="Times New Roman" w:hAnsi="Times New Roman"/>
          <w:b/>
          <w:sz w:val="24"/>
        </w:rPr>
        <w:t xml:space="preserve">7.B. Related Party Transactions </w:t>
      </w:r>
    </w:p>
    <w:p>
      <w:pPr>
        <w:pStyle w:val="TextBody"/>
        <w:spacing w:before="120" w:after="0"/>
        <w:jc w:val="left"/>
        <w:rPr>
          <w:rFonts w:ascii="Times New Roman" w:hAnsi="Times New Roman"/>
          <w:sz w:val="24"/>
        </w:rPr>
      </w:pPr>
      <w:r>
        <w:rPr>
          <w:rFonts w:ascii="Times New Roman" w:hAnsi="Times New Roman"/>
          <w:sz w:val="24"/>
        </w:rPr>
        <w:t xml:space="preserve">The following is a description of related party transactions we have entered into since January 1, 2022, or currently in effect with any member of our board of directors or executive officers and the holders of more than 5% of our ordinary shares or ADSs. </w:t>
      </w:r>
    </w:p>
    <w:p>
      <w:pPr>
        <w:pStyle w:val="TextBody"/>
        <w:spacing w:before="360" w:after="0"/>
        <w:jc w:val="left"/>
        <w:rPr>
          <w:rFonts w:ascii="Times New Roman" w:hAnsi="Times New Roman"/>
          <w:b/>
          <w:sz w:val="24"/>
        </w:rPr>
      </w:pPr>
      <w:r>
        <w:rPr>
          <w:rFonts w:ascii="Times New Roman" w:hAnsi="Times New Roman"/>
          <w:b/>
          <w:sz w:val="24"/>
        </w:rPr>
        <w:t xml:space="preserve">Transactions with Mereo’s Executive Officers and Directors </w:t>
      </w:r>
    </w:p>
    <w:p>
      <w:pPr>
        <w:pStyle w:val="TextBody"/>
        <w:spacing w:before="120" w:after="0"/>
        <w:jc w:val="left"/>
        <w:rPr>
          <w:rFonts w:ascii="Times New Roman" w:hAnsi="Times New Roman"/>
          <w:sz w:val="24"/>
        </w:rPr>
      </w:pPr>
      <w:r>
        <w:rPr>
          <w:rFonts w:ascii="Times New Roman" w:hAnsi="Times New Roman"/>
          <w:sz w:val="24"/>
        </w:rPr>
        <w:t xml:space="preserve">We have entered into employment agreements or consultancy agreements with our executive officers. See “Item 6. Directors, Senior Management and Employees—B. Compensation—Executive Officer Employment Agreements.” </w:t>
      </w:r>
    </w:p>
    <w:p>
      <w:pPr>
        <w:pStyle w:val="TextBody"/>
        <w:spacing w:before="360" w:after="0"/>
        <w:jc w:val="left"/>
        <w:rPr>
          <w:rFonts w:ascii="Times New Roman" w:hAnsi="Times New Roman"/>
          <w:b/>
          <w:sz w:val="24"/>
        </w:rPr>
      </w:pPr>
      <w:r>
        <w:rPr>
          <w:rFonts w:ascii="Times New Roman" w:hAnsi="Times New Roman"/>
          <w:b/>
          <w:sz w:val="24"/>
        </w:rPr>
        <w:t xml:space="preserve">Employee Benefit Trust </w:t>
      </w:r>
    </w:p>
    <w:p>
      <w:pPr>
        <w:pStyle w:val="TextBody"/>
        <w:spacing w:before="120" w:after="0"/>
        <w:jc w:val="left"/>
        <w:rPr>
          <w:rFonts w:ascii="Times New Roman" w:hAnsi="Times New Roman"/>
          <w:sz w:val="24"/>
        </w:rPr>
      </w:pPr>
      <w:r>
        <w:rPr>
          <w:rFonts w:ascii="Times New Roman" w:hAnsi="Times New Roman"/>
          <w:sz w:val="24"/>
        </w:rPr>
        <w:t xml:space="preserve">In 2016, we established an Employee Benefit Trust (“EBT”) for the purpose of holding ordinary shares (subsequently ADSs) to satisfy the exercise of options under the Company’s share-based incentive schemes. </w:t>
      </w:r>
    </w:p>
    <w:p>
      <w:pPr>
        <w:pStyle w:val="TextBody"/>
        <w:spacing w:before="240" w:after="0"/>
        <w:jc w:val="left"/>
        <w:rPr>
          <w:rFonts w:ascii="Times New Roman" w:hAnsi="Times New Roman"/>
          <w:sz w:val="24"/>
        </w:rPr>
      </w:pPr>
      <w:r>
        <w:rPr>
          <w:rFonts w:ascii="Times New Roman" w:hAnsi="Times New Roman"/>
          <w:sz w:val="24"/>
        </w:rPr>
        <w:t xml:space="preserve">No funding was loaned to the EBT by the Company during the year ended December 31, 2022 or 2021. During the years ended December 31, 2022 and 2021, no ordinary shares were purchased by the EBT. A total of 15,645 ADSs (2021: 31,205) held by the EBT were used in the year-ended December 31, 2022 to satisfy the exercise of options under the Company’s share- based incentive schemes. As of December 31, 2022 the EBT holds 206,606 ADSs (2021: 216,251) along with £17,741 in cash (2021: £17,866).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Indemnity Agreements </w:t>
      </w:r>
    </w:p>
    <w:p>
      <w:pPr>
        <w:pStyle w:val="TextBody"/>
        <w:spacing w:before="120" w:after="0"/>
        <w:jc w:val="left"/>
        <w:rPr>
          <w:rFonts w:ascii="Times New Roman" w:hAnsi="Times New Roman"/>
          <w:sz w:val="24"/>
        </w:rPr>
      </w:pPr>
      <w:r>
        <w:rPr>
          <w:rFonts w:ascii="Times New Roman" w:hAnsi="Times New Roman"/>
          <w:sz w:val="24"/>
        </w:rPr>
        <w:t xml:space="preserve">We have entered into deeds of indemnity with each of our directors. See “Item 6. Directors, Senior Management and Employees—C. Board practices—Composition of the Mereo Board—Insurance and Indemnification.” </w:t>
      </w:r>
    </w:p>
    <w:p>
      <w:pPr>
        <w:pStyle w:val="TextBody"/>
        <w:spacing w:before="360" w:after="0"/>
        <w:jc w:val="left"/>
        <w:rPr>
          <w:rFonts w:ascii="Times New Roman" w:hAnsi="Times New Roman"/>
          <w:b/>
          <w:sz w:val="24"/>
        </w:rPr>
      </w:pPr>
      <w:r>
        <w:rPr>
          <w:rFonts w:ascii="Times New Roman" w:hAnsi="Times New Roman"/>
          <w:b/>
          <w:sz w:val="24"/>
        </w:rPr>
        <w:t xml:space="preserve">Related Person Transaction Policy </w:t>
      </w:r>
    </w:p>
    <w:p>
      <w:pPr>
        <w:pStyle w:val="TextBody"/>
        <w:spacing w:before="120" w:after="0"/>
        <w:jc w:val="left"/>
        <w:rPr>
          <w:rFonts w:ascii="Times New Roman" w:hAnsi="Times New Roman"/>
          <w:sz w:val="24"/>
        </w:rPr>
      </w:pPr>
      <w:r>
        <w:rPr>
          <w:rFonts w:ascii="Times New Roman" w:hAnsi="Times New Roman"/>
          <w:sz w:val="24"/>
        </w:rPr>
        <w:t xml:space="preserve">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w:t>
      </w:r>
    </w:p>
    <w:p>
      <w:pPr>
        <w:pStyle w:val="TextBody"/>
        <w:spacing w:before="360" w:after="0"/>
        <w:jc w:val="left"/>
        <w:rPr>
          <w:rFonts w:ascii="Times New Roman" w:hAnsi="Times New Roman"/>
          <w:b/>
          <w:sz w:val="24"/>
        </w:rPr>
      </w:pPr>
      <w:r>
        <w:rPr>
          <w:rFonts w:ascii="Times New Roman" w:hAnsi="Times New Roman"/>
          <w:b/>
          <w:sz w:val="24"/>
        </w:rPr>
        <w:t xml:space="preserve">7.C. Interests of Experts and Counsel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3070" w:type="dxa"/>
        <w:jc w:val="left"/>
        <w:tblInd w:w="0" w:type="dxa"/>
        <w:tblCellMar>
          <w:top w:w="0" w:type="dxa"/>
          <w:left w:w="0" w:type="dxa"/>
          <w:bottom w:w="0" w:type="dxa"/>
          <w:right w:w="0" w:type="dxa"/>
        </w:tblCellMar>
      </w:tblPr>
      <w:tblGrid>
        <w:gridCol w:w="740"/>
        <w:gridCol w:w="2330"/>
      </w:tblGrid>
      <w:tr>
        <w:trPr/>
        <w:tc>
          <w:tcPr>
            <w:tcW w:w="740" w:type="dxa"/>
            <w:tcBorders/>
            <w:shd w:fill="auto" w:val="clear"/>
            <w:vAlign w:val="center"/>
          </w:tcPr>
          <w:p>
            <w:pPr>
              <w:pStyle w:val="TableContents"/>
              <w:spacing w:before="0" w:after="283"/>
              <w:jc w:val="left"/>
              <w:rPr>
                <w:b/>
              </w:rPr>
            </w:pPr>
            <w:bookmarkStart w:id="12" w:name="tx430075_10"/>
            <w:bookmarkEnd w:id="12"/>
            <w:r>
              <w:rPr>
                <w:b/>
              </w:rPr>
              <w:t>Item 8.</w:t>
            </w:r>
          </w:p>
        </w:tc>
        <w:tc>
          <w:tcPr>
            <w:tcW w:w="233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Financial Information </w:t>
            </w:r>
          </w:p>
        </w:tc>
      </w:tr>
    </w:tbl>
    <w:p>
      <w:pPr>
        <w:pStyle w:val="TextBody"/>
        <w:spacing w:before="120" w:after="0"/>
        <w:jc w:val="left"/>
        <w:rPr>
          <w:rFonts w:ascii="Times New Roman" w:hAnsi="Times New Roman"/>
          <w:b/>
          <w:sz w:val="24"/>
        </w:rPr>
      </w:pPr>
      <w:r>
        <w:rPr>
          <w:rFonts w:ascii="Times New Roman" w:hAnsi="Times New Roman"/>
          <w:b/>
          <w:sz w:val="24"/>
        </w:rPr>
        <w:t xml:space="preserve">8.A. Consolidated Statements and Other Financial Information </w:t>
      </w:r>
    </w:p>
    <w:p>
      <w:pPr>
        <w:pStyle w:val="TextBody"/>
        <w:spacing w:before="120" w:after="0"/>
        <w:jc w:val="left"/>
        <w:rPr>
          <w:rFonts w:ascii="Times New Roman" w:hAnsi="Times New Roman"/>
          <w:sz w:val="24"/>
        </w:rPr>
      </w:pPr>
      <w:r>
        <w:rPr>
          <w:rFonts w:ascii="Times New Roman" w:hAnsi="Times New Roman"/>
          <w:sz w:val="24"/>
        </w:rPr>
        <w:t xml:space="preserve">See “Item 18. Financial Statements.” </w:t>
      </w:r>
    </w:p>
    <w:p>
      <w:pPr>
        <w:pStyle w:val="TextBody"/>
        <w:spacing w:before="360" w:after="0"/>
        <w:jc w:val="left"/>
        <w:rPr>
          <w:rFonts w:ascii="Times New Roman" w:hAnsi="Times New Roman"/>
          <w:b/>
          <w:sz w:val="24"/>
        </w:rPr>
      </w:pPr>
      <w:r>
        <w:rPr>
          <w:rFonts w:ascii="Times New Roman" w:hAnsi="Times New Roman"/>
          <w:b/>
          <w:sz w:val="24"/>
        </w:rPr>
        <w:t xml:space="preserve">Legal Proceedings </w:t>
      </w:r>
    </w:p>
    <w:p>
      <w:pPr>
        <w:pStyle w:val="TextBody"/>
        <w:spacing w:before="120" w:after="0"/>
        <w:jc w:val="left"/>
        <w:rPr>
          <w:rFonts w:ascii="Times New Roman" w:hAnsi="Times New Roman"/>
          <w:sz w:val="24"/>
        </w:rPr>
      </w:pPr>
      <w:r>
        <w:rPr>
          <w:rFonts w:ascii="Times New Roman" w:hAnsi="Times New Roman"/>
          <w:sz w:val="24"/>
        </w:rPr>
        <w:t xml:space="preserve">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 </w:t>
      </w:r>
    </w:p>
    <w:p>
      <w:pPr>
        <w:pStyle w:val="TextBody"/>
        <w:spacing w:before="360" w:after="0"/>
        <w:jc w:val="left"/>
        <w:rPr>
          <w:rFonts w:ascii="Times New Roman" w:hAnsi="Times New Roman"/>
          <w:b/>
          <w:sz w:val="24"/>
        </w:rPr>
      </w:pPr>
      <w:r>
        <w:rPr>
          <w:rFonts w:ascii="Times New Roman" w:hAnsi="Times New Roman"/>
          <w:b/>
          <w:sz w:val="24"/>
        </w:rPr>
        <w:t xml:space="preserve">Dividend Policy </w:t>
      </w:r>
    </w:p>
    <w:p>
      <w:pPr>
        <w:pStyle w:val="TextBody"/>
        <w:spacing w:before="120" w:after="0"/>
        <w:jc w:val="left"/>
        <w:rPr>
          <w:rFonts w:ascii="Times New Roman" w:hAnsi="Times New Roman"/>
          <w:sz w:val="24"/>
        </w:rPr>
      </w:pPr>
      <w:r>
        <w:rPr>
          <w:rFonts w:ascii="Times New Roman" w:hAnsi="Times New Roman"/>
          <w:sz w:val="24"/>
        </w:rPr>
        <w:t xml:space="preserve">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 so far as such losses have not been previously written off in a reduction or reorganization of capital. </w:t>
      </w:r>
    </w:p>
    <w:p>
      <w:pPr>
        <w:pStyle w:val="TextBody"/>
        <w:spacing w:before="360" w:after="0"/>
        <w:jc w:val="left"/>
        <w:rPr>
          <w:rFonts w:ascii="Times New Roman" w:hAnsi="Times New Roman"/>
          <w:b/>
          <w:sz w:val="24"/>
        </w:rPr>
      </w:pPr>
      <w:r>
        <w:rPr>
          <w:rFonts w:ascii="Times New Roman" w:hAnsi="Times New Roman"/>
          <w:b/>
          <w:sz w:val="24"/>
        </w:rPr>
        <w:t xml:space="preserve">8.B. Significant changes </w:t>
      </w:r>
    </w:p>
    <w:p>
      <w:pPr>
        <w:pStyle w:val="TextBody"/>
        <w:spacing w:before="120" w:after="0"/>
        <w:jc w:val="left"/>
        <w:rPr>
          <w:rFonts w:ascii="Times New Roman" w:hAnsi="Times New Roman"/>
          <w:sz w:val="24"/>
        </w:rPr>
      </w:pPr>
      <w:r>
        <w:rPr>
          <w:rFonts w:ascii="Times New Roman" w:hAnsi="Times New Roman"/>
          <w:sz w:val="24"/>
        </w:rPr>
        <w:t xml:space="preserve">Except as disclosed elsewhere in this annual report, there have been no other significant changes since December 31, 2022. </w:t>
      </w:r>
    </w:p>
    <w:p>
      <w:pPr>
        <w:pStyle w:val="TextBody"/>
        <w:spacing w:before="0" w:after="0"/>
        <w:jc w:val="left"/>
        <w:rPr/>
      </w:pPr>
      <w:r>
        <w:rPr/>
        <w:t> </w:t>
      </w:r>
    </w:p>
    <w:tbl>
      <w:tblPr>
        <w:tblW w:w="3115" w:type="dxa"/>
        <w:jc w:val="left"/>
        <w:tblInd w:w="0" w:type="dxa"/>
        <w:tblCellMar>
          <w:top w:w="0" w:type="dxa"/>
          <w:left w:w="0" w:type="dxa"/>
          <w:bottom w:w="0" w:type="dxa"/>
          <w:right w:w="0" w:type="dxa"/>
        </w:tblCellMar>
      </w:tblPr>
      <w:tblGrid>
        <w:gridCol w:w="740"/>
        <w:gridCol w:w="2375"/>
      </w:tblGrid>
      <w:tr>
        <w:trPr/>
        <w:tc>
          <w:tcPr>
            <w:tcW w:w="740" w:type="dxa"/>
            <w:tcBorders/>
            <w:shd w:fill="auto" w:val="clear"/>
            <w:vAlign w:val="center"/>
          </w:tcPr>
          <w:p>
            <w:pPr>
              <w:pStyle w:val="TableContents"/>
              <w:spacing w:before="0" w:after="283"/>
              <w:jc w:val="left"/>
              <w:rPr>
                <w:b/>
              </w:rPr>
            </w:pPr>
            <w:bookmarkStart w:id="13" w:name="tx430075_11"/>
            <w:bookmarkEnd w:id="13"/>
            <w:r>
              <w:rPr>
                <w:b/>
              </w:rPr>
              <w:t>Item 9.</w:t>
            </w:r>
          </w:p>
        </w:tc>
        <w:tc>
          <w:tcPr>
            <w:tcW w:w="237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The Offer And Listing </w:t>
            </w:r>
          </w:p>
        </w:tc>
      </w:tr>
    </w:tbl>
    <w:p>
      <w:pPr>
        <w:pStyle w:val="TextBody"/>
        <w:spacing w:before="120" w:after="0"/>
        <w:jc w:val="left"/>
        <w:rPr>
          <w:rFonts w:ascii="Times New Roman" w:hAnsi="Times New Roman"/>
          <w:b/>
          <w:sz w:val="24"/>
        </w:rPr>
      </w:pPr>
      <w:r>
        <w:rPr>
          <w:rFonts w:ascii="Times New Roman" w:hAnsi="Times New Roman"/>
          <w:b/>
          <w:sz w:val="24"/>
        </w:rPr>
        <w:t xml:space="preserve">9.A.4 Offer and Listing Details </w:t>
      </w:r>
    </w:p>
    <w:p>
      <w:pPr>
        <w:pStyle w:val="TextBody"/>
        <w:spacing w:before="120" w:after="0"/>
        <w:jc w:val="left"/>
        <w:rPr>
          <w:rFonts w:ascii="Times New Roman" w:hAnsi="Times New Roman"/>
          <w:sz w:val="24"/>
        </w:rPr>
      </w:pPr>
      <w:r>
        <w:rPr>
          <w:rFonts w:ascii="Times New Roman" w:hAnsi="Times New Roman"/>
          <w:sz w:val="24"/>
        </w:rPr>
        <w:t xml:space="preserve">Our ADSs, each representing five of our ordinary shares, nominal value £0.003 per share, have been listed on the Nasdaq Global Market since April 24, 2019. Our ADSs trade under the symbol “MREO.” Prior to that date, there was no public trading market for our ADSs. The Company’s ordinary shares were previously admitted to trading on the AIM market of London Stock Exchange plc with admission canceled with effect from December 18, 2020. </w:t>
      </w:r>
    </w:p>
    <w:p>
      <w:pPr>
        <w:pStyle w:val="TextBody"/>
        <w:spacing w:before="360" w:after="0"/>
        <w:jc w:val="left"/>
        <w:rPr>
          <w:rFonts w:ascii="Times New Roman" w:hAnsi="Times New Roman"/>
          <w:b/>
          <w:sz w:val="24"/>
        </w:rPr>
      </w:pPr>
      <w:r>
        <w:rPr>
          <w:rFonts w:ascii="Times New Roman" w:hAnsi="Times New Roman"/>
          <w:b/>
          <w:sz w:val="24"/>
        </w:rPr>
        <w:t xml:space="preserve">9.B. Plan of Distribution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9.C. Markets </w:t>
      </w:r>
    </w:p>
    <w:p>
      <w:pPr>
        <w:pStyle w:val="TextBody"/>
        <w:spacing w:before="120" w:after="0"/>
        <w:jc w:val="left"/>
        <w:rPr>
          <w:rFonts w:ascii="Times New Roman" w:hAnsi="Times New Roman"/>
          <w:sz w:val="24"/>
        </w:rPr>
      </w:pPr>
      <w:r>
        <w:rPr>
          <w:rFonts w:ascii="Times New Roman" w:hAnsi="Times New Roman"/>
          <w:sz w:val="24"/>
        </w:rPr>
        <w:t xml:space="preserve">Our ADSs are listed on the Nasdaq Global Market under the symbol “MREO”.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9.D. Selling Shareholders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9.E. Dilution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9.F. Expenses of the Issue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3325" w:type="dxa"/>
        <w:jc w:val="left"/>
        <w:tblInd w:w="0" w:type="dxa"/>
        <w:tblCellMar>
          <w:top w:w="0" w:type="dxa"/>
          <w:left w:w="0" w:type="dxa"/>
          <w:bottom w:w="0" w:type="dxa"/>
          <w:right w:w="0" w:type="dxa"/>
        </w:tblCellMar>
      </w:tblPr>
      <w:tblGrid>
        <w:gridCol w:w="860"/>
        <w:gridCol w:w="2465"/>
      </w:tblGrid>
      <w:tr>
        <w:trPr/>
        <w:tc>
          <w:tcPr>
            <w:tcW w:w="860" w:type="dxa"/>
            <w:tcBorders/>
            <w:shd w:fill="auto" w:val="clear"/>
            <w:vAlign w:val="center"/>
          </w:tcPr>
          <w:p>
            <w:pPr>
              <w:pStyle w:val="TableContents"/>
              <w:spacing w:before="0" w:after="283"/>
              <w:jc w:val="left"/>
              <w:rPr>
                <w:b/>
              </w:rPr>
            </w:pPr>
            <w:bookmarkStart w:id="14" w:name="tx430075_12"/>
            <w:bookmarkEnd w:id="14"/>
            <w:r>
              <w:rPr>
                <w:b/>
              </w:rPr>
              <w:t>Item 10.</w:t>
            </w:r>
          </w:p>
        </w:tc>
        <w:tc>
          <w:tcPr>
            <w:tcW w:w="246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Additional Information </w:t>
            </w:r>
          </w:p>
        </w:tc>
      </w:tr>
    </w:tbl>
    <w:p>
      <w:pPr>
        <w:pStyle w:val="TextBody"/>
        <w:spacing w:before="120" w:after="0"/>
        <w:jc w:val="left"/>
        <w:rPr>
          <w:rFonts w:ascii="Times New Roman" w:hAnsi="Times New Roman"/>
          <w:b/>
          <w:sz w:val="24"/>
        </w:rPr>
      </w:pPr>
      <w:r>
        <w:rPr>
          <w:rFonts w:ascii="Times New Roman" w:hAnsi="Times New Roman"/>
          <w:b/>
          <w:sz w:val="24"/>
        </w:rPr>
        <w:t xml:space="preserve">10.A. Share Capital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10.B. Memorandum and Articles of Association </w:t>
      </w:r>
    </w:p>
    <w:p>
      <w:pPr>
        <w:pStyle w:val="TextBody"/>
        <w:spacing w:before="120" w:after="0"/>
        <w:jc w:val="left"/>
        <w:rPr>
          <w:rFonts w:ascii="Times New Roman" w:hAnsi="Times New Roman"/>
          <w:sz w:val="24"/>
        </w:rPr>
      </w:pPr>
      <w:r>
        <w:rPr>
          <w:rFonts w:ascii="Times New Roman" w:hAnsi="Times New Roman"/>
          <w:sz w:val="24"/>
        </w:rPr>
        <w:t xml:space="preserve">See Exhibit 1.1 to this Annual Report on Form 20-F for more information. </w:t>
      </w:r>
    </w:p>
    <w:p>
      <w:pPr>
        <w:pStyle w:val="TextBody"/>
        <w:spacing w:before="360" w:after="0"/>
        <w:jc w:val="left"/>
        <w:rPr>
          <w:rFonts w:ascii="Times New Roman" w:hAnsi="Times New Roman"/>
          <w:b/>
          <w:sz w:val="24"/>
        </w:rPr>
      </w:pPr>
      <w:r>
        <w:rPr>
          <w:rFonts w:ascii="Times New Roman" w:hAnsi="Times New Roman"/>
          <w:b/>
          <w:sz w:val="24"/>
        </w:rPr>
        <w:t xml:space="preserve">10.C. Material Contracts </w:t>
      </w:r>
    </w:p>
    <w:p>
      <w:pPr>
        <w:pStyle w:val="TextBody"/>
        <w:spacing w:before="120" w:after="0"/>
        <w:jc w:val="left"/>
        <w:rPr>
          <w:rFonts w:ascii="Times New Roman" w:hAnsi="Times New Roman"/>
          <w:sz w:val="24"/>
        </w:rPr>
      </w:pPr>
      <w:r>
        <w:rPr>
          <w:rFonts w:ascii="Times New Roman" w:hAnsi="Times New Roman"/>
          <w:sz w:val="24"/>
        </w:rPr>
        <w:t xml:space="preserve">For a description of our material contracts, please see “Item 4. Information on the Company—B. Business Overview— Material Agreements.” </w:t>
      </w:r>
    </w:p>
    <w:p>
      <w:pPr>
        <w:pStyle w:val="TextBody"/>
        <w:spacing w:before="360" w:after="0"/>
        <w:jc w:val="left"/>
        <w:rPr>
          <w:rFonts w:ascii="Times New Roman" w:hAnsi="Times New Roman"/>
          <w:b/>
          <w:sz w:val="24"/>
        </w:rPr>
      </w:pPr>
      <w:r>
        <w:rPr>
          <w:rFonts w:ascii="Times New Roman" w:hAnsi="Times New Roman"/>
          <w:b/>
          <w:sz w:val="24"/>
        </w:rPr>
        <w:t xml:space="preserve">10.D. Exchange Controls </w:t>
      </w:r>
    </w:p>
    <w:p>
      <w:pPr>
        <w:pStyle w:val="TextBody"/>
        <w:spacing w:before="120" w:after="0"/>
        <w:jc w:val="left"/>
        <w:rPr>
          <w:rFonts w:ascii="Times New Roman" w:hAnsi="Times New Roman"/>
          <w:sz w:val="24"/>
        </w:rPr>
      </w:pPr>
      <w:r>
        <w:rPr>
          <w:rFonts w:ascii="Times New Roman" w:hAnsi="Times New Roman"/>
          <w:sz w:val="24"/>
        </w:rPr>
        <w:t xml:space="preserve">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our ADSs, other than withholding tax requirements. There is no limitation imposed by English law or in the Articles on the right of non-residents to hold or vote shares. </w:t>
      </w:r>
    </w:p>
    <w:p>
      <w:pPr>
        <w:pStyle w:val="TextBody"/>
        <w:spacing w:before="360" w:after="0"/>
        <w:jc w:val="left"/>
        <w:rPr>
          <w:rFonts w:ascii="Times New Roman" w:hAnsi="Times New Roman"/>
          <w:b/>
          <w:sz w:val="24"/>
        </w:rPr>
      </w:pPr>
      <w:r>
        <w:rPr>
          <w:rFonts w:ascii="Times New Roman" w:hAnsi="Times New Roman"/>
          <w:b/>
          <w:sz w:val="24"/>
        </w:rPr>
        <w:t xml:space="preserve">10.E. Taxation </w:t>
      </w:r>
    </w:p>
    <w:p>
      <w:pPr>
        <w:pStyle w:val="TextBody"/>
        <w:spacing w:before="120" w:after="0"/>
        <w:jc w:val="left"/>
        <w:rPr>
          <w:rFonts w:ascii="Times New Roman" w:hAnsi="Times New Roman"/>
          <w:b/>
          <w:i/>
          <w:sz w:val="24"/>
        </w:rPr>
      </w:pPr>
      <w:r>
        <w:rPr>
          <w:rFonts w:ascii="Times New Roman" w:hAnsi="Times New Roman"/>
          <w:b/>
          <w:i/>
          <w:sz w:val="24"/>
        </w:rPr>
        <w:t xml:space="preserve">Material U.S. Federal Income Tax Considerations </w:t>
      </w:r>
    </w:p>
    <w:p>
      <w:pPr>
        <w:pStyle w:val="TextBody"/>
        <w:spacing w:before="120" w:after="0"/>
        <w:jc w:val="left"/>
        <w:rPr>
          <w:rFonts w:ascii="Times New Roman" w:hAnsi="Times New Roman"/>
          <w:sz w:val="24"/>
        </w:rPr>
      </w:pPr>
      <w:r>
        <w:rPr>
          <w:rFonts w:ascii="Times New Roman" w:hAnsi="Times New Roman"/>
          <w:sz w:val="24"/>
        </w:rPr>
        <w:t xml:space="preserve">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 </w: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banks, insurance companies and other financial institutions;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real estate investment trusts or regulated investment companies; </w:t>
            </w:r>
          </w:p>
        </w:tc>
      </w:tr>
    </w:tbl>
    <w:p>
      <w:pPr>
        <w:pStyle w:val="TextBody"/>
        <w:spacing w:before="0" w:after="0"/>
        <w:jc w:val="left"/>
        <w:rPr/>
      </w:pPr>
      <w:r>
        <w:rPr/>
        <w:t> </w:t>
      </w:r>
    </w:p>
    <w:tbl>
      <w:tblPr>
        <w:tblW w:w="8095" w:type="dxa"/>
        <w:jc w:val="left"/>
        <w:tblInd w:w="0" w:type="dxa"/>
        <w:tblCellMar>
          <w:top w:w="0" w:type="dxa"/>
          <w:left w:w="0" w:type="dxa"/>
          <w:bottom w:w="0" w:type="dxa"/>
          <w:right w:w="0" w:type="dxa"/>
        </w:tblCellMar>
      </w:tblPr>
      <w:tblGrid>
        <w:gridCol w:w="75"/>
        <w:gridCol w:w="110"/>
        <w:gridCol w:w="60"/>
        <w:gridCol w:w="7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dealers or traders in securities that use a mark-to-market method of tax accounting;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persons holding our ADSs or ordinary shares as part of a straddle, integrated transaction or similar transaction;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persons whose functional currency for U.S. federal income tax purposes is not the U.S. dollar;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entities or arrangements treated as partnerships for U.S. federal income tax purposes and their partners or investors;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130 </w:t>
      </w:r>
      <w:r>
        <w:br w:type="page"/>
      </w:r>
    </w:p>
    <w:p>
      <w:pPr>
        <w:pStyle w:val="HorizontalLine"/>
        <w:rPr/>
      </w:pPr>
      <w:r>
        <w:rPr/>
      </w:r>
    </w:p>
    <w:p>
      <w:pPr>
        <w:pStyle w:val="Heading5"/>
        <w:rPr/>
      </w:pPr>
      <w:hyperlink w:anchor="toc">
        <w:r>
          <w:rPr>
            <w:rStyle w:val="InternetLink"/>
          </w:rPr>
          <w:t>Table of Contents</w:t>
        </w:r>
      </w:hyperlink>
    </w:p>
    <w:tbl>
      <w:tblPr>
        <w:tblW w:w="6895" w:type="dxa"/>
        <w:jc w:val="left"/>
        <w:tblInd w:w="0" w:type="dxa"/>
        <w:tblCellMar>
          <w:top w:w="0" w:type="dxa"/>
          <w:left w:w="0" w:type="dxa"/>
          <w:bottom w:w="0" w:type="dxa"/>
          <w:right w:w="0" w:type="dxa"/>
        </w:tblCellMar>
      </w:tblPr>
      <w:tblGrid>
        <w:gridCol w:w="75"/>
        <w:gridCol w:w="110"/>
        <w:gridCol w:w="60"/>
        <w:gridCol w:w="6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tax-exempt entities, “individual retirement accounts” or “Roth IRAs”; </w:t>
            </w:r>
          </w:p>
        </w:tc>
      </w:tr>
    </w:tbl>
    <w:p>
      <w:pPr>
        <w:pStyle w:val="TextBody"/>
        <w:spacing w:before="0" w:after="0"/>
        <w:jc w:val="left"/>
        <w:rPr/>
      </w:pPr>
      <w:r>
        <w:rPr/>
        <w:t> </w:t>
      </w:r>
    </w:p>
    <w:tbl>
      <w:tblPr>
        <w:tblW w:w="1765" w:type="dxa"/>
        <w:jc w:val="left"/>
        <w:tblInd w:w="0" w:type="dxa"/>
        <w:tblCellMar>
          <w:top w:w="0" w:type="dxa"/>
          <w:left w:w="0" w:type="dxa"/>
          <w:bottom w:w="0" w:type="dxa"/>
          <w:right w:w="0" w:type="dxa"/>
        </w:tblCellMar>
      </w:tblPr>
      <w:tblGrid>
        <w:gridCol w:w="75"/>
        <w:gridCol w:w="110"/>
        <w:gridCol w:w="60"/>
        <w:gridCol w:w="1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 corporations;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former citizens or residents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person that is subject to special tax accounting rules under section 451(b) of the U.S. Internal Revenue Code of 1986, as amended (the “Code”); </w:t>
            </w:r>
          </w:p>
        </w:tc>
      </w:tr>
    </w:tbl>
    <w:p>
      <w:pPr>
        <w:pStyle w:val="TextBody"/>
        <w:spacing w:before="0" w:after="0"/>
        <w:jc w:val="left"/>
        <w:rPr/>
      </w:pPr>
      <w:r>
        <w:rPr/>
        <w:t> </w:t>
      </w:r>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persons that own or are deemed to own 10% or more of our stock by vote or value;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persons holding our ADSs or ordinary shares in connection with a trade or business outside the United States. </w:t>
            </w:r>
          </w:p>
        </w:tc>
      </w:tr>
    </w:tbl>
    <w:p>
      <w:pPr>
        <w:pStyle w:val="TextBody"/>
        <w:spacing w:before="240" w:after="0"/>
        <w:jc w:val="left"/>
        <w:rPr>
          <w:rFonts w:ascii="Times New Roman" w:hAnsi="Times New Roman"/>
          <w:sz w:val="24"/>
        </w:rPr>
      </w:pPr>
      <w:r>
        <w:rPr>
          <w:rFonts w:ascii="Times New Roman" w:hAnsi="Times New Roman"/>
          <w:sz w:val="24"/>
        </w:rPr>
        <w:t xml:space="preserve">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 </w:t>
      </w:r>
    </w:p>
    <w:p>
      <w:pPr>
        <w:pStyle w:val="TextBody"/>
        <w:spacing w:before="240" w:after="0"/>
        <w:jc w:val="left"/>
        <w:rPr>
          <w:rFonts w:ascii="Times New Roman" w:hAnsi="Times New Roman"/>
          <w:sz w:val="24"/>
        </w:rPr>
      </w:pPr>
      <w:r>
        <w:rPr>
          <w:rFonts w:ascii="Times New Roman" w:hAnsi="Times New Roman"/>
          <w:sz w:val="24"/>
        </w:rPr>
        <w:t xml:space="preserve">Persons that own or are deemed to own 10% or more of our stock by vote or value should consult their tax advisers regarding the application of the “controlled foreign corporation” rules to their ownership of our ADSs or ordinary shares. </w:t>
      </w:r>
    </w:p>
    <w:p>
      <w:pPr>
        <w:pStyle w:val="TextBody"/>
        <w:spacing w:before="240" w:after="0"/>
        <w:jc w:val="left"/>
        <w:rPr>
          <w:rFonts w:ascii="Times New Roman" w:hAnsi="Times New Roman"/>
          <w:sz w:val="24"/>
        </w:rPr>
      </w:pPr>
      <w:r>
        <w:rPr>
          <w:rFonts w:ascii="Times New Roman" w:hAnsi="Times New Roman"/>
          <w:sz w:val="24"/>
        </w:rPr>
        <w:t xml:space="preserve">This discussion is based on the Code, administrative pronouncements, judicial decisions, and final, temporary and proposed Treasury regulations, all as of the date hereof, any of which is subject to change, possibly with retroactive effect. </w:t>
      </w:r>
    </w:p>
    <w:p>
      <w:pPr>
        <w:pStyle w:val="TextBody"/>
        <w:spacing w:before="240" w:after="0"/>
        <w:jc w:val="left"/>
        <w:rPr>
          <w:rFonts w:ascii="Times New Roman" w:hAnsi="Times New Roman"/>
          <w:sz w:val="24"/>
        </w:rPr>
      </w:pPr>
      <w:r>
        <w:rPr>
          <w:rFonts w:ascii="Times New Roman" w:hAnsi="Times New Roman"/>
          <w:sz w:val="24"/>
        </w:rPr>
        <w:t xml:space="preserve">We have not sought and do not intend to seek any ruling from the Internal Revenue Service (the “IRS”) with respect to the U.S. federal income tax consequences described herein and there can be no assurance that the IRS or a court will not take a contrary position. </w:t>
      </w:r>
    </w:p>
    <w:p>
      <w:pPr>
        <w:pStyle w:val="TextBody"/>
        <w:spacing w:before="240" w:after="0"/>
        <w:jc w:val="left"/>
        <w:rPr>
          <w:rFonts w:ascii="Times New Roman" w:hAnsi="Times New Roman"/>
          <w:sz w:val="24"/>
        </w:rPr>
      </w:pPr>
      <w:r>
        <w:rPr>
          <w:rFonts w:ascii="Times New Roman" w:hAnsi="Times New Roman"/>
          <w:sz w:val="24"/>
        </w:rPr>
        <w:t xml:space="preserve">As used herein, a “U.S. Holder” is a person that, for U.S. federal income tax purposes, is a beneficial owner of our ADSs or ordinary shares and is: </w:t>
      </w:r>
    </w:p>
    <w:p>
      <w:pPr>
        <w:pStyle w:val="TextBody"/>
        <w:spacing w:before="0" w:after="0"/>
        <w:jc w:val="left"/>
        <w:rPr/>
      </w:pPr>
      <w:r>
        <w:rPr/>
        <w:t> </w:t>
      </w:r>
    </w:p>
    <w:tbl>
      <w:tblPr>
        <w:tblW w:w="6130" w:type="dxa"/>
        <w:jc w:val="left"/>
        <w:tblInd w:w="0" w:type="dxa"/>
        <w:tblCellMar>
          <w:top w:w="0" w:type="dxa"/>
          <w:left w:w="0" w:type="dxa"/>
          <w:bottom w:w="0" w:type="dxa"/>
          <w:right w:w="0" w:type="dxa"/>
        </w:tblCellMar>
      </w:tblPr>
      <w:tblGrid>
        <w:gridCol w:w="75"/>
        <w:gridCol w:w="110"/>
        <w:gridCol w:w="60"/>
        <w:gridCol w:w="5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 individual who is a citizen or resident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corporation, or other entity taxable as a corporation, created or organized in or under the laws of the United States, any state therein or the District of Columbia;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an estate the income of which is subject to U.S. federal income taxation regardless of its source;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a trust that (i) is subject to the primary supervision of a court within the United States and subject to the control of one or more U.S. persons for all substantial decisions or (ii) has a valid election in effect under applicable U.S. Treasury regulations to be treated as a U.S. person. </w:t>
            </w:r>
          </w:p>
        </w:tc>
      </w:tr>
    </w:tbl>
    <w:p>
      <w:pPr>
        <w:pStyle w:val="TextBody"/>
        <w:spacing w:before="240" w:after="0"/>
        <w:jc w:val="left"/>
        <w:rPr>
          <w:rFonts w:ascii="Times New Roman" w:hAnsi="Times New Roman"/>
          <w:sz w:val="24"/>
        </w:rPr>
      </w:pPr>
      <w:r>
        <w:rPr>
          <w:rFonts w:ascii="Times New Roman" w:hAnsi="Times New Roman"/>
          <w:sz w:val="24"/>
        </w:rPr>
        <w:t xml:space="preserve">U.S. Holders should consult their tax advisers concerning the U.S. federal, state, local and non-U.S. tax consequences of owning and disposing of our ADSs or ordinary shares in their particular circumstances. </w:t>
      </w:r>
    </w:p>
    <w:p>
      <w:pPr>
        <w:pStyle w:val="TextBody"/>
        <w:spacing w:before="240" w:after="0"/>
        <w:jc w:val="left"/>
        <w:rPr>
          <w:rFonts w:ascii="Times New Roman" w:hAnsi="Times New Roman"/>
          <w:sz w:val="24"/>
        </w:rPr>
      </w:pPr>
      <w:r>
        <w:rPr>
          <w:rFonts w:ascii="Times New Roman" w:hAnsi="Times New Roman"/>
          <w:sz w:val="24"/>
        </w:rPr>
        <w:t xml:space="preserve">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 </w:t>
      </w:r>
    </w:p>
    <w:p>
      <w:pPr>
        <w:pStyle w:val="TextBody"/>
        <w:spacing w:before="360" w:after="0"/>
        <w:jc w:val="left"/>
        <w:rPr>
          <w:rFonts w:ascii="Times New Roman" w:hAnsi="Times New Roman"/>
          <w:i/>
          <w:sz w:val="24"/>
        </w:rPr>
      </w:pPr>
      <w:r>
        <w:rPr>
          <w:rFonts w:ascii="Times New Roman" w:hAnsi="Times New Roman"/>
          <w:i/>
          <w:sz w:val="24"/>
        </w:rPr>
        <w:t xml:space="preserve">Passive Foreign Investment Company Rules </w:t>
      </w:r>
    </w:p>
    <w:p>
      <w:pPr>
        <w:pStyle w:val="TextBody"/>
        <w:spacing w:before="120" w:after="0"/>
        <w:jc w:val="left"/>
        <w:rPr>
          <w:rFonts w:ascii="Times New Roman" w:hAnsi="Times New Roman"/>
          <w:sz w:val="24"/>
        </w:rPr>
      </w:pPr>
      <w:r>
        <w:rPr>
          <w:rFonts w:ascii="Times New Roman" w:hAnsi="Times New Roman"/>
          <w:sz w:val="24"/>
        </w:rPr>
        <w:t xml:space="preserve">Special U.S. tax rules apply to U.S. Holders of stock in a company that are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Based on our gross income, the average value of our assets, including goodwill, and the nature of the current stage of our business, we believe we were a PFIC for the year ended December 31, 2022.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 </w:t>
      </w:r>
    </w:p>
    <w:p>
      <w:pPr>
        <w:pStyle w:val="TextBody"/>
        <w:spacing w:before="240" w:after="0"/>
        <w:jc w:val="left"/>
        <w:rPr>
          <w:rFonts w:ascii="Times New Roman" w:hAnsi="Times New Roman"/>
          <w:sz w:val="24"/>
        </w:rPr>
      </w:pPr>
      <w:r>
        <w:rPr>
          <w:rFonts w:ascii="Times New Roman" w:hAnsi="Times New Roman"/>
          <w:sz w:val="24"/>
        </w:rPr>
        <w:t xml:space="preserve">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 </w:t>
      </w:r>
    </w:p>
    <w:p>
      <w:pPr>
        <w:pStyle w:val="TextBody"/>
        <w:spacing w:before="240" w:after="0"/>
        <w:jc w:val="left"/>
        <w:rPr>
          <w:rFonts w:ascii="Times New Roman" w:hAnsi="Times New Roman"/>
          <w:sz w:val="24"/>
        </w:rPr>
      </w:pPr>
      <w:r>
        <w:rPr>
          <w:rFonts w:ascii="Times New Roman" w:hAnsi="Times New Roman"/>
          <w:sz w:val="24"/>
        </w:rPr>
        <w:t xml:space="preserve">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 </w:t>
      </w:r>
    </w:p>
    <w:p>
      <w:pPr>
        <w:pStyle w:val="TextBody"/>
        <w:spacing w:before="240" w:after="0"/>
        <w:jc w:val="left"/>
        <w:rPr>
          <w:rFonts w:ascii="Times New Roman" w:hAnsi="Times New Roman"/>
          <w:sz w:val="24"/>
        </w:rPr>
      </w:pPr>
      <w:r>
        <w:rPr>
          <w:rFonts w:ascii="Times New Roman" w:hAnsi="Times New Roman"/>
          <w:sz w:val="24"/>
        </w:rPr>
        <w:t xml:space="preserve">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 </w:t>
      </w:r>
    </w:p>
    <w:p>
      <w:pPr>
        <w:pStyle w:val="TextBody"/>
        <w:spacing w:before="240" w:after="0"/>
        <w:jc w:val="left"/>
        <w:rPr>
          <w:rFonts w:ascii="Times New Roman" w:hAnsi="Times New Roman"/>
          <w:sz w:val="24"/>
        </w:rPr>
      </w:pPr>
      <w:r>
        <w:rPr>
          <w:rFonts w:ascii="Times New Roman" w:hAnsi="Times New Roman"/>
          <w:sz w:val="24"/>
        </w:rPr>
        <w:t xml:space="preserve">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If a U.S. Holder makes a QEF Election with respect to a PFIC, the U.S. Holder will be taxed on its pro rata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 </w:t>
      </w:r>
    </w:p>
    <w:p>
      <w:pPr>
        <w:pStyle w:val="TextBody"/>
        <w:spacing w:before="240" w:after="0"/>
        <w:jc w:val="left"/>
        <w:rPr>
          <w:rFonts w:ascii="Times New Roman" w:hAnsi="Times New Roman"/>
          <w:sz w:val="24"/>
        </w:rPr>
      </w:pPr>
      <w:r>
        <w:rPr>
          <w:rFonts w:ascii="Times New Roman" w:hAnsi="Times New Roman"/>
          <w:sz w:val="24"/>
        </w:rPr>
        <w:t xml:space="preserve">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 </w:t>
      </w:r>
    </w:p>
    <w:p>
      <w:pPr>
        <w:pStyle w:val="TextBody"/>
        <w:spacing w:before="240" w:after="0"/>
        <w:jc w:val="left"/>
        <w:rPr>
          <w:rFonts w:ascii="Times New Roman" w:hAnsi="Times New Roman"/>
          <w:sz w:val="24"/>
        </w:rPr>
      </w:pPr>
      <w:r>
        <w:rPr>
          <w:rFonts w:ascii="Times New Roman" w:hAnsi="Times New Roman"/>
          <w:sz w:val="24"/>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de minimis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 </w:t>
      </w:r>
    </w:p>
    <w:p>
      <w:pPr>
        <w:pStyle w:val="TextBody"/>
        <w:spacing w:before="240" w:after="0"/>
        <w:jc w:val="left"/>
        <w:rPr>
          <w:rFonts w:ascii="Times New Roman" w:hAnsi="Times New Roman"/>
          <w:sz w:val="24"/>
        </w:rPr>
      </w:pPr>
      <w:r>
        <w:rPr>
          <w:rFonts w:ascii="Times New Roman" w:hAnsi="Times New Roman"/>
          <w:sz w:val="24"/>
        </w:rPr>
        <w:t xml:space="preserve">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w:t>
      </w:r>
    </w:p>
    <w:p>
      <w:pPr>
        <w:pStyle w:val="TextBody"/>
        <w:spacing w:before="240" w:after="0"/>
        <w:jc w:val="left"/>
        <w:rPr>
          <w:rFonts w:ascii="Times New Roman" w:hAnsi="Times New Roman"/>
          <w:sz w:val="24"/>
        </w:rPr>
      </w:pPr>
      <w:r>
        <w:rPr>
          <w:rFonts w:ascii="Times New Roman" w:hAnsi="Times New Roman"/>
          <w:sz w:val="24"/>
        </w:rPr>
        <w:t xml:space="preserve">U.S. Holders should consult their tax advisers regarding our PFIC status for any taxable year and the potential application of the PFIC rules to an investment in our ADSs or ordinary shares. </w:t>
      </w:r>
    </w:p>
    <w:p>
      <w:pPr>
        <w:pStyle w:val="TextBody"/>
        <w:spacing w:before="360" w:after="0"/>
        <w:jc w:val="left"/>
        <w:rPr>
          <w:rFonts w:ascii="Times New Roman" w:hAnsi="Times New Roman"/>
          <w:i/>
          <w:sz w:val="24"/>
        </w:rPr>
      </w:pPr>
      <w:r>
        <w:rPr>
          <w:rFonts w:ascii="Times New Roman" w:hAnsi="Times New Roman"/>
          <w:i/>
          <w:sz w:val="24"/>
        </w:rPr>
        <w:t xml:space="preserve">Taxation of Distributions </w:t>
      </w:r>
    </w:p>
    <w:p>
      <w:pPr>
        <w:pStyle w:val="TextBody"/>
        <w:spacing w:before="120" w:after="0"/>
        <w:jc w:val="left"/>
        <w:rPr>
          <w:rFonts w:ascii="Times New Roman" w:hAnsi="Times New Roman"/>
          <w:sz w:val="24"/>
        </w:rPr>
      </w:pPr>
      <w:r>
        <w:rPr>
          <w:rFonts w:ascii="Times New Roman" w:hAnsi="Times New Roman"/>
          <w:sz w:val="24"/>
        </w:rPr>
        <w:t xml:space="preserve">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 </w:t>
      </w:r>
    </w:p>
    <w:p>
      <w:pPr>
        <w:pStyle w:val="TextBody"/>
        <w:spacing w:before="240" w:after="0"/>
        <w:jc w:val="left"/>
        <w:rPr>
          <w:rFonts w:ascii="Times New Roman" w:hAnsi="Times New Roman"/>
          <w:sz w:val="24"/>
        </w:rPr>
      </w:pPr>
      <w:r>
        <w:rPr>
          <w:rFonts w:ascii="Times New Roman" w:hAnsi="Times New Roman"/>
          <w:sz w:val="24"/>
        </w:rPr>
        <w:t xml:space="preserve">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 </w:t>
      </w:r>
    </w:p>
    <w:p>
      <w:pPr>
        <w:pStyle w:val="TextBody"/>
        <w:spacing w:before="240" w:after="0"/>
        <w:jc w:val="left"/>
        <w:rPr>
          <w:rFonts w:ascii="Times New Roman" w:hAnsi="Times New Roman"/>
          <w:sz w:val="24"/>
        </w:rPr>
      </w:pPr>
      <w:r>
        <w:rPr>
          <w:rFonts w:ascii="Times New Roman" w:hAnsi="Times New Roman"/>
          <w:sz w:val="24"/>
        </w:rPr>
        <w:t xml:space="preserve">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 </w:t>
      </w:r>
    </w:p>
    <w:p>
      <w:pPr>
        <w:pStyle w:val="TextBody"/>
        <w:spacing w:before="360" w:after="0"/>
        <w:jc w:val="left"/>
        <w:rPr>
          <w:rFonts w:ascii="Times New Roman" w:hAnsi="Times New Roman"/>
          <w:i/>
          <w:sz w:val="24"/>
        </w:rPr>
      </w:pPr>
      <w:r>
        <w:rPr>
          <w:rFonts w:ascii="Times New Roman" w:hAnsi="Times New Roman"/>
          <w:i/>
          <w:sz w:val="24"/>
        </w:rPr>
        <w:t xml:space="preserve">Sale or Other Taxable Disposition </w:t>
      </w:r>
    </w:p>
    <w:p>
      <w:pPr>
        <w:pStyle w:val="TextBody"/>
        <w:spacing w:before="120" w:after="0"/>
        <w:jc w:val="left"/>
        <w:rPr>
          <w:rFonts w:ascii="Times New Roman" w:hAnsi="Times New Roman"/>
          <w:sz w:val="24"/>
        </w:rPr>
      </w:pPr>
      <w:r>
        <w:rPr>
          <w:rFonts w:ascii="Times New Roman" w:hAnsi="Times New Roman"/>
          <w:sz w:val="24"/>
        </w:rPr>
        <w:t xml:space="preserve">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 </w:t>
      </w:r>
    </w:p>
    <w:p>
      <w:pPr>
        <w:pStyle w:val="TextBody"/>
        <w:spacing w:before="360" w:after="0"/>
        <w:jc w:val="left"/>
        <w:rPr>
          <w:rFonts w:ascii="Times New Roman" w:hAnsi="Times New Roman"/>
          <w:i/>
          <w:sz w:val="24"/>
        </w:rPr>
      </w:pPr>
      <w:r>
        <w:rPr>
          <w:rFonts w:ascii="Times New Roman" w:hAnsi="Times New Roman"/>
          <w:i/>
          <w:sz w:val="24"/>
        </w:rPr>
        <w:t xml:space="preserve">Information Reporting and Backup Withholding </w:t>
      </w:r>
    </w:p>
    <w:p>
      <w:pPr>
        <w:pStyle w:val="TextBody"/>
        <w:spacing w:before="120" w:after="0"/>
        <w:jc w:val="left"/>
        <w:rPr>
          <w:rFonts w:ascii="Times New Roman" w:hAnsi="Times New Roman"/>
          <w:sz w:val="24"/>
        </w:rPr>
      </w:pPr>
      <w:r>
        <w:rPr>
          <w:rFonts w:ascii="Times New Roman" w:hAnsi="Times New Roman"/>
          <w:sz w:val="24"/>
        </w:rPr>
        <w:t xml:space="preserve">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4"/>
        </w:rPr>
      </w:pPr>
      <w:r>
        <w:rPr>
          <w:rFonts w:ascii="Times New Roman" w:hAnsi="Times New Roman"/>
          <w:i/>
          <w:sz w:val="24"/>
        </w:rPr>
        <w:t xml:space="preserve">Information with Respect to Foreign Financial Assets </w:t>
      </w:r>
    </w:p>
    <w:p>
      <w:pPr>
        <w:pStyle w:val="TextBody"/>
        <w:spacing w:before="120" w:after="0"/>
        <w:jc w:val="left"/>
        <w:rPr>
          <w:rFonts w:ascii="Times New Roman" w:hAnsi="Times New Roman"/>
          <w:sz w:val="24"/>
        </w:rPr>
      </w:pPr>
      <w:r>
        <w:rPr>
          <w:rFonts w:ascii="Times New Roman" w:hAnsi="Times New Roman"/>
          <w:sz w:val="24"/>
        </w:rPr>
        <w:t xml:space="preserve">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 </w:t>
      </w:r>
    </w:p>
    <w:p>
      <w:pPr>
        <w:pStyle w:val="TextBody"/>
        <w:spacing w:before="360" w:after="0"/>
        <w:jc w:val="left"/>
        <w:rPr>
          <w:rFonts w:ascii="Times New Roman" w:hAnsi="Times New Roman"/>
          <w:i/>
          <w:sz w:val="24"/>
        </w:rPr>
      </w:pPr>
      <w:r>
        <w:rPr>
          <w:rFonts w:ascii="Times New Roman" w:hAnsi="Times New Roman"/>
          <w:i/>
          <w:sz w:val="24"/>
        </w:rPr>
        <w:t xml:space="preserve">Material United Kingdom Tax Considerations </w:t>
      </w:r>
    </w:p>
    <w:p>
      <w:pPr>
        <w:pStyle w:val="TextBody"/>
        <w:spacing w:before="120" w:after="0"/>
        <w:jc w:val="left"/>
        <w:rPr>
          <w:rFonts w:ascii="Times New Roman" w:hAnsi="Times New Roman"/>
          <w:sz w:val="24"/>
        </w:rPr>
      </w:pPr>
      <w:r>
        <w:rPr>
          <w:rFonts w:ascii="Times New Roman" w:hAnsi="Times New Roman"/>
          <w:sz w:val="24"/>
        </w:rPr>
        <w:t xml:space="preserve">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 </w:t>
      </w:r>
    </w:p>
    <w:p>
      <w:pPr>
        <w:pStyle w:val="TextBody"/>
        <w:spacing w:before="240" w:after="0"/>
        <w:jc w:val="left"/>
        <w:rPr>
          <w:rFonts w:ascii="Times New Roman" w:hAnsi="Times New Roman"/>
          <w:sz w:val="24"/>
        </w:rPr>
      </w:pPr>
      <w:r>
        <w:rPr>
          <w:rFonts w:ascii="Times New Roman" w:hAnsi="Times New Roman"/>
          <w:sz w:val="24"/>
        </w:rPr>
        <w:t xml:space="preserve">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 </w:t>
      </w:r>
    </w:p>
    <w:p>
      <w:pPr>
        <w:pStyle w:val="TextBody"/>
        <w:spacing w:before="360" w:after="0"/>
        <w:jc w:val="left"/>
        <w:rPr>
          <w:rFonts w:ascii="Times New Roman" w:hAnsi="Times New Roman"/>
          <w:i/>
          <w:sz w:val="24"/>
        </w:rPr>
      </w:pPr>
      <w:r>
        <w:rPr>
          <w:rFonts w:ascii="Times New Roman" w:hAnsi="Times New Roman"/>
          <w:i/>
          <w:sz w:val="24"/>
        </w:rPr>
        <w:t xml:space="preserve">U.K. Taxation of Dividends </w:t>
      </w:r>
    </w:p>
    <w:p>
      <w:pPr>
        <w:pStyle w:val="TextBody"/>
        <w:spacing w:before="120" w:after="0"/>
        <w:jc w:val="left"/>
        <w:rPr>
          <w:rFonts w:ascii="Times New Roman" w:hAnsi="Times New Roman"/>
          <w:sz w:val="24"/>
        </w:rPr>
      </w:pPr>
      <w:r>
        <w:rPr>
          <w:rFonts w:ascii="Times New Roman" w:hAnsi="Times New Roman"/>
          <w:sz w:val="24"/>
        </w:rPr>
        <w:t xml:space="preserve">Mereo will not be required to withhold amounts for or on account of U.K. tax at source when paying a dividend in respect of its ordinary shares. </w:t>
      </w:r>
    </w:p>
    <w:p>
      <w:pPr>
        <w:pStyle w:val="TextBody"/>
        <w:spacing w:before="240" w:after="0"/>
        <w:jc w:val="left"/>
        <w:rPr>
          <w:rFonts w:ascii="Times New Roman" w:hAnsi="Times New Roman"/>
          <w:sz w:val="24"/>
        </w:rPr>
      </w:pPr>
      <w:r>
        <w:rPr>
          <w:rFonts w:ascii="Times New Roman" w:hAnsi="Times New Roman"/>
          <w:sz w:val="24"/>
        </w:rPr>
        <w:t xml:space="preserve">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 </w:t>
      </w:r>
    </w:p>
    <w:p>
      <w:pPr>
        <w:pStyle w:val="TextBody"/>
        <w:spacing w:before="360" w:after="0"/>
        <w:jc w:val="left"/>
        <w:rPr>
          <w:rFonts w:ascii="Times New Roman" w:hAnsi="Times New Roman"/>
          <w:i/>
          <w:sz w:val="24"/>
        </w:rPr>
      </w:pPr>
      <w:r>
        <w:rPr>
          <w:rFonts w:ascii="Times New Roman" w:hAnsi="Times New Roman"/>
          <w:i/>
          <w:sz w:val="24"/>
        </w:rPr>
        <w:t xml:space="preserve">U.K. Taxation of Capital Gains </w:t>
      </w:r>
    </w:p>
    <w:p>
      <w:pPr>
        <w:pStyle w:val="TextBody"/>
        <w:spacing w:before="120" w:after="0"/>
        <w:jc w:val="left"/>
        <w:rPr>
          <w:rFonts w:ascii="Times New Roman" w:hAnsi="Times New Roman"/>
          <w:sz w:val="24"/>
        </w:rPr>
      </w:pPr>
      <w:r>
        <w:rPr>
          <w:rFonts w:ascii="Times New Roman" w:hAnsi="Times New Roman"/>
          <w:sz w:val="24"/>
        </w:rPr>
        <w:t xml:space="preserve">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 </w:t>
      </w:r>
    </w:p>
    <w:p>
      <w:pPr>
        <w:pStyle w:val="TextBody"/>
        <w:spacing w:before="240" w:after="0"/>
        <w:jc w:val="left"/>
        <w:rPr>
          <w:rFonts w:ascii="Times New Roman" w:hAnsi="Times New Roman"/>
          <w:sz w:val="24"/>
        </w:rPr>
      </w:pPr>
      <w:r>
        <w:rPr>
          <w:rFonts w:ascii="Times New Roman" w:hAnsi="Times New Roman"/>
          <w:sz w:val="24"/>
        </w:rPr>
        <w:t xml:space="preserve">Any such individual holder of our ADSs who is temporarily non-resident for U.K. tax purposes will, in certain circumstances, become liable to U.K. tax on capital gains in respect of gains realized while they were not resident in the U.K. </w:t>
      </w:r>
    </w:p>
    <w:p>
      <w:pPr>
        <w:pStyle w:val="TextBody"/>
        <w:spacing w:before="240" w:after="0"/>
        <w:jc w:val="left"/>
        <w:rPr>
          <w:rFonts w:ascii="Times New Roman" w:hAnsi="Times New Roman"/>
          <w:sz w:val="24"/>
        </w:rPr>
      </w:pPr>
      <w:r>
        <w:rPr>
          <w:rFonts w:ascii="Times New Roman" w:hAnsi="Times New Roman"/>
          <w:sz w:val="24"/>
        </w:rPr>
        <w:t xml:space="preserve">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 </w:t>
      </w:r>
    </w:p>
    <w:p>
      <w:pPr>
        <w:pStyle w:val="TextBody"/>
        <w:spacing w:before="360" w:after="0"/>
        <w:jc w:val="left"/>
        <w:rPr>
          <w:rFonts w:ascii="Times New Roman" w:hAnsi="Times New Roman"/>
          <w:i/>
          <w:sz w:val="24"/>
        </w:rPr>
      </w:pPr>
      <w:r>
        <w:rPr>
          <w:rFonts w:ascii="Times New Roman" w:hAnsi="Times New Roman"/>
          <w:i/>
          <w:sz w:val="24"/>
        </w:rPr>
        <w:t xml:space="preserve">Stamp Duty and Stamp Duty Reserve Tax </w:t>
      </w:r>
    </w:p>
    <w:p>
      <w:pPr>
        <w:pStyle w:val="TextBody"/>
        <w:spacing w:before="120" w:after="0"/>
        <w:jc w:val="left"/>
        <w:rPr>
          <w:rFonts w:ascii="Times New Roman" w:hAnsi="Times New Roman"/>
          <w:sz w:val="24"/>
        </w:rPr>
      </w:pPr>
      <w:r>
        <w:rPr>
          <w:rFonts w:ascii="Times New Roman" w:hAnsi="Times New Roman"/>
          <w:sz w:val="24"/>
        </w:rPr>
        <w:t xml:space="preserve">The following statements apply to all holders, regardless of their jurisdiction of tax residence. </w:t>
      </w:r>
    </w:p>
    <w:p>
      <w:pPr>
        <w:pStyle w:val="TextBody"/>
        <w:spacing w:before="240" w:after="0"/>
        <w:jc w:val="left"/>
        <w:rPr>
          <w:rFonts w:ascii="Times New Roman" w:hAnsi="Times New Roman"/>
          <w:sz w:val="24"/>
        </w:rPr>
      </w:pPr>
      <w:r>
        <w:rPr>
          <w:rFonts w:ascii="Times New Roman" w:hAnsi="Times New Roman"/>
          <w:sz w:val="24"/>
        </w:rPr>
        <w:t xml:space="preserve">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 </w:t>
      </w:r>
    </w:p>
    <w:p>
      <w:pPr>
        <w:pStyle w:val="TextBody"/>
        <w:spacing w:before="240" w:after="0"/>
        <w:jc w:val="left"/>
        <w:rPr>
          <w:rFonts w:ascii="Times New Roman" w:hAnsi="Times New Roman"/>
          <w:sz w:val="24"/>
        </w:rPr>
      </w:pPr>
      <w:r>
        <w:rPr>
          <w:rFonts w:ascii="Times New Roman" w:hAnsi="Times New Roman"/>
          <w:sz w:val="24"/>
        </w:rPr>
        <w:t xml:space="preserve">No SDRT or stamp duty should be payable on paperless transfers of, or agreements to transfer, our ADSs through the facilities of DTC. </w:t>
      </w:r>
    </w:p>
    <w:p>
      <w:pPr>
        <w:pStyle w:val="TextBody"/>
        <w:spacing w:before="240" w:after="0"/>
        <w:jc w:val="left"/>
        <w:rPr>
          <w:rFonts w:ascii="Times New Roman" w:hAnsi="Times New Roman"/>
          <w:sz w:val="24"/>
        </w:rPr>
      </w:pPr>
      <w:r>
        <w:rPr>
          <w:rFonts w:ascii="Times New Roman" w:hAnsi="Times New Roman"/>
          <w:sz w:val="24"/>
        </w:rPr>
        <w:t xml:space="preserve">The transfer on sale of ordinary shares by a written instrument of transfer will generally be liable to U.K. stamp duty at the rate of 0.5% of the amount or value of the consideration for the transfer. The purchaser normally pays the stamp duty. </w:t>
      </w:r>
    </w:p>
    <w:p>
      <w:pPr>
        <w:pStyle w:val="TextBody"/>
        <w:spacing w:before="240" w:after="0"/>
        <w:jc w:val="left"/>
        <w:rPr>
          <w:rFonts w:ascii="Times New Roman" w:hAnsi="Times New Roman"/>
          <w:sz w:val="24"/>
        </w:rPr>
      </w:pPr>
      <w:r>
        <w:rPr>
          <w:rFonts w:ascii="Times New Roman" w:hAnsi="Times New Roman"/>
          <w:sz w:val="24"/>
        </w:rPr>
        <w:t xml:space="preserve">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 </w:t>
      </w:r>
    </w:p>
    <w:p>
      <w:pPr>
        <w:pStyle w:val="TextBody"/>
        <w:spacing w:before="360" w:after="0"/>
        <w:jc w:val="left"/>
        <w:rPr>
          <w:rFonts w:ascii="Times New Roman" w:hAnsi="Times New Roman"/>
          <w:b/>
          <w:sz w:val="24"/>
        </w:rPr>
      </w:pPr>
      <w:r>
        <w:rPr>
          <w:rFonts w:ascii="Times New Roman" w:hAnsi="Times New Roman"/>
          <w:b/>
          <w:sz w:val="24"/>
        </w:rPr>
        <w:t xml:space="preserve">10.F. Dividends and Paying Agents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10.G. Statement by Experts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10.H. Documents on Display </w:t>
      </w:r>
    </w:p>
    <w:p>
      <w:pPr>
        <w:pStyle w:val="TextBody"/>
        <w:spacing w:before="120" w:after="0"/>
        <w:jc w:val="left"/>
        <w:rPr>
          <w:rFonts w:ascii="Times New Roman" w:hAnsi="Times New Roman"/>
          <w:sz w:val="24"/>
        </w:rPr>
      </w:pPr>
      <w:r>
        <w:rPr>
          <w:rFonts w:ascii="Times New Roman" w:hAnsi="Times New Roman"/>
          <w:sz w:val="24"/>
        </w:rPr>
        <w:t xml:space="preserve">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the second quarter. We furnish this half-year financial information to the SEC under cover of a Form 6-K. </w:t>
      </w:r>
    </w:p>
    <w:p>
      <w:pPr>
        <w:pStyle w:val="TextBody"/>
        <w:spacing w:before="240" w:after="0"/>
        <w:jc w:val="left"/>
        <w:rPr>
          <w:rFonts w:ascii="Times New Roman" w:hAnsi="Times New Roman"/>
          <w:sz w:val="24"/>
        </w:rPr>
      </w:pPr>
      <w:r>
        <w:rPr>
          <w:rFonts w:ascii="Times New Roman" w:hAnsi="Times New Roman"/>
          <w:sz w:val="24"/>
        </w:rPr>
        <w:t xml:space="preserve">The SEC maintains a website that contains reports, proxy and information statements and other information regarding issuers that file electronically with the SEC. The address of this website is http://www.sec.gov. The Company’s website is www.mereobiopharma.com. </w:t>
      </w:r>
    </w:p>
    <w:p>
      <w:pPr>
        <w:pStyle w:val="TextBody"/>
        <w:spacing w:before="360" w:after="0"/>
        <w:jc w:val="left"/>
        <w:rPr>
          <w:rFonts w:ascii="Times New Roman" w:hAnsi="Times New Roman"/>
          <w:b/>
          <w:sz w:val="24"/>
        </w:rPr>
      </w:pPr>
      <w:r>
        <w:rPr>
          <w:rFonts w:ascii="Times New Roman" w:hAnsi="Times New Roman"/>
          <w:b/>
          <w:sz w:val="24"/>
        </w:rPr>
        <w:t xml:space="preserve">10.I. Subsidiary Information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7150" w:type="dxa"/>
        <w:jc w:val="left"/>
        <w:tblInd w:w="0" w:type="dxa"/>
        <w:tblCellMar>
          <w:top w:w="0" w:type="dxa"/>
          <w:left w:w="0" w:type="dxa"/>
          <w:bottom w:w="0" w:type="dxa"/>
          <w:right w:w="0" w:type="dxa"/>
        </w:tblCellMar>
      </w:tblPr>
      <w:tblGrid>
        <w:gridCol w:w="860"/>
        <w:gridCol w:w="6290"/>
      </w:tblGrid>
      <w:tr>
        <w:trPr/>
        <w:tc>
          <w:tcPr>
            <w:tcW w:w="860" w:type="dxa"/>
            <w:tcBorders/>
            <w:shd w:fill="auto" w:val="clear"/>
            <w:vAlign w:val="center"/>
          </w:tcPr>
          <w:p>
            <w:pPr>
              <w:pStyle w:val="TableContents"/>
              <w:spacing w:before="0" w:after="283"/>
              <w:jc w:val="left"/>
              <w:rPr>
                <w:b/>
              </w:rPr>
            </w:pPr>
            <w:bookmarkStart w:id="15" w:name="tx430075_13"/>
            <w:bookmarkEnd w:id="15"/>
            <w:r>
              <w:rPr>
                <w:b/>
              </w:rPr>
              <w:t>Item 11.</w:t>
            </w:r>
          </w:p>
        </w:tc>
        <w:tc>
          <w:tcPr>
            <w:tcW w:w="629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Quantitative And Qualitative Disclosures About Market Risk </w:t>
            </w:r>
          </w:p>
        </w:tc>
      </w:tr>
    </w:tbl>
    <w:p>
      <w:pPr>
        <w:pStyle w:val="TextBody"/>
        <w:spacing w:before="120" w:after="0"/>
        <w:jc w:val="left"/>
        <w:rPr>
          <w:rFonts w:ascii="Times New Roman" w:hAnsi="Times New Roman"/>
          <w:sz w:val="24"/>
        </w:rPr>
      </w:pPr>
      <w:r>
        <w:rPr>
          <w:rFonts w:ascii="Times New Roman" w:hAnsi="Times New Roman"/>
          <w:sz w:val="24"/>
        </w:rPr>
        <w:t xml:space="preserve">We are exposed to a variety of financial risks. Our overall risk management program seeks to minimize potential adverse effects of these financial risks on our financial performance. Further information relating to quantitative and qualitative disclosures about market risk can be found within Note 24 (Financial and capital risk management and fair value measurement) of our annual consolidated financial statements, incorporated by reference into this document.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Interest Rate Risk </w:t>
      </w:r>
    </w:p>
    <w:p>
      <w:pPr>
        <w:pStyle w:val="TextBody"/>
        <w:spacing w:before="0" w:after="0"/>
        <w:jc w:val="left"/>
        <w:rPr>
          <w:rFonts w:ascii="Times New Roman" w:hAnsi="Times New Roman"/>
          <w:sz w:val="24"/>
        </w:rPr>
      </w:pPr>
      <w:r>
        <w:rPr>
          <w:rFonts w:ascii="Times New Roman" w:hAnsi="Times New Roman"/>
          <w:sz w:val="24"/>
        </w:rPr>
        <w:t xml:space="preserve">We manage interest rate risk by monitoring short and medium-term interest rates and placing cash on deposit for periods that optimize the amount of interest earned while maintaining access to sufficient funds to meet day-to-day cash requirements. Interest payable on our convertible loan notes is fixed. In December 2020, we repaid the outstanding principal and accrued interest of our credit facility in full. Consequently, there is no material exposure to interest rate risk in respect of interest payable. </w:t>
      </w:r>
    </w:p>
    <w:p>
      <w:pPr>
        <w:pStyle w:val="TextBody"/>
        <w:spacing w:before="360" w:after="0"/>
        <w:jc w:val="left"/>
        <w:rPr>
          <w:rFonts w:ascii="Times New Roman" w:hAnsi="Times New Roman"/>
          <w:b/>
          <w:i/>
          <w:sz w:val="24"/>
        </w:rPr>
      </w:pPr>
      <w:r>
        <w:rPr>
          <w:rFonts w:ascii="Times New Roman" w:hAnsi="Times New Roman"/>
          <w:b/>
          <w:i/>
          <w:sz w:val="24"/>
        </w:rPr>
        <w:t xml:space="preserve">Credit Risk </w:t>
      </w:r>
    </w:p>
    <w:p>
      <w:pPr>
        <w:pStyle w:val="TextBody"/>
        <w:spacing w:before="120" w:after="0"/>
        <w:jc w:val="left"/>
        <w:rPr>
          <w:rFonts w:ascii="Times New Roman" w:hAnsi="Times New Roman"/>
          <w:sz w:val="24"/>
        </w:rPr>
      </w:pPr>
      <w:r>
        <w:rPr>
          <w:rFonts w:ascii="Times New Roman" w:hAnsi="Times New Roman"/>
          <w:sz w:val="24"/>
        </w:rPr>
        <w:t xml:space="preserve">We consider all of our material counterparties to be creditworthy. We consider the credit risk for each of our major counterparties to be low. We are, however, dependent on a number of third parties for the delivery of our programs and, where required, we pay upfront deposits and fees in advance of the delivery of services. We continue to assess credit risk as part of its management of these third-party relationships. </w:t>
      </w:r>
    </w:p>
    <w:p>
      <w:pPr>
        <w:pStyle w:val="TextBody"/>
        <w:spacing w:before="360" w:after="0"/>
        <w:jc w:val="left"/>
        <w:rPr>
          <w:rFonts w:ascii="Times New Roman" w:hAnsi="Times New Roman"/>
          <w:b/>
          <w:i/>
          <w:sz w:val="24"/>
        </w:rPr>
      </w:pPr>
      <w:r>
        <w:rPr>
          <w:rFonts w:ascii="Times New Roman" w:hAnsi="Times New Roman"/>
          <w:b/>
          <w:i/>
          <w:sz w:val="24"/>
        </w:rPr>
        <w:t xml:space="preserve">Liquidity Risk </w:t>
      </w:r>
    </w:p>
    <w:p>
      <w:pPr>
        <w:pStyle w:val="TextBody"/>
        <w:spacing w:before="120" w:after="0"/>
        <w:jc w:val="left"/>
        <w:rPr>
          <w:rFonts w:ascii="Times New Roman" w:hAnsi="Times New Roman"/>
          <w:sz w:val="24"/>
        </w:rPr>
      </w:pPr>
      <w:r>
        <w:rPr>
          <w:rFonts w:ascii="Times New Roman" w:hAnsi="Times New Roman"/>
          <w:sz w:val="24"/>
        </w:rPr>
        <w:t xml:space="preserve">We manage our liquidity risk by maintaining adequate cash reserves at highly rated banks and financial institutions and invest in short-term deposits to achieve a competitive rate of return. Our liquid resources are invested regard to the timing of payments to be made in the ordinary course of business and we monitor our funding requirements through preparation of short-term, mid-term, and long-term forecasts, matching the maturity profiles of financial assets and liabilities. </w:t>
      </w:r>
    </w:p>
    <w:p>
      <w:pPr>
        <w:pStyle w:val="TextBody"/>
        <w:spacing w:before="360" w:after="0"/>
        <w:jc w:val="left"/>
        <w:rPr>
          <w:rFonts w:ascii="Times New Roman" w:hAnsi="Times New Roman"/>
          <w:b/>
          <w:i/>
          <w:sz w:val="24"/>
        </w:rPr>
      </w:pPr>
      <w:r>
        <w:rPr>
          <w:rFonts w:ascii="Times New Roman" w:hAnsi="Times New Roman"/>
          <w:b/>
          <w:i/>
          <w:sz w:val="24"/>
        </w:rPr>
        <w:t xml:space="preserve">Foreign Currency Risk </w:t>
      </w:r>
    </w:p>
    <w:p>
      <w:pPr>
        <w:pStyle w:val="TextBody"/>
        <w:spacing w:before="120" w:after="0"/>
        <w:jc w:val="left"/>
        <w:rPr>
          <w:rFonts w:ascii="Times New Roman" w:hAnsi="Times New Roman"/>
          <w:sz w:val="24"/>
        </w:rPr>
      </w:pPr>
      <w:r>
        <w:rPr>
          <w:rFonts w:ascii="Times New Roman" w:hAnsi="Times New Roman"/>
          <w:sz w:val="24"/>
        </w:rPr>
        <w:t xml:space="preserve">Foreign currency risk reflects the risk that the value of a financial commitment or recognized asset or liability will fluctuate due to changes in foreign currency rates. The majority of our operating costs are denominated in pound sterling, U.S. dollars and Euros. Our financial position, as expressed in pound sterling, is exposed to movements in foreign exchange rates, principally against the U.S. dollar and Euro. </w:t>
      </w:r>
    </w:p>
    <w:p>
      <w:pPr>
        <w:pStyle w:val="TextBody"/>
        <w:spacing w:before="240" w:after="0"/>
        <w:jc w:val="left"/>
        <w:rPr>
          <w:rFonts w:ascii="Times New Roman" w:hAnsi="Times New Roman"/>
          <w:sz w:val="24"/>
        </w:rPr>
      </w:pPr>
      <w:r>
        <w:rPr>
          <w:rFonts w:ascii="Times New Roman" w:hAnsi="Times New Roman"/>
          <w:sz w:val="24"/>
        </w:rPr>
        <w:t xml:space="preserve">We are exposed to foreign currency risk as a result of operating transactions, translation of foreign currency bank accounts and short-term deposits as well as funding arrangements with our subsidiary. </w:t>
      </w:r>
    </w:p>
    <w:p>
      <w:pPr>
        <w:pStyle w:val="TextBody"/>
        <w:spacing w:before="240" w:after="0"/>
        <w:jc w:val="left"/>
        <w:rPr>
          <w:rFonts w:ascii="Times New Roman" w:hAnsi="Times New Roman"/>
          <w:sz w:val="24"/>
        </w:rPr>
      </w:pPr>
      <w:r>
        <w:rPr>
          <w:rFonts w:ascii="Times New Roman" w:hAnsi="Times New Roman"/>
          <w:sz w:val="24"/>
        </w:rPr>
        <w:t xml:space="preserve">In addition, the assets and liabilities of our subsidiaries are translated into pound sterling at exchange rates in effect at each balance sheet date and operations accounts are translated using the average exchange rate for the relevant period (where the functional currency of the subsidiary is not pound sterling). Foreign currency translation adjustments are accounted for as a component of comprehensive income and reflected in the foreign exchange translation reserve and in comprehensive income on the consolidated statement of changes in equity. </w:t>
      </w:r>
    </w:p>
    <w:p>
      <w:pPr>
        <w:pStyle w:val="TextBody"/>
        <w:spacing w:before="240" w:after="0"/>
        <w:jc w:val="left"/>
        <w:rPr>
          <w:rFonts w:ascii="Times New Roman" w:hAnsi="Times New Roman"/>
          <w:sz w:val="24"/>
        </w:rPr>
      </w:pPr>
      <w:r>
        <w:rPr>
          <w:rFonts w:ascii="Times New Roman" w:hAnsi="Times New Roman"/>
          <w:sz w:val="24"/>
        </w:rPr>
        <w:t xml:space="preserve">We monitor our exposure to foreign exchange risk. We have not entered into foreign exchange contracts to hedge against foreign exchange fluctuations but maintain cash and short-term deposits in U.S. dollars to cover anticipated forward commitments. For the year ended December 31, 2022, we recorded a net foreign exchange gain of £1.5 million, compared to a loss of £1.0 million loss for the year ended December 31, 2021. </w:t>
      </w:r>
    </w:p>
    <w:p>
      <w:pPr>
        <w:pStyle w:val="TextBody"/>
        <w:spacing w:before="0" w:after="0"/>
        <w:jc w:val="left"/>
        <w:rPr/>
      </w:pPr>
      <w:r>
        <w:rPr/>
        <w:t> </w:t>
      </w:r>
    </w:p>
    <w:tbl>
      <w:tblPr>
        <w:tblW w:w="6475" w:type="dxa"/>
        <w:jc w:val="left"/>
        <w:tblInd w:w="0" w:type="dxa"/>
        <w:tblCellMar>
          <w:top w:w="0" w:type="dxa"/>
          <w:left w:w="0" w:type="dxa"/>
          <w:bottom w:w="0" w:type="dxa"/>
          <w:right w:w="0" w:type="dxa"/>
        </w:tblCellMar>
      </w:tblPr>
      <w:tblGrid>
        <w:gridCol w:w="860"/>
        <w:gridCol w:w="5615"/>
      </w:tblGrid>
      <w:tr>
        <w:trPr/>
        <w:tc>
          <w:tcPr>
            <w:tcW w:w="860" w:type="dxa"/>
            <w:tcBorders/>
            <w:shd w:fill="auto" w:val="clear"/>
            <w:vAlign w:val="center"/>
          </w:tcPr>
          <w:p>
            <w:pPr>
              <w:pStyle w:val="TableContents"/>
              <w:spacing w:before="0" w:after="283"/>
              <w:jc w:val="left"/>
              <w:rPr>
                <w:b/>
              </w:rPr>
            </w:pPr>
            <w:bookmarkStart w:id="16" w:name="tx430075_14"/>
            <w:bookmarkEnd w:id="16"/>
            <w:r>
              <w:rPr>
                <w:b/>
              </w:rPr>
              <w:t>Item 12.</w:t>
            </w:r>
          </w:p>
        </w:tc>
        <w:tc>
          <w:tcPr>
            <w:tcW w:w="561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Description of Securities Other Than Equity Securities </w:t>
            </w:r>
          </w:p>
        </w:tc>
      </w:tr>
    </w:tbl>
    <w:p>
      <w:pPr>
        <w:pStyle w:val="TextBody"/>
        <w:spacing w:before="120" w:after="0"/>
        <w:jc w:val="left"/>
        <w:rPr>
          <w:rFonts w:ascii="Times New Roman" w:hAnsi="Times New Roman"/>
          <w:b/>
          <w:sz w:val="24"/>
        </w:rPr>
      </w:pPr>
      <w:r>
        <w:rPr>
          <w:rFonts w:ascii="Times New Roman" w:hAnsi="Times New Roman"/>
          <w:b/>
          <w:sz w:val="24"/>
        </w:rPr>
        <w:t xml:space="preserve">12.A. Debt Securities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12.B. Warrants and Rights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12.C. Other Securities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4"/>
        </w:rPr>
      </w:pPr>
      <w:r>
        <w:rPr>
          <w:rFonts w:ascii="Times New Roman" w:hAnsi="Times New Roman"/>
          <w:b/>
          <w:sz w:val="24"/>
        </w:rPr>
        <w:t xml:space="preserve">12.D. American Depositary Shares </w:t>
      </w:r>
    </w:p>
    <w:p>
      <w:pPr>
        <w:pStyle w:val="TextBody"/>
        <w:spacing w:before="120" w:after="0"/>
        <w:jc w:val="left"/>
        <w:rPr>
          <w:rFonts w:ascii="Times New Roman" w:hAnsi="Times New Roman"/>
          <w:b/>
          <w:sz w:val="24"/>
        </w:rPr>
      </w:pPr>
      <w:r>
        <w:rPr>
          <w:rFonts w:ascii="Times New Roman" w:hAnsi="Times New Roman"/>
          <w:b/>
          <w:sz w:val="24"/>
        </w:rPr>
        <w:t xml:space="preserve">Fees and Charges </w:t>
      </w:r>
    </w:p>
    <w:p>
      <w:pPr>
        <w:pStyle w:val="TextBody"/>
        <w:spacing w:before="120" w:after="0"/>
        <w:jc w:val="left"/>
        <w:rPr>
          <w:rFonts w:ascii="Times New Roman" w:hAnsi="Times New Roman"/>
          <w:sz w:val="24"/>
        </w:rPr>
      </w:pPr>
      <w:r>
        <w:rPr>
          <w:rFonts w:ascii="Times New Roman" w:hAnsi="Times New Roman"/>
          <w:sz w:val="24"/>
        </w:rPr>
        <w:t xml:space="preserve">As an ADS holder, you will be required to pay the following fees under the terms of the deposit agreement: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757"/>
        <w:gridCol w:w="120"/>
        <w:gridCol w:w="4328"/>
      </w:tblGrid>
      <w:tr>
        <w:trPr/>
        <w:tc>
          <w:tcPr>
            <w:tcW w:w="57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28" w:type="dxa"/>
            <w:tcBorders/>
            <w:shd w:fill="auto" w:val="clear"/>
            <w:vAlign w:val="center"/>
          </w:tcPr>
          <w:p>
            <w:pPr>
              <w:pStyle w:val="TableContents"/>
              <w:spacing w:before="0" w:after="283"/>
              <w:rPr>
                <w:sz w:val="4"/>
                <w:szCs w:val="4"/>
              </w:rPr>
            </w:pPr>
            <w:r>
              <w:rPr>
                <w:sz w:val="4"/>
                <w:szCs w:val="4"/>
              </w:rPr>
            </w:r>
          </w:p>
        </w:tc>
      </w:tr>
      <w:tr>
        <w:trPr/>
        <w:tc>
          <w:tcPr>
            <w:tcW w:w="5757"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22"/>
              </w:rPr>
            </w:pPr>
            <w:r>
              <w:rPr>
                <w:rFonts w:ascii="Times New Roman" w:hAnsi="Times New Roman"/>
                <w:b/>
                <w:sz w:val="22"/>
              </w:rPr>
              <w:t>Service</w:t>
            </w:r>
          </w:p>
        </w:tc>
        <w:tc>
          <w:tcPr>
            <w:tcW w:w="120" w:type="dxa"/>
            <w:tcBorders/>
            <w:shd w:fill="auto" w:val="clear"/>
            <w:vAlign w:val="center"/>
          </w:tcPr>
          <w:p>
            <w:pPr>
              <w:pStyle w:val="TableContents"/>
              <w:spacing w:before="0" w:after="283"/>
              <w:rPr/>
            </w:pPr>
            <w:r>
              <w:rPr/>
              <w:t>  </w:t>
            </w:r>
          </w:p>
        </w:tc>
        <w:tc>
          <w:tcPr>
            <w:tcW w:w="432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22"/>
              </w:rPr>
            </w:pPr>
            <w:r>
              <w:rPr>
                <w:rFonts w:ascii="Times New Roman" w:hAnsi="Times New Roman"/>
                <w:b/>
                <w:sz w:val="22"/>
              </w:rPr>
              <w:t>Fee</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Issuance of ADSs (e.g., an issuance of ADS upon a deposit of ordinary shares or upon a change in the ADS(s)-to-ordinary shares ratio), excluding ADS issuances as a result of distributions of ordinary Shares</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issued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Cancellation of ADSs (e.g., a cancellation of ADSs for delivery of deposited property or upon a change in the ADS(s)-to-ordinary shares ratio)</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cancelled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Distribution of cash dividends or other cash distributions (e.g., upon a sale of rights and other entitlements)</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held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Distribution of ADSs pursuant to (i) stock dividends or other free stock distributions, or</w:t>
              <w:br/>
              <w:t>(ii) exercise of rights to purchase additional ADSs</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held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Distribution of securities other than ADSs or rights to purchase additional ADSs (e.g., upon a spin-off)</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held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ADS Services</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held on the applicable record date(s) established by the depositary</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Registration of ADS Transfers (e.g., upon a registration of the transfer of registered ownership of ADSs, upon a transfer of ADSs into DTC and vice versa, or for any other reason)</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transferred</w:t>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48" w:type="dxa"/>
            <w:gridSpan w:val="2"/>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120" w:type="dxa"/>
            <w:tcBorders/>
            <w:shd w:fill="auto" w:val="clear"/>
            <w:vAlign w:val="center"/>
          </w:tcPr>
          <w:p>
            <w:pPr>
              <w:pStyle w:val="TableContents"/>
              <w:spacing w:before="0" w:after="283"/>
              <w:rPr/>
            </w:pPr>
            <w:r>
              <w:rPr/>
              <w:t>  </w:t>
            </w:r>
          </w:p>
        </w:tc>
        <w:tc>
          <w:tcPr>
            <w:tcW w:w="4328" w:type="dxa"/>
            <w:tcBorders/>
            <w:shd w:fill="auto" w:val="clear"/>
            <w:vAlign w:val="center"/>
          </w:tcPr>
          <w:p>
            <w:pPr>
              <w:pStyle w:val="TableContents"/>
              <w:spacing w:before="0" w:after="283"/>
              <w:rPr/>
            </w:pPr>
            <w:r>
              <w:rPr/>
              <w:t>Up to $5.00 per 100 ADSs (or fraction thereof) converted</w:t>
            </w:r>
          </w:p>
        </w:tc>
      </w:tr>
    </w:tbl>
    <w:p>
      <w:pPr>
        <w:pStyle w:val="TextBody"/>
        <w:spacing w:before="360" w:after="0"/>
        <w:jc w:val="left"/>
        <w:rPr>
          <w:rFonts w:ascii="Times New Roman" w:hAnsi="Times New Roman"/>
          <w:sz w:val="24"/>
        </w:rPr>
      </w:pPr>
      <w:r>
        <w:rPr>
          <w:rFonts w:ascii="Times New Roman" w:hAnsi="Times New Roman"/>
          <w:sz w:val="24"/>
        </w:rPr>
        <w:t xml:space="preserve">As an ADS holder you will also be responsible to pay certain charges such as: </w:t>
      </w:r>
    </w:p>
    <w:p>
      <w:pPr>
        <w:pStyle w:val="TextBody"/>
        <w:spacing w:before="0" w:after="0"/>
        <w:jc w:val="left"/>
        <w:rPr/>
      </w:pPr>
      <w:r>
        <w:rPr/>
        <w:t> </w:t>
      </w:r>
    </w:p>
    <w:tbl>
      <w:tblPr>
        <w:tblW w:w="8095" w:type="dxa"/>
        <w:jc w:val="left"/>
        <w:tblInd w:w="0" w:type="dxa"/>
        <w:tblCellMar>
          <w:top w:w="0" w:type="dxa"/>
          <w:left w:w="0" w:type="dxa"/>
          <w:bottom w:w="0" w:type="dxa"/>
          <w:right w:w="0" w:type="dxa"/>
        </w:tblCellMar>
      </w:tblPr>
      <w:tblGrid>
        <w:gridCol w:w="75"/>
        <w:gridCol w:w="110"/>
        <w:gridCol w:w="60"/>
        <w:gridCol w:w="7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taxes (including applicable interest and penalties) and other governmental charges;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spacing w:before="0" w:after="0"/>
        <w:jc w:val="left"/>
        <w:rPr/>
      </w:pPr>
      <w:r>
        <w:rPr/>
        <w:t> </w:t>
      </w:r>
    </w:p>
    <w:tbl>
      <w:tblPr>
        <w:tblW w:w="6895" w:type="dxa"/>
        <w:jc w:val="left"/>
        <w:tblInd w:w="0" w:type="dxa"/>
        <w:tblCellMar>
          <w:top w:w="0" w:type="dxa"/>
          <w:left w:w="0" w:type="dxa"/>
          <w:bottom w:w="0" w:type="dxa"/>
          <w:right w:w="0" w:type="dxa"/>
        </w:tblCellMar>
      </w:tblPr>
      <w:tblGrid>
        <w:gridCol w:w="75"/>
        <w:gridCol w:w="110"/>
        <w:gridCol w:w="60"/>
        <w:gridCol w:w="6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certain cable, telex, and facsimile transmission and delivery expenses; </w:t>
            </w:r>
          </w:p>
        </w:tc>
      </w:tr>
    </w:tbl>
    <w:p>
      <w:pPr>
        <w:pStyle w:val="TextBody"/>
        <w:spacing w:before="0" w:after="0"/>
        <w:jc w:val="left"/>
        <w:rPr/>
      </w:pPr>
      <w:r>
        <w:rPr/>
        <w:t> </w:t>
      </w:r>
    </w:p>
    <w:tbl>
      <w:tblPr>
        <w:tblW w:w="8860" w:type="dxa"/>
        <w:jc w:val="left"/>
        <w:tblInd w:w="0" w:type="dxa"/>
        <w:tblCellMar>
          <w:top w:w="0" w:type="dxa"/>
          <w:left w:w="0" w:type="dxa"/>
          <w:bottom w:w="0" w:type="dxa"/>
          <w:right w:w="0" w:type="dxa"/>
        </w:tblCellMar>
      </w:tblPr>
      <w:tblGrid>
        <w:gridCol w:w="75"/>
        <w:gridCol w:w="110"/>
        <w:gridCol w:w="60"/>
        <w:gridCol w:w="8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1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expenses and charges incurred by the depositary in the conversion of foreign currency;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fees and expenses incurred by the depositary in connection with compliance with exchange control regulations and other regulatory requirements applicable to ordinary shares, ADSs, and ADRs;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fees, charges, costs and expenses incurred by the depositary, the custodian, or any nominee in connection with the ADR program. </w:t>
            </w:r>
          </w:p>
        </w:tc>
      </w:tr>
    </w:tbl>
    <w:p>
      <w:pPr>
        <w:pStyle w:val="TextBody"/>
        <w:spacing w:before="240" w:after="0"/>
        <w:jc w:val="left"/>
        <w:rPr>
          <w:rFonts w:ascii="Times New Roman" w:hAnsi="Times New Roman"/>
          <w:sz w:val="24"/>
        </w:rPr>
      </w:pPr>
      <w:r>
        <w:rPr>
          <w:rFonts w:ascii="Times New Roman" w:hAnsi="Times New Roman"/>
          <w:sz w:val="24"/>
        </w:rPr>
        <w:t xml:space="preserve">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before="240" w:after="0"/>
        <w:jc w:val="left"/>
        <w:rPr>
          <w:rFonts w:ascii="Times New Roman" w:hAnsi="Times New Roman"/>
          <w:sz w:val="24"/>
        </w:rPr>
      </w:pPr>
      <w:r>
        <w:rPr>
          <w:rFonts w:ascii="Times New Roman" w:hAnsi="Times New Roman"/>
          <w:sz w:val="24"/>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spacing w:before="360" w:after="0"/>
        <w:jc w:val="center"/>
        <w:rPr>
          <w:rFonts w:ascii="Times New Roman" w:hAnsi="Times New Roman"/>
          <w:b/>
          <w:sz w:val="24"/>
        </w:rPr>
      </w:pPr>
      <w:bookmarkStart w:id="17" w:name="tx430075_15"/>
      <w:bookmarkEnd w:id="17"/>
      <w:r>
        <w:rPr>
          <w:rFonts w:ascii="Times New Roman" w:hAnsi="Times New Roman"/>
          <w:b/>
          <w:sz w:val="24"/>
        </w:rPr>
        <w:t xml:space="preserve">PART TWO </w:t>
      </w:r>
    </w:p>
    <w:p>
      <w:pPr>
        <w:pStyle w:val="TextBody"/>
        <w:spacing w:before="0" w:after="0"/>
        <w:jc w:val="left"/>
        <w:rPr/>
      </w:pPr>
      <w:r>
        <w:rPr/>
        <w:t> </w:t>
      </w:r>
    </w:p>
    <w:tbl>
      <w:tblPr>
        <w:tblW w:w="6040" w:type="dxa"/>
        <w:jc w:val="left"/>
        <w:tblInd w:w="0" w:type="dxa"/>
        <w:tblCellMar>
          <w:top w:w="0" w:type="dxa"/>
          <w:left w:w="0" w:type="dxa"/>
          <w:bottom w:w="0" w:type="dxa"/>
          <w:right w:w="0" w:type="dxa"/>
        </w:tblCellMar>
      </w:tblPr>
      <w:tblGrid>
        <w:gridCol w:w="860"/>
        <w:gridCol w:w="5180"/>
      </w:tblGrid>
      <w:tr>
        <w:trPr/>
        <w:tc>
          <w:tcPr>
            <w:tcW w:w="860" w:type="dxa"/>
            <w:tcBorders/>
            <w:shd w:fill="auto" w:val="clear"/>
            <w:vAlign w:val="center"/>
          </w:tcPr>
          <w:p>
            <w:pPr>
              <w:pStyle w:val="TableContents"/>
              <w:spacing w:before="0" w:after="283"/>
              <w:jc w:val="left"/>
              <w:rPr>
                <w:b/>
              </w:rPr>
            </w:pPr>
            <w:bookmarkStart w:id="18" w:name="tx430075_16"/>
            <w:bookmarkEnd w:id="18"/>
            <w:r>
              <w:rPr>
                <w:b/>
              </w:rPr>
              <w:t>Item 13.</w:t>
            </w:r>
          </w:p>
        </w:tc>
        <w:tc>
          <w:tcPr>
            <w:tcW w:w="518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Defaults, Dividend Arrearages And Delinquencies </w:t>
            </w:r>
          </w:p>
        </w:tc>
      </w:tr>
    </w:tbl>
    <w:p>
      <w:pPr>
        <w:pStyle w:val="TextBody"/>
        <w:spacing w:before="120" w:after="0"/>
        <w:jc w:val="left"/>
        <w:rPr>
          <w:rFonts w:ascii="Times New Roman" w:hAnsi="Times New Roman"/>
          <w:sz w:val="24"/>
        </w:rPr>
      </w:pPr>
      <w:r>
        <w:rPr>
          <w:rFonts w:ascii="Times New Roman" w:hAnsi="Times New Roman"/>
          <w:sz w:val="24"/>
        </w:rPr>
        <w:t xml:space="preserve">None. </w:t>
      </w:r>
    </w:p>
    <w:p>
      <w:pPr>
        <w:pStyle w:val="TextBody"/>
        <w:spacing w:before="0" w:after="0"/>
        <w:jc w:val="left"/>
        <w:rPr/>
      </w:pPr>
      <w:r>
        <w:rPr/>
        <w:t> </w:t>
      </w:r>
    </w:p>
    <w:tbl>
      <w:tblPr>
        <w:tblW w:w="9100" w:type="dxa"/>
        <w:jc w:val="left"/>
        <w:tblInd w:w="0" w:type="dxa"/>
        <w:tblCellMar>
          <w:top w:w="0" w:type="dxa"/>
          <w:left w:w="0" w:type="dxa"/>
          <w:bottom w:w="0" w:type="dxa"/>
          <w:right w:w="0" w:type="dxa"/>
        </w:tblCellMar>
      </w:tblPr>
      <w:tblGrid>
        <w:gridCol w:w="860"/>
        <w:gridCol w:w="8240"/>
      </w:tblGrid>
      <w:tr>
        <w:trPr/>
        <w:tc>
          <w:tcPr>
            <w:tcW w:w="860" w:type="dxa"/>
            <w:tcBorders/>
            <w:shd w:fill="auto" w:val="clear"/>
            <w:vAlign w:val="center"/>
          </w:tcPr>
          <w:p>
            <w:pPr>
              <w:pStyle w:val="TableContents"/>
              <w:spacing w:before="0" w:after="283"/>
              <w:jc w:val="left"/>
              <w:rPr>
                <w:b/>
              </w:rPr>
            </w:pPr>
            <w:bookmarkStart w:id="19" w:name="tx430075_17"/>
            <w:bookmarkEnd w:id="19"/>
            <w:r>
              <w:rPr>
                <w:b/>
              </w:rPr>
              <w:t>Item 14.</w:t>
            </w:r>
          </w:p>
        </w:tc>
        <w:tc>
          <w:tcPr>
            <w:tcW w:w="824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Material Modifications To The Rights Of Security Holders And Use Of Proceeds </w:t>
            </w:r>
          </w:p>
        </w:tc>
      </w:tr>
    </w:tbl>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3565" w:type="dxa"/>
        <w:jc w:val="left"/>
        <w:tblInd w:w="0" w:type="dxa"/>
        <w:tblCellMar>
          <w:top w:w="0" w:type="dxa"/>
          <w:left w:w="0" w:type="dxa"/>
          <w:bottom w:w="0" w:type="dxa"/>
          <w:right w:w="0" w:type="dxa"/>
        </w:tblCellMar>
      </w:tblPr>
      <w:tblGrid>
        <w:gridCol w:w="860"/>
        <w:gridCol w:w="2705"/>
      </w:tblGrid>
      <w:tr>
        <w:trPr/>
        <w:tc>
          <w:tcPr>
            <w:tcW w:w="860" w:type="dxa"/>
            <w:tcBorders/>
            <w:shd w:fill="auto" w:val="clear"/>
            <w:vAlign w:val="center"/>
          </w:tcPr>
          <w:p>
            <w:pPr>
              <w:pStyle w:val="TableContents"/>
              <w:spacing w:before="0" w:after="283"/>
              <w:jc w:val="left"/>
              <w:rPr>
                <w:b/>
              </w:rPr>
            </w:pPr>
            <w:bookmarkStart w:id="20" w:name="tx430075_18"/>
            <w:bookmarkEnd w:id="20"/>
            <w:r>
              <w:rPr>
                <w:b/>
              </w:rPr>
              <w:t>Item 15.</w:t>
            </w:r>
          </w:p>
        </w:tc>
        <w:tc>
          <w:tcPr>
            <w:tcW w:w="270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Controls And Procedures </w:t>
            </w:r>
          </w:p>
        </w:tc>
      </w:tr>
    </w:tbl>
    <w:p>
      <w:pPr>
        <w:pStyle w:val="TextBody"/>
        <w:spacing w:before="120" w:after="0"/>
        <w:jc w:val="left"/>
        <w:rPr>
          <w:rFonts w:ascii="Times New Roman" w:hAnsi="Times New Roman"/>
          <w:b/>
          <w:sz w:val="24"/>
        </w:rPr>
      </w:pPr>
      <w:r>
        <w:rPr>
          <w:rFonts w:ascii="Times New Roman" w:hAnsi="Times New Roman"/>
          <w:b/>
          <w:sz w:val="24"/>
        </w:rPr>
        <w:t xml:space="preserve">(a) Disclosure Controls and Procedures </w:t>
      </w:r>
    </w:p>
    <w:p>
      <w:pPr>
        <w:pStyle w:val="TextBody"/>
        <w:spacing w:before="120" w:after="0"/>
        <w:jc w:val="left"/>
        <w:rPr>
          <w:rFonts w:ascii="Times New Roman" w:hAnsi="Times New Roman"/>
          <w:sz w:val="24"/>
        </w:rPr>
      </w:pPr>
      <w:r>
        <w:rPr>
          <w:rFonts w:ascii="Times New Roman" w:hAnsi="Times New Roman"/>
          <w:sz w:val="24"/>
        </w:rPr>
        <w:t xml:space="preserve">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2022, or the Evaluation Date. Based on such evaluation, our Chief Executive Officer and Chief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Officer and Chief Financial Officer, or persons performing similar functions, as appropriate to allow timely decisions regarding required disclosure. </w:t>
      </w:r>
    </w:p>
    <w:p>
      <w:pPr>
        <w:pStyle w:val="TextBody"/>
        <w:spacing w:before="360" w:after="0"/>
        <w:jc w:val="left"/>
        <w:rPr>
          <w:rFonts w:ascii="Times New Roman" w:hAnsi="Times New Roman"/>
          <w:b/>
          <w:sz w:val="24"/>
        </w:rPr>
      </w:pPr>
      <w:r>
        <w:rPr>
          <w:rFonts w:ascii="Times New Roman" w:hAnsi="Times New Roman"/>
          <w:b/>
          <w:sz w:val="24"/>
        </w:rPr>
        <w:t xml:space="preserve">(b) Management’s Annual Report on Internal Control over Financial Reporting </w:t>
      </w:r>
    </w:p>
    <w:p>
      <w:pPr>
        <w:pStyle w:val="TextBody"/>
        <w:spacing w:before="120" w:after="0"/>
        <w:jc w:val="left"/>
        <w:rPr>
          <w:rFonts w:ascii="Times New Roman" w:hAnsi="Times New Roman"/>
          <w:sz w:val="24"/>
        </w:rPr>
      </w:pPr>
      <w:r>
        <w:rPr>
          <w:rFonts w:ascii="Times New Roman" w:hAnsi="Times New Roman"/>
          <w:sz w:val="24"/>
        </w:rPr>
        <w:t xml:space="preserve">Our management is responsible for establishing and maintaining adequate internal control over financial reporting, as such term is defined in Rule 13a-15(f) under the Exchange Act. </w:t>
      </w:r>
    </w:p>
    <w:p>
      <w:pPr>
        <w:pStyle w:val="TextBody"/>
        <w:spacing w:before="240" w:after="0"/>
        <w:jc w:val="left"/>
        <w:rPr>
          <w:rFonts w:ascii="Times New Roman" w:hAnsi="Times New Roman"/>
          <w:sz w:val="24"/>
        </w:rPr>
      </w:pPr>
      <w:r>
        <w:rPr>
          <w:rFonts w:ascii="Times New Roman" w:hAnsi="Times New Roman"/>
          <w:sz w:val="24"/>
        </w:rPr>
        <w:t xml:space="preserve">Our management conducted an assessment of the effectiveness of our internal control over financial reporting based on the criteria set forth in “Internal Control – Integrated Framework (2013)” issued by the Committee of Sponsoring Organizations of the Treadway Commission. </w:t>
      </w:r>
    </w:p>
    <w:p>
      <w:pPr>
        <w:pStyle w:val="TextBody"/>
        <w:spacing w:before="240" w:after="0"/>
        <w:jc w:val="left"/>
        <w:rPr>
          <w:rFonts w:ascii="Times New Roman" w:hAnsi="Times New Roman"/>
          <w:sz w:val="24"/>
        </w:rPr>
      </w:pPr>
      <w:r>
        <w:rPr>
          <w:rFonts w:ascii="Times New Roman" w:hAnsi="Times New Roman"/>
          <w:sz w:val="24"/>
        </w:rPr>
        <w:t xml:space="preserve">Based on this assessment, our management concluded that, as of December 31, 2022, our internal control over financial reporting was effective. </w:t>
      </w:r>
    </w:p>
    <w:p>
      <w:pPr>
        <w:pStyle w:val="TextBody"/>
        <w:spacing w:before="360" w:after="0"/>
        <w:jc w:val="left"/>
        <w:rPr>
          <w:rFonts w:ascii="Times New Roman" w:hAnsi="Times New Roman"/>
          <w:b/>
          <w:sz w:val="24"/>
        </w:rPr>
      </w:pPr>
      <w:r>
        <w:rPr>
          <w:rFonts w:ascii="Times New Roman" w:hAnsi="Times New Roman"/>
          <w:b/>
          <w:sz w:val="24"/>
        </w:rPr>
        <w:t xml:space="preserve">(c) Attestation Report of the Registered Public Accounting Firm </w:t>
      </w:r>
    </w:p>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360" w:after="0"/>
        <w:jc w:val="left"/>
        <w:rPr>
          <w:rFonts w:ascii="Times New Roman" w:hAnsi="Times New Roman"/>
          <w:b/>
          <w:sz w:val="24"/>
        </w:rPr>
      </w:pPr>
      <w:r>
        <w:rPr>
          <w:rFonts w:ascii="Times New Roman" w:hAnsi="Times New Roman"/>
          <w:b/>
          <w:sz w:val="24"/>
        </w:rPr>
        <w:t xml:space="preserve">(d) Changes in Internal Control over Financial Reporting </w:t>
      </w:r>
    </w:p>
    <w:p>
      <w:pPr>
        <w:pStyle w:val="TextBody"/>
        <w:spacing w:before="120" w:after="0"/>
        <w:jc w:val="left"/>
        <w:rPr>
          <w:rFonts w:ascii="Times New Roman" w:hAnsi="Times New Roman"/>
          <w:sz w:val="24"/>
        </w:rPr>
      </w:pPr>
      <w:r>
        <w:rPr>
          <w:rFonts w:ascii="Times New Roman" w:hAnsi="Times New Roman"/>
          <w:sz w:val="24"/>
        </w:rPr>
        <w:t xml:space="preserve">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 </w:t>
      </w:r>
    </w:p>
    <w:p>
      <w:pPr>
        <w:pStyle w:val="TextBody"/>
        <w:spacing w:before="0" w:after="0"/>
        <w:jc w:val="left"/>
        <w:rPr/>
      </w:pPr>
      <w:r>
        <w:rPr/>
        <w:t> </w:t>
      </w:r>
    </w:p>
    <w:tbl>
      <w:tblPr>
        <w:tblW w:w="2050" w:type="dxa"/>
        <w:jc w:val="left"/>
        <w:tblInd w:w="0" w:type="dxa"/>
        <w:tblCellMar>
          <w:top w:w="0" w:type="dxa"/>
          <w:left w:w="0" w:type="dxa"/>
          <w:bottom w:w="0" w:type="dxa"/>
          <w:right w:w="0" w:type="dxa"/>
        </w:tblCellMar>
      </w:tblPr>
      <w:tblGrid>
        <w:gridCol w:w="860"/>
        <w:gridCol w:w="1190"/>
      </w:tblGrid>
      <w:tr>
        <w:trPr/>
        <w:tc>
          <w:tcPr>
            <w:tcW w:w="860" w:type="dxa"/>
            <w:tcBorders/>
            <w:shd w:fill="auto" w:val="clear"/>
            <w:vAlign w:val="center"/>
          </w:tcPr>
          <w:p>
            <w:pPr>
              <w:pStyle w:val="TableContents"/>
              <w:spacing w:before="0" w:after="283"/>
              <w:jc w:val="left"/>
              <w:rPr>
                <w:b/>
              </w:rPr>
            </w:pPr>
            <w:bookmarkStart w:id="21" w:name="tx430075_19"/>
            <w:bookmarkEnd w:id="21"/>
            <w:r>
              <w:rPr>
                <w:b/>
              </w:rPr>
              <w:t>Item 16.</w:t>
            </w:r>
          </w:p>
        </w:tc>
        <w:tc>
          <w:tcPr>
            <w:tcW w:w="119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[Reserved]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139 </w:t>
      </w:r>
      <w:r>
        <w:br w:type="page"/>
      </w:r>
    </w:p>
    <w:p>
      <w:pPr>
        <w:pStyle w:val="HorizontalLine"/>
        <w:rPr/>
      </w:pPr>
      <w:r>
        <w:rPr/>
      </w:r>
    </w:p>
    <w:p>
      <w:pPr>
        <w:pStyle w:val="Heading5"/>
        <w:rPr/>
      </w:pPr>
      <w:hyperlink w:anchor="toc">
        <w:r>
          <w:rPr>
            <w:rStyle w:val="InternetLink"/>
          </w:rPr>
          <w:t>Table of Contents</w:t>
        </w:r>
      </w:hyperlink>
    </w:p>
    <w:tbl>
      <w:tblPr>
        <w:tblW w:w="4660" w:type="dxa"/>
        <w:jc w:val="left"/>
        <w:tblInd w:w="0" w:type="dxa"/>
        <w:tblCellMar>
          <w:top w:w="0" w:type="dxa"/>
          <w:left w:w="0" w:type="dxa"/>
          <w:bottom w:w="0" w:type="dxa"/>
          <w:right w:w="0" w:type="dxa"/>
        </w:tblCellMar>
      </w:tblPr>
      <w:tblGrid>
        <w:gridCol w:w="1040"/>
        <w:gridCol w:w="3620"/>
      </w:tblGrid>
      <w:tr>
        <w:trPr/>
        <w:tc>
          <w:tcPr>
            <w:tcW w:w="1040" w:type="dxa"/>
            <w:tcBorders/>
            <w:shd w:fill="auto" w:val="clear"/>
            <w:vAlign w:val="center"/>
          </w:tcPr>
          <w:p>
            <w:pPr>
              <w:pStyle w:val="TableContents"/>
              <w:spacing w:before="0" w:after="283"/>
              <w:jc w:val="left"/>
              <w:rPr>
                <w:b/>
              </w:rPr>
            </w:pPr>
            <w:bookmarkStart w:id="22" w:name="tx430075_20"/>
            <w:bookmarkEnd w:id="22"/>
            <w:r>
              <w:rPr>
                <w:b/>
              </w:rPr>
              <w:t>Item 16A.</w:t>
            </w:r>
          </w:p>
        </w:tc>
        <w:tc>
          <w:tcPr>
            <w:tcW w:w="362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Audit Committee Financial Expert </w:t>
            </w:r>
          </w:p>
        </w:tc>
      </w:tr>
    </w:tbl>
    <w:p>
      <w:pPr>
        <w:pStyle w:val="TextBody"/>
        <w:spacing w:before="120" w:after="0"/>
        <w:jc w:val="left"/>
        <w:rPr>
          <w:rFonts w:ascii="Times New Roman" w:hAnsi="Times New Roman"/>
          <w:sz w:val="24"/>
        </w:rPr>
      </w:pPr>
      <w:r>
        <w:rPr>
          <w:rFonts w:ascii="Times New Roman" w:hAnsi="Times New Roman"/>
          <w:sz w:val="24"/>
        </w:rPr>
        <w:t xml:space="preserve">Our board has determined that Dr. Deepika Pakianathan qualifies to serve as an “audit committee financial expert” as defined under the SEC rules, and has the requisite financial sophistication as defined under the applicable Nasdaq rules and regulations. Dr. Pakianathan also qualifies as an independent director under the corporate governance standards of the Nasdaq listing requirements and the audit committee independence requirements of Rule 10A-3 of the Exchange Act. For more information see “Item 6. Directors, Senior Management and Employees—C. Board Practices—Committees of the Mereo Board—Audit and Risk Committee.” </w:t>
      </w:r>
    </w:p>
    <w:p>
      <w:pPr>
        <w:pStyle w:val="TextBody"/>
        <w:spacing w:before="0" w:after="0"/>
        <w:jc w:val="left"/>
        <w:rPr/>
      </w:pPr>
      <w:r>
        <w:rPr/>
        <w:t> </w:t>
      </w:r>
    </w:p>
    <w:tbl>
      <w:tblPr>
        <w:tblW w:w="2605" w:type="dxa"/>
        <w:jc w:val="left"/>
        <w:tblInd w:w="0" w:type="dxa"/>
        <w:tblCellMar>
          <w:top w:w="0" w:type="dxa"/>
          <w:left w:w="0" w:type="dxa"/>
          <w:bottom w:w="0" w:type="dxa"/>
          <w:right w:w="0" w:type="dxa"/>
        </w:tblCellMar>
      </w:tblPr>
      <w:tblGrid>
        <w:gridCol w:w="1025"/>
        <w:gridCol w:w="1580"/>
      </w:tblGrid>
      <w:tr>
        <w:trPr/>
        <w:tc>
          <w:tcPr>
            <w:tcW w:w="1025" w:type="dxa"/>
            <w:tcBorders/>
            <w:shd w:fill="auto" w:val="clear"/>
            <w:vAlign w:val="center"/>
          </w:tcPr>
          <w:p>
            <w:pPr>
              <w:pStyle w:val="TableContents"/>
              <w:spacing w:before="0" w:after="283"/>
              <w:jc w:val="left"/>
              <w:rPr>
                <w:b/>
              </w:rPr>
            </w:pPr>
            <w:bookmarkStart w:id="23" w:name="tx430075_21"/>
            <w:bookmarkEnd w:id="23"/>
            <w:r>
              <w:rPr>
                <w:b/>
              </w:rPr>
              <w:t>Item 16B.</w:t>
            </w:r>
          </w:p>
        </w:tc>
        <w:tc>
          <w:tcPr>
            <w:tcW w:w="158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Code of Ethics </w:t>
            </w:r>
          </w:p>
        </w:tc>
      </w:tr>
    </w:tbl>
    <w:p>
      <w:pPr>
        <w:pStyle w:val="TextBody"/>
        <w:spacing w:before="120" w:after="0"/>
        <w:jc w:val="left"/>
        <w:rPr>
          <w:rFonts w:ascii="Times New Roman" w:hAnsi="Times New Roman"/>
          <w:b/>
          <w:sz w:val="24"/>
        </w:rPr>
      </w:pPr>
      <w:r>
        <w:rPr>
          <w:rFonts w:ascii="Times New Roman" w:hAnsi="Times New Roman"/>
          <w:b/>
          <w:sz w:val="24"/>
        </w:rPr>
        <w:t xml:space="preserve">Code of Business Conduct and Ethics and Anti-Bribery and Anti-Corruption Policy </w:t>
      </w:r>
    </w:p>
    <w:p>
      <w:pPr>
        <w:pStyle w:val="TextBody"/>
        <w:spacing w:before="120" w:after="0"/>
        <w:jc w:val="left"/>
        <w:rPr>
          <w:rFonts w:ascii="Times New Roman" w:hAnsi="Times New Roman"/>
          <w:sz w:val="24"/>
        </w:rPr>
      </w:pPr>
      <w:r>
        <w:rPr>
          <w:rFonts w:ascii="Times New Roman" w:hAnsi="Times New Roman"/>
          <w:sz w:val="24"/>
        </w:rPr>
        <w:t xml:space="preserve">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and the Anti- Bribery and Anti-Corruption Policy can be found on our website at www.mereobiopharma.com. Information contained on, or that can be accessed through, our website does not constitute a part of this report and is not incorporated by reference herein. If we make any amendment to the Code of Business Conduct and Ethics or the Anti-Bribery and Anti-Corruption Policy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 </w:t>
      </w:r>
    </w:p>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1040"/>
        <w:gridCol w:w="4115"/>
      </w:tblGrid>
      <w:tr>
        <w:trPr/>
        <w:tc>
          <w:tcPr>
            <w:tcW w:w="1040" w:type="dxa"/>
            <w:tcBorders/>
            <w:shd w:fill="auto" w:val="clear"/>
            <w:vAlign w:val="center"/>
          </w:tcPr>
          <w:p>
            <w:pPr>
              <w:pStyle w:val="TableContents"/>
              <w:spacing w:before="0" w:after="283"/>
              <w:jc w:val="left"/>
              <w:rPr>
                <w:b/>
              </w:rPr>
            </w:pPr>
            <w:bookmarkStart w:id="24" w:name="tx430075_22"/>
            <w:bookmarkEnd w:id="24"/>
            <w:r>
              <w:rPr>
                <w:b/>
              </w:rPr>
              <w:t>Item 16C.</w:t>
            </w:r>
          </w:p>
        </w:tc>
        <w:tc>
          <w:tcPr>
            <w:tcW w:w="411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Principal Accountant Fees and Services </w:t>
            </w:r>
          </w:p>
        </w:tc>
      </w:tr>
    </w:tbl>
    <w:p>
      <w:pPr>
        <w:pStyle w:val="TextBody"/>
        <w:spacing w:before="120" w:after="0"/>
        <w:jc w:val="left"/>
        <w:rPr>
          <w:rFonts w:ascii="Times New Roman" w:hAnsi="Times New Roman"/>
          <w:sz w:val="24"/>
        </w:rPr>
      </w:pPr>
      <w:r>
        <w:rPr>
          <w:rFonts w:ascii="Times New Roman" w:hAnsi="Times New Roman"/>
          <w:sz w:val="24"/>
        </w:rPr>
        <w:t xml:space="preserve">Our consolidated financial statements have been prepared in accordance with IFRS and were audited by BDO LLP, our independent registered public accounting firm registered with the Public Company Accounting Oversight Board in the United States. </w:t>
      </w:r>
    </w:p>
    <w:p>
      <w:pPr>
        <w:pStyle w:val="TextBody"/>
        <w:spacing w:before="240" w:after="0"/>
        <w:jc w:val="left"/>
        <w:rPr>
          <w:rFonts w:ascii="Times New Roman" w:hAnsi="Times New Roman"/>
          <w:sz w:val="24"/>
        </w:rPr>
      </w:pPr>
      <w:r>
        <w:rPr>
          <w:rFonts w:ascii="Times New Roman" w:hAnsi="Times New Roman"/>
          <w:sz w:val="24"/>
        </w:rPr>
        <w:t xml:space="preserve">BDO LLP has served as our independent registered public accounting firm for the year ended December 31, 2022 and for the year ended December 31, 2021. Ernst &amp; Young LLP served as our independent registered public accounting firm for the year ended December 31, 2020. </w:t>
      </w:r>
    </w:p>
    <w:p>
      <w:pPr>
        <w:pStyle w:val="TextBody"/>
        <w:spacing w:before="240" w:after="0"/>
        <w:jc w:val="left"/>
        <w:rPr>
          <w:rFonts w:ascii="Times New Roman" w:hAnsi="Times New Roman"/>
          <w:sz w:val="24"/>
        </w:rPr>
      </w:pPr>
      <w:r>
        <w:rPr>
          <w:rFonts w:ascii="Times New Roman" w:hAnsi="Times New Roman"/>
          <w:sz w:val="24"/>
        </w:rPr>
        <w:t xml:space="preserve">The following table provides information regarding fees paid by us to BDO LLP for all services, for the years ended December 31, 2022 and December 31, 2021: </w:t>
      </w:r>
    </w:p>
    <w:p>
      <w:pPr>
        <w:pStyle w:val="TextBody"/>
        <w:spacing w:before="0" w:after="0"/>
        <w:jc w:val="left"/>
        <w:rPr/>
      </w:pPr>
      <w:r>
        <w:rPr/>
        <w:t> </w:t>
      </w:r>
    </w:p>
    <w:tbl>
      <w:tblPr>
        <w:tblW w:w="4612" w:type="dxa"/>
        <w:jc w:val="left"/>
        <w:tblInd w:w="0" w:type="dxa"/>
        <w:tblCellMar>
          <w:top w:w="0" w:type="dxa"/>
          <w:left w:w="0" w:type="dxa"/>
          <w:bottom w:w="0" w:type="dxa"/>
          <w:right w:w="0" w:type="dxa"/>
        </w:tblCellMar>
      </w:tblPr>
      <w:tblGrid>
        <w:gridCol w:w="1700"/>
        <w:gridCol w:w="120"/>
        <w:gridCol w:w="153"/>
        <w:gridCol w:w="974"/>
        <w:gridCol w:w="153"/>
        <w:gridCol w:w="307"/>
        <w:gridCol w:w="153"/>
        <w:gridCol w:w="977"/>
        <w:gridCol w:w="7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3"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283"/>
              <w:jc w:val="center"/>
              <w:rPr>
                <w:b/>
              </w:rPr>
            </w:pPr>
            <w:r>
              <w:rPr>
                <w:b/>
              </w:rPr>
              <w:t>(in thousands of pounds)</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Audit fees(1)</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974" w:type="dxa"/>
            <w:tcBorders/>
            <w:shd w:fill="CCEEFF" w:val="clear"/>
            <w:vAlign w:val="center"/>
          </w:tcPr>
          <w:p>
            <w:pPr>
              <w:pStyle w:val="TableContents"/>
              <w:spacing w:before="0" w:after="283"/>
              <w:jc w:val="right"/>
              <w:rPr/>
            </w:pPr>
            <w:r>
              <w:rPr/>
              <w:t>479</w:t>
            </w:r>
          </w:p>
        </w:tc>
        <w:tc>
          <w:tcPr>
            <w:tcW w:w="153" w:type="dxa"/>
            <w:tcBorders/>
            <w:shd w:fill="CCEEFF" w:val="clear"/>
            <w:vAlign w:val="center"/>
          </w:tcPr>
          <w:p>
            <w:pPr>
              <w:pStyle w:val="TableContents"/>
              <w:spacing w:before="0" w:after="283"/>
              <w:rPr/>
            </w:pPr>
            <w:r>
              <w:rPr/>
              <w:t> </w:t>
            </w:r>
          </w:p>
        </w:tc>
        <w:tc>
          <w:tcPr>
            <w:tcW w:w="307"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977" w:type="dxa"/>
            <w:tcBorders/>
            <w:shd w:fill="CCEEFF" w:val="clear"/>
            <w:vAlign w:val="center"/>
          </w:tcPr>
          <w:p>
            <w:pPr>
              <w:pStyle w:val="TableContents"/>
              <w:spacing w:before="0" w:after="283"/>
              <w:jc w:val="right"/>
              <w:rPr/>
            </w:pPr>
            <w:r>
              <w:rPr/>
              <w:t>461</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Audit related fees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74" w:type="dxa"/>
            <w:tcBorders/>
            <w:shd w:fill="auto" w:val="cle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7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fees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974" w:type="dxa"/>
            <w:tcBorders/>
            <w:shd w:fill="CCEEFF" w:val="clear"/>
            <w:vAlign w:val="center"/>
          </w:tcPr>
          <w:p>
            <w:pPr>
              <w:pStyle w:val="TableContents"/>
              <w:spacing w:before="0" w:after="283"/>
              <w:jc w:val="right"/>
              <w:rPr/>
            </w:pPr>
            <w:r>
              <w:rPr/>
              <w:t>—  </w:t>
            </w:r>
          </w:p>
        </w:tc>
        <w:tc>
          <w:tcPr>
            <w:tcW w:w="153" w:type="dxa"/>
            <w:tcBorders/>
            <w:shd w:fill="CCEEFF" w:val="clear"/>
            <w:vAlign w:val="center"/>
          </w:tcPr>
          <w:p>
            <w:pPr>
              <w:pStyle w:val="TableContents"/>
              <w:spacing w:before="0" w:after="283"/>
              <w:rPr/>
            </w:pPr>
            <w:r>
              <w:rPr/>
              <w:t> </w:t>
            </w:r>
          </w:p>
        </w:tc>
        <w:tc>
          <w:tcPr>
            <w:tcW w:w="307"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97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pBdr>
                <w:top w:val="single" w:sz="2" w:space="1" w:color="000000"/>
              </w:pBdr>
              <w:spacing w:before="0" w:after="0"/>
              <w:rPr/>
            </w:pPr>
            <w:r>
              <w:rPr/>
              <w:t> </w:t>
            </w:r>
          </w:p>
        </w:tc>
        <w:tc>
          <w:tcPr>
            <w:tcW w:w="974" w:type="dxa"/>
            <w:tcBorders/>
            <w:shd w:fill="auto" w:val="clear"/>
            <w:vAlign w:val="center"/>
          </w:tcPr>
          <w:p>
            <w:pPr>
              <w:pStyle w:val="TableContents"/>
              <w:pBdr>
                <w:top w:val="single" w:sz="2" w:space="1" w:color="000000"/>
              </w:pBdr>
              <w:spacing w:before="0" w:after="0"/>
              <w:rPr/>
            </w:pPr>
            <w:r>
              <w:rPr/>
              <w:t> </w:t>
            </w:r>
          </w:p>
        </w:tc>
        <w:tc>
          <w:tcPr>
            <w:tcW w:w="153"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pBdr>
                <w:top w:val="single" w:sz="2" w:space="1" w:color="000000"/>
              </w:pBdr>
              <w:spacing w:before="0" w:after="0"/>
              <w:rPr/>
            </w:pPr>
            <w:r>
              <w:rPr/>
              <w:t> </w:t>
            </w:r>
          </w:p>
        </w:tc>
        <w:tc>
          <w:tcPr>
            <w:tcW w:w="977"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 fees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74" w:type="dxa"/>
            <w:tcBorders/>
            <w:shd w:fill="auto" w:val="clear"/>
            <w:vAlign w:val="center"/>
          </w:tcPr>
          <w:p>
            <w:pPr>
              <w:pStyle w:val="TableContents"/>
              <w:spacing w:before="0" w:after="283"/>
              <w:jc w:val="right"/>
              <w:rPr>
                <w:b/>
              </w:rPr>
            </w:pPr>
            <w:r>
              <w:rPr>
                <w:b/>
              </w:rPr>
              <w:t>479</w:t>
            </w:r>
          </w:p>
        </w:tc>
        <w:tc>
          <w:tcPr>
            <w:tcW w:w="153"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77" w:type="dxa"/>
            <w:tcBorders/>
            <w:shd w:fill="auto" w:val="clear"/>
            <w:vAlign w:val="center"/>
          </w:tcPr>
          <w:p>
            <w:pPr>
              <w:pStyle w:val="TableContents"/>
              <w:spacing w:before="0" w:after="283"/>
              <w:jc w:val="right"/>
              <w:rPr>
                <w:b/>
              </w:rPr>
            </w:pPr>
            <w:r>
              <w:rPr>
                <w:b/>
              </w:rPr>
              <w:t>461</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pBdr>
                <w:top w:val="double" w:sz="6" w:space="1" w:color="000000"/>
              </w:pBdr>
              <w:spacing w:before="0" w:after="0"/>
              <w:rPr/>
            </w:pPr>
            <w:r>
              <w:rPr/>
              <w:t> </w:t>
            </w:r>
          </w:p>
        </w:tc>
        <w:tc>
          <w:tcPr>
            <w:tcW w:w="974" w:type="dxa"/>
            <w:tcBorders/>
            <w:shd w:fill="auto" w:val="clear"/>
            <w:vAlign w:val="center"/>
          </w:tcPr>
          <w:p>
            <w:pPr>
              <w:pStyle w:val="TableContents"/>
              <w:pBdr>
                <w:top w:val="double" w:sz="6" w:space="1" w:color="000000"/>
              </w:pBdr>
              <w:spacing w:before="0" w:after="0"/>
              <w:rPr/>
            </w:pPr>
            <w:r>
              <w:rPr/>
              <w:t> </w:t>
            </w:r>
          </w:p>
        </w:tc>
        <w:tc>
          <w:tcPr>
            <w:tcW w:w="153"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pBdr>
                <w:top w:val="double" w:sz="6" w:space="1" w:color="000000"/>
              </w:pBdr>
              <w:spacing w:before="0" w:after="0"/>
              <w:rPr/>
            </w:pPr>
            <w:r>
              <w:rPr/>
              <w:t> </w:t>
            </w:r>
          </w:p>
        </w:tc>
        <w:tc>
          <w:tcPr>
            <w:tcW w:w="977"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(1)</w:t>
            </w:r>
          </w:p>
        </w:tc>
        <w:tc>
          <w:tcPr>
            <w:tcW w:w="994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Includes professional services rendered in connection with the audit of our annual financial statements, review of our interim financial statements, review of our registration statement, related consents and audits of our subsidiary accounts. </w:t>
            </w:r>
          </w:p>
        </w:tc>
      </w:tr>
    </w:tbl>
    <w:p>
      <w:pPr>
        <w:pStyle w:val="TextBody"/>
        <w:spacing w:before="360" w:after="0"/>
        <w:jc w:val="left"/>
        <w:rPr>
          <w:rFonts w:ascii="Times New Roman" w:hAnsi="Times New Roman"/>
          <w:b/>
          <w:i/>
          <w:sz w:val="24"/>
        </w:rPr>
      </w:pPr>
      <w:r>
        <w:rPr>
          <w:rFonts w:ascii="Times New Roman" w:hAnsi="Times New Roman"/>
          <w:b/>
          <w:i/>
          <w:sz w:val="24"/>
        </w:rPr>
        <w:t xml:space="preserve">Audit Committee Pre-Approval Policies and Procedures </w:t>
      </w:r>
    </w:p>
    <w:p>
      <w:pPr>
        <w:pStyle w:val="TextBody"/>
        <w:spacing w:before="120" w:after="0"/>
        <w:jc w:val="left"/>
        <w:rPr>
          <w:rFonts w:ascii="Times New Roman" w:hAnsi="Times New Roman"/>
          <w:sz w:val="24"/>
        </w:rPr>
      </w:pPr>
      <w:r>
        <w:rPr>
          <w:rFonts w:ascii="Times New Roman" w:hAnsi="Times New Roman"/>
          <w:sz w:val="24"/>
        </w:rPr>
        <w:t xml:space="preserve">Our audit committee’s specific responsibilities in carrying out its oversight of the quality and integrity of the accounting, auditing and reporting practices of Mereo include the approval of audit and non-audit services to be provided by the independent auditor before the auditor is engaged to render such services. The audit committee approves in advance the particular services or categories of services to be provided to Mereo during the following yearly period and also sets forth a specific budget for such audit and non-audit services. Additional non-audit services may be pre-approved by the audit committee.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140 </w:t>
      </w:r>
      <w:r>
        <w:br w:type="page"/>
      </w:r>
    </w:p>
    <w:p>
      <w:pPr>
        <w:pStyle w:val="HorizontalLine"/>
        <w:rPr/>
      </w:pPr>
      <w:r>
        <w:rPr/>
      </w:r>
    </w:p>
    <w:p>
      <w:pPr>
        <w:pStyle w:val="Heading5"/>
        <w:rPr/>
      </w:pPr>
      <w:hyperlink w:anchor="toc">
        <w:r>
          <w:rPr>
            <w:rStyle w:val="InternetLink"/>
          </w:rPr>
          <w:t>Table of Contents</w:t>
        </w:r>
      </w:hyperlink>
    </w:p>
    <w:tbl>
      <w:tblPr>
        <w:tblW w:w="7645" w:type="dxa"/>
        <w:jc w:val="left"/>
        <w:tblInd w:w="0" w:type="dxa"/>
        <w:tblCellMar>
          <w:top w:w="0" w:type="dxa"/>
          <w:left w:w="0" w:type="dxa"/>
          <w:bottom w:w="0" w:type="dxa"/>
          <w:right w:w="0" w:type="dxa"/>
        </w:tblCellMar>
      </w:tblPr>
      <w:tblGrid>
        <w:gridCol w:w="1040"/>
        <w:gridCol w:w="6605"/>
      </w:tblGrid>
      <w:tr>
        <w:trPr/>
        <w:tc>
          <w:tcPr>
            <w:tcW w:w="1040" w:type="dxa"/>
            <w:tcBorders/>
            <w:shd w:fill="auto" w:val="clear"/>
            <w:vAlign w:val="center"/>
          </w:tcPr>
          <w:p>
            <w:pPr>
              <w:pStyle w:val="TableContents"/>
              <w:spacing w:before="0" w:after="283"/>
              <w:jc w:val="left"/>
              <w:rPr>
                <w:b/>
              </w:rPr>
            </w:pPr>
            <w:bookmarkStart w:id="25" w:name="tx430075_23"/>
            <w:bookmarkEnd w:id="25"/>
            <w:r>
              <w:rPr>
                <w:b/>
              </w:rPr>
              <w:t>Item 16D.</w:t>
            </w:r>
          </w:p>
        </w:tc>
        <w:tc>
          <w:tcPr>
            <w:tcW w:w="660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Exemptions From The Listing Standards For Audit Committees </w:t>
            </w:r>
          </w:p>
        </w:tc>
      </w:tr>
    </w:tbl>
    <w:p>
      <w:pPr>
        <w:pStyle w:val="TextBody"/>
        <w:spacing w:before="120" w:after="0"/>
        <w:jc w:val="left"/>
        <w:rPr>
          <w:rFonts w:ascii="Times New Roman" w:hAnsi="Times New Roman"/>
          <w:sz w:val="24"/>
        </w:rPr>
      </w:pPr>
      <w:r>
        <w:rPr>
          <w:rFonts w:ascii="Times New Roman" w:hAnsi="Times New Roman"/>
          <w:sz w:val="24"/>
        </w:rPr>
        <w:t xml:space="preserve">None. </w:t>
      </w:r>
    </w:p>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1025"/>
        <w:gridCol w:w="7370"/>
      </w:tblGrid>
      <w:tr>
        <w:trPr/>
        <w:tc>
          <w:tcPr>
            <w:tcW w:w="1025" w:type="dxa"/>
            <w:tcBorders/>
            <w:shd w:fill="auto" w:val="clear"/>
            <w:vAlign w:val="center"/>
          </w:tcPr>
          <w:p>
            <w:pPr>
              <w:pStyle w:val="TableContents"/>
              <w:spacing w:before="0" w:after="283"/>
              <w:jc w:val="left"/>
              <w:rPr>
                <w:b/>
              </w:rPr>
            </w:pPr>
            <w:bookmarkStart w:id="26" w:name="tx430075_24"/>
            <w:bookmarkEnd w:id="26"/>
            <w:r>
              <w:rPr>
                <w:b/>
              </w:rPr>
              <w:t>Item 16E.</w:t>
            </w:r>
          </w:p>
        </w:tc>
        <w:tc>
          <w:tcPr>
            <w:tcW w:w="737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Purchases of Equity Securities By The Issuer And Affiliated Purchasers </w:t>
            </w:r>
          </w:p>
        </w:tc>
      </w:tr>
    </w:tbl>
    <w:p>
      <w:pPr>
        <w:pStyle w:val="TextBody"/>
        <w:spacing w:before="120" w:after="0"/>
        <w:jc w:val="left"/>
        <w:rPr>
          <w:rFonts w:ascii="Times New Roman" w:hAnsi="Times New Roman"/>
          <w:sz w:val="24"/>
        </w:rPr>
      </w:pPr>
      <w:r>
        <w:rPr>
          <w:rFonts w:ascii="Times New Roman" w:hAnsi="Times New Roman"/>
          <w:sz w:val="24"/>
        </w:rPr>
        <w:t xml:space="preserve">In the years ending December 31, 2022 and 2021 Mereo’s Employee Benefit Trust (“EBT”) purchased no ordinary shares. In December 2020, the EBT converted its ordinary shares into 247,456 ADS’s. As at December 31, 2022 a total cash balance of £17,741 was held by the EBT. Mereo utilizes the EBT to hold ADSs to satisfy the exercise of options under the Mereo’s share-based incentive schemes. </w:t>
      </w:r>
    </w:p>
    <w:p>
      <w:pPr>
        <w:pStyle w:val="TextBody"/>
        <w:spacing w:before="0" w:after="0"/>
        <w:jc w:val="left"/>
        <w:rPr/>
      </w:pPr>
      <w:r>
        <w:rPr/>
        <w:t> </w:t>
      </w:r>
    </w:p>
    <w:tbl>
      <w:tblPr>
        <w:tblW w:w="10285" w:type="dxa"/>
        <w:jc w:val="left"/>
        <w:tblInd w:w="0" w:type="dxa"/>
        <w:tblCellMar>
          <w:top w:w="0" w:type="dxa"/>
          <w:left w:w="0" w:type="dxa"/>
          <w:bottom w:w="0" w:type="dxa"/>
          <w:right w:w="0" w:type="dxa"/>
        </w:tblCellMar>
      </w:tblPr>
      <w:tblGrid>
        <w:gridCol w:w="1295"/>
        <w:gridCol w:w="120"/>
        <w:gridCol w:w="99"/>
        <w:gridCol w:w="1631"/>
        <w:gridCol w:w="60"/>
        <w:gridCol w:w="120"/>
        <w:gridCol w:w="497"/>
        <w:gridCol w:w="1563"/>
        <w:gridCol w:w="60"/>
        <w:gridCol w:w="120"/>
        <w:gridCol w:w="1045"/>
        <w:gridCol w:w="1045"/>
        <w:gridCol w:w="60"/>
        <w:gridCol w:w="120"/>
        <w:gridCol w:w="1187"/>
        <w:gridCol w:w="1188"/>
        <w:gridCol w:w="75"/>
      </w:tblGrid>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Number of</w:t>
              <w:br/>
              <w:t>Ordinary Shares</w:t>
              <w:br/>
              <w:t>Purchased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Average Price Paid</w:t>
              <w:br/>
              <w:t>Per Ordinary Share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Number of</w:t>
              <w:br/>
              <w:t>Ordinary Shares</w:t>
              <w:br/>
              <w:t>Purchased as Part of</w:t>
              <w:br/>
              <w:t>Publicly Announced</w:t>
              <w:br/>
              <w:t>Plans or Programs(1)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Maximum Number of</w:t>
              <w:br/>
              <w:t>Ordinary Shares that</w:t>
              <w:br/>
              <w:t>May Yet Be Purchased</w:t>
              <w:br/>
              <w:t>Under the Plans or</w:t>
              <w:br/>
              <w:t>Programs</w:t>
            </w:r>
          </w:p>
        </w:tc>
        <w:tc>
          <w:tcPr>
            <w:tcW w:w="75" w:type="dxa"/>
            <w:tcBorders/>
            <w:shd w:fill="auto" w:val="clear"/>
            <w:vAlign w:val="center"/>
          </w:tcPr>
          <w:p>
            <w:pPr>
              <w:pStyle w:val="TableContents"/>
              <w:spacing w:before="0" w:after="283"/>
              <w:rPr/>
            </w:pPr>
            <w:r>
              <w:rPr/>
              <w:t> </w:t>
            </w:r>
          </w:p>
        </w:tc>
      </w:tr>
      <w:tr>
        <w:trPr/>
        <w:tc>
          <w:tcPr>
            <w:tcW w:w="12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Month #1 (October 1, 2018 – October 31, 2018)</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jc w:val="right"/>
              <w:rPr/>
            </w:pPr>
            <w:r>
              <w:rPr/>
              <w:t>131,487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283"/>
              <w:rPr/>
            </w:pPr>
            <w:r>
              <w:rPr/>
              <w:t>£</w:t>
            </w:r>
          </w:p>
        </w:tc>
        <w:tc>
          <w:tcPr>
            <w:tcW w:w="1563" w:type="dxa"/>
            <w:tcBorders/>
            <w:shd w:fill="CCEEFF" w:val="clear"/>
            <w:vAlign w:val="center"/>
          </w:tcPr>
          <w:p>
            <w:pPr>
              <w:pStyle w:val="TableContents"/>
              <w:spacing w:before="0" w:after="283"/>
              <w:jc w:val="right"/>
              <w:rPr/>
            </w:pPr>
            <w:r>
              <w:rPr/>
              <w:t>1.90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rPr>
                <w:sz w:val="4"/>
                <w:szCs w:val="4"/>
              </w:rPr>
            </w:pPr>
            <w:r>
              <w:rPr>
                <w:sz w:val="4"/>
                <w:szCs w:val="4"/>
              </w:rPr>
            </w:r>
          </w:p>
        </w:tc>
        <w:tc>
          <w:tcPr>
            <w:tcW w:w="104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87" w:type="dxa"/>
            <w:tcBorders/>
            <w:shd w:fill="CCEEFF" w:val="clear"/>
            <w:vAlign w:val="center"/>
          </w:tcPr>
          <w:p>
            <w:pPr>
              <w:pStyle w:val="TableContents"/>
              <w:spacing w:before="0" w:after="283"/>
              <w:rPr>
                <w:sz w:val="4"/>
                <w:szCs w:val="4"/>
              </w:rPr>
            </w:pPr>
            <w:r>
              <w:rPr>
                <w:sz w:val="4"/>
                <w:szCs w:val="4"/>
              </w:rPr>
            </w:r>
          </w:p>
        </w:tc>
        <w:tc>
          <w:tcPr>
            <w:tcW w:w="1188"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Month #2 (December 1, 2018 – December 31, 2018)</w:t>
            </w:r>
          </w:p>
        </w:tc>
        <w:tc>
          <w:tcPr>
            <w:tcW w:w="1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1631" w:type="dxa"/>
            <w:tcBorders/>
            <w:shd w:fill="auto" w:val="clear"/>
            <w:vAlign w:val="center"/>
          </w:tcPr>
          <w:p>
            <w:pPr>
              <w:pStyle w:val="TableContents"/>
              <w:spacing w:before="0" w:after="283"/>
              <w:jc w:val="right"/>
              <w:rPr/>
            </w:pPr>
            <w:r>
              <w:rPr/>
              <w:t>31,513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97" w:type="dxa"/>
            <w:tcBorders/>
            <w:shd w:fill="auto" w:val="clear"/>
            <w:vAlign w:val="center"/>
          </w:tcPr>
          <w:p>
            <w:pPr>
              <w:pStyle w:val="TableContents"/>
              <w:spacing w:before="0" w:after="283"/>
              <w:rPr/>
            </w:pPr>
            <w:r>
              <w:rPr/>
              <w:t>£</w:t>
            </w:r>
          </w:p>
        </w:tc>
        <w:tc>
          <w:tcPr>
            <w:tcW w:w="1563" w:type="dxa"/>
            <w:tcBorders/>
            <w:shd w:fill="auto" w:val="clear"/>
            <w:vAlign w:val="center"/>
          </w:tcPr>
          <w:p>
            <w:pPr>
              <w:pStyle w:val="TableContents"/>
              <w:spacing w:before="0" w:after="283"/>
              <w:jc w:val="right"/>
              <w:rPr/>
            </w:pPr>
            <w:r>
              <w:rPr/>
              <w:t>1.80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Month #3 (May 1, 2019 – May 31, 2019)</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jc w:val="right"/>
              <w:rPr/>
            </w:pPr>
            <w:r>
              <w:rPr/>
              <w:t>1,074,274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283"/>
              <w:rPr/>
            </w:pPr>
            <w:r>
              <w:rPr/>
              <w:t>£</w:t>
            </w:r>
          </w:p>
        </w:tc>
        <w:tc>
          <w:tcPr>
            <w:tcW w:w="1563" w:type="dxa"/>
            <w:tcBorders/>
            <w:shd w:fill="CCEEFF" w:val="clear"/>
            <w:vAlign w:val="center"/>
          </w:tcPr>
          <w:p>
            <w:pPr>
              <w:pStyle w:val="TableContents"/>
              <w:spacing w:before="0" w:after="283"/>
              <w:jc w:val="right"/>
              <w:rPr/>
            </w:pPr>
            <w:r>
              <w:rPr/>
              <w:t>0.93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rPr>
                <w:sz w:val="4"/>
                <w:szCs w:val="4"/>
              </w:rPr>
            </w:pPr>
            <w:r>
              <w:rPr>
                <w:sz w:val="4"/>
                <w:szCs w:val="4"/>
              </w:rPr>
            </w:r>
          </w:p>
        </w:tc>
        <w:tc>
          <w:tcPr>
            <w:tcW w:w="104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87" w:type="dxa"/>
            <w:tcBorders/>
            <w:shd w:fill="CCEEFF" w:val="clear"/>
            <w:vAlign w:val="center"/>
          </w:tcPr>
          <w:p>
            <w:pPr>
              <w:pStyle w:val="TableContents"/>
              <w:spacing w:before="0" w:after="283"/>
              <w:rPr>
                <w:sz w:val="4"/>
                <w:szCs w:val="4"/>
              </w:rPr>
            </w:pPr>
            <w:r>
              <w:rPr>
                <w:sz w:val="4"/>
                <w:szCs w:val="4"/>
              </w:rPr>
            </w:r>
          </w:p>
        </w:tc>
        <w:tc>
          <w:tcPr>
            <w:tcW w:w="1188"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June 4, 2020</w:t>
            </w:r>
          </w:p>
        </w:tc>
        <w:tc>
          <w:tcPr>
            <w:tcW w:w="1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1631"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97" w:type="dxa"/>
            <w:tcBorders/>
            <w:shd w:fill="auto" w:val="clear"/>
            <w:vAlign w:val="center"/>
          </w:tcPr>
          <w:p>
            <w:pPr>
              <w:pStyle w:val="TableContents"/>
              <w:spacing w:before="0" w:after="283"/>
              <w:rPr/>
            </w:pPr>
            <w:r>
              <w:rPr/>
              <w:t>£</w:t>
            </w:r>
          </w:p>
        </w:tc>
        <w:tc>
          <w:tcPr>
            <w:tcW w:w="1563" w:type="dxa"/>
            <w:tcBorders/>
            <w:shd w:fill="auto" w:val="clear"/>
            <w:vAlign w:val="center"/>
          </w:tcPr>
          <w:p>
            <w:pPr>
              <w:pStyle w:val="TableContents"/>
              <w:spacing w:before="0" w:after="283"/>
              <w:jc w:val="right"/>
              <w:rPr/>
            </w:pPr>
            <w:r>
              <w:rPr/>
              <w:t>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jc w:val="right"/>
              <w:rPr/>
            </w:pPr>
            <w:r>
              <w:rPr/>
              <w:t>1,237,274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283"/>
              <w:rPr/>
            </w:pPr>
            <w:r>
              <w:rPr/>
              <w:t>£</w:t>
            </w:r>
          </w:p>
        </w:tc>
        <w:tc>
          <w:tcPr>
            <w:tcW w:w="1563" w:type="dxa"/>
            <w:tcBorders/>
            <w:shd w:fill="CCEEFF" w:val="clear"/>
            <w:vAlign w:val="center"/>
          </w:tcPr>
          <w:p>
            <w:pPr>
              <w:pStyle w:val="TableContents"/>
              <w:spacing w:before="0" w:after="283"/>
              <w:jc w:val="right"/>
              <w:rPr/>
            </w:pPr>
            <w:r>
              <w:rPr/>
              <w:t>1.88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rPr>
                <w:sz w:val="4"/>
                <w:szCs w:val="4"/>
              </w:rPr>
            </w:pPr>
            <w:r>
              <w:rPr>
                <w:sz w:val="4"/>
                <w:szCs w:val="4"/>
              </w:rPr>
            </w:r>
          </w:p>
        </w:tc>
        <w:tc>
          <w:tcPr>
            <w:tcW w:w="104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87" w:type="dxa"/>
            <w:tcBorders/>
            <w:shd w:fill="CCEEFF" w:val="clear"/>
            <w:vAlign w:val="center"/>
          </w:tcPr>
          <w:p>
            <w:pPr>
              <w:pStyle w:val="TableContents"/>
              <w:spacing w:before="0" w:after="283"/>
              <w:rPr>
                <w:sz w:val="4"/>
                <w:szCs w:val="4"/>
              </w:rPr>
            </w:pPr>
            <w:r>
              <w:rPr>
                <w:sz w:val="4"/>
                <w:szCs w:val="4"/>
              </w:rPr>
            </w:r>
          </w:p>
        </w:tc>
        <w:tc>
          <w:tcPr>
            <w:tcW w:w="1188"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8770" w:type="dxa"/>
        <w:jc w:val="left"/>
        <w:tblInd w:w="0" w:type="dxa"/>
        <w:tblCellMar>
          <w:top w:w="0" w:type="dxa"/>
          <w:left w:w="0" w:type="dxa"/>
          <w:bottom w:w="0" w:type="dxa"/>
          <w:right w:w="0" w:type="dxa"/>
        </w:tblCellMar>
      </w:tblPr>
      <w:tblGrid>
        <w:gridCol w:w="305"/>
        <w:gridCol w:w="8465"/>
      </w:tblGrid>
      <w:tr>
        <w:trPr/>
        <w:tc>
          <w:tcPr>
            <w:tcW w:w="305" w:type="dxa"/>
            <w:tcBorders/>
            <w:shd w:fill="auto" w:val="clear"/>
            <w:vAlign w:val="center"/>
          </w:tcPr>
          <w:p>
            <w:pPr>
              <w:pStyle w:val="TableContents"/>
              <w:spacing w:before="0" w:after="283"/>
              <w:jc w:val="left"/>
              <w:rPr/>
            </w:pPr>
            <w:r>
              <w:rPr/>
              <w:t>(1)</w:t>
            </w:r>
          </w:p>
        </w:tc>
        <w:tc>
          <w:tcPr>
            <w:tcW w:w="846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The ordinary shares were not purchased as part of a publicly announced plan or program </w:t>
            </w:r>
          </w:p>
        </w:tc>
      </w:tr>
    </w:tbl>
    <w:p>
      <w:pPr>
        <w:pStyle w:val="TextBody"/>
        <w:spacing w:before="0" w:after="0"/>
        <w:jc w:val="left"/>
        <w:rPr/>
      </w:pPr>
      <w:r>
        <w:rPr/>
        <w:t> </w:t>
      </w:r>
    </w:p>
    <w:tbl>
      <w:tblPr>
        <w:tblW w:w="5815" w:type="dxa"/>
        <w:jc w:val="left"/>
        <w:tblInd w:w="0" w:type="dxa"/>
        <w:tblCellMar>
          <w:top w:w="0" w:type="dxa"/>
          <w:left w:w="0" w:type="dxa"/>
          <w:bottom w:w="0" w:type="dxa"/>
          <w:right w:w="0" w:type="dxa"/>
        </w:tblCellMar>
      </w:tblPr>
      <w:tblGrid>
        <w:gridCol w:w="1010"/>
        <w:gridCol w:w="4805"/>
      </w:tblGrid>
      <w:tr>
        <w:trPr/>
        <w:tc>
          <w:tcPr>
            <w:tcW w:w="1010" w:type="dxa"/>
            <w:tcBorders/>
            <w:shd w:fill="auto" w:val="clear"/>
            <w:vAlign w:val="center"/>
          </w:tcPr>
          <w:p>
            <w:pPr>
              <w:pStyle w:val="TableContents"/>
              <w:spacing w:before="0" w:after="283"/>
              <w:jc w:val="left"/>
              <w:rPr>
                <w:b/>
              </w:rPr>
            </w:pPr>
            <w:bookmarkStart w:id="27" w:name="tx430075_25"/>
            <w:bookmarkEnd w:id="27"/>
            <w:r>
              <w:rPr>
                <w:b/>
              </w:rPr>
              <w:t>Item 16F.</w:t>
            </w:r>
          </w:p>
        </w:tc>
        <w:tc>
          <w:tcPr>
            <w:tcW w:w="480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Change In Registrant’s Certifying Accountant </w:t>
            </w:r>
          </w:p>
        </w:tc>
      </w:tr>
    </w:tbl>
    <w:p>
      <w:pPr>
        <w:pStyle w:val="TextBody"/>
        <w:spacing w:before="120" w:after="0"/>
        <w:jc w:val="left"/>
        <w:rPr>
          <w:rFonts w:ascii="Times New Roman" w:hAnsi="Times New Roman"/>
          <w:sz w:val="24"/>
        </w:rPr>
      </w:pPr>
      <w:r>
        <w:rPr>
          <w:rFonts w:ascii="Times New Roman" w:hAnsi="Times New Roman"/>
          <w:sz w:val="24"/>
        </w:rPr>
        <w:t xml:space="preserve">None </w:t>
      </w:r>
    </w:p>
    <w:p>
      <w:pPr>
        <w:pStyle w:val="TextBody"/>
        <w:spacing w:before="0" w:after="0"/>
        <w:jc w:val="left"/>
        <w:rPr/>
      </w:pPr>
      <w:r>
        <w:rPr/>
        <w:t> </w:t>
      </w:r>
    </w:p>
    <w:tbl>
      <w:tblPr>
        <w:tblW w:w="3490" w:type="dxa"/>
        <w:jc w:val="left"/>
        <w:tblInd w:w="0" w:type="dxa"/>
        <w:tblCellMar>
          <w:top w:w="0" w:type="dxa"/>
          <w:left w:w="0" w:type="dxa"/>
          <w:bottom w:w="0" w:type="dxa"/>
          <w:right w:w="0" w:type="dxa"/>
        </w:tblCellMar>
      </w:tblPr>
      <w:tblGrid>
        <w:gridCol w:w="1040"/>
        <w:gridCol w:w="2450"/>
      </w:tblGrid>
      <w:tr>
        <w:trPr/>
        <w:tc>
          <w:tcPr>
            <w:tcW w:w="1040" w:type="dxa"/>
            <w:tcBorders/>
            <w:shd w:fill="auto" w:val="clear"/>
            <w:vAlign w:val="center"/>
          </w:tcPr>
          <w:p>
            <w:pPr>
              <w:pStyle w:val="TableContents"/>
              <w:spacing w:before="0" w:after="283"/>
              <w:jc w:val="left"/>
              <w:rPr>
                <w:b/>
              </w:rPr>
            </w:pPr>
            <w:bookmarkStart w:id="28" w:name="tx430075_26"/>
            <w:bookmarkEnd w:id="28"/>
            <w:r>
              <w:rPr>
                <w:b/>
              </w:rPr>
              <w:t>Item 16G.</w:t>
            </w:r>
          </w:p>
        </w:tc>
        <w:tc>
          <w:tcPr>
            <w:tcW w:w="245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Corporate Governance </w:t>
            </w:r>
          </w:p>
        </w:tc>
      </w:tr>
    </w:tbl>
    <w:p>
      <w:pPr>
        <w:pStyle w:val="TextBody"/>
        <w:spacing w:before="120" w:after="0"/>
        <w:jc w:val="left"/>
        <w:rPr>
          <w:rFonts w:ascii="Times New Roman" w:hAnsi="Times New Roman"/>
          <w:b/>
          <w:sz w:val="24"/>
        </w:rPr>
      </w:pPr>
      <w:r>
        <w:rPr>
          <w:rFonts w:ascii="Times New Roman" w:hAnsi="Times New Roman"/>
          <w:b/>
          <w:sz w:val="24"/>
        </w:rPr>
        <w:t xml:space="preserve">Foreign Private Issuer Exemption </w:t>
      </w:r>
    </w:p>
    <w:p>
      <w:pPr>
        <w:pStyle w:val="TextBody"/>
        <w:spacing w:before="120" w:after="0"/>
        <w:jc w:val="left"/>
        <w:rPr>
          <w:rFonts w:ascii="Times New Roman" w:hAnsi="Times New Roman"/>
          <w:sz w:val="24"/>
        </w:rPr>
      </w:pPr>
      <w:r>
        <w:rPr>
          <w:rFonts w:ascii="Times New Roman" w:hAnsi="Times New Roman"/>
          <w:sz w:val="24"/>
        </w:rPr>
        <w:t xml:space="preserve">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Mereo does not intend to follow Nasdaq Rule 5620(c) regarding quorum requirements applicable to meetings of shareholders. Such quorum requirements are not required under English law. In accordance with the U.K. Companies Act 2006, Mereo’s Articles provide alternative quorum requirements that are generally applicable to meetings of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Mereo does not intend to follow Nasdaq Rule 5605(b)(2), which requires that independent directors regularly have scheduled meetings at which only independent directors are present.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Mereo does not intend to follow Nasdaq Rule 5635, which generally requires an issuer to seek shareholder approval in connection with certain private placements of equity securities. Mereo intends to follow the requirements of the U.K. Companies Act 2006 with respect to any requirement to obtain shareholder approval to authorize Mereo’s directors to allot shares and to disapply statutory pre-emption rights prior to any private placements of equity securities.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Although Mereo may rely on certain home country corporate governance practices, Mereo must comply with Nasdaq Rule 5640 Notification of Noncompliance and Rule 5640 Voting Rights. Further, Mereo must have an audit committee that satisfies Rule 5605(c)(3), which addresses audit committee responsibilities and authority, and that consists of committee members that meet the independence requirements of Rule 5605(c)(2)(A)(ii). </w:t>
      </w:r>
    </w:p>
    <w:p>
      <w:pPr>
        <w:pStyle w:val="TextBody"/>
        <w:spacing w:before="240" w:after="0"/>
        <w:jc w:val="left"/>
        <w:rPr>
          <w:rFonts w:ascii="Times New Roman" w:hAnsi="Times New Roman"/>
          <w:sz w:val="24"/>
        </w:rPr>
      </w:pPr>
      <w:r>
        <w:rPr>
          <w:rFonts w:ascii="Times New Roman" w:hAnsi="Times New Roman"/>
          <w:sz w:val="24"/>
        </w:rPr>
        <w:t xml:space="preserve">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 </w:t>
      </w:r>
    </w:p>
    <w:p>
      <w:pPr>
        <w:pStyle w:val="TextBody"/>
        <w:spacing w:before="240" w:after="0"/>
        <w:jc w:val="left"/>
        <w:rPr>
          <w:rFonts w:ascii="Times New Roman" w:hAnsi="Times New Roman"/>
          <w:sz w:val="24"/>
        </w:rPr>
      </w:pPr>
      <w:r>
        <w:rPr>
          <w:rFonts w:ascii="Times New Roman" w:hAnsi="Times New Roman"/>
          <w:sz w:val="24"/>
        </w:rPr>
        <w:t xml:space="preserve">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 </w:t>
      </w:r>
    </w:p>
    <w:p>
      <w:pPr>
        <w:pStyle w:val="TextBody"/>
        <w:spacing w:before="360" w:after="0"/>
        <w:jc w:val="left"/>
        <w:rPr>
          <w:rFonts w:ascii="Times New Roman" w:hAnsi="Times New Roman"/>
          <w:b/>
          <w:sz w:val="24"/>
        </w:rPr>
      </w:pPr>
      <w:r>
        <w:rPr>
          <w:rFonts w:ascii="Times New Roman" w:hAnsi="Times New Roman"/>
          <w:b/>
          <w:sz w:val="24"/>
        </w:rPr>
        <w:t xml:space="preserve">Mereo Shareholder Rights Under U.K. Law </w:t>
      </w:r>
    </w:p>
    <w:p>
      <w:pPr>
        <w:pStyle w:val="TextBody"/>
        <w:spacing w:before="120" w:after="0"/>
        <w:jc w:val="left"/>
        <w:rPr>
          <w:rFonts w:ascii="Times New Roman" w:hAnsi="Times New Roman"/>
          <w:sz w:val="24"/>
        </w:rPr>
      </w:pPr>
      <w:r>
        <w:rPr>
          <w:rFonts w:ascii="Times New Roman" w:hAnsi="Times New Roman"/>
          <w:sz w:val="24"/>
        </w:rPr>
        <w:t xml:space="preserve">The rights of the holders of our ordinary shares are governed by the laws of England and Wales and Mereo’s Articles. The rights of the holders of our ADSs are governed by the deposit agreement. </w:t>
      </w:r>
    </w:p>
    <w:p>
      <w:pPr>
        <w:pStyle w:val="TextBody"/>
        <w:spacing w:before="360" w:after="0"/>
        <w:jc w:val="left"/>
        <w:rPr>
          <w:rFonts w:ascii="Times New Roman" w:hAnsi="Times New Roman"/>
          <w:b/>
          <w:i/>
          <w:sz w:val="24"/>
        </w:rPr>
      </w:pPr>
      <w:r>
        <w:rPr>
          <w:rFonts w:ascii="Times New Roman" w:hAnsi="Times New Roman"/>
          <w:b/>
          <w:i/>
          <w:sz w:val="24"/>
        </w:rPr>
        <w:t xml:space="preserve">Purchase and Redemption Rights </w:t>
      </w:r>
    </w:p>
    <w:p>
      <w:pPr>
        <w:pStyle w:val="TextBody"/>
        <w:spacing w:before="240" w:after="0"/>
        <w:jc w:val="left"/>
        <w:rPr>
          <w:rFonts w:ascii="Times New Roman" w:hAnsi="Times New Roman"/>
          <w:sz w:val="24"/>
        </w:rPr>
      </w:pPr>
      <w:r>
        <w:rPr>
          <w:rFonts w:ascii="Times New Roman" w:hAnsi="Times New Roman"/>
          <w:sz w:val="24"/>
        </w:rPr>
        <w:t xml:space="preserve">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 Mereo is empowered to issue redeemable shares under its Articles. </w:t>
      </w:r>
    </w:p>
    <w:p>
      <w:pPr>
        <w:pStyle w:val="TextBody"/>
        <w:spacing w:before="240" w:after="0"/>
        <w:jc w:val="left"/>
        <w:rPr>
          <w:rFonts w:ascii="Times New Roman" w:hAnsi="Times New Roman"/>
          <w:sz w:val="24"/>
        </w:rPr>
      </w:pPr>
      <w:r>
        <w:rPr>
          <w:rFonts w:ascii="Times New Roman" w:hAnsi="Times New Roman"/>
          <w:sz w:val="24"/>
        </w:rPr>
        <w:t xml:space="preserve">Under the U.K. Companies Act 2006, a company may redeem shares only if the shares are fully paid and, in the case of public limited companies, only out of: (1) distributable profits; or (2) the proceeds of a new issue of shares made for the purpose of such redemption. </w:t>
      </w:r>
    </w:p>
    <w:p>
      <w:pPr>
        <w:pStyle w:val="TextBody"/>
        <w:spacing w:before="360" w:after="0"/>
        <w:jc w:val="left"/>
        <w:rPr>
          <w:rFonts w:ascii="Times New Roman" w:hAnsi="Times New Roman"/>
          <w:b/>
          <w:i/>
          <w:sz w:val="24"/>
        </w:rPr>
      </w:pPr>
      <w:r>
        <w:rPr>
          <w:rFonts w:ascii="Times New Roman" w:hAnsi="Times New Roman"/>
          <w:b/>
          <w:i/>
          <w:sz w:val="24"/>
        </w:rPr>
        <w:t xml:space="preserve">Preemptive Rights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 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ordinary shares, after which shareholders’ approval would be required to renew such exclusion. </w:t>
      </w:r>
    </w:p>
    <w:p>
      <w:pPr>
        <w:pStyle w:val="TextBody"/>
        <w:spacing w:before="360" w:after="0"/>
        <w:jc w:val="left"/>
        <w:rPr>
          <w:rFonts w:ascii="Times New Roman" w:hAnsi="Times New Roman"/>
          <w:b/>
          <w:i/>
          <w:sz w:val="24"/>
        </w:rPr>
      </w:pPr>
      <w:r>
        <w:rPr>
          <w:rFonts w:ascii="Times New Roman" w:hAnsi="Times New Roman"/>
          <w:b/>
          <w:i/>
          <w:sz w:val="24"/>
        </w:rPr>
        <w:t xml:space="preserve">Inspection Rights </w:t>
      </w:r>
    </w:p>
    <w:p>
      <w:pPr>
        <w:pStyle w:val="TextBody"/>
        <w:spacing w:before="120" w:after="0"/>
        <w:jc w:val="left"/>
        <w:rPr>
          <w:rFonts w:ascii="Times New Roman" w:hAnsi="Times New Roman"/>
          <w:sz w:val="24"/>
        </w:rPr>
      </w:pPr>
      <w:r>
        <w:rPr>
          <w:rFonts w:ascii="Times New Roman" w:hAnsi="Times New Roman"/>
          <w:sz w:val="24"/>
        </w:rPr>
        <w:t xml:space="preserve">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 </w:t>
      </w:r>
    </w:p>
    <w:p>
      <w:pPr>
        <w:pStyle w:val="TextBody"/>
        <w:spacing w:before="360" w:after="0"/>
        <w:jc w:val="left"/>
        <w:rPr>
          <w:rFonts w:ascii="Times New Roman" w:hAnsi="Times New Roman"/>
          <w:b/>
          <w:i/>
          <w:sz w:val="24"/>
        </w:rPr>
      </w:pPr>
      <w:r>
        <w:rPr>
          <w:rFonts w:ascii="Times New Roman" w:hAnsi="Times New Roman"/>
          <w:b/>
          <w:i/>
          <w:sz w:val="24"/>
        </w:rPr>
        <w:t xml:space="preserve">Appraisal Rights </w:t>
      </w:r>
    </w:p>
    <w:p>
      <w:pPr>
        <w:pStyle w:val="TextBody"/>
        <w:spacing w:before="120" w:after="0"/>
        <w:jc w:val="left"/>
        <w:rPr>
          <w:rFonts w:ascii="Times New Roman" w:hAnsi="Times New Roman"/>
          <w:sz w:val="24"/>
        </w:rPr>
      </w:pPr>
      <w:r>
        <w:rPr>
          <w:rFonts w:ascii="Times New Roman" w:hAnsi="Times New Roman"/>
          <w:sz w:val="24"/>
        </w:rPr>
        <w:t xml:space="preserve">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4"/>
        </w:rPr>
      </w:pPr>
      <w:r>
        <w:rPr>
          <w:rFonts w:ascii="Times New Roman" w:hAnsi="Times New Roman"/>
          <w:b/>
          <w:i/>
          <w:sz w:val="24"/>
        </w:rPr>
        <w:t xml:space="preserve">Votes on Certain Transactions </w:t>
      </w:r>
    </w:p>
    <w:p>
      <w:pPr>
        <w:pStyle w:val="TextBody"/>
        <w:spacing w:before="120" w:after="0"/>
        <w:jc w:val="left"/>
        <w:rPr>
          <w:rFonts w:ascii="Times New Roman" w:hAnsi="Times New Roman"/>
          <w:sz w:val="24"/>
        </w:rPr>
      </w:pPr>
      <w:r>
        <w:rPr>
          <w:rFonts w:ascii="Times New Roman" w:hAnsi="Times New Roman"/>
          <w:sz w:val="24"/>
        </w:rPr>
        <w:t xml:space="preserve">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 </w:t>
      </w:r>
    </w:p>
    <w:p>
      <w:pPr>
        <w:pStyle w:val="TextBody"/>
        <w:spacing w:before="360" w:after="0"/>
        <w:jc w:val="left"/>
        <w:rPr>
          <w:rFonts w:ascii="Times New Roman" w:hAnsi="Times New Roman"/>
          <w:b/>
          <w:i/>
          <w:sz w:val="24"/>
        </w:rPr>
      </w:pPr>
      <w:r>
        <w:rPr>
          <w:rFonts w:ascii="Times New Roman" w:hAnsi="Times New Roman"/>
          <w:b/>
          <w:i/>
          <w:sz w:val="24"/>
        </w:rPr>
        <w:t xml:space="preserve">Amendment of Corporate Governance Documents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 company incorporated in England and Wales may amend its articles of association by way of a special resolution. </w:t>
      </w:r>
    </w:p>
    <w:p>
      <w:pPr>
        <w:pStyle w:val="TextBody"/>
        <w:spacing w:before="360" w:after="0"/>
        <w:jc w:val="left"/>
        <w:rPr>
          <w:rFonts w:ascii="Times New Roman" w:hAnsi="Times New Roman"/>
          <w:b/>
          <w:i/>
          <w:sz w:val="24"/>
        </w:rPr>
      </w:pPr>
      <w:r>
        <w:rPr>
          <w:rFonts w:ascii="Times New Roman" w:hAnsi="Times New Roman"/>
          <w:b/>
          <w:i/>
          <w:sz w:val="24"/>
        </w:rPr>
        <w:t xml:space="preserve">Shareholder Action by Written Consent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 resolution of the members (or of a class of members) of a public company must be passed at a general meeting of the members. Written resolutions are not permitted. </w:t>
      </w:r>
    </w:p>
    <w:p>
      <w:pPr>
        <w:pStyle w:val="TextBody"/>
        <w:spacing w:before="240" w:after="0"/>
        <w:jc w:val="left"/>
        <w:rPr>
          <w:rFonts w:ascii="Times New Roman" w:hAnsi="Times New Roman"/>
          <w:sz w:val="24"/>
        </w:rPr>
      </w:pPr>
      <w:r>
        <w:rPr>
          <w:rFonts w:ascii="Times New Roman" w:hAnsi="Times New Roman"/>
          <w:sz w:val="24"/>
        </w:rPr>
        <w:t xml:space="preserve">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 (2) 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 </w:t>
      </w:r>
    </w:p>
    <w:p>
      <w:pPr>
        <w:pStyle w:val="TextBody"/>
        <w:spacing w:before="360" w:after="0"/>
        <w:jc w:val="left"/>
        <w:rPr>
          <w:rFonts w:ascii="Times New Roman" w:hAnsi="Times New Roman"/>
          <w:b/>
          <w:i/>
          <w:sz w:val="24"/>
        </w:rPr>
      </w:pPr>
      <w:r>
        <w:rPr>
          <w:rFonts w:ascii="Times New Roman" w:hAnsi="Times New Roman"/>
          <w:b/>
          <w:i/>
          <w:sz w:val="24"/>
        </w:rPr>
        <w:t xml:space="preserve">Shareholder Meetings </w:t>
      </w:r>
    </w:p>
    <w:p>
      <w:pPr>
        <w:pStyle w:val="TextBody"/>
        <w:spacing w:before="120" w:after="0"/>
        <w:jc w:val="left"/>
        <w:rPr>
          <w:rFonts w:ascii="Times New Roman" w:hAnsi="Times New Roman"/>
          <w:sz w:val="24"/>
        </w:rPr>
      </w:pPr>
      <w:r>
        <w:rPr>
          <w:rFonts w:ascii="Times New Roman" w:hAnsi="Times New Roman"/>
          <w:sz w:val="24"/>
        </w:rPr>
        <w:t xml:space="preserve">The U.K. Companies Act 2006 requires that a public limited company, such as Mereo, must convene an annual general meeting within six months following its accounting reference date. </w:t>
      </w:r>
    </w:p>
    <w:p>
      <w:pPr>
        <w:pStyle w:val="TextBody"/>
        <w:spacing w:before="240" w:after="0"/>
        <w:jc w:val="left"/>
        <w:rPr>
          <w:rFonts w:ascii="Times New Roman" w:hAnsi="Times New Roman"/>
          <w:sz w:val="24"/>
        </w:rPr>
      </w:pPr>
      <w:r>
        <w:rPr>
          <w:rFonts w:ascii="Times New Roman" w:hAnsi="Times New Roman"/>
          <w:sz w:val="24"/>
        </w:rPr>
        <w:t xml:space="preserve">Subject to the notice requirements of the U.K. Companies Act 2006 outlined below and Mereo’s Articles, a general meeting of the shareholders of Mereo may be called by the Mereo Board whenever and at such times and places as it shall determine. </w:t>
      </w:r>
    </w:p>
    <w:p>
      <w:pPr>
        <w:pStyle w:val="TextBody"/>
        <w:spacing w:before="240" w:after="0"/>
        <w:jc w:val="left"/>
        <w:rPr>
          <w:rFonts w:ascii="Times New Roman" w:hAnsi="Times New Roman"/>
          <w:sz w:val="24"/>
        </w:rPr>
      </w:pPr>
      <w:r>
        <w:rPr>
          <w:rFonts w:ascii="Times New Roman" w:hAnsi="Times New Roman"/>
          <w:sz w:val="24"/>
        </w:rPr>
        <w:t xml:space="preserve">A general meeting may also be convened by the Mereo Board on the requisition of two or more Mereo shareholders who hold at least 5% of the paid-up capital of Mereo carrying voting rights at a general meeting. </w:t>
      </w:r>
    </w:p>
    <w:p>
      <w:pPr>
        <w:pStyle w:val="TextBody"/>
        <w:spacing w:before="240" w:after="0"/>
        <w:jc w:val="left"/>
        <w:rPr>
          <w:rFonts w:ascii="Times New Roman" w:hAnsi="Times New Roman"/>
          <w:sz w:val="24"/>
        </w:rPr>
      </w:pPr>
      <w:r>
        <w:rPr>
          <w:rFonts w:ascii="Times New Roman" w:hAnsi="Times New Roman"/>
          <w:sz w:val="24"/>
        </w:rPr>
        <w:t xml:space="preserve">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 </w:t>
      </w:r>
    </w:p>
    <w:p>
      <w:pPr>
        <w:pStyle w:val="TextBody"/>
        <w:spacing w:before="240" w:after="0"/>
        <w:jc w:val="left"/>
        <w:rPr>
          <w:rFonts w:ascii="Times New Roman" w:hAnsi="Times New Roman"/>
          <w:sz w:val="24"/>
        </w:rPr>
      </w:pPr>
      <w:r>
        <w:rPr>
          <w:rFonts w:ascii="Times New Roman" w:hAnsi="Times New Roman"/>
          <w:sz w:val="24"/>
        </w:rPr>
        <w:t xml:space="preserve">Other proposals relating to the ordinary course of the company’s business, such as the election of directors, would generally be the subject of an ordinary resolution. </w:t>
      </w:r>
    </w:p>
    <w:p>
      <w:pPr>
        <w:pStyle w:val="TextBody"/>
        <w:spacing w:before="240" w:after="0"/>
        <w:jc w:val="left"/>
        <w:rPr>
          <w:rFonts w:ascii="Times New Roman" w:hAnsi="Times New Roman"/>
          <w:sz w:val="24"/>
        </w:rPr>
      </w:pPr>
      <w:r>
        <w:rPr>
          <w:rFonts w:ascii="Times New Roman" w:hAnsi="Times New Roman"/>
          <w:sz w:val="24"/>
        </w:rPr>
        <w:t xml:space="preserve">Under the U.K. Companies Act 2006, 21 clear days’ notice must be given for an annual general meeting and any resolutions to be proposed at that meeting. At least 14 clear days’ notice is required for any other general meeting. </w:t>
      </w:r>
    </w:p>
    <w:p>
      <w:pPr>
        <w:pStyle w:val="TextBody"/>
        <w:spacing w:before="240" w:after="0"/>
        <w:jc w:val="left"/>
        <w:rPr>
          <w:rFonts w:ascii="Times New Roman" w:hAnsi="Times New Roman"/>
          <w:sz w:val="24"/>
        </w:rPr>
      </w:pPr>
      <w:r>
        <w:rPr>
          <w:rFonts w:ascii="Times New Roman" w:hAnsi="Times New Roman"/>
          <w:sz w:val="24"/>
        </w:rPr>
        <w:t xml:space="preserve">In addition, certain matters, such as the removal of directors or auditors, require special notice, which is 28 clear days’ notice. </w:t>
      </w:r>
    </w:p>
    <w:p>
      <w:pPr>
        <w:pStyle w:val="TextBody"/>
        <w:spacing w:before="360" w:after="0"/>
        <w:jc w:val="left"/>
        <w:rPr>
          <w:rFonts w:ascii="Times New Roman" w:hAnsi="Times New Roman"/>
          <w:b/>
          <w:i/>
          <w:sz w:val="24"/>
        </w:rPr>
      </w:pPr>
      <w:r>
        <w:rPr>
          <w:rFonts w:ascii="Times New Roman" w:hAnsi="Times New Roman"/>
          <w:b/>
          <w:i/>
          <w:sz w:val="24"/>
        </w:rPr>
        <w:t xml:space="preserve">Shareholder Proposals and Shareholder Nomination of Directors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shareholders of a company may require the directors to call a general meeting of the company and may specify the text of a resolution to be voted on at that meeting if the request is made by two or more shareholders holding at least 5% of the paid-up capital of Mereo carrying voting rights at a general meeting. </w:t>
      </w:r>
    </w:p>
    <w:p>
      <w:pPr>
        <w:pStyle w:val="TextBody"/>
        <w:spacing w:before="240" w:after="0"/>
        <w:jc w:val="left"/>
        <w:rPr>
          <w:rFonts w:ascii="Times New Roman" w:hAnsi="Times New Roman"/>
          <w:sz w:val="24"/>
        </w:rPr>
      </w:pPr>
      <w:r>
        <w:rPr>
          <w:rFonts w:ascii="Times New Roman" w:hAnsi="Times New Roman"/>
          <w:sz w:val="24"/>
        </w:rPr>
        <w:t xml:space="preserve">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 (2) other business to be deal with at that meeting. A company is required to circulate a statement once it has received requests to do so from (1) two or more 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sz w:val="24"/>
        </w:rPr>
        <w:t xml:space="preserve">Resolutions to appoint or re-appoint directors to a public limited company such as Mereo must generally be put to shareholders on the basis of one resolution for each nominated director. </w:t>
      </w:r>
    </w:p>
    <w:p>
      <w:pPr>
        <w:pStyle w:val="TextBody"/>
        <w:spacing w:before="360" w:after="0"/>
        <w:jc w:val="left"/>
        <w:rPr>
          <w:rFonts w:ascii="Times New Roman" w:hAnsi="Times New Roman"/>
          <w:b/>
          <w:i/>
          <w:sz w:val="24"/>
        </w:rPr>
      </w:pPr>
      <w:r>
        <w:rPr>
          <w:rFonts w:ascii="Times New Roman" w:hAnsi="Times New Roman"/>
          <w:b/>
          <w:i/>
          <w:sz w:val="24"/>
        </w:rPr>
        <w:t xml:space="preserve">Number of Directors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 public limited company must have at least two directors being natural persons. </w:t>
      </w:r>
    </w:p>
    <w:p>
      <w:pPr>
        <w:pStyle w:val="TextBody"/>
        <w:spacing w:before="360" w:after="0"/>
        <w:jc w:val="left"/>
        <w:rPr>
          <w:rFonts w:ascii="Times New Roman" w:hAnsi="Times New Roman"/>
          <w:b/>
          <w:i/>
          <w:sz w:val="24"/>
        </w:rPr>
      </w:pPr>
      <w:r>
        <w:rPr>
          <w:rFonts w:ascii="Times New Roman" w:hAnsi="Times New Roman"/>
          <w:b/>
          <w:i/>
          <w:sz w:val="24"/>
        </w:rPr>
        <w:t xml:space="preserve">Classification of the Board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 </w:t>
      </w:r>
    </w:p>
    <w:p>
      <w:pPr>
        <w:pStyle w:val="TextBody"/>
        <w:spacing w:before="360" w:after="0"/>
        <w:jc w:val="left"/>
        <w:rPr>
          <w:rFonts w:ascii="Times New Roman" w:hAnsi="Times New Roman"/>
          <w:b/>
          <w:i/>
          <w:sz w:val="24"/>
        </w:rPr>
      </w:pPr>
      <w:r>
        <w:rPr>
          <w:rFonts w:ascii="Times New Roman" w:hAnsi="Times New Roman"/>
          <w:b/>
          <w:i/>
          <w:sz w:val="24"/>
        </w:rPr>
        <w:t xml:space="preserve">Removal of Directors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 </w:t>
      </w:r>
    </w:p>
    <w:p>
      <w:pPr>
        <w:pStyle w:val="TextBody"/>
        <w:spacing w:before="360" w:after="0"/>
        <w:jc w:val="left"/>
        <w:rPr>
          <w:rFonts w:ascii="Times New Roman" w:hAnsi="Times New Roman"/>
          <w:b/>
          <w:i/>
          <w:sz w:val="24"/>
        </w:rPr>
      </w:pPr>
      <w:r>
        <w:rPr>
          <w:rFonts w:ascii="Times New Roman" w:hAnsi="Times New Roman"/>
          <w:b/>
          <w:i/>
          <w:sz w:val="24"/>
        </w:rPr>
        <w:t xml:space="preserve">Limitation of Director Liability </w:t>
      </w:r>
    </w:p>
    <w:p>
      <w:pPr>
        <w:pStyle w:val="TextBody"/>
        <w:spacing w:before="120" w:after="0"/>
        <w:jc w:val="left"/>
        <w:rPr>
          <w:rFonts w:ascii="Times New Roman" w:hAnsi="Times New Roman"/>
          <w:sz w:val="24"/>
        </w:rPr>
      </w:pPr>
      <w:r>
        <w:rPr>
          <w:rFonts w:ascii="Times New Roman" w:hAnsi="Times New Roman"/>
          <w:sz w:val="24"/>
        </w:rPr>
        <w:t xml:space="preserve">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 </w:t>
      </w:r>
    </w:p>
    <w:p>
      <w:pPr>
        <w:pStyle w:val="TextBody"/>
        <w:spacing w:before="360" w:after="0"/>
        <w:jc w:val="left"/>
        <w:rPr>
          <w:rFonts w:ascii="Times New Roman" w:hAnsi="Times New Roman"/>
          <w:b/>
          <w:i/>
          <w:sz w:val="24"/>
        </w:rPr>
      </w:pPr>
      <w:r>
        <w:rPr>
          <w:rFonts w:ascii="Times New Roman" w:hAnsi="Times New Roman"/>
          <w:b/>
          <w:i/>
          <w:sz w:val="24"/>
        </w:rPr>
        <w:t xml:space="preserve">Directors and Officers Indemnity </w:t>
      </w:r>
    </w:p>
    <w:p>
      <w:pPr>
        <w:pStyle w:val="TextBody"/>
        <w:spacing w:before="120" w:after="0"/>
        <w:jc w:val="left"/>
        <w:rPr>
          <w:rFonts w:ascii="Times New Roman" w:hAnsi="Times New Roman"/>
          <w:sz w:val="24"/>
        </w:rPr>
      </w:pPr>
      <w:r>
        <w:rPr>
          <w:rFonts w:ascii="Times New Roman" w:hAnsi="Times New Roman"/>
          <w:sz w:val="24"/>
        </w:rPr>
        <w:t xml:space="preserve">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provide a “qualifying pension scheme indemnity,” which is an indemnity against 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 </w:t>
            </w:r>
          </w:p>
        </w:tc>
      </w:tr>
    </w:tbl>
    <w:p>
      <w:pPr>
        <w:pStyle w:val="TextBody"/>
        <w:spacing w:before="240" w:after="0"/>
        <w:jc w:val="left"/>
        <w:rPr>
          <w:rFonts w:ascii="Times New Roman" w:hAnsi="Times New Roman"/>
          <w:sz w:val="24"/>
        </w:rPr>
      </w:pPr>
      <w:r>
        <w:rPr>
          <w:rFonts w:ascii="Times New Roman" w:hAnsi="Times New Roman"/>
          <w:sz w:val="24"/>
        </w:rPr>
        <w:t xml:space="preserve">The U.K. Companies Act 2006 also provides that Mereo may lend a director of Mereo funds to meet expenditure incurred by him in defending any criminal or civil proceedings in connection with any alleged negligence, default, breach of duty or breach of trust by him in relation to Mereo or an associated company, or in connection with an application for certain specified relief, subject to the requirement that the loan must be on terms that it is to be repaid if the defense or the application for relief is unsuccessful. </w:t>
      </w:r>
    </w:p>
    <w:p>
      <w:pPr>
        <w:pStyle w:val="TextBody"/>
        <w:spacing w:before="360" w:after="0"/>
        <w:jc w:val="left"/>
        <w:rPr>
          <w:rFonts w:ascii="Times New Roman" w:hAnsi="Times New Roman"/>
          <w:b/>
          <w:i/>
          <w:sz w:val="24"/>
        </w:rPr>
      </w:pPr>
      <w:r>
        <w:rPr>
          <w:rFonts w:ascii="Times New Roman" w:hAnsi="Times New Roman"/>
          <w:b/>
          <w:i/>
          <w:sz w:val="24"/>
        </w:rPr>
        <w:t xml:space="preserve">Derivative Suits and Class Action Suits </w:t>
      </w:r>
    </w:p>
    <w:p>
      <w:pPr>
        <w:pStyle w:val="TextBody"/>
        <w:spacing w:before="120" w:after="0"/>
        <w:jc w:val="left"/>
        <w:rPr>
          <w:rFonts w:ascii="Times New Roman" w:hAnsi="Times New Roman"/>
          <w:sz w:val="24"/>
        </w:rPr>
      </w:pPr>
      <w:r>
        <w:rPr>
          <w:rFonts w:ascii="Times New Roman" w:hAnsi="Times New Roman"/>
          <w:sz w:val="24"/>
        </w:rPr>
        <w:t xml:space="preserve">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 </w:t>
      </w:r>
    </w:p>
    <w:p>
      <w:pPr>
        <w:pStyle w:val="TextBody"/>
        <w:spacing w:before="240" w:after="0"/>
        <w:jc w:val="left"/>
        <w:rPr>
          <w:rFonts w:ascii="Times New Roman" w:hAnsi="Times New Roman"/>
          <w:sz w:val="24"/>
        </w:rPr>
      </w:pPr>
      <w:r>
        <w:rPr>
          <w:rFonts w:ascii="Times New Roman" w:hAnsi="Times New Roman"/>
          <w:sz w:val="24"/>
        </w:rPr>
        <w:t xml:space="preserve">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 </w:t>
      </w:r>
    </w:p>
    <w:p>
      <w:pPr>
        <w:pStyle w:val="TextBody"/>
        <w:spacing w:before="360" w:after="0"/>
        <w:jc w:val="left"/>
        <w:rPr>
          <w:rFonts w:ascii="Times New Roman" w:hAnsi="Times New Roman"/>
          <w:b/>
          <w:i/>
          <w:sz w:val="24"/>
        </w:rPr>
      </w:pPr>
      <w:r>
        <w:rPr>
          <w:rFonts w:ascii="Times New Roman" w:hAnsi="Times New Roman"/>
          <w:b/>
          <w:i/>
          <w:sz w:val="24"/>
        </w:rPr>
        <w:t xml:space="preserve">Conflicts of Interest Transactions </w:t>
      </w:r>
    </w:p>
    <w:p>
      <w:pPr>
        <w:pStyle w:val="TextBody"/>
        <w:spacing w:before="120" w:after="0"/>
        <w:jc w:val="left"/>
        <w:rPr>
          <w:rFonts w:ascii="Times New Roman" w:hAnsi="Times New Roman"/>
          <w:sz w:val="24"/>
        </w:rPr>
      </w:pPr>
      <w:r>
        <w:rPr>
          <w:rFonts w:ascii="Times New Roman" w:hAnsi="Times New Roman"/>
          <w:sz w:val="24"/>
        </w:rPr>
        <w:t xml:space="preserve">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 </w:t>
      </w:r>
    </w:p>
    <w:p>
      <w:pPr>
        <w:pStyle w:val="TextBody"/>
        <w:spacing w:before="240" w:after="0"/>
        <w:jc w:val="left"/>
        <w:rPr>
          <w:rFonts w:ascii="Times New Roman" w:hAnsi="Times New Roman"/>
          <w:sz w:val="24"/>
        </w:rPr>
      </w:pPr>
      <w:r>
        <w:rPr>
          <w:rFonts w:ascii="Times New Roman" w:hAnsi="Times New Roman"/>
          <w:sz w:val="24"/>
        </w:rPr>
        <w:t xml:space="preserve">The duty to avoid a conflict of interest is not infringed if the situation cannot reasonably be regarded as likely to give rise to a conflict of interest or if the matter has been authorized by the directors. </w:t>
      </w:r>
    </w:p>
    <w:p>
      <w:pPr>
        <w:pStyle w:val="TextBody"/>
        <w:spacing w:before="360" w:after="0"/>
        <w:jc w:val="left"/>
        <w:rPr>
          <w:rFonts w:ascii="Times New Roman" w:hAnsi="Times New Roman"/>
          <w:b/>
          <w:sz w:val="24"/>
        </w:rPr>
      </w:pPr>
      <w:r>
        <w:rPr>
          <w:rFonts w:ascii="Times New Roman" w:hAnsi="Times New Roman"/>
          <w:b/>
          <w:sz w:val="24"/>
        </w:rPr>
        <w:t xml:space="preserve">Other U.K. Law Considerations </w:t>
      </w:r>
    </w:p>
    <w:p>
      <w:pPr>
        <w:pStyle w:val="TextBody"/>
        <w:spacing w:before="120" w:after="0"/>
        <w:jc w:val="left"/>
        <w:rPr>
          <w:rFonts w:ascii="Times New Roman" w:hAnsi="Times New Roman"/>
          <w:sz w:val="24"/>
        </w:rPr>
      </w:pPr>
      <w:r>
        <w:rPr>
          <w:rFonts w:ascii="Times New Roman" w:hAnsi="Times New Roman"/>
          <w:sz w:val="24"/>
        </w:rPr>
        <w:t xml:space="preserve">See “Item 10. Additional Information—B. Memorandum and Articles of Association—Other U.K. Law Considerations” for other applicable corporate governance practices. </w:t>
      </w:r>
    </w:p>
    <w:p>
      <w:pPr>
        <w:pStyle w:val="TextBody"/>
        <w:spacing w:before="0" w:after="0"/>
        <w:jc w:val="left"/>
        <w:rPr/>
      </w:pPr>
      <w:r>
        <w:rPr/>
        <w:t> </w:t>
      </w:r>
    </w:p>
    <w:tbl>
      <w:tblPr>
        <w:tblW w:w="3460" w:type="dxa"/>
        <w:jc w:val="left"/>
        <w:tblInd w:w="0" w:type="dxa"/>
        <w:tblCellMar>
          <w:top w:w="0" w:type="dxa"/>
          <w:left w:w="0" w:type="dxa"/>
          <w:bottom w:w="0" w:type="dxa"/>
          <w:right w:w="0" w:type="dxa"/>
        </w:tblCellMar>
      </w:tblPr>
      <w:tblGrid>
        <w:gridCol w:w="1040"/>
        <w:gridCol w:w="2420"/>
      </w:tblGrid>
      <w:tr>
        <w:trPr/>
        <w:tc>
          <w:tcPr>
            <w:tcW w:w="1040" w:type="dxa"/>
            <w:tcBorders/>
            <w:shd w:fill="auto" w:val="clear"/>
            <w:vAlign w:val="center"/>
          </w:tcPr>
          <w:p>
            <w:pPr>
              <w:pStyle w:val="TableContents"/>
              <w:spacing w:before="0" w:after="283"/>
              <w:jc w:val="left"/>
              <w:rPr>
                <w:b/>
              </w:rPr>
            </w:pPr>
            <w:bookmarkStart w:id="29" w:name="tx430075_27"/>
            <w:bookmarkEnd w:id="29"/>
            <w:r>
              <w:rPr>
                <w:b/>
              </w:rPr>
              <w:t>Item 16H.</w:t>
            </w:r>
          </w:p>
        </w:tc>
        <w:tc>
          <w:tcPr>
            <w:tcW w:w="242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Mine Safety Disclosure </w:t>
            </w:r>
          </w:p>
        </w:tc>
      </w:tr>
    </w:tbl>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950"/>
        <w:gridCol w:w="7070"/>
      </w:tblGrid>
      <w:tr>
        <w:trPr/>
        <w:tc>
          <w:tcPr>
            <w:tcW w:w="950" w:type="dxa"/>
            <w:tcBorders/>
            <w:shd w:fill="auto" w:val="clear"/>
            <w:vAlign w:val="center"/>
          </w:tcPr>
          <w:p>
            <w:pPr>
              <w:pStyle w:val="TableContents"/>
              <w:spacing w:before="0" w:after="283"/>
              <w:jc w:val="left"/>
              <w:rPr>
                <w:b/>
              </w:rPr>
            </w:pPr>
            <w:bookmarkStart w:id="30" w:name="tx430075_28"/>
            <w:bookmarkEnd w:id="30"/>
            <w:r>
              <w:rPr>
                <w:b/>
              </w:rPr>
              <w:t>Item 16I.</w:t>
            </w:r>
          </w:p>
        </w:tc>
        <w:tc>
          <w:tcPr>
            <w:tcW w:w="707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Disclosure Regarding Foreign Jurisdictions that Prevent Inspections. </w:t>
            </w:r>
          </w:p>
        </w:tc>
      </w:tr>
    </w:tbl>
    <w:p>
      <w:pPr>
        <w:pStyle w:val="TextBody"/>
        <w:spacing w:before="120" w:after="0"/>
        <w:jc w:val="left"/>
        <w:rPr>
          <w:rFonts w:ascii="Times New Roman" w:hAnsi="Times New Roman"/>
          <w:sz w:val="24"/>
        </w:rPr>
      </w:pPr>
      <w:r>
        <w:rPr>
          <w:rFonts w:ascii="Times New Roman" w:hAnsi="Times New Roman"/>
          <w:sz w:val="24"/>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4"/>
        </w:rPr>
      </w:pPr>
      <w:bookmarkStart w:id="31" w:name="tx430075_29"/>
      <w:bookmarkEnd w:id="31"/>
      <w:r>
        <w:rPr>
          <w:rFonts w:ascii="Times New Roman" w:hAnsi="Times New Roman"/>
          <w:b/>
          <w:sz w:val="24"/>
        </w:rPr>
        <w:t xml:space="preserve">PART THREE </w:t>
      </w:r>
    </w:p>
    <w:p>
      <w:pPr>
        <w:pStyle w:val="TextBody"/>
        <w:spacing w:before="0" w:after="0"/>
        <w:jc w:val="left"/>
        <w:rPr/>
      </w:pPr>
      <w:r>
        <w:rPr/>
        <w:t> </w:t>
      </w:r>
    </w:p>
    <w:tbl>
      <w:tblPr>
        <w:tblW w:w="3070" w:type="dxa"/>
        <w:jc w:val="left"/>
        <w:tblInd w:w="0" w:type="dxa"/>
        <w:tblCellMar>
          <w:top w:w="0" w:type="dxa"/>
          <w:left w:w="0" w:type="dxa"/>
          <w:bottom w:w="0" w:type="dxa"/>
          <w:right w:w="0" w:type="dxa"/>
        </w:tblCellMar>
      </w:tblPr>
      <w:tblGrid>
        <w:gridCol w:w="860"/>
        <w:gridCol w:w="2210"/>
      </w:tblGrid>
      <w:tr>
        <w:trPr/>
        <w:tc>
          <w:tcPr>
            <w:tcW w:w="860" w:type="dxa"/>
            <w:tcBorders/>
            <w:shd w:fill="auto" w:val="clear"/>
            <w:vAlign w:val="center"/>
          </w:tcPr>
          <w:p>
            <w:pPr>
              <w:pStyle w:val="TableContents"/>
              <w:spacing w:before="0" w:after="283"/>
              <w:jc w:val="left"/>
              <w:rPr>
                <w:b/>
              </w:rPr>
            </w:pPr>
            <w:bookmarkStart w:id="32" w:name="tx430075_30"/>
            <w:bookmarkEnd w:id="32"/>
            <w:r>
              <w:rPr>
                <w:b/>
              </w:rPr>
              <w:t>Item 17.</w:t>
            </w:r>
          </w:p>
        </w:tc>
        <w:tc>
          <w:tcPr>
            <w:tcW w:w="221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Financial Statements </w:t>
            </w:r>
          </w:p>
        </w:tc>
      </w:tr>
    </w:tbl>
    <w:p>
      <w:pPr>
        <w:pStyle w:val="TextBody"/>
        <w:spacing w:before="120" w:after="0"/>
        <w:jc w:val="left"/>
        <w:rPr>
          <w:rFonts w:ascii="Times New Roman" w:hAnsi="Times New Roman"/>
          <w:sz w:val="24"/>
        </w:rPr>
      </w:pPr>
      <w:r>
        <w:rPr>
          <w:rFonts w:ascii="Times New Roman" w:hAnsi="Times New Roman"/>
          <w:sz w:val="24"/>
        </w:rPr>
        <w:t xml:space="preserve">We have elected to provide financial statements pursuant to Item 18. </w:t>
      </w:r>
    </w:p>
    <w:p>
      <w:pPr>
        <w:pStyle w:val="TextBody"/>
        <w:spacing w:before="0" w:after="0"/>
        <w:jc w:val="left"/>
        <w:rPr/>
      </w:pPr>
      <w:r>
        <w:rPr/>
        <w:t> </w:t>
      </w:r>
    </w:p>
    <w:tbl>
      <w:tblPr>
        <w:tblW w:w="3070" w:type="dxa"/>
        <w:jc w:val="left"/>
        <w:tblInd w:w="0" w:type="dxa"/>
        <w:tblCellMar>
          <w:top w:w="0" w:type="dxa"/>
          <w:left w:w="0" w:type="dxa"/>
          <w:bottom w:w="0" w:type="dxa"/>
          <w:right w:w="0" w:type="dxa"/>
        </w:tblCellMar>
      </w:tblPr>
      <w:tblGrid>
        <w:gridCol w:w="860"/>
        <w:gridCol w:w="2210"/>
      </w:tblGrid>
      <w:tr>
        <w:trPr/>
        <w:tc>
          <w:tcPr>
            <w:tcW w:w="860" w:type="dxa"/>
            <w:tcBorders/>
            <w:shd w:fill="auto" w:val="clear"/>
            <w:vAlign w:val="center"/>
          </w:tcPr>
          <w:p>
            <w:pPr>
              <w:pStyle w:val="TableContents"/>
              <w:spacing w:before="0" w:after="283"/>
              <w:jc w:val="left"/>
              <w:rPr>
                <w:b/>
              </w:rPr>
            </w:pPr>
            <w:bookmarkStart w:id="33" w:name="tx430075_31"/>
            <w:bookmarkEnd w:id="33"/>
            <w:r>
              <w:rPr>
                <w:b/>
              </w:rPr>
              <w:t>Item 18.</w:t>
            </w:r>
          </w:p>
        </w:tc>
        <w:tc>
          <w:tcPr>
            <w:tcW w:w="221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Financial Statements </w:t>
            </w:r>
          </w:p>
        </w:tc>
      </w:tr>
    </w:tbl>
    <w:p>
      <w:pPr>
        <w:pStyle w:val="TextBody"/>
        <w:spacing w:before="120" w:after="0"/>
        <w:jc w:val="left"/>
        <w:rPr>
          <w:rFonts w:ascii="Times New Roman" w:hAnsi="Times New Roman"/>
          <w:sz w:val="24"/>
        </w:rPr>
      </w:pPr>
      <w:r>
        <w:rPr>
          <w:rFonts w:ascii="Times New Roman" w:hAnsi="Times New Roman"/>
          <w:sz w:val="24"/>
        </w:rPr>
        <w:t xml:space="preserve">Our audited consolidated financial statements are included in this annual report beginning at page F-1. </w:t>
      </w:r>
    </w:p>
    <w:p>
      <w:pPr>
        <w:pStyle w:val="TextBody"/>
        <w:spacing w:before="0" w:after="0"/>
        <w:jc w:val="left"/>
        <w:rPr/>
      </w:pPr>
      <w:r>
        <w:rPr/>
        <w:t> </w:t>
      </w:r>
    </w:p>
    <w:tbl>
      <w:tblPr>
        <w:tblW w:w="1795" w:type="dxa"/>
        <w:jc w:val="left"/>
        <w:tblInd w:w="0" w:type="dxa"/>
        <w:tblCellMar>
          <w:top w:w="0" w:type="dxa"/>
          <w:left w:w="0" w:type="dxa"/>
          <w:bottom w:w="0" w:type="dxa"/>
          <w:right w:w="0" w:type="dxa"/>
        </w:tblCellMar>
      </w:tblPr>
      <w:tblGrid>
        <w:gridCol w:w="860"/>
        <w:gridCol w:w="935"/>
      </w:tblGrid>
      <w:tr>
        <w:trPr/>
        <w:tc>
          <w:tcPr>
            <w:tcW w:w="860" w:type="dxa"/>
            <w:tcBorders/>
            <w:shd w:fill="auto" w:val="clear"/>
            <w:vAlign w:val="center"/>
          </w:tcPr>
          <w:p>
            <w:pPr>
              <w:pStyle w:val="TableContents"/>
              <w:spacing w:before="0" w:after="283"/>
              <w:jc w:val="left"/>
              <w:rPr>
                <w:b/>
              </w:rPr>
            </w:pPr>
            <w:bookmarkStart w:id="34" w:name="tx430075_32"/>
            <w:bookmarkEnd w:id="34"/>
            <w:r>
              <w:rPr>
                <w:b/>
              </w:rPr>
              <w:t>Item 19.</w:t>
            </w:r>
          </w:p>
        </w:tc>
        <w:tc>
          <w:tcPr>
            <w:tcW w:w="935"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Exhibits </w:t>
            </w:r>
          </w:p>
        </w:tc>
      </w:tr>
    </w:tbl>
    <w:p>
      <w:pPr>
        <w:pStyle w:val="TextBody"/>
        <w:spacing w:before="240" w:after="0"/>
        <w:jc w:val="center"/>
        <w:rPr>
          <w:rFonts w:ascii="Times New Roman" w:hAnsi="Times New Roman"/>
          <w:b/>
          <w:sz w:val="24"/>
        </w:rPr>
      </w:pPr>
      <w:r>
        <w:rPr>
          <w:rFonts w:ascii="Times New Roman" w:hAnsi="Times New Roman"/>
          <w:b/>
          <w:sz w:val="24"/>
        </w:rPr>
        <w:t xml:space="preserve">EXHIBIT INDEX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60"/>
        <w:gridCol w:w="120"/>
        <w:gridCol w:w="9225"/>
      </w:tblGrid>
      <w:tr>
        <w:trPr/>
        <w:tc>
          <w:tcPr>
            <w:tcW w:w="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0"/>
              <w:jc w:val="center"/>
              <w:rPr>
                <w:rFonts w:ascii="Times New Roman" w:hAnsi="Times New Roman"/>
                <w:b/>
                <w:sz w:val="22"/>
              </w:rPr>
            </w:pPr>
            <w:r>
              <w:rPr>
                <w:rFonts w:ascii="Times New Roman" w:hAnsi="Times New Roman"/>
                <w:b/>
                <w:sz w:val="22"/>
              </w:rPr>
              <w:t>Exhibit</w:t>
            </w:r>
          </w:p>
          <w:p>
            <w:pPr>
              <w:pStyle w:val="TableContents"/>
              <w:pBdr>
                <w:bottom w:val="single" w:sz="8" w:space="1" w:color="000000"/>
              </w:pBdr>
              <w:spacing w:before="0" w:after="20"/>
              <w:jc w:val="center"/>
              <w:rPr/>
            </w:pPr>
            <w:r>
              <w:rPr/>
              <w:t>    </w:t>
            </w:r>
            <w:r>
              <w:rPr>
                <w:rFonts w:ascii="Times New Roman" w:hAnsi="Times New Roman"/>
                <w:b/>
                <w:sz w:val="22"/>
              </w:rPr>
              <w:t>No.    </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pBdr>
                <w:bottom w:val="single" w:sz="8" w:space="1" w:color="000000"/>
              </w:pBdr>
              <w:spacing w:before="0" w:after="0"/>
              <w:jc w:val="center"/>
              <w:rPr>
                <w:rFonts w:ascii="Times New Roman" w:hAnsi="Times New Roman"/>
                <w:b/>
                <w:sz w:val="22"/>
              </w:rPr>
            </w:pPr>
            <w:r>
              <w:rPr>
                <w:rFonts w:ascii="Times New Roman" w:hAnsi="Times New Roman"/>
                <w:b/>
                <w:sz w:val="22"/>
              </w:rPr>
              <w:t>Description</w:t>
            </w:r>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 xml:space="preserve">1.1 </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r:id="rId3">
              <w:r>
                <w:rPr>
                  <w:rStyle w:val="InternetLink"/>
                </w:rPr>
                <w:t xml:space="preserve">Articles of Association of the Company (incorporated herein by reference to Exhibit 3.1 to the Company’s Form 6-K, furnished to the SEC on May 17, 2022 (Film No. 22932321)).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r:id="rId4">
              <w:r>
                <w:rPr>
                  <w:rStyle w:val="InternetLink"/>
                </w:rPr>
                <w:t xml:space="preserve">Form of American Depositary Receipt of Mereo BioPharma Group plc (incorporated into this Form 20-F by reference to Exhibit 4.3 to Mereo’s Form F-4/A filed March 15, 2019 (File No. 333-229351)).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22.htm">
              <w:r>
                <w:rPr>
                  <w:rStyle w:val="InternetLink"/>
                </w:rPr>
                <w:t xml:space="preserve">Description of Securities Registered under Section 12 of the Exchange Act.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r>
              <w:fldChar w:fldCharType="begin"/>
            </w:r>
            <w:r>
              <w:rPr>
                <w:rStyle w:val="InternetLink"/>
              </w:rPr>
              <w:instrText> HYPERLINK "http://www.sec.gov/Archives/edgar/data/1719714/000119312519076867/d680874df4a.htm" \l "rom680874_1001"</w:instrText>
            </w:r>
            <w:r>
              <w:rPr>
                <w:rStyle w:val="InternetLink"/>
              </w:rPr>
              <w:fldChar w:fldCharType="separate"/>
            </w:r>
            <w:r>
              <w:rPr>
                <w:rStyle w:val="InternetLink"/>
              </w:rPr>
              <w:t xml:space="preserve">Agreement and Plan of Merger and Reorganization, dated December 5, 2018, by and among Mereo BioPharma Group plc, Mereo US Holdings Inc., Mereo MergerCo One Inc. and OncoMed Pharmaceuticals, Inc. (incorporated into this Form 20-F by reference to Exhibit 2.1 to Mereo’s Form F-4/A filed March 15, 2019 (File No. 333- 229351)). </w:t>
            </w:r>
            <w:r>
              <w:rPr>
                <w:rStyle w:val="InternetLink"/>
              </w:rPr>
              <w:fldChar w:fldCharType="end"/>
            </w:r>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4.9†</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r:id="rId5">
              <w:r>
                <w:rPr>
                  <w:rStyle w:val="InternetLink"/>
                </w:rPr>
                <w:t xml:space="preserve">BCT197 Asset Purchase Agreement, dated July 28, 2015, by and between Mereo BioPharma 1 Limited and Novartis Pharma AG (incorporated into this Form 20-F by reference to Exhibit 10.20 to Mereo’s Form F-4 filed January 25, 2019 (File No. 333-229351)). </w:t>
              </w:r>
            </w:hyperlink>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909"/>
        <w:gridCol w:w="120"/>
        <w:gridCol w:w="9176"/>
      </w:tblGrid>
      <w:tr>
        <w:trPr/>
        <w:tc>
          <w:tcPr>
            <w:tcW w:w="9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76" w:type="dxa"/>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0"/>
              <w:jc w:val="center"/>
              <w:rPr>
                <w:rFonts w:ascii="Times New Roman" w:hAnsi="Times New Roman"/>
                <w:b/>
                <w:sz w:val="22"/>
              </w:rPr>
            </w:pPr>
            <w:r>
              <w:rPr>
                <w:rFonts w:ascii="Times New Roman" w:hAnsi="Times New Roman"/>
                <w:b/>
                <w:sz w:val="22"/>
              </w:rPr>
              <w:t>Exhibit</w:t>
            </w:r>
          </w:p>
          <w:p>
            <w:pPr>
              <w:pStyle w:val="TableContents"/>
              <w:pBdr>
                <w:bottom w:val="single" w:sz="8" w:space="1" w:color="000000"/>
              </w:pBdr>
              <w:spacing w:before="0" w:after="20"/>
              <w:jc w:val="center"/>
              <w:rPr/>
            </w:pPr>
            <w:r>
              <w:rPr/>
              <w:t>    </w:t>
            </w:r>
            <w:r>
              <w:rPr>
                <w:rFonts w:ascii="Times New Roman" w:hAnsi="Times New Roman"/>
                <w:b/>
                <w:sz w:val="22"/>
              </w:rPr>
              <w:t>No.    </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pBdr>
                <w:bottom w:val="single" w:sz="8" w:space="1" w:color="000000"/>
              </w:pBdr>
              <w:spacing w:before="0" w:after="0"/>
              <w:jc w:val="center"/>
              <w:rPr>
                <w:rFonts w:ascii="Times New Roman" w:hAnsi="Times New Roman"/>
                <w:b/>
                <w:sz w:val="22"/>
              </w:rPr>
            </w:pPr>
            <w:r>
              <w:rPr>
                <w:rFonts w:ascii="Times New Roman" w:hAnsi="Times New Roman"/>
                <w:b/>
                <w:sz w:val="22"/>
              </w:rPr>
              <w:t>Description</w:t>
            </w:r>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4.9.1</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6">
              <w:r>
                <w:rPr>
                  <w:rStyle w:val="InternetLink"/>
                </w:rPr>
                <w:t xml:space="preserve">Amendment Agreement for BCT197, dated October 19, 2018, by and between Mereo BioPharma 1 Limited and Novartis Pharma AG (incorporated into this Form 20-F by reference to Exhibit 10.20.1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4.9.2</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7">
              <w:r>
                <w:rPr>
                  <w:rStyle w:val="InternetLink"/>
                </w:rPr>
                <w:t xml:space="preserve">Addendum to the Asset Purchase Agreement, dated October 4, 2017, by and between Mereo BioPharma 1 Limited and Novartis Pharma AG (incorporated into this Form 20-F by reference to Exhibit 10.20.2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4.9.3</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8">
              <w:r>
                <w:rPr>
                  <w:rStyle w:val="InternetLink"/>
                </w:rPr>
                <w:t xml:space="preserve">Addendum to the Asset Purchase Agreement, dated April 12, 2016, by and between Mereo BioPharma 1 Limited and Novartis Pharma AG (incorporated into this Form 20-F by reference to Exhibit 10.20.3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4.10†</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9">
              <w:r>
                <w:rPr>
                  <w:rStyle w:val="InternetLink"/>
                </w:rPr>
                <w:t xml:space="preserve">BGS649 Asset Purchase Agreement, dated July 28, 2015, by and between Mereo BioPharma 2 Limited and Novartis Pharma AG (incorporated into this Form 20-F by reference to Exhibit 10.21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4.10.1</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0">
              <w:r>
                <w:rPr>
                  <w:rStyle w:val="InternetLink"/>
                </w:rPr>
                <w:t xml:space="preserve">Amendment Agreement for BGS649, dated October 19, 2018, by and between Mereo BioPharma 2 Limited and Novartis Pharma AG (incorporated into this Form 20-F by reference to Exhibit 10.21.1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4.10.2</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1">
              <w:r>
                <w:rPr>
                  <w:rStyle w:val="InternetLink"/>
                </w:rPr>
                <w:t xml:space="preserve">Addendum to the Asset Purchase Agreement, dated August 17, 2017, by and between Mereo BioPharma 2 Limited and Novartis Pharma AG (incorporated into this Form 20-F by reference to Exhibit 10.21.2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4.11†</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2">
              <w:r>
                <w:rPr>
                  <w:rStyle w:val="InternetLink"/>
                </w:rPr>
                <w:t xml:space="preserve">BPS804 Asset Purchase Agreement, dated July 28, 2015, by and between Mereo BioPharma 3 Limited and Novartis Pharma AG (incorporated into this Form 20-F by reference to Exhibit 10.22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4.11.1†</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3">
              <w:r>
                <w:rPr>
                  <w:rStyle w:val="InternetLink"/>
                </w:rPr>
                <w:t xml:space="preserve">Amendment Agreement, dated August 10, 2018, by and between Mereo BioPharma 3 Limited and Novartis Pharma AG (incorporated into this Form 20-F by reference to Exhibit 10.22.1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4.11.2</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4">
              <w:r>
                <w:rPr>
                  <w:rStyle w:val="InternetLink"/>
                </w:rPr>
                <w:t xml:space="preserve">Addendum to the Asset Purchase Agreement, dated December 21, 2016, by and between Mereo BioPharma 3 Limited and Novartis Pharma AG (incorporated into this Form 20-F by reference to Exhibit 10.22.2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4.12†</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5">
              <w:r>
                <w:rPr>
                  <w:rStyle w:val="InternetLink"/>
                </w:rPr>
                <w:t xml:space="preserve">Sublicense Agreement, dated July 29, 2015, by and between Mereo BioPharma 3 Limited and Novartis Pharma AG (incorporated into this Form 20-F by reference to Exhibit 10.23 to Mereo’s Form F-4 filed January 25, 2019 (File No. 333- 229351)).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4.13†</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6">
              <w:r>
                <w:rPr>
                  <w:rStyle w:val="InternetLink"/>
                </w:rPr>
                <w:t xml:space="preserve">Exclusive License and Option Agreement, dated October 28, 2017, by and between Mereo BioPharma 4 Limited and AstraZeneca AB (incorporated into this Form 20-F by reference to Exhibit 10.24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4.14</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7">
              <w:r>
                <w:rPr>
                  <w:rStyle w:val="InternetLink"/>
                </w:rPr>
                <w:t xml:space="preserve">Form of Deed of Indemnity for members of the board of directors of Mereo BioPharma Group plc (incorporated into this Form 20-F by reference to Exhibit 10.26 to Mereo’s Form F-4 filed January 25, 2019 (File No. 333-229351)).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4.15</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r>
              <w:fldChar w:fldCharType="begin"/>
            </w:r>
            <w:r>
              <w:rPr>
                <w:rStyle w:val="InternetLink"/>
              </w:rPr>
              <w:instrText> HYPERLINK "http://www.sec.gov/Archives/edgar/data/1719714/000119312519076867/d680874df4a.htm" \l "rom680874_1002"</w:instrText>
            </w:r>
            <w:r>
              <w:rPr>
                <w:rStyle w:val="InternetLink"/>
              </w:rPr>
              <w:fldChar w:fldCharType="separate"/>
            </w:r>
            <w:r>
              <w:rPr>
                <w:rStyle w:val="InternetLink"/>
              </w:rPr>
              <w:t xml:space="preserve">Form of Contingent Value Rights Agreement by and between Computershare, Inc., as rights agent, and Mereo BioPharma Group plc (incorporated into this Form 20-F by reference to Annex B to Mereo’s Form F-4/A filed March 15, 2019 (File No. 333-229351)). </w:t>
            </w:r>
            <w:r>
              <w:rPr>
                <w:rStyle w:val="InternetLink"/>
              </w:rPr>
              <w:fldChar w:fldCharType="end"/>
            </w:r>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4.17*</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w:anchor="d430075dex417.htm">
              <w:r>
                <w:rPr>
                  <w:rStyle w:val="InternetLink"/>
                </w:rPr>
                <w:t xml:space="preserve">Form of Letter of Appointment for members of the board of directors of Mereo BioPharma Group plc.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4.19</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8">
              <w:r>
                <w:rPr>
                  <w:rStyle w:val="InternetLink"/>
                </w:rPr>
                <w:t xml:space="preserve">Form of Convertible Loan Note Instrument, dated June 3, 2020, relating to Mereo BioPharma Group plc and amended March 29, 2021 (incorporated by reference to Exhibit 10.3 to the registrant’s report on Form 6-K filed with the SEC on June 5, 2020 (File No. 001-38452)).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4.20</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19">
              <w:r>
                <w:rPr>
                  <w:rStyle w:val="InternetLink"/>
                </w:rPr>
                <w:t xml:space="preserve">Form of Warrant Instrument, dated June 3, 2020, relating to Mereo BioPharma Group plc and amended March 29, 2021 (incorporated by reference to Exhibit 10.4 to the registrant’s report on Form 6-K filed with the SEC on June 5, 2020 (File No. 001-384520). </w:t>
              </w:r>
            </w:hyperlink>
          </w:p>
        </w:tc>
      </w:tr>
      <w:tr>
        <w:trPr/>
        <w:tc>
          <w:tcPr>
            <w:tcW w:w="909" w:type="dxa"/>
            <w:tcBorders/>
            <w:shd w:fill="auto" w:val="clear"/>
            <w:vAlign w:val="center"/>
          </w:tcPr>
          <w:p>
            <w:pPr>
              <w:pStyle w:val="TableContents"/>
              <w:spacing w:before="0" w:after="283"/>
              <w:rPr>
                <w:sz w:val="4"/>
                <w:szCs w:val="4"/>
              </w:rPr>
            </w:pPr>
            <w:r>
              <w:rPr>
                <w:sz w:val="4"/>
                <w:szCs w:val="4"/>
              </w:rPr>
            </w:r>
          </w:p>
        </w:tc>
        <w:tc>
          <w:tcPr>
            <w:tcW w:w="9296" w:type="dxa"/>
            <w:gridSpan w:val="2"/>
            <w:tcBorders/>
            <w:shd w:fill="auto" w:val="clear"/>
            <w:vAlign w:val="center"/>
          </w:tcPr>
          <w:p>
            <w:pPr>
              <w:pStyle w:val="TableContents"/>
              <w:spacing w:before="0" w:after="283"/>
              <w:rPr>
                <w:sz w:val="4"/>
                <w:szCs w:val="4"/>
              </w:rPr>
            </w:pPr>
            <w:r>
              <w:rPr>
                <w:sz w:val="4"/>
                <w:szCs w:val="4"/>
              </w:rPr>
            </w:r>
          </w:p>
        </w:tc>
      </w:tr>
      <w:tr>
        <w:trPr/>
        <w:tc>
          <w:tcPr>
            <w:tcW w:w="909" w:type="dxa"/>
            <w:tcBorders/>
            <w:shd w:fill="auto" w:val="clear"/>
            <w:vAlign w:val="center"/>
          </w:tcPr>
          <w:p>
            <w:pPr>
              <w:pStyle w:val="TableContents"/>
              <w:spacing w:before="0" w:after="283"/>
              <w:rPr/>
            </w:pPr>
            <w:r>
              <w:rPr/>
              <w:t>    </w:t>
            </w:r>
            <w:r>
              <w:rPr/>
              <w:t>4.21</w:t>
            </w:r>
          </w:p>
        </w:tc>
        <w:tc>
          <w:tcPr>
            <w:tcW w:w="120" w:type="dxa"/>
            <w:tcBorders/>
            <w:shd w:fill="auto" w:val="clear"/>
            <w:vAlign w:val="center"/>
          </w:tcPr>
          <w:p>
            <w:pPr>
              <w:pStyle w:val="TableContents"/>
              <w:spacing w:before="0" w:after="283"/>
              <w:rPr/>
            </w:pPr>
            <w:r>
              <w:rPr/>
              <w:t>  </w:t>
            </w:r>
          </w:p>
        </w:tc>
        <w:tc>
          <w:tcPr>
            <w:tcW w:w="9176" w:type="dxa"/>
            <w:tcBorders/>
            <w:shd w:fill="auto" w:val="clear"/>
            <w:vAlign w:val="center"/>
          </w:tcPr>
          <w:p>
            <w:pPr>
              <w:pStyle w:val="TableContents"/>
              <w:spacing w:before="0" w:after="283"/>
              <w:rPr/>
            </w:pPr>
            <w:hyperlink r:id="rId20">
              <w:r>
                <w:rPr>
                  <w:rStyle w:val="InternetLink"/>
                </w:rPr>
                <w:t xml:space="preserve">Deed of Consent and Amendment to Convertible Loan Note Instrument, dated December 17, 2020 between Mereo BioPharma Group plc. and the Noteholders named therein (incorporated into this Form 20-F by reference to Exhibit 4.21 to Mereo’s 20-F filed March 31, 2021 (File No. 001-38452). </w:t>
              </w:r>
            </w:hyperlink>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919"/>
        <w:gridCol w:w="120"/>
        <w:gridCol w:w="9166"/>
      </w:tblGrid>
      <w:tr>
        <w:trPr/>
        <w:tc>
          <w:tcPr>
            <w:tcW w:w="9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66" w:type="dxa"/>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0"/>
              <w:jc w:val="center"/>
              <w:rPr>
                <w:rFonts w:ascii="Times New Roman" w:hAnsi="Times New Roman"/>
                <w:b/>
                <w:sz w:val="22"/>
              </w:rPr>
            </w:pPr>
            <w:r>
              <w:rPr>
                <w:rFonts w:ascii="Times New Roman" w:hAnsi="Times New Roman"/>
                <w:b/>
                <w:sz w:val="22"/>
              </w:rPr>
              <w:t>Exhibit</w:t>
            </w:r>
          </w:p>
          <w:p>
            <w:pPr>
              <w:pStyle w:val="TableContents"/>
              <w:pBdr>
                <w:bottom w:val="single" w:sz="8" w:space="1" w:color="000000"/>
              </w:pBdr>
              <w:spacing w:before="0" w:after="20"/>
              <w:jc w:val="center"/>
              <w:rPr/>
            </w:pPr>
            <w:r>
              <w:rPr/>
              <w:t>    </w:t>
            </w:r>
            <w:r>
              <w:rPr>
                <w:rFonts w:ascii="Times New Roman" w:hAnsi="Times New Roman"/>
                <w:b/>
                <w:sz w:val="22"/>
              </w:rPr>
              <w:t>No.    </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pBdr>
                <w:bottom w:val="single" w:sz="8" w:space="1" w:color="000000"/>
              </w:pBdr>
              <w:spacing w:before="0" w:after="0"/>
              <w:jc w:val="center"/>
              <w:rPr>
                <w:rFonts w:ascii="Times New Roman" w:hAnsi="Times New Roman"/>
                <w:b/>
                <w:sz w:val="22"/>
              </w:rPr>
            </w:pPr>
            <w:r>
              <w:rPr>
                <w:rFonts w:ascii="Times New Roman" w:hAnsi="Times New Roman"/>
                <w:b/>
                <w:sz w:val="22"/>
              </w:rPr>
              <w:t>Description</w:t>
            </w:r>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4.22</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1">
              <w:r>
                <w:rPr>
                  <w:rStyle w:val="InternetLink"/>
                </w:rPr>
                <w:t xml:space="preserve">Form of Amended Convertible Loan Note Instrument, dated December 18, 2020 relating to Mereo BioPharma Group plc. (incorporated into this Form 20-F by reference to Exhibit 4.22 to Mereo’s 20-F filed March 31, 2021 (File No. 001-38452)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4.23</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2">
              <w:r>
                <w:rPr>
                  <w:rStyle w:val="InternetLink"/>
                </w:rPr>
                <w:t>Form of Amended Convertible Loan Note Instrument, dated February 5, 2021 relating to Mereo BioPharma Group plc. (incorporated into this Form 20-F by reference to Exhibit 4.23 to Mereo’s 20-F filed March 31, 2021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4.24</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3">
              <w:r>
                <w:rPr>
                  <w:rStyle w:val="InternetLink"/>
                </w:rPr>
                <w:t>Form of Amended Convertible Loan Note Instrument, dated March 29, 2021 relating to Mereo BioPharma Group plc. (incorporated into this Form 20-F by reference to Exhibit 4.24 to Mereo’s 20-F filed March 31, 2021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4.25</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4">
              <w:r>
                <w:rPr>
                  <w:rStyle w:val="InternetLink"/>
                </w:rPr>
                <w:t>Deed of Consent and Amendment to Warrant Instrument, dated March 29, 2021 between Mereo BioPharma Group plc. and the Alpha-1 Project, Inc. (incorporated into this Form 20-F by reference to Exhibit 4.25 to Mereo’s 20-F filed March 31, 2021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4.26</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5">
              <w:r>
                <w:rPr>
                  <w:rStyle w:val="InternetLink"/>
                </w:rPr>
                <w:t>Employment Agreement, dated September 1, 2019 between Mereo Biopharma Group plc and John Richard (incorporated by reference to Exhibit 10.1 to the registrant’s report on Form 6-K filed with the SEC on September 3, 2019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4.27</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6">
              <w:r>
                <w:rPr>
                  <w:rStyle w:val="InternetLink"/>
                </w:rPr>
                <w:t>Employment Agreement, dated July 1, 2020 between Mereo BioPharma Group plc and John Lewicki.(incorporated into this Form 20-F by reference to Exhibit 4.27 to Mereo’s 20-F filed March 31, 2021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4.28</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7">
              <w:r>
                <w:rPr>
                  <w:rStyle w:val="InternetLink"/>
                </w:rPr>
                <w:t>Form of Convertible Loan Instrument, dated February 10, 2020 relating to Mereo BioPharma Group plc (incorporated into this Form 20-F by reference to Exhibit 4.28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4.29</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8">
              <w:r>
                <w:rPr>
                  <w:rStyle w:val="InternetLink"/>
                </w:rPr>
                <w:t>Form of Warrant Instrument, dated February 10, 2020 relating to Mereo BioPharma Group plc (incorporated into this Form 20-F by reference to Exhibit 4.29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4.30</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29">
              <w:r>
                <w:rPr>
                  <w:rStyle w:val="InternetLink"/>
                </w:rPr>
                <w:t>Deed of Consent and Amendment to Note Instrument, dated November 24, 2020 between Mereo BioPharma Group plc. and Novartis Pharma AG (incorporated into this Form 20-F by reference to Exhibit 4.30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4.31</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0">
              <w:r>
                <w:rPr>
                  <w:rStyle w:val="InternetLink"/>
                </w:rPr>
                <w:t>Deed of Consent and Amendment to Warrant Instrument, dated November 24, 2020 between Mereo BioPharma Group plc. and Novartis Pharma AG (incorporated into this Form 20-F by reference to Exhibit 4.31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4.32††</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1">
              <w:r>
                <w:rPr>
                  <w:rStyle w:val="InternetLink"/>
                </w:rPr>
                <w:t>Collaboration and License Agreement, dated December 17, 2020, between Mereo BioPharma 3 Limited and Ultragenyx Pharmaceutical Inc. (incorporated into this Form 20-F by reference to Exhibit 4.32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4.33</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2">
              <w:r>
                <w:rPr>
                  <w:rStyle w:val="InternetLink"/>
                </w:rPr>
                <w:t>Amended and restated Contract of Employment, dated September 3, 2021, between Mereo BioPharma Group plc and Denise Scots-Knight (incorporated into this Form 20-F by reference to Exhibit 4.33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4.34</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3">
              <w:r>
                <w:rPr>
                  <w:rStyle w:val="InternetLink"/>
                </w:rPr>
                <w:t>Amended and restated Contract of Employment, dated September 3, 2021, between Mereo BioPharma Group plc and Christine Fox (incorporated into this Form 20-F by reference to Exhibit 4.34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4.36</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4">
              <w:r>
                <w:rPr>
                  <w:rStyle w:val="InternetLink"/>
                </w:rPr>
                <w:t>Amended and restated Contract of Employment, dated September 3, 2021, between Mereo BioPharma Group plc and Charles Sermon (incorporated into this Form 20-F by reference to Exhibit 4.36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4.37</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5">
              <w:r>
                <w:rPr>
                  <w:rStyle w:val="InternetLink"/>
                </w:rPr>
                <w:t>Amended and restated Contract of Employment, dated September 16, 2021, between Mereo BioPharma Group plc and Alexandra (Wills) Hughes-Wilson (incorporated into this Form 20-F by reference to Exhibit 4.37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4.38</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6">
              <w:r>
                <w:rPr>
                  <w:rStyle w:val="InternetLink"/>
                </w:rPr>
                <w:t>Employment Agreement, dated December 7, 2020, between Mereo BioPharma Group plc and Suba Krishnan (incorporated into this Form 20-F by reference to Exhibit 4.38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4.39</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7">
              <w:r>
                <w:rPr>
                  <w:rStyle w:val="InternetLink"/>
                </w:rPr>
                <w:t>Amended and restated Contract of Employment, dated October 12, 2021], between Mereo BioPharma Group plc and Jackie Parkin (incorporated into this Form 20-F by reference to Exhibit 4.39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4.40</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8">
              <w:r>
                <w:rPr>
                  <w:rStyle w:val="InternetLink"/>
                </w:rPr>
                <w:t xml:space="preserve">Form of Change in Control and Severance Agreement for Executives employed by Mereo Biopharma 5, Inc. (incorporated into this Form 20-F by reference to Exhibit 4.40 to Mereo’s 20-F filed March 31, 2022 (File No. 001-38452)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4.44</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39">
              <w:r>
                <w:rPr>
                  <w:rStyle w:val="InternetLink"/>
                </w:rPr>
                <w:t>Deferred Compensation Plan for Non-Employee Directors, dated January 31, 2022 (incorporated into this Form 20-F by reference to Exhibit 4.44 to Mereo’s 20-F filed March 31, 2022 (File No. 001-38452)</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4.45†††</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40">
              <w:r>
                <w:rPr>
                  <w:rStyle w:val="InternetLink"/>
                </w:rPr>
                <w:t xml:space="preserve">License Agreement, dated January 13, 2020, between OncoMed Pharmaceuticals, Inc., Mereo BioPharma Group plc and Oncologie, Inc. (incorporated into this Form 20-F by reference to Exhibit 4.45 to Mereo’s Form 20-F filed March 31, 2021 (File No. 001-38452).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4.46*</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w:anchor="d430075dex446.htm">
              <w:r>
                <w:rPr>
                  <w:rStyle w:val="InternetLink"/>
                </w:rPr>
                <w:t xml:space="preserve">Deed of Consent and Amendment to Note Instrument, dated February 9, 2023 between Mereo BioPharma Group plc and Novartis Pharma AG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4.47*</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w:anchor="d430075dex447.htm">
              <w:r>
                <w:rPr>
                  <w:rStyle w:val="InternetLink"/>
                </w:rPr>
                <w:t xml:space="preserve">Form of Warrant Instrument, dated February 10, 2023, relating to Mereo BioPharma Group plc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4.48</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41">
              <w:r>
                <w:rPr>
                  <w:rStyle w:val="InternetLink"/>
                </w:rPr>
                <w:t xml:space="preserve">Form of Performance Based Restricted Stock Unit Award Agreement under the Plans (incorporated into this Form 20-F by reference to Exhibit 4.4 to Mereo’s Form S-8 filed January 24, 2023 (File No. 333-269388))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4.49</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r:id="rId42">
              <w:r>
                <w:rPr>
                  <w:rStyle w:val="InternetLink"/>
                </w:rPr>
                <w:t xml:space="preserve">Form of Restricted Stock Unit Award Agreement under the Plans (incorporated into this Form 20-F by reference to Exhibit 4.5 to Mereo’s Form S-8 filed January 24, 2023 (File No. 333-269388)) </w:t>
              </w:r>
            </w:hyperlink>
          </w:p>
        </w:tc>
      </w:tr>
      <w:tr>
        <w:trPr/>
        <w:tc>
          <w:tcPr>
            <w:tcW w:w="919" w:type="dxa"/>
            <w:tcBorders/>
            <w:shd w:fill="auto" w:val="clear"/>
            <w:vAlign w:val="center"/>
          </w:tcPr>
          <w:p>
            <w:pPr>
              <w:pStyle w:val="TableContents"/>
              <w:spacing w:before="0" w:after="283"/>
              <w:rPr>
                <w:sz w:val="4"/>
                <w:szCs w:val="4"/>
              </w:rPr>
            </w:pPr>
            <w:r>
              <w:rPr>
                <w:sz w:val="4"/>
                <w:szCs w:val="4"/>
              </w:rPr>
            </w:r>
          </w:p>
        </w:tc>
        <w:tc>
          <w:tcPr>
            <w:tcW w:w="9286" w:type="dxa"/>
            <w:gridSpan w:val="2"/>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vAlign w:val="center"/>
          </w:tcPr>
          <w:p>
            <w:pPr>
              <w:pStyle w:val="TableContents"/>
              <w:spacing w:before="0" w:after="283"/>
              <w:rPr/>
            </w:pPr>
            <w:r>
              <w:rPr/>
              <w:t>    </w:t>
            </w:r>
            <w:r>
              <w:rPr/>
              <w:t>8.1*</w:t>
            </w:r>
          </w:p>
        </w:tc>
        <w:tc>
          <w:tcPr>
            <w:tcW w:w="120" w:type="dxa"/>
            <w:tcBorders/>
            <w:shd w:fill="auto" w:val="clear"/>
            <w:vAlign w:val="center"/>
          </w:tcPr>
          <w:p>
            <w:pPr>
              <w:pStyle w:val="TableContents"/>
              <w:spacing w:before="0" w:after="283"/>
              <w:rPr/>
            </w:pPr>
            <w:r>
              <w:rPr/>
              <w:t>  </w:t>
            </w:r>
          </w:p>
        </w:tc>
        <w:tc>
          <w:tcPr>
            <w:tcW w:w="9166" w:type="dxa"/>
            <w:tcBorders/>
            <w:shd w:fill="auto" w:val="clear"/>
            <w:vAlign w:val="center"/>
          </w:tcPr>
          <w:p>
            <w:pPr>
              <w:pStyle w:val="TableContents"/>
              <w:spacing w:before="0" w:after="283"/>
              <w:rPr/>
            </w:pPr>
            <w:hyperlink w:anchor="d430075dex81.htm">
              <w:r>
                <w:rPr>
                  <w:rStyle w:val="InternetLink"/>
                </w:rPr>
                <w:t>List of Subsidiaries of Mereo BioPharma Group plc</w:t>
              </w:r>
            </w:hyperlink>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60"/>
        <w:gridCol w:w="120"/>
        <w:gridCol w:w="9225"/>
      </w:tblGrid>
      <w:tr>
        <w:trPr/>
        <w:tc>
          <w:tcPr>
            <w:tcW w:w="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0"/>
              <w:jc w:val="center"/>
              <w:rPr>
                <w:rFonts w:ascii="Times New Roman" w:hAnsi="Times New Roman"/>
                <w:b/>
                <w:sz w:val="22"/>
              </w:rPr>
            </w:pPr>
            <w:r>
              <w:rPr>
                <w:rFonts w:ascii="Times New Roman" w:hAnsi="Times New Roman"/>
                <w:b/>
                <w:sz w:val="22"/>
              </w:rPr>
              <w:t>Exhibit</w:t>
            </w:r>
          </w:p>
          <w:p>
            <w:pPr>
              <w:pStyle w:val="TableContents"/>
              <w:pBdr>
                <w:bottom w:val="single" w:sz="8" w:space="1" w:color="000000"/>
              </w:pBdr>
              <w:spacing w:before="0" w:after="20"/>
              <w:jc w:val="center"/>
              <w:rPr/>
            </w:pPr>
            <w:r>
              <w:rPr/>
              <w:t>    </w:t>
            </w:r>
            <w:r>
              <w:rPr>
                <w:rFonts w:ascii="Times New Roman" w:hAnsi="Times New Roman"/>
                <w:b/>
                <w:sz w:val="22"/>
              </w:rPr>
              <w:t>No.    </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pBdr>
                <w:bottom w:val="single" w:sz="8" w:space="1" w:color="000000"/>
              </w:pBdr>
              <w:spacing w:before="0" w:after="0"/>
              <w:jc w:val="center"/>
              <w:rPr>
                <w:rFonts w:ascii="Times New Roman" w:hAnsi="Times New Roman"/>
                <w:b/>
                <w:sz w:val="22"/>
              </w:rPr>
            </w:pPr>
            <w:r>
              <w:rPr>
                <w:rFonts w:ascii="Times New Roman" w:hAnsi="Times New Roman"/>
                <w:b/>
                <w:sz w:val="22"/>
              </w:rPr>
              <w:t>Description</w:t>
            </w:r>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r:id="rId43">
              <w:r>
                <w:rPr>
                  <w:rStyle w:val="InternetLink"/>
                </w:rPr>
                <w:t xml:space="preserve">Form of Securities Purchase Agreement, dated June 3, 2020, by and among Mereo BioPharma Group PLC and the several purchasers named therein (incorporated by reference to Exhibit 10.1 to the registrant’s report on Form 6-K filed with the SEC on June 5, 2020 (File No. 001-38452)).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10.2</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r:id="rId44">
              <w:r>
                <w:rPr>
                  <w:rStyle w:val="InternetLink"/>
                </w:rPr>
                <w:t xml:space="preserve">Form of Registration Rights Agreement, dated June 3, 2020, by and between Mereo BioPharma Group PLC and the several purchasers named therein (incorporated by reference to Exhibit 10.2 to the registrant’s report on Form 6-K filed with the SEC on June 5, 2020 (File No. 001-38452)).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12.1*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21.htm">
              <w:r>
                <w:rPr>
                  <w:rStyle w:val="InternetLink"/>
                </w:rPr>
                <w:t xml:space="preserve">Certification Pursuant to Section 302 of the Sarbanes-Oxley Act of 2002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12.2*</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22.htm">
              <w:r>
                <w:rPr>
                  <w:rStyle w:val="InternetLink"/>
                </w:rPr>
                <w:t xml:space="preserve">Certification Pursuant to Section 302 of the Sarbanes-Oxley Act of 2002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13.1*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31.htm">
              <w:r>
                <w:rPr>
                  <w:rStyle w:val="InternetLink"/>
                </w:rPr>
                <w:t xml:space="preserve">Certification Pursuant to 18 U.S.C. Section 1350, as adopted pursuant to Section 906 of the Sarbanes-Oxley Act of 2002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13.2*</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32.htm">
              <w:r>
                <w:rPr>
                  <w:rStyle w:val="InternetLink"/>
                </w:rPr>
                <w:t xml:space="preserve">Certification Pursuant to 18 U.S.C. Section 1350, as adopted pursuant to Section 906 of the Sarbanes-Oxley Act of 2002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15.1*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51.htm">
              <w:r>
                <w:rPr>
                  <w:rStyle w:val="InternetLink"/>
                </w:rPr>
                <w:t xml:space="preserve">Consent of BDO LLP, Independent Registered Public Accounting Firm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r>
              <w:rPr/>
              <w:t>15.2*</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hyperlink w:anchor="d430075dex152.htm">
              <w:r>
                <w:rPr>
                  <w:rStyle w:val="InternetLink"/>
                </w:rPr>
                <w:t xml:space="preserve">Consent of Ernst &amp; Young LLP, Independent Registered Public Accounting Firm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r>
              <w:rPr/>
              <w:t>The following materials from this annual report on Form 20-F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tc>
      </w:tr>
      <w:tr>
        <w:trPr/>
        <w:tc>
          <w:tcPr>
            <w:tcW w:w="860" w:type="dxa"/>
            <w:tcBorders/>
            <w:shd w:fill="auto" w:val="clear"/>
            <w:vAlign w:val="center"/>
          </w:tcPr>
          <w:p>
            <w:pPr>
              <w:pStyle w:val="TableContents"/>
              <w:spacing w:before="0" w:after="283"/>
              <w:rPr>
                <w:sz w:val="4"/>
                <w:szCs w:val="4"/>
              </w:rPr>
            </w:pPr>
            <w:r>
              <w:rPr>
                <w:sz w:val="4"/>
                <w:szCs w:val="4"/>
              </w:rPr>
            </w:r>
          </w:p>
        </w:tc>
        <w:tc>
          <w:tcPr>
            <w:tcW w:w="93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283"/>
              <w:rPr/>
            </w:pPr>
            <w:r>
              <w:rPr/>
              <w:t>Cover Page Interactive Data File</w:t>
            </w:r>
          </w:p>
        </w:tc>
      </w:tr>
    </w:tbl>
    <w:p>
      <w:pPr>
        <w:pStyle w:val="TextBody"/>
        <w:pBdr>
          <w:bottom w:val="single" w:sz="2" w:space="1" w:color="000000"/>
        </w:pBdr>
        <w:spacing w:lineRule="atLeast" w:line="160" w:before="0" w:after="40"/>
        <w:jc w:val="left"/>
        <w:rPr/>
      </w:pPr>
      <w:r>
        <w:rPr/>
        <w:t> </w:t>
      </w:r>
    </w:p>
    <w:tbl>
      <w:tblPr>
        <w:tblW w:w="1675" w:type="dxa"/>
        <w:jc w:val="left"/>
        <w:tblInd w:w="0" w:type="dxa"/>
        <w:tblCellMar>
          <w:top w:w="0" w:type="dxa"/>
          <w:left w:w="0" w:type="dxa"/>
          <w:bottom w:w="0" w:type="dxa"/>
          <w:right w:w="0" w:type="dxa"/>
        </w:tblCellMar>
      </w:tblPr>
      <w:tblGrid>
        <w:gridCol w:w="155"/>
        <w:gridCol w:w="1520"/>
      </w:tblGrid>
      <w:tr>
        <w:trPr/>
        <w:tc>
          <w:tcPr>
            <w:tcW w:w="155" w:type="dxa"/>
            <w:tcBorders/>
            <w:shd w:fill="auto" w:val="clear"/>
            <w:vAlign w:val="center"/>
          </w:tcPr>
          <w:p>
            <w:pPr>
              <w:pStyle w:val="TableContents"/>
              <w:spacing w:before="0" w:after="283"/>
              <w:jc w:val="left"/>
              <w:rPr/>
            </w:pPr>
            <w:r>
              <w:rPr/>
              <w:t>*</w:t>
            </w:r>
          </w:p>
        </w:tc>
        <w:tc>
          <w:tcPr>
            <w:tcW w:w="152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Filed herewith.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Portions of this exhibit are subject to a previously filed confidential treatment order pursuant to Rule 406 under the Securities Act. </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jc w:val="left"/>
              <w:rPr/>
            </w:pPr>
            <w:r>
              <w:rPr/>
              <w:t>††</w:t>
            </w:r>
          </w:p>
        </w:tc>
        <w:tc>
          <w:tcPr>
            <w:tcW w:w="9994"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Confidential portions of this exhibit were redacted pursuant to Item 601(b)(10) of Regulation S-K and the Company agrees to furnish supplementally to the Commission a copy of any omissions upon request.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pPr>
            <w:r>
              <w:rPr/>
              <w:t>†††</w:t>
            </w:r>
          </w:p>
        </w:tc>
        <w:tc>
          <w:tcPr>
            <w:tcW w:w="9907"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Certain portions of this exhibit have been omitted because they are not material and they are the type of information that the Registrant treats as private or confidential. </w:t>
            </w:r>
          </w:p>
        </w:tc>
      </w:tr>
    </w:tbl>
    <w:p>
      <w:pPr>
        <w:pStyle w:val="TextBody"/>
        <w:spacing w:before="0" w:after="0"/>
        <w:jc w:val="left"/>
        <w:rPr/>
      </w:pPr>
      <w:r>
        <w:rPr/>
        <w:t> </w:t>
      </w:r>
    </w:p>
    <w:p>
      <w:pPr>
        <w:pStyle w:val="TextBody"/>
        <w:spacing w:before="0" w:after="0"/>
        <w:jc w:val="center"/>
        <w:rPr>
          <w:rFonts w:ascii="Times New Roman" w:hAnsi="Times New Roman"/>
          <w:sz w:val="24"/>
        </w:rPr>
      </w:pPr>
      <w:r>
        <w:rPr>
          <w:rFonts w:ascii="Times New Roman" w:hAnsi="Times New Roman"/>
          <w:sz w:val="24"/>
        </w:rPr>
        <w:t xml:space="preserve">149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4"/>
        </w:rPr>
      </w:pPr>
      <w:r>
        <w:rPr>
          <w:rFonts w:ascii="Times New Roman" w:hAnsi="Times New Roman"/>
          <w:b/>
          <w:sz w:val="24"/>
        </w:rPr>
        <w:t xml:space="preserve">SIGNATURES </w:t>
      </w:r>
    </w:p>
    <w:p>
      <w:pPr>
        <w:pStyle w:val="TextBody"/>
        <w:spacing w:before="240" w:after="0"/>
        <w:jc w:val="left"/>
        <w:rPr>
          <w:rFonts w:ascii="Times New Roman" w:hAnsi="Times New Roman"/>
          <w:sz w:val="24"/>
        </w:rPr>
      </w:pPr>
      <w:r>
        <w:rPr>
          <w:rFonts w:ascii="Times New Roman" w:hAnsi="Times New Roman"/>
          <w:sz w:val="24"/>
        </w:rPr>
        <w:t xml:space="preserve">The registrant hereby certifies that it meets all of the requirements for filing on Form 20-F and that it has duly caused and authorized the undersigned to sign this annual report on its behalf. </w:t>
      </w:r>
    </w:p>
    <w:p>
      <w:pPr>
        <w:pStyle w:val="TextBody"/>
        <w:spacing w:before="0" w:after="0"/>
        <w:jc w:val="left"/>
        <w:rPr/>
      </w:pPr>
      <w:r>
        <w:rPr/>
        <w:t> </w:t>
      </w:r>
    </w:p>
    <w:tbl>
      <w:tblPr>
        <w:tblW w:w="4039" w:type="dxa"/>
        <w:jc w:val="left"/>
        <w:tblInd w:w="0" w:type="dxa"/>
        <w:tblCellMar>
          <w:top w:w="0" w:type="dxa"/>
          <w:left w:w="0" w:type="dxa"/>
          <w:bottom w:w="0" w:type="dxa"/>
          <w:right w:w="0" w:type="dxa"/>
        </w:tblCellMar>
      </w:tblPr>
      <w:tblGrid>
        <w:gridCol w:w="888"/>
        <w:gridCol w:w="80"/>
        <w:gridCol w:w="3071"/>
      </w:tblGrid>
      <w:tr>
        <w:trPr/>
        <w:tc>
          <w:tcPr>
            <w:tcW w:w="88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071" w:type="dxa"/>
            <w:tcBorders/>
            <w:shd w:fill="auto" w:val="clear"/>
            <w:vAlign w:val="center"/>
          </w:tcPr>
          <w:p>
            <w:pPr>
              <w:pStyle w:val="TableContents"/>
              <w:spacing w:before="0" w:after="283"/>
              <w:rPr>
                <w:sz w:val="4"/>
                <w:szCs w:val="4"/>
              </w:rPr>
            </w:pPr>
            <w:r>
              <w:rPr>
                <w:sz w:val="4"/>
                <w:szCs w:val="4"/>
              </w:rPr>
            </w:r>
          </w:p>
        </w:tc>
      </w:tr>
      <w:tr>
        <w:trPr/>
        <w:tc>
          <w:tcPr>
            <w:tcW w:w="4039" w:type="dxa"/>
            <w:gridSpan w:val="3"/>
            <w:tcBorders/>
            <w:shd w:fill="auto" w:val="clear"/>
            <w:vAlign w:val="center"/>
          </w:tcPr>
          <w:p>
            <w:pPr>
              <w:pStyle w:val="TableContents"/>
              <w:spacing w:before="0" w:after="283"/>
              <w:rPr>
                <w:b/>
              </w:rPr>
            </w:pPr>
            <w:r>
              <w:rPr>
                <w:b/>
              </w:rPr>
              <w:t>MEREO BIOPHARMA GROUP PLC</w:t>
            </w:r>
          </w:p>
        </w:tc>
      </w:tr>
      <w:tr>
        <w:trPr/>
        <w:tc>
          <w:tcPr>
            <w:tcW w:w="888" w:type="dxa"/>
            <w:tcBorders/>
            <w:shd w:fill="auto" w:val="clear"/>
            <w:vAlign w:val="center"/>
          </w:tcPr>
          <w:p>
            <w:pPr>
              <w:pStyle w:val="TableContents"/>
              <w:spacing w:before="0" w:after="283"/>
              <w:rPr>
                <w:sz w:val="4"/>
                <w:szCs w:val="4"/>
              </w:rPr>
            </w:pPr>
            <w:r>
              <w:rPr>
                <w:sz w:val="4"/>
                <w:szCs w:val="4"/>
              </w:rPr>
            </w:r>
          </w:p>
        </w:tc>
        <w:tc>
          <w:tcPr>
            <w:tcW w:w="3151" w:type="dxa"/>
            <w:gridSpan w:val="2"/>
            <w:tcBorders/>
            <w:shd w:fill="auto" w:val="clear"/>
            <w:vAlign w:val="center"/>
          </w:tcPr>
          <w:p>
            <w:pPr>
              <w:pStyle w:val="TableContents"/>
              <w:spacing w:before="0" w:after="283"/>
              <w:rPr>
                <w:sz w:val="4"/>
                <w:szCs w:val="4"/>
              </w:rPr>
            </w:pPr>
            <w:r>
              <w:rPr>
                <w:sz w:val="4"/>
                <w:szCs w:val="4"/>
              </w:rPr>
            </w:r>
          </w:p>
        </w:tc>
      </w:tr>
      <w:tr>
        <w:trPr/>
        <w:tc>
          <w:tcPr>
            <w:tcW w:w="888" w:type="dxa"/>
            <w:tcBorders/>
            <w:shd w:fill="auto" w:val="clear"/>
            <w:vAlign w:val="center"/>
          </w:tcPr>
          <w:p>
            <w:pPr>
              <w:pStyle w:val="TableContents"/>
              <w:spacing w:before="0" w:after="283"/>
              <w:rPr/>
            </w:pPr>
            <w:r>
              <w:rPr/>
              <w:t>By:</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3071" w:type="dxa"/>
            <w:tcBorders>
              <w:bottom w:val="single" w:sz="6" w:space="0" w:color="000000"/>
            </w:tcBorders>
            <w:shd w:fill="auto" w:val="clear"/>
            <w:tcMar>
              <w:bottom w:w="28" w:type="dxa"/>
            </w:tcMar>
            <w:vAlign w:val="center"/>
          </w:tcPr>
          <w:p>
            <w:pPr>
              <w:pStyle w:val="TableContents"/>
              <w:spacing w:before="0" w:after="283"/>
              <w:rPr/>
            </w:pPr>
            <w:r>
              <w:rPr/>
              <w:t>/s/ Denise Scots-Knight</w:t>
            </w:r>
          </w:p>
        </w:tc>
      </w:tr>
      <w:tr>
        <w:trPr/>
        <w:tc>
          <w:tcPr>
            <w:tcW w:w="888" w:type="dxa"/>
            <w:tcBorders/>
            <w:shd w:fill="auto" w:val="clear"/>
            <w:vAlign w:val="center"/>
          </w:tcPr>
          <w:p>
            <w:pPr>
              <w:pStyle w:val="TableContents"/>
              <w:spacing w:before="0" w:after="283"/>
              <w:rPr/>
            </w:pPr>
            <w:r>
              <w:rPr/>
              <w:t>Name:</w:t>
            </w:r>
          </w:p>
        </w:tc>
        <w:tc>
          <w:tcPr>
            <w:tcW w:w="80" w:type="dxa"/>
            <w:tcBorders/>
            <w:shd w:fill="auto" w:val="clear"/>
            <w:vAlign w:val="center"/>
          </w:tcPr>
          <w:p>
            <w:pPr>
              <w:pStyle w:val="TableContents"/>
              <w:spacing w:before="0" w:after="283"/>
              <w:rPr/>
            </w:pPr>
            <w:r>
              <w:rPr/>
              <w:t> </w:t>
            </w:r>
          </w:p>
        </w:tc>
        <w:tc>
          <w:tcPr>
            <w:tcW w:w="3071" w:type="dxa"/>
            <w:tcBorders/>
            <w:shd w:fill="auto" w:val="clear"/>
            <w:vAlign w:val="center"/>
          </w:tcPr>
          <w:p>
            <w:pPr>
              <w:pStyle w:val="TableContents"/>
              <w:spacing w:before="0" w:after="283"/>
              <w:rPr/>
            </w:pPr>
            <w:r>
              <w:rPr/>
              <w:t>Denise Scots-Knight</w:t>
            </w:r>
          </w:p>
        </w:tc>
      </w:tr>
      <w:tr>
        <w:trPr/>
        <w:tc>
          <w:tcPr>
            <w:tcW w:w="888" w:type="dxa"/>
            <w:tcBorders/>
            <w:shd w:fill="auto" w:val="clear"/>
            <w:vAlign w:val="center"/>
          </w:tcPr>
          <w:p>
            <w:pPr>
              <w:pStyle w:val="TableContents"/>
              <w:spacing w:before="0" w:after="283"/>
              <w:rPr/>
            </w:pPr>
            <w:r>
              <w:rPr/>
              <w:t>Title:</w:t>
            </w:r>
          </w:p>
        </w:tc>
        <w:tc>
          <w:tcPr>
            <w:tcW w:w="80" w:type="dxa"/>
            <w:tcBorders/>
            <w:shd w:fill="auto" w:val="clear"/>
            <w:vAlign w:val="center"/>
          </w:tcPr>
          <w:p>
            <w:pPr>
              <w:pStyle w:val="TableContents"/>
              <w:spacing w:before="0" w:after="283"/>
              <w:rPr/>
            </w:pPr>
            <w:r>
              <w:rPr/>
              <w:t> </w:t>
            </w:r>
          </w:p>
        </w:tc>
        <w:tc>
          <w:tcPr>
            <w:tcW w:w="3071" w:type="dxa"/>
            <w:tcBorders/>
            <w:shd w:fill="auto" w:val="clear"/>
            <w:vAlign w:val="center"/>
          </w:tcPr>
          <w:p>
            <w:pPr>
              <w:pStyle w:val="TableContents"/>
              <w:spacing w:before="0" w:after="283"/>
              <w:rPr/>
            </w:pPr>
            <w:r>
              <w:rPr/>
              <w:t>Chief Executive Officer</w:t>
            </w:r>
          </w:p>
        </w:tc>
      </w:tr>
    </w:tbl>
    <w:p>
      <w:pPr>
        <w:pStyle w:val="TextBody"/>
        <w:spacing w:before="240" w:after="0"/>
        <w:jc w:val="left"/>
        <w:rPr>
          <w:rFonts w:ascii="Times New Roman" w:hAnsi="Times New Roman"/>
          <w:sz w:val="24"/>
        </w:rPr>
      </w:pPr>
      <w:r>
        <w:rPr>
          <w:rFonts w:ascii="Times New Roman" w:hAnsi="Times New Roman"/>
          <w:sz w:val="24"/>
        </w:rPr>
        <w:t xml:space="preserve">Date: March 28, 2023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2"/>
        </w:rPr>
      </w:pPr>
      <w:r>
        <w:rPr>
          <w:rFonts w:ascii="Times New Roman" w:hAnsi="Times New Roman"/>
          <w:b/>
          <w:spacing w:val="0"/>
          <w:sz w:val="22"/>
        </w:rPr>
        <w:t xml:space="preserve">INDEX TO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495"/>
        <w:gridCol w:w="120"/>
        <w:gridCol w:w="106"/>
        <w:gridCol w:w="40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Audited Financial Statements</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430075_1">
              <w:r>
                <w:rPr>
                  <w:rStyle w:val="InternetLink"/>
                  <w:rFonts w:ascii="Times New Roman" w:hAnsi="Times New Roman"/>
                  <w:spacing w:val="0"/>
                  <w:sz w:val="24"/>
                </w:rPr>
                <w:t>Report of Independent Registered Public Accounting Firm (BDO LLP; London, United Kingdom; PCAOB ID Number: 1295)</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2">
              <w:r>
                <w:rPr>
                  <w:rStyle w:val="InternetLink"/>
                  <w:rFonts w:ascii="Times New Roman" w:hAnsi="Times New Roman"/>
                  <w:spacing w:val="0"/>
                  <w:sz w:val="24"/>
                </w:rPr>
                <w:t>Report of Independent Registered Public Accounting Firm (Ernst &amp; Young LLP; London, United Kingdom; PCAOB ID Number: 1438)</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3">
              <w:r>
                <w:rPr>
                  <w:rStyle w:val="InternetLink"/>
                  <w:rFonts w:ascii="Times New Roman" w:hAnsi="Times New Roman"/>
                  <w:spacing w:val="0"/>
                  <w:sz w:val="24"/>
                </w:rPr>
                <w:t xml:space="preserve">Consolidated Statements of Comprehensive (Loss)/income </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4">
              <w:r>
                <w:rPr>
                  <w:rStyle w:val="InternetLink"/>
                  <w:rFonts w:ascii="Times New Roman" w:hAnsi="Times New Roman"/>
                  <w:spacing w:val="0"/>
                  <w:sz w:val="24"/>
                </w:rPr>
                <w:t>Consolidated Balance Sheets</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5">
              <w:r>
                <w:rPr>
                  <w:rStyle w:val="InternetLink"/>
                  <w:rFonts w:ascii="Times New Roman" w:hAnsi="Times New Roman"/>
                  <w:spacing w:val="0"/>
                  <w:sz w:val="24"/>
                </w:rPr>
                <w:t>Consolidated Statements of Cash Flows</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6">
              <w:r>
                <w:rPr>
                  <w:rStyle w:val="InternetLink"/>
                  <w:rFonts w:ascii="Times New Roman" w:hAnsi="Times New Roman"/>
                  <w:spacing w:val="0"/>
                  <w:sz w:val="24"/>
                </w:rPr>
                <w:t>Consolidated Statements of Changes in Equity</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fin430075_7">
              <w:r>
                <w:rPr>
                  <w:rStyle w:val="InternetLink"/>
                  <w:rFonts w:ascii="Times New Roman" w:hAnsi="Times New Roman"/>
                  <w:spacing w:val="0"/>
                  <w:sz w:val="24"/>
                </w:rPr>
                <w:t>Notes to the Consolidated Financial Statements</w:t>
              </w:r>
            </w:hyperlink>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jc w:val="right"/>
              <w:rPr/>
            </w:pPr>
            <w:r>
              <w:rPr/>
              <w:t>F-8</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4"/>
        </w:rPr>
      </w:pPr>
      <w:r>
        <w:rPr>
          <w:rFonts w:ascii="Times New Roman" w:hAnsi="Times New Roman"/>
          <w:spacing w:val="0"/>
          <w:sz w:val="24"/>
        </w:rPr>
        <w:t xml:space="preserve">Shareholders and Board of Directors Mereo BioPharma Group plc London, United Kingdom </w:t>
      </w:r>
    </w:p>
    <w:p>
      <w:pPr>
        <w:pStyle w:val="TextBody"/>
        <w:spacing w:before="360" w:after="0"/>
        <w:jc w:val="left"/>
        <w:rPr>
          <w:rFonts w:ascii="Times New Roman" w:hAnsi="Times New Roman"/>
          <w:b/>
          <w:spacing w:val="0"/>
          <w:sz w:val="24"/>
        </w:rPr>
      </w:pPr>
      <w:r>
        <w:rPr>
          <w:rFonts w:ascii="Times New Roman" w:hAnsi="Times New Roman"/>
          <w:b/>
          <w:spacing w:val="0"/>
          <w:sz w:val="24"/>
        </w:rPr>
        <w:t xml:space="preserve">Opinion on the Consolidated Financial Statements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We have audited the accompanying consolidated balance sheets of Mereo BioPharma Group plc (the “Company”) as of December 31, 2022 and 2021, the related consolidated statements of comprehensive (loss)/income, changes in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International Financial Reporting Standards as issued by the International Accounting Standards Board. </w:t>
      </w:r>
    </w:p>
    <w:p>
      <w:pPr>
        <w:pStyle w:val="TextBody"/>
        <w:spacing w:before="360" w:after="0"/>
        <w:jc w:val="left"/>
        <w:rPr>
          <w:rFonts w:ascii="Times New Roman" w:hAnsi="Times New Roman"/>
          <w:b/>
          <w:spacing w:val="0"/>
          <w:sz w:val="24"/>
        </w:rPr>
      </w:pPr>
      <w:r>
        <w:rPr>
          <w:rFonts w:ascii="Times New Roman" w:hAnsi="Times New Roman"/>
          <w:b/>
          <w:spacing w:val="0"/>
          <w:sz w:val="24"/>
        </w:rPr>
        <w:t xml:space="preserve">Basis for Opinion </w:t>
      </w:r>
    </w:p>
    <w:p>
      <w:pPr>
        <w:pStyle w:val="TextBody"/>
        <w:spacing w:before="120" w:after="0"/>
        <w:jc w:val="left"/>
        <w:rPr>
          <w:rFonts w:ascii="Times New Roman" w:hAnsi="Times New Roman"/>
          <w:spacing w:val="0"/>
          <w:sz w:val="24"/>
        </w:rPr>
      </w:pPr>
      <w:r>
        <w:rPr>
          <w:rFonts w:ascii="Times New Roman" w:hAnsi="Times New Roman"/>
          <w:spacing w:val="0"/>
          <w:sz w:val="24"/>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/s/ BDO LLP </w:t>
      </w:r>
    </w:p>
    <w:p>
      <w:pPr>
        <w:pStyle w:val="TextBody"/>
        <w:spacing w:before="120" w:after="0"/>
        <w:jc w:val="left"/>
        <w:rPr>
          <w:rFonts w:ascii="Times New Roman" w:hAnsi="Times New Roman"/>
          <w:spacing w:val="0"/>
          <w:sz w:val="24"/>
        </w:rPr>
      </w:pPr>
      <w:r>
        <w:rPr>
          <w:rFonts w:ascii="Times New Roman" w:hAnsi="Times New Roman"/>
          <w:spacing w:val="0"/>
          <w:sz w:val="24"/>
        </w:rPr>
        <w:t xml:space="preserve">We have served as the Company’s auditor since 2021.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Reading, United Kingdom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March 28, 2023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F-2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4"/>
        </w:rPr>
      </w:pPr>
      <w:r>
        <w:rPr>
          <w:rFonts w:ascii="Times New Roman" w:hAnsi="Times New Roman"/>
          <w:spacing w:val="0"/>
          <w:sz w:val="24"/>
        </w:rPr>
        <w:t xml:space="preserve">To the Shareholders and the Board of Directors of Mereo BioPharma Group plc </w:t>
      </w:r>
    </w:p>
    <w:p>
      <w:pPr>
        <w:pStyle w:val="TextBody"/>
        <w:spacing w:before="360" w:after="0"/>
        <w:jc w:val="left"/>
        <w:rPr>
          <w:rFonts w:ascii="Times New Roman" w:hAnsi="Times New Roman"/>
          <w:b/>
          <w:spacing w:val="0"/>
          <w:sz w:val="24"/>
        </w:rPr>
      </w:pPr>
      <w:r>
        <w:rPr>
          <w:rFonts w:ascii="Times New Roman" w:hAnsi="Times New Roman"/>
          <w:b/>
          <w:spacing w:val="0"/>
          <w:sz w:val="24"/>
        </w:rPr>
        <w:t xml:space="preserve">Opinion on the Financial Statements </w:t>
      </w:r>
    </w:p>
    <w:p>
      <w:pPr>
        <w:pStyle w:val="TextBody"/>
        <w:spacing w:before="120" w:after="0"/>
        <w:jc w:val="left"/>
        <w:rPr>
          <w:rFonts w:ascii="Times New Roman" w:hAnsi="Times New Roman"/>
          <w:spacing w:val="0"/>
          <w:sz w:val="24"/>
        </w:rPr>
      </w:pPr>
      <w:r>
        <w:rPr>
          <w:rFonts w:ascii="Times New Roman" w:hAnsi="Times New Roman"/>
          <w:spacing w:val="0"/>
          <w:sz w:val="24"/>
        </w:rPr>
        <w:t xml:space="preserve">We have audited the accompanying consolidated statements of comprehensive loss, changes in equity, and cash flows of Mereo BioPharma Group plc (the Company) for the year ended December 31, 2020, and the related notes (collectively referred to as the “consolidated financial statements”). In our opinion, the consolidated financial statements present fairly, in all material respects, the results of its operations and its cash flows for the year ended December 31, 2020, in conformity with International Financial Reporting Standards as issued by the International Accounting Standards Board. </w:t>
      </w:r>
    </w:p>
    <w:p>
      <w:pPr>
        <w:pStyle w:val="TextBody"/>
        <w:spacing w:before="360" w:after="0"/>
        <w:jc w:val="left"/>
        <w:rPr>
          <w:rFonts w:ascii="Times New Roman" w:hAnsi="Times New Roman"/>
          <w:b/>
          <w:spacing w:val="0"/>
          <w:sz w:val="24"/>
        </w:rPr>
      </w:pPr>
      <w:r>
        <w:rPr>
          <w:rFonts w:ascii="Times New Roman" w:hAnsi="Times New Roman"/>
          <w:b/>
          <w:spacing w:val="0"/>
          <w:sz w:val="24"/>
        </w:rPr>
        <w:t xml:space="preserve">Adoption of New Accounting Standard </w:t>
      </w:r>
    </w:p>
    <w:p>
      <w:pPr>
        <w:pStyle w:val="TextBody"/>
        <w:spacing w:before="120" w:after="0"/>
        <w:jc w:val="left"/>
        <w:rPr>
          <w:rFonts w:ascii="Times New Roman" w:hAnsi="Times New Roman"/>
          <w:spacing w:val="0"/>
          <w:sz w:val="24"/>
        </w:rPr>
      </w:pPr>
      <w:r>
        <w:rPr>
          <w:rFonts w:ascii="Times New Roman" w:hAnsi="Times New Roman"/>
          <w:spacing w:val="0"/>
          <w:sz w:val="24"/>
        </w:rPr>
        <w:t xml:space="preserve">As discussed in Note 2 to the consolidated financial statements, the Company changed its method of accounting for leases in 2019 due to the adoption of IFRS 16 (Leases). </w:t>
      </w:r>
    </w:p>
    <w:p>
      <w:pPr>
        <w:pStyle w:val="TextBody"/>
        <w:spacing w:before="360" w:after="0"/>
        <w:jc w:val="left"/>
        <w:rPr>
          <w:rFonts w:ascii="Times New Roman" w:hAnsi="Times New Roman"/>
          <w:b/>
          <w:spacing w:val="0"/>
          <w:sz w:val="24"/>
        </w:rPr>
      </w:pPr>
      <w:r>
        <w:rPr>
          <w:rFonts w:ascii="Times New Roman" w:hAnsi="Times New Roman"/>
          <w:b/>
          <w:spacing w:val="0"/>
          <w:sz w:val="24"/>
        </w:rPr>
        <w:t xml:space="preserve">Basis for Opinion </w:t>
      </w:r>
    </w:p>
    <w:p>
      <w:pPr>
        <w:pStyle w:val="TextBody"/>
        <w:spacing w:before="120" w:after="0"/>
        <w:jc w:val="left"/>
        <w:rPr>
          <w:rFonts w:ascii="Times New Roman" w:hAnsi="Times New Roman"/>
          <w:spacing w:val="0"/>
          <w:sz w:val="24"/>
        </w:rPr>
      </w:pPr>
      <w:r>
        <w:rPr>
          <w:rFonts w:ascii="Times New Roman" w:hAnsi="Times New Roman"/>
          <w:spacing w:val="0"/>
          <w:sz w:val="24"/>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/s/ Ernst &amp; Young LLP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We have served as the Company’s auditor from 2015 to 2021.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Reading, United Kingdom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March 31,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spacing w:val="0"/>
          <w:sz w:val="22"/>
          <w:highlight w:val="white"/>
        </w:rPr>
      </w:pPr>
      <w:r>
        <w:rPr>
          <w:rFonts w:ascii="Times New Roman" w:hAnsi="Times New Roman"/>
          <w:spacing w:val="0"/>
          <w:sz w:val="22"/>
          <w:highlight w:val="white"/>
        </w:rPr>
        <w:t xml:space="preserve">MEREO BIOPHARMA GROUP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spacing w:val="0"/>
          <w:sz w:val="22"/>
        </w:rPr>
      </w:pPr>
      <w:r>
        <w:rPr>
          <w:rFonts w:ascii="Times New Roman" w:hAnsi="Times New Roman"/>
          <w:spacing w:val="0"/>
          <w:sz w:val="22"/>
        </w:rPr>
        <w:t xml:space="preserve">CONSOLIDATED STATEMENTS OF COMPREHENSIVE (LOSS)/INCOME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6150"/>
        <w:gridCol w:w="120"/>
        <w:gridCol w:w="122"/>
        <w:gridCol w:w="468"/>
        <w:gridCol w:w="60"/>
        <w:gridCol w:w="120"/>
        <w:gridCol w:w="60"/>
        <w:gridCol w:w="755"/>
        <w:gridCol w:w="95"/>
        <w:gridCol w:w="120"/>
        <w:gridCol w:w="60"/>
        <w:gridCol w:w="755"/>
        <w:gridCol w:w="155"/>
        <w:gridCol w:w="60"/>
        <w:gridCol w:w="60"/>
        <w:gridCol w:w="875"/>
        <w:gridCol w:w="170"/>
      </w:tblGrid>
      <w:tr>
        <w:trPr/>
        <w:tc>
          <w:tcPr>
            <w:tcW w:w="6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995" w:type="dxa"/>
            <w:gridSpan w:val="10"/>
            <w:tcBorders/>
            <w:shd w:fill="auto" w:val="cle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jc w:val="center"/>
              <w:rPr>
                <w:b/>
                <w:spacing w:val="0"/>
              </w:rPr>
            </w:pPr>
            <w:r>
              <w:rPr>
                <w:b/>
                <w:spacing w:val="0"/>
              </w:rPr>
              <w:t>Notes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Revenue</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36,464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Cost of revenue</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40" w:before="0" w:after="0"/>
              <w:jc w:val="right"/>
              <w:rPr>
                <w:spacing w:val="0"/>
              </w:rPr>
            </w:pPr>
            <w:r>
              <w:rPr>
                <w:spacing w:val="0"/>
              </w:rPr>
              <w:t> </w:t>
            </w:r>
            <w:r>
              <w:rPr>
                <w:rFonts w:ascii="Times New Roman" w:hAnsi="Times New Roman"/>
                <w:spacing w:val="0"/>
                <w:sz w:val="24"/>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936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(17,908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Research and development expenses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(24,962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(23,559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(16,347</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Administrative expenses</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(19,543</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(15,933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(21,222</w:t>
            </w:r>
          </w:p>
        </w:tc>
        <w:tc>
          <w:tcPr>
            <w:tcW w:w="170" w:type="dxa"/>
            <w:tcBorders/>
            <w:shd w:fill="auto"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Operating loss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sz w:val="24"/>
              </w:rPr>
            </w:pPr>
            <w:r>
              <w:rPr>
                <w:b/>
                <w:spacing w:val="0"/>
                <w:sz w:val="24"/>
              </w:rPr>
              <w:t>(43,569</w:t>
            </w:r>
          </w:p>
        </w:tc>
        <w:tc>
          <w:tcPr>
            <w:tcW w:w="95" w:type="dxa"/>
            <w:tcBorders/>
            <w:shd w:fill="CCEEFF" w:val="clear"/>
            <w:vAlign w:val="center"/>
          </w:tcPr>
          <w:p>
            <w:pPr>
              <w:pStyle w:val="TableContents"/>
              <w:spacing w:before="0" w:after="0"/>
              <w:rPr>
                <w:b/>
              </w:rPr>
            </w:pPr>
            <w:r>
              <w:rPr>
                <w:b/>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sz w:val="24"/>
              </w:rPr>
            </w:pPr>
            <w:r>
              <w:rPr>
                <w:b/>
                <w:spacing w:val="0"/>
                <w:sz w:val="24"/>
              </w:rPr>
              <w:t>(20,936</w:t>
            </w:r>
          </w:p>
        </w:tc>
        <w:tc>
          <w:tcPr>
            <w:tcW w:w="155" w:type="dxa"/>
            <w:tcBorders/>
            <w:shd w:fill="CCEEFF" w:val="clear"/>
            <w:vAlign w:val="center"/>
          </w:tcPr>
          <w:p>
            <w:pPr>
              <w:pStyle w:val="TableContents"/>
              <w:spacing w:before="0" w:after="0"/>
              <w:rPr>
                <w:b/>
                <w:spacing w:val="0"/>
                <w:sz w:val="24"/>
              </w:rPr>
            </w:pPr>
            <w:r>
              <w:rPr>
                <w:b/>
                <w:spacing w:val="0"/>
                <w:sz w:val="24"/>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sz w:val="24"/>
              </w:rPr>
            </w:pPr>
            <w:r>
              <w:rPr>
                <w:b/>
                <w:spacing w:val="0"/>
                <w:sz w:val="24"/>
              </w:rPr>
              <w:t>(37,569</w:t>
            </w:r>
          </w:p>
        </w:tc>
        <w:tc>
          <w:tcPr>
            <w:tcW w:w="170" w:type="dxa"/>
            <w:tcBorders/>
            <w:shd w:fill="CCEEFF" w:val="clear"/>
            <w:vAlign w:val="center"/>
          </w:tcPr>
          <w:p>
            <w:pPr>
              <w:pStyle w:val="TableContents"/>
              <w:spacing w:before="0" w:after="0"/>
              <w:rPr>
                <w:b/>
                <w:spacing w:val="0"/>
                <w:sz w:val="24"/>
              </w:rPr>
            </w:pPr>
            <w:r>
              <w:rPr>
                <w:b/>
                <w:spacing w:val="0"/>
                <w:sz w:val="24"/>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Finance income</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696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44</w:t>
            </w:r>
          </w:p>
        </w:tc>
        <w:tc>
          <w:tcPr>
            <w:tcW w:w="170" w:type="dxa"/>
            <w:tcBorders/>
            <w:shd w:fill="auto" w:val="clear"/>
            <w:vAlign w:val="center"/>
          </w:tcPr>
          <w:p>
            <w:pPr>
              <w:pStyle w:val="TableContents"/>
              <w:spacing w:before="0" w:after="283"/>
              <w:rPr/>
            </w:pPr>
            <w:r>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Finance costs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(3,361</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(4,022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(6,383</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Changes in the fair value of financial instruments</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7,805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40,039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(109,849</w:t>
            </w:r>
          </w:p>
        </w:tc>
        <w:tc>
          <w:tcPr>
            <w:tcW w:w="170" w:type="dxa"/>
            <w:tcBorders/>
            <w:shd w:fill="auto" w:val="clear"/>
            <w:vAlign w:val="center"/>
          </w:tcPr>
          <w:p>
            <w:pPr>
              <w:pStyle w:val="TableContents"/>
              <w:spacing w:before="0" w:after="283"/>
              <w:rPr/>
            </w:pPr>
            <w:r>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Gain/(loss) on disposal of intangible assets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(10,872</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foreign exchange gain/(loss)</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1,525</w:t>
            </w:r>
          </w:p>
        </w:tc>
        <w:tc>
          <w:tcPr>
            <w:tcW w:w="95"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(1,821</w:t>
            </w:r>
          </w:p>
        </w:tc>
        <w:tc>
          <w:tcPr>
            <w:tcW w:w="170" w:type="dxa"/>
            <w:tcBorders/>
            <w:shd w:fill="auto" w:val="clear"/>
            <w:vAlign w:val="center"/>
          </w:tcPr>
          <w:p>
            <w:pPr>
              <w:pStyle w:val="TableContents"/>
              <w:spacing w:before="0" w:after="283"/>
              <w:rPr/>
            </w:pPr>
            <w:r>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income and expenses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811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lineRule="atLeast" w:line="141"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(Loss)/profit before tax</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(36,093</w:t>
            </w:r>
          </w:p>
        </w:tc>
        <w:tc>
          <w:tcPr>
            <w:tcW w:w="95" w:type="dxa"/>
            <w:tcBorders/>
            <w:shd w:fill="auto" w:val="clear"/>
            <w:vAlign w:val="center"/>
          </w:tcPr>
          <w:p>
            <w:pPr>
              <w:pStyle w:val="TableContents"/>
              <w:spacing w:before="0" w:after="0"/>
              <w:rPr>
                <w:b/>
              </w:rPr>
            </w:pPr>
            <w:r>
              <w:rPr>
                <w:b/>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14,241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(166,450</w:t>
            </w:r>
          </w:p>
        </w:tc>
        <w:tc>
          <w:tcPr>
            <w:tcW w:w="170" w:type="dxa"/>
            <w:tcBorders/>
            <w:shd w:fill="auto" w:val="clear"/>
            <w:vAlign w:val="center"/>
          </w:tcPr>
          <w:p>
            <w:pPr>
              <w:pStyle w:val="TableContents"/>
              <w:spacing w:before="0" w:after="0"/>
              <w:rPr>
                <w:b/>
                <w:spacing w:val="0"/>
              </w:rPr>
            </w:pPr>
            <w:r>
              <w:rPr>
                <w:b/>
                <w:spacing w:val="0"/>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Taxation</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jc w:val="right"/>
              <w:rPr>
                <w:spacing w:val="0"/>
              </w:rPr>
            </w:pPr>
            <w:r>
              <w:rPr>
                <w:spacing w:val="0"/>
              </w:rPr>
              <w:t> </w:t>
            </w:r>
          </w:p>
          <w:p>
            <w:pPr>
              <w:pStyle w:val="TableContents"/>
              <w:spacing w:lineRule="atLeast" w:line="200" w:before="0" w:after="0"/>
              <w:jc w:val="right"/>
              <w:rPr>
                <w:rFonts w:ascii="Times New Roman" w:hAnsi="Times New Roman"/>
                <w:spacing w:val="0"/>
                <w:sz w:val="20"/>
              </w:rPr>
            </w:pPr>
            <w:r>
              <w:rPr>
                <w:rFonts w:ascii="Times New Roman" w:hAnsi="Times New Roman"/>
                <w:spacing w:val="0"/>
                <w:sz w:val="20"/>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0"/>
              <w:jc w:val="right"/>
              <w:rPr>
                <w:spacing w:val="0"/>
              </w:rPr>
            </w:pPr>
            <w:r>
              <w:rPr>
                <w:spacing w:val="0"/>
              </w:rPr>
              <w:t>1,897</w:t>
            </w:r>
          </w:p>
        </w:tc>
        <w:tc>
          <w:tcPr>
            <w:tcW w:w="95"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(1,516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2,822</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(Loss)/profit for the year, attributable to equity holders of the parent</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spacing w:val="0"/>
              </w:rPr>
            </w:pPr>
            <w:r>
              <w:rPr>
                <w:spacing w:val="0"/>
              </w:rPr>
              <w:t>(34,196</w:t>
            </w:r>
          </w:p>
          <w:p>
            <w:pPr>
              <w:pStyle w:val="TableContents"/>
              <w:spacing w:before="0" w:after="0"/>
              <w:rPr/>
            </w:pPr>
            <w:r>
              <w:rPr/>
            </w:r>
          </w:p>
        </w:tc>
        <w:tc>
          <w:tcPr>
            <w:tcW w:w="95" w:type="dxa"/>
            <w:tcBorders/>
            <w:shd w:fill="auto" w:val="clear"/>
            <w:vAlign w:val="center"/>
          </w:tcPr>
          <w:p>
            <w:pPr>
              <w:pStyle w:val="TableContents"/>
              <w:spacing w:before="0" w:after="0"/>
              <w:rPr>
                <w:b/>
                <w:spacing w:val="0"/>
              </w:rPr>
            </w:pPr>
            <w:r>
              <w:rPr>
                <w:b/>
                <w:spacing w:val="0"/>
              </w:rPr>
              <w:t>)</w:t>
            </w:r>
          </w:p>
          <w:p>
            <w:pPr>
              <w:pStyle w:val="TableContents"/>
              <w:spacing w:before="0" w:after="0"/>
              <w:rPr>
                <w:b/>
              </w:rPr>
            </w:pPr>
            <w:r>
              <w:rPr>
                <w:b/>
              </w:rPr>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12,725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(163,628</w:t>
            </w:r>
          </w:p>
        </w:tc>
        <w:tc>
          <w:tcPr>
            <w:tcW w:w="170" w:type="dxa"/>
            <w:tcBorders/>
            <w:shd w:fill="auto" w:val="clear"/>
            <w:vAlign w:val="center"/>
          </w:tcPr>
          <w:p>
            <w:pPr>
              <w:pStyle w:val="TableContents"/>
              <w:spacing w:before="0" w:after="0"/>
              <w:rPr>
                <w:b/>
                <w:spacing w:val="0"/>
              </w:rPr>
            </w:pPr>
            <w:r>
              <w:rPr>
                <w:b/>
                <w:spacing w:val="0"/>
              </w:rPr>
              <w:t>) </w:t>
            </w:r>
          </w:p>
        </w:tc>
      </w:tr>
      <w:tr>
        <w:trPr/>
        <w:tc>
          <w:tcPr>
            <w:tcW w:w="6150" w:type="dxa"/>
            <w:tcBorders/>
            <w:shd w:fill="CCEEFF" w:val="clear"/>
            <w:vAlign w:val="center"/>
          </w:tcPr>
          <w:p>
            <w:pPr>
              <w:pStyle w:val="TableContents"/>
              <w:spacing w:before="0" w:after="283"/>
              <w:rPr/>
            </w:pPr>
            <w:r>
              <w:rPr/>
              <w:t>Items that may be reclassified subsequently to profit or loss: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0"/>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Currency translation of foreign operations</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(1,828)</w:t>
            </w:r>
          </w:p>
        </w:tc>
        <w:tc>
          <w:tcPr>
            <w:tcW w:w="95" w:type="dxa"/>
            <w:tcBorders/>
            <w:shd w:fill="auto" w:val="clear"/>
            <w:vAlign w:val="center"/>
          </w:tcPr>
          <w:p>
            <w:pPr>
              <w:pStyle w:val="TableContents"/>
              <w:spacing w:before="0" w:after="0"/>
              <w:rPr>
                <w:b/>
              </w:rPr>
            </w:pPr>
            <w:r>
              <w:rPr>
                <w:b/>
              </w:rPr>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349</w:t>
            </w:r>
          </w:p>
        </w:tc>
        <w:tc>
          <w:tcPr>
            <w:tcW w:w="170" w:type="dxa"/>
            <w:tcBorders/>
            <w:shd w:fill="auto" w:val="clear"/>
            <w:vAlign w:val="center"/>
          </w:tcPr>
          <w:p>
            <w:pPr>
              <w:pStyle w:val="TableContents"/>
              <w:spacing w:before="0" w:after="283"/>
              <w:rPr/>
            </w:pPr>
            <w:r>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 xml:space="preserve">Total comprehensive (loss)/income for the year, attributable to equity holders of </w:t>
              <w:br/>
              <w:t>the parent</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spacing w:val="0"/>
              </w:rPr>
            </w:pPr>
            <w:r>
              <w:rPr>
                <w:spacing w:val="0"/>
              </w:rPr>
              <w:t>(36,024</w:t>
            </w:r>
          </w:p>
          <w:p>
            <w:pPr>
              <w:pStyle w:val="TableContents"/>
              <w:spacing w:before="0" w:after="0"/>
              <w:rPr/>
            </w:pPr>
            <w:r>
              <w:rPr/>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12,534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(163,279</w:t>
            </w:r>
          </w:p>
        </w:tc>
        <w:tc>
          <w:tcPr>
            <w:tcW w:w="170" w:type="dxa"/>
            <w:tcBorders/>
            <w:shd w:fill="CCEEFF" w:val="clear"/>
            <w:vAlign w:val="center"/>
          </w:tcPr>
          <w:p>
            <w:pPr>
              <w:pStyle w:val="TableContents"/>
              <w:spacing w:before="0" w:after="0"/>
              <w:rPr>
                <w:b/>
                <w:spacing w:val="0"/>
              </w:rPr>
            </w:pPr>
            <w:r>
              <w:rPr>
                <w:b/>
                <w:spacing w:val="0"/>
              </w:rPr>
              <w:t>) </w:t>
            </w:r>
          </w:p>
        </w:tc>
      </w:tr>
      <w:tr>
        <w:trPr/>
        <w:tc>
          <w:tcPr>
            <w:tcW w:w="61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Basic (loss)/profit per share for the year (in £)</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lineRule="atLeast" w:line="200" w:before="0" w:after="0"/>
              <w:jc w:val="right"/>
              <w:rPr>
                <w:spacing w:val="0"/>
              </w:rPr>
            </w:pPr>
            <w:r>
              <w:rPr>
                <w:spacing w:val="0"/>
              </w:rPr>
              <w:t> </w:t>
            </w:r>
          </w:p>
          <w:p>
            <w:pPr>
              <w:pStyle w:val="TableContents"/>
              <w:spacing w:lineRule="atLeast" w:line="200" w:before="0" w:after="0"/>
              <w:jc w:val="right"/>
              <w:rPr>
                <w:rFonts w:ascii="Times New Roman" w:hAnsi="Times New Roman"/>
                <w:spacing w:val="0"/>
                <w:sz w:val="20"/>
              </w:rPr>
            </w:pPr>
            <w:r>
              <w:rPr>
                <w:rFonts w:ascii="Times New Roman" w:hAnsi="Times New Roman"/>
                <w:spacing w:val="0"/>
                <w:sz w:val="20"/>
              </w:rPr>
              <w:t>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0"/>
              <w:jc w:val="right"/>
              <w:rPr>
                <w:spacing w:val="0"/>
              </w:rPr>
            </w:pPr>
            <w:r>
              <w:rPr>
                <w:spacing w:val="0"/>
              </w:rPr>
              <w:t>(0.06</w:t>
            </w:r>
          </w:p>
          <w:p>
            <w:pPr>
              <w:pStyle w:val="TableContents"/>
              <w:spacing w:before="0" w:after="0"/>
              <w:rPr/>
            </w:pPr>
            <w:r>
              <w:rPr/>
            </w:r>
          </w:p>
        </w:tc>
        <w:tc>
          <w:tcPr>
            <w:tcW w:w="95" w:type="dxa"/>
            <w:tcBorders/>
            <w:shd w:fill="auto" w:val="clear"/>
            <w:vAlign w:val="center"/>
          </w:tcPr>
          <w:p>
            <w:pPr>
              <w:pStyle w:val="TableContents"/>
              <w:spacing w:before="0" w:after="0"/>
              <w:rPr>
                <w:b/>
                <w:spacing w:val="0"/>
              </w:rPr>
            </w:pPr>
            <w:r>
              <w:rPr>
                <w:b/>
                <w:spacing w:val="0"/>
              </w:rPr>
              <w:t>)</w:t>
            </w:r>
          </w:p>
          <w:p>
            <w:pPr>
              <w:pStyle w:val="TableContents"/>
              <w:spacing w:before="0" w:after="0"/>
              <w:rPr>
                <w:b/>
              </w:rPr>
            </w:pPr>
            <w:r>
              <w:rPr>
                <w:b/>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(0.48</w:t>
            </w:r>
          </w:p>
        </w:tc>
        <w:tc>
          <w:tcPr>
            <w:tcW w:w="170" w:type="dxa"/>
            <w:tcBorders/>
            <w:shd w:fill="auto" w:val="clear"/>
            <w:vAlign w:val="center"/>
          </w:tcPr>
          <w:p>
            <w:pPr>
              <w:pStyle w:val="TableContents"/>
              <w:spacing w:before="0" w:after="283"/>
              <w:rPr/>
            </w:pPr>
            <w:r>
              <w:rPr/>
              <w:t>) </w:t>
            </w:r>
          </w:p>
        </w:tc>
      </w:tr>
      <w:tr>
        <w:trPr/>
        <w:tc>
          <w:tcPr>
            <w:tcW w:w="61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Diluted loss per share for the year (in £)</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lineRule="atLeast" w:line="200" w:before="0" w:after="0"/>
              <w:jc w:val="right"/>
              <w:rPr>
                <w:spacing w:val="0"/>
              </w:rPr>
            </w:pPr>
            <w:r>
              <w:rPr>
                <w:spacing w:val="0"/>
              </w:rPr>
              <w:t> </w:t>
            </w:r>
          </w:p>
          <w:p>
            <w:pPr>
              <w:pStyle w:val="TableContents"/>
              <w:spacing w:lineRule="atLeast" w:line="200" w:before="0" w:after="0"/>
              <w:jc w:val="right"/>
              <w:rPr>
                <w:rFonts w:ascii="Times New Roman" w:hAnsi="Times New Roman"/>
                <w:spacing w:val="0"/>
                <w:sz w:val="20"/>
              </w:rPr>
            </w:pPr>
            <w:r>
              <w:rPr>
                <w:rFonts w:ascii="Times New Roman" w:hAnsi="Times New Roman"/>
                <w:spacing w:val="0"/>
                <w:sz w:val="20"/>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0"/>
              <w:jc w:val="right"/>
              <w:rPr>
                <w:spacing w:val="0"/>
              </w:rPr>
            </w:pPr>
            <w:r>
              <w:rPr>
                <w:spacing w:val="0"/>
              </w:rPr>
              <w:t>(0.06</w:t>
            </w:r>
          </w:p>
          <w:p>
            <w:pPr>
              <w:pStyle w:val="TableContents"/>
              <w:spacing w:before="0" w:after="0"/>
              <w:rPr/>
            </w:pPr>
            <w:r>
              <w:rPr/>
            </w:r>
          </w:p>
        </w:tc>
        <w:tc>
          <w:tcPr>
            <w:tcW w:w="95"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(0.48</w:t>
            </w:r>
          </w:p>
        </w:tc>
        <w:tc>
          <w:tcPr>
            <w:tcW w:w="170" w:type="dxa"/>
            <w:tcBorders/>
            <w:shd w:fill="CCEEFF"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i/>
          <w:caps w:val="false"/>
          <w:smallCaps w:val="false"/>
          <w:spacing w:val="0"/>
          <w:sz w:val="22"/>
          <w:highlight w:val="white"/>
        </w:rPr>
      </w:pPr>
      <w:r>
        <w:rPr>
          <w:rFonts w:ascii="Times New Roman" w:hAnsi="Times New Roman"/>
          <w:i/>
          <w:caps w:val="false"/>
          <w:smallCaps w:val="false"/>
          <w:spacing w:val="0"/>
          <w:sz w:val="22"/>
          <w:highlight w:val="white"/>
        </w:rPr>
        <w:t xml:space="preserve">The accompanying notes form an integral part of these consolidated financial statements. </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F-4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spacing w:val="0"/>
          <w:sz w:val="22"/>
        </w:rPr>
      </w:pPr>
      <w:r>
        <w:rPr>
          <w:rFonts w:ascii="Times New Roman" w:hAnsi="Times New Roman"/>
          <w:spacing w:val="0"/>
          <w:sz w:val="22"/>
        </w:rPr>
        <w:t xml:space="preserve">MEREO BIOPHARMA GROUP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2"/>
        </w:rPr>
      </w:pPr>
      <w:r>
        <w:rPr>
          <w:rFonts w:ascii="Times New Roman" w:hAnsi="Times New Roman"/>
          <w:sz w:val="22"/>
        </w:rPr>
        <w:t xml:space="preserve">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rPr>
      </w:pPr>
      <w:r>
        <w:rPr>
          <w:spacing w:val="0"/>
        </w:rPr>
        <w:t> </w:t>
      </w:r>
    </w:p>
    <w:p>
      <w:pPr>
        <w:pStyle w:val="TextBody"/>
        <w:spacing w:before="0" w:after="0"/>
        <w:jc w:val="left"/>
        <w:rPr>
          <w:sz w:val="24"/>
        </w:rPr>
      </w:pPr>
      <w:r>
        <w:rPr>
          <w:sz w:val="24"/>
        </w:rPr>
      </w:r>
    </w:p>
    <w:tbl>
      <w:tblPr>
        <w:tblW w:w="6090" w:type="dxa"/>
        <w:jc w:val="left"/>
        <w:tblInd w:w="0" w:type="dxa"/>
        <w:tblCellMar>
          <w:top w:w="0" w:type="dxa"/>
          <w:left w:w="0" w:type="dxa"/>
          <w:bottom w:w="0" w:type="dxa"/>
          <w:right w:w="0" w:type="dxa"/>
        </w:tblCellMar>
      </w:tblPr>
      <w:tblGrid>
        <w:gridCol w:w="2945"/>
        <w:gridCol w:w="120"/>
        <w:gridCol w:w="110"/>
        <w:gridCol w:w="480"/>
        <w:gridCol w:w="60"/>
        <w:gridCol w:w="120"/>
        <w:gridCol w:w="60"/>
        <w:gridCol w:w="875"/>
        <w:gridCol w:w="95"/>
        <w:gridCol w:w="120"/>
        <w:gridCol w:w="60"/>
        <w:gridCol w:w="875"/>
        <w:gridCol w:w="170"/>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85" w:type="dxa"/>
            <w:gridSpan w:val="6"/>
            <w:tcBorders/>
            <w:shd w:fill="auto" w:val="clear"/>
            <w:vAlign w:val="center"/>
          </w:tcPr>
          <w:p>
            <w:pPr>
              <w:pStyle w:val="TableContents"/>
              <w:spacing w:before="0" w:after="0"/>
              <w:jc w:val="center"/>
              <w:rPr>
                <w:b/>
                <w:spacing w:val="0"/>
              </w:rPr>
            </w:pPr>
            <w:r>
              <w:rPr>
                <w:b/>
                <w:spacing w:val="0"/>
              </w:rPr>
              <w:t xml:space="preserve">As at </w:t>
              <w:b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jc w:val="center"/>
              <w:rPr>
                <w:b/>
                <w:spacing w:val="0"/>
              </w:rPr>
            </w:pPr>
            <w:r>
              <w:rPr>
                <w:b/>
                <w:spacing w:val="0"/>
              </w:rPr>
              <w:t>Notes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£’000s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Assets</w:t>
            </w:r>
          </w:p>
        </w:tc>
        <w:tc>
          <w:tcPr>
            <w:tcW w:w="120" w:type="dxa"/>
            <w:tcBorders/>
            <w:shd w:fill="CCEEFF" w:val="clear"/>
            <w:vAlign w:val="center"/>
          </w:tcPr>
          <w:p>
            <w:pPr>
              <w:pStyle w:val="TableContents"/>
              <w:spacing w:before="0" w:after="0"/>
              <w:rPr>
                <w:spacing w:val="0"/>
              </w:rPr>
            </w:pPr>
            <w:r>
              <w:rPr>
                <w:spacing w:val="0"/>
              </w:rPr>
              <w:t>  </w:t>
            </w:r>
          </w:p>
        </w:tc>
        <w:tc>
          <w:tcPr>
            <w:tcW w:w="110" w:type="dxa"/>
            <w:tcBorders/>
            <w:shd w:fill="CCEEFF" w:val="clear"/>
            <w:vAlign w:val="center"/>
          </w:tcPr>
          <w:p>
            <w:pPr>
              <w:pStyle w:val="TableContents"/>
              <w:spacing w:before="0" w:after="283"/>
              <w:rPr>
                <w:sz w:val="4"/>
                <w:szCs w:val="4"/>
              </w:rPr>
            </w:pPr>
            <w:r>
              <w:rPr>
                <w:sz w:val="4"/>
                <w:szCs w:val="4"/>
              </w:rPr>
            </w:r>
          </w:p>
        </w:tc>
        <w:tc>
          <w:tcPr>
            <w:tcW w:w="4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Non-current</w:t>
            </w:r>
          </w:p>
          <w:p>
            <w:pPr>
              <w:pStyle w:val="TableContents"/>
              <w:spacing w:before="0" w:after="0"/>
              <w:rPr>
                <w:rFonts w:ascii="Times New Roman" w:hAnsi="Times New Roman"/>
                <w:b/>
                <w:spacing w:val="0"/>
                <w:sz w:val="24"/>
              </w:rPr>
            </w:pPr>
            <w:r>
              <w:rPr>
                <w:rFonts w:ascii="Times New Roman" w:hAnsi="Times New Roman"/>
                <w:b/>
                <w:spacing w:val="0"/>
                <w:sz w:val="24"/>
              </w:rPr>
              <w:t>assets</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Property, plant and equipment</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1,831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2,530</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Intangible assets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24,116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24,564</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b/>
              </w:rPr>
            </w:pPr>
            <w:r>
              <w:rPr>
                <w:b/>
              </w:rPr>
              <w:t>25,947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27,094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Current assets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Prepayments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3,125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2,799</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R&amp;D tax credits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spacing w:val="0"/>
              </w:rPr>
            </w:pPr>
            <w:r>
              <w:rPr>
                <w:spacing w:val="0"/>
              </w:rPr>
              <w:t>1,296</w:t>
            </w:r>
          </w:p>
          <w:p>
            <w:pPr>
              <w:pStyle w:val="TableContents"/>
              <w:spacing w:before="0" w:after="0"/>
              <w:rPr/>
            </w:pPr>
            <w:r>
              <w:rPr/>
            </w:r>
          </w:p>
        </w:tc>
        <w:tc>
          <w:tcPr>
            <w:tcW w:w="95"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taxes receivable</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spacing w:val="0"/>
              </w:rPr>
            </w:pPr>
            <w:r>
              <w:rPr>
                <w:spacing w:val="0"/>
              </w:rPr>
              <w:t>614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809</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receivables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762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1,419</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Cash and short-term deposits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56,334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94,296</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b/>
              </w:rPr>
            </w:pPr>
            <w:r>
              <w:rPr>
                <w:b/>
              </w:rPr>
              <w:t>62,131</w:t>
            </w:r>
          </w:p>
        </w:tc>
        <w:tc>
          <w:tcPr>
            <w:tcW w:w="95"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99,323</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 assets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88,078</w:t>
            </w:r>
          </w:p>
        </w:tc>
        <w:tc>
          <w:tcPr>
            <w:tcW w:w="95"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b/>
                <w:spacing w:val="0"/>
              </w:rPr>
            </w:pPr>
            <w:r>
              <w:rPr>
                <w:b/>
                <w:spacing w:val="0"/>
              </w:rPr>
              <w:t>126,417</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Equity and liabilities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Non-current</w:t>
            </w:r>
          </w:p>
          <w:p>
            <w:pPr>
              <w:pStyle w:val="TableContents"/>
              <w:spacing w:before="0" w:after="0"/>
              <w:rPr>
                <w:rFonts w:ascii="Times New Roman" w:hAnsi="Times New Roman"/>
                <w:b/>
                <w:sz w:val="24"/>
              </w:rPr>
            </w:pPr>
            <w:r>
              <w:rPr>
                <w:rFonts w:ascii="Times New Roman" w:hAnsi="Times New Roman"/>
                <w:b/>
                <w:sz w:val="24"/>
              </w:rPr>
              <w:t>liabilities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Provisions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1,320</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Convertible loan notes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14,384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Warrant liability</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8,336</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Lease liability</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12</w:t>
            </w:r>
          </w:p>
        </w:tc>
        <w:tc>
          <w:tcPr>
            <w:tcW w:w="60" w:type="dxa"/>
            <w:tcBorders/>
            <w:shd w:fill="CCEEFF" w:val="clear"/>
            <w:vAlign w:val="center"/>
          </w:tcPr>
          <w:p>
            <w:pPr>
              <w:pStyle w:val="TableContents"/>
              <w:spacing w:lineRule="atLeast" w:line="240"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1,222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1,754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liabilities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80</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b/>
              </w:rPr>
            </w:pPr>
            <w:r>
              <w:rPr>
                <w:b/>
              </w:rPr>
              <w:t>1,533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b/>
                <w:spacing w:val="0"/>
              </w:rPr>
            </w:pPr>
            <w:r>
              <w:rPr>
                <w:b/>
                <w:spacing w:val="0"/>
              </w:rPr>
              <w:t>25,874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Current liabilities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Trade and other payables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3,078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2,499</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Accruals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4,491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3,826</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Current tax liabilities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1,522</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Provisions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1</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2,803</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Convertible loan notes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11,085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Warrant liability</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Lease liabilit</w:t>
            </w:r>
          </w:p>
          <w:p>
            <w:pPr>
              <w:pStyle w:val="TableContents"/>
              <w:spacing w:before="0" w:after="0"/>
              <w:rPr>
                <w:rFonts w:ascii="Times New Roman" w:hAnsi="Times New Roman"/>
                <w:spacing w:val="0"/>
                <w:sz w:val="24"/>
              </w:rPr>
            </w:pPr>
            <w:r>
              <w:rPr>
                <w:rFonts w:ascii="Times New Roman" w:hAnsi="Times New Roman"/>
                <w:spacing w:val="0"/>
                <w:sz w:val="24"/>
              </w:rPr>
              <w:t>y</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before="0" w:after="0"/>
              <w:jc w:val="right"/>
              <w:rPr>
                <w:spacing w:val="0"/>
              </w:rPr>
            </w:pPr>
            <w:r>
              <w:rPr>
                <w:spacing w:val="0"/>
              </w:rPr>
              <w:t>12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466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622</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liabilities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333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1,269</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0"/>
              <w:jc w:val="right"/>
              <w:rPr>
                <w:b/>
              </w:rPr>
            </w:pPr>
            <w:r>
              <w:rPr>
                <w:b/>
              </w:rPr>
              <w:t>24,677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12,541</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 liabilities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26,210</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38,415</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Net assets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lineRule="atLeast" w:line="200" w:before="0" w:after="0"/>
              <w:jc w:val="right"/>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61,868</w:t>
            </w:r>
          </w:p>
        </w:tc>
        <w:tc>
          <w:tcPr>
            <w:tcW w:w="95"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88,002</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Equity</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jc w:val="right"/>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Issued capital</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1,875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1,755</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Share premium</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254,303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247,460</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capital reserves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132,680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129,835</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Employee Benefit Trust shares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(1,058</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(1,140</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 reserves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rPr>
                <w:spacing w:val="0"/>
              </w:rPr>
            </w:pPr>
            <w:r>
              <w:rPr>
                <w:spacing w:val="0"/>
              </w:rPr>
              <w:t> </w:t>
            </w:r>
          </w:p>
        </w:tc>
        <w:tc>
          <w:tcPr>
            <w:tcW w:w="480" w:type="dxa"/>
            <w:tcBorders/>
            <w:shd w:fill="CCEEFF"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7,401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7,401</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Accumulated losses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480" w:type="dxa"/>
            <w:tcBorders/>
            <w:shd w:fill="auto" w:val="clear"/>
            <w:vAlign w:val="center"/>
          </w:tcPr>
          <w:p>
            <w:pPr>
              <w:pStyle w:val="TableContents"/>
              <w:spacing w:lineRule="atLeast" w:line="240" w:before="0" w:after="0"/>
              <w:jc w:val="right"/>
              <w:rPr>
                <w:spacing w:val="0"/>
              </w:rPr>
            </w:pPr>
            <w:r>
              <w:rPr>
                <w:spacing w:val="0"/>
              </w:rPr>
              <w:t> </w:t>
            </w:r>
          </w:p>
          <w:p>
            <w:pPr>
              <w:pStyle w:val="TableContents"/>
              <w:spacing w:lineRule="atLeast" w:line="240" w:before="0" w:after="0"/>
              <w:jc w:val="right"/>
              <w:rPr>
                <w:rFonts w:ascii="Times New Roman" w:hAnsi="Times New Roman"/>
                <w:spacing w:val="0"/>
                <w:sz w:val="24"/>
              </w:rPr>
            </w:pPr>
            <w:r>
              <w:rPr>
                <w:rFonts w:ascii="Times New Roman" w:hAnsi="Times New Roman"/>
                <w:spacing w:val="0"/>
                <w:sz w:val="24"/>
              </w:rPr>
              <w:t>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(331,164</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(296,968</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Translation reserve</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before="0" w:after="0"/>
              <w:rPr>
                <w:rFonts w:ascii="Times New Roman" w:hAnsi="Times New Roman" w:eastAsia="Times New Roman" w:cs="Times New Roman"/>
                <w:spacing w:val="0"/>
                <w:sz w:val="20"/>
                <w:szCs w:val="20"/>
              </w:rPr>
            </w:pPr>
            <w:r>
              <w:rPr>
                <w:rFonts w:eastAsia="Times New Roman" w:cs="Times New Roman" w:ascii="Times New Roman" w:hAnsi="Times New Roman"/>
                <w:spacing w:val="0"/>
                <w:sz w:val="20"/>
                <w:szCs w:val="20"/>
              </w:rPr>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(2,169</w:t>
            </w:r>
          </w:p>
        </w:tc>
        <w:tc>
          <w:tcPr>
            <w:tcW w:w="95" w:type="dxa"/>
            <w:tcBorders/>
            <w:shd w:fill="CCEEFF" w:val="clear"/>
            <w:vAlign w:val="center"/>
          </w:tcPr>
          <w:p>
            <w:pPr>
              <w:pStyle w:val="TableContents"/>
              <w:spacing w:before="0" w:after="0"/>
              <w:rPr/>
            </w:pPr>
            <w:r>
              <w:rPr/>
              <w:t>)</w:t>
            </w:r>
          </w:p>
          <w:p>
            <w:pPr>
              <w:pStyle w:val="TableContents"/>
              <w:spacing w:before="0" w:after="0"/>
              <w:rPr>
                <w:b/>
              </w:rPr>
            </w:pPr>
            <w:r>
              <w:rPr>
                <w:b/>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(341</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 equity</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61,868</w:t>
            </w:r>
          </w:p>
        </w:tc>
        <w:tc>
          <w:tcPr>
            <w:tcW w:w="95"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88,002</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i/>
          <w:caps w:val="false"/>
          <w:smallCaps w:val="false"/>
          <w:spacing w:val="0"/>
          <w:sz w:val="22"/>
        </w:rPr>
      </w:pPr>
      <w:r>
        <w:rPr>
          <w:rFonts w:ascii="Times New Roman" w:hAnsi="Times New Roman"/>
          <w:i/>
          <w:caps w:val="false"/>
          <w:smallCaps w:val="false"/>
          <w:spacing w:val="0"/>
          <w:sz w:val="22"/>
        </w:rPr>
        <w:t xml:space="preserve">The accompanying notes form an integral part of these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spacing w:val="0"/>
          <w:sz w:val="22"/>
          <w:highlight w:val="white"/>
        </w:rPr>
      </w:pPr>
      <w:r>
        <w:rPr>
          <w:rFonts w:ascii="Times New Roman" w:hAnsi="Times New Roman"/>
          <w:spacing w:val="0"/>
          <w:sz w:val="22"/>
          <w:highlight w:val="white"/>
        </w:rPr>
        <w:t xml:space="preserve">MEREO BIOPHARMA GROUP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spacing w:val="0"/>
          <w:sz w:val="22"/>
        </w:rPr>
      </w:pPr>
      <w:r>
        <w:rPr>
          <w:rFonts w:ascii="Times New Roman" w:hAnsi="Times New Roman"/>
          <w:spacing w:val="0"/>
          <w:sz w:val="22"/>
        </w:rPr>
        <w:t xml:space="preserve">CONSOLIDATED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6090"/>
        <w:gridCol w:w="120"/>
        <w:gridCol w:w="70"/>
        <w:gridCol w:w="520"/>
        <w:gridCol w:w="60"/>
        <w:gridCol w:w="120"/>
        <w:gridCol w:w="60"/>
        <w:gridCol w:w="755"/>
        <w:gridCol w:w="155"/>
        <w:gridCol w:w="120"/>
        <w:gridCol w:w="60"/>
        <w:gridCol w:w="755"/>
        <w:gridCol w:w="155"/>
        <w:gridCol w:w="60"/>
        <w:gridCol w:w="60"/>
        <w:gridCol w:w="875"/>
        <w:gridCol w:w="170"/>
      </w:tblGrid>
      <w:tr>
        <w:trPr/>
        <w:tc>
          <w:tcPr>
            <w:tcW w:w="6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055" w:type="dxa"/>
            <w:gridSpan w:val="10"/>
            <w:tcBorders/>
            <w:shd w:fill="auto" w:val="cle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0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jc w:val="center"/>
              <w:rPr>
                <w:b/>
                <w:spacing w:val="0"/>
              </w:rPr>
            </w:pPr>
            <w:r>
              <w:rPr>
                <w:b/>
                <w:spacing w:val="0"/>
              </w:rPr>
              <w:t>Notes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60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9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5"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0"/>
              <w:rPr>
                <w:spacing w:val="0"/>
              </w:rPr>
            </w:pPr>
            <w:r>
              <w:rPr>
                <w:spacing w:val="0"/>
              </w:rPr>
              <w:t> </w:t>
            </w:r>
          </w:p>
        </w:tc>
      </w:tr>
      <w:tr>
        <w:trPr/>
        <w:tc>
          <w:tcPr>
            <w:tcW w:w="6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90"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Operating activities</w:t>
            </w:r>
          </w:p>
        </w:tc>
        <w:tc>
          <w:tcPr>
            <w:tcW w:w="120" w:type="dxa"/>
            <w:tcBorders/>
            <w:shd w:fill="CCEEFF" w:val="clear"/>
            <w:vAlign w:val="center"/>
          </w:tcPr>
          <w:p>
            <w:pPr>
              <w:pStyle w:val="TableContents"/>
              <w:spacing w:before="0" w:after="0"/>
              <w:rPr>
                <w:spacing w:val="0"/>
              </w:rPr>
            </w:pPr>
            <w:r>
              <w:rPr>
                <w:spacing w:val="0"/>
              </w:rPr>
              <w:t>  </w:t>
            </w:r>
          </w:p>
        </w:tc>
        <w:tc>
          <w:tcPr>
            <w:tcW w:w="70" w:type="dxa"/>
            <w:tcBorders/>
            <w:shd w:fill="CCEEFF" w:val="clear"/>
            <w:vAlign w:val="center"/>
          </w:tcPr>
          <w:p>
            <w:pPr>
              <w:pStyle w:val="TableContents"/>
              <w:spacing w:before="0" w:after="283"/>
              <w:rPr>
                <w:sz w:val="4"/>
                <w:szCs w:val="4"/>
              </w:rPr>
            </w:pPr>
            <w:r>
              <w:rPr>
                <w:sz w:val="4"/>
                <w:szCs w:val="4"/>
              </w:rPr>
            </w:r>
          </w:p>
        </w:tc>
        <w:tc>
          <w:tcPr>
            <w:tcW w:w="52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(Loss)/profit before tax</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(36,093</w:t>
            </w:r>
          </w:p>
        </w:tc>
        <w:tc>
          <w:tcPr>
            <w:tcW w:w="15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14,241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(166,450</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Adjustments to reconcile (loss)/profit before tax to net cash flows: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Depreciation of property, plant and equipment</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0"/>
              <w:jc w:val="right"/>
              <w:rPr>
                <w:spacing w:val="0"/>
              </w:rPr>
            </w:pPr>
            <w:r>
              <w:rPr>
                <w:spacing w:val="0"/>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727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1,599</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Share-based payments expense</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3,862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1,558</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Net foreign exchange </w:t>
            </w:r>
          </w:p>
          <w:p>
            <w:pPr>
              <w:pStyle w:val="TableContents"/>
              <w:spacing w:before="0" w:after="0"/>
              <w:rPr>
                <w:rFonts w:ascii="Times New Roman" w:hAnsi="Times New Roman"/>
                <w:spacing w:val="0"/>
                <w:sz w:val="24"/>
              </w:rPr>
            </w:pPr>
            <w:r>
              <w:rPr>
                <w:rFonts w:ascii="Times New Roman" w:hAnsi="Times New Roman"/>
                <w:spacing w:val="0"/>
                <w:sz w:val="24"/>
              </w:rPr>
              <w:t>(gain)</w:t>
            </w:r>
          </w:p>
          <w:p>
            <w:pPr>
              <w:pStyle w:val="TableContents"/>
              <w:spacing w:before="0" w:after="0"/>
              <w:rPr>
                <w:rFonts w:ascii="Times New Roman" w:hAnsi="Times New Roman"/>
                <w:spacing w:val="0"/>
                <w:sz w:val="24"/>
              </w:rPr>
            </w:pPr>
            <w:r>
              <w:rPr>
                <w:rFonts w:ascii="Times New Roman" w:hAnsi="Times New Roman"/>
                <w:spacing w:val="0"/>
                <w:sz w:val="24"/>
              </w:rPr>
              <w:t>/</w:t>
            </w:r>
          </w:p>
          <w:p>
            <w:pPr>
              <w:pStyle w:val="TableContents"/>
              <w:spacing w:before="0" w:after="0"/>
              <w:rPr>
                <w:rFonts w:ascii="Times New Roman" w:hAnsi="Times New Roman"/>
                <w:sz w:val="24"/>
              </w:rPr>
            </w:pPr>
            <w:r>
              <w:rPr>
                <w:rFonts w:ascii="Times New Roman" w:hAnsi="Times New Roman"/>
                <w:sz w:val="24"/>
              </w:rPr>
              <w:t>loss</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(2,064</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1,821</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Increase in provisions and other liabilities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18,6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1,385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162</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Finance income</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0"/>
              <w:jc w:val="right"/>
              <w:rPr>
                <w:spacing w:val="0"/>
              </w:rPr>
            </w:pPr>
            <w:r>
              <w:rPr>
                <w:spacing w:val="0"/>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(696</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(44</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Finance costs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2,910</w:t>
            </w:r>
          </w:p>
        </w:tc>
        <w:tc>
          <w:tcPr>
            <w:tcW w:w="155"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3,797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6,226</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Other </w:t>
            </w:r>
          </w:p>
          <w:p>
            <w:pPr>
              <w:pStyle w:val="TableContents"/>
              <w:spacing w:before="0" w:after="0"/>
              <w:rPr>
                <w:rFonts w:ascii="Times New Roman" w:hAnsi="Times New Roman"/>
                <w:spacing w:val="0"/>
                <w:sz w:val="24"/>
              </w:rPr>
            </w:pPr>
            <w:r>
              <w:rPr>
                <w:rFonts w:ascii="Times New Roman" w:hAnsi="Times New Roman"/>
                <w:spacing w:val="0"/>
                <w:sz w:val="24"/>
              </w:rPr>
              <w:t>non-cash</w:t>
            </w:r>
          </w:p>
          <w:p>
            <w:pPr>
              <w:pStyle w:val="TableContents"/>
              <w:spacing w:before="0" w:after="0"/>
              <w:rPr>
                <w:rFonts w:ascii="Times New Roman" w:hAnsi="Times New Roman"/>
                <w:sz w:val="24"/>
              </w:rPr>
            </w:pPr>
            <w:r>
              <w:rPr>
                <w:rFonts w:ascii="Times New Roman" w:hAnsi="Times New Roman"/>
                <w:sz w:val="24"/>
              </w:rPr>
              <w:t>movements</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647</w:t>
            </w:r>
          </w:p>
        </w:tc>
        <w:tc>
          <w:tcPr>
            <w:tcW w:w="155"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Gain on lease modification</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(957</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Fair value remeasurement on warrants</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0"/>
              <w:jc w:val="right"/>
              <w:rPr>
                <w:spacing w:val="0"/>
              </w:rPr>
            </w:pPr>
            <w:r>
              <w:rPr>
                <w:spacing w:val="0"/>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(7,805</w:t>
            </w:r>
          </w:p>
        </w:tc>
        <w:tc>
          <w:tcPr>
            <w:tcW w:w="155" w:type="dxa"/>
            <w:tcBorders/>
            <w:shd w:fill="auto" w:val="clear"/>
            <w:vAlign w:val="center"/>
          </w:tcPr>
          <w:p>
            <w:pPr>
              <w:pStyle w:val="TableContents"/>
              <w:spacing w:before="0" w:after="0"/>
              <w:rPr>
                <w:spacing w:val="0"/>
              </w:rPr>
            </w:pPr>
            <w:r>
              <w:rPr>
                <w:spacing w:val="0"/>
              </w:rPr>
              <w:t>)</w:t>
            </w:r>
          </w:p>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(40,039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109,849</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income and expenses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(Gain)/loss on disposal of intangible assets</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10,872</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Out-license</w:t>
            </w:r>
          </w:p>
          <w:p>
            <w:pPr>
              <w:pStyle w:val="TableContents"/>
              <w:spacing w:before="0" w:after="0"/>
              <w:rPr>
                <w:rFonts w:ascii="Times New Roman" w:hAnsi="Times New Roman"/>
                <w:sz w:val="24"/>
              </w:rPr>
            </w:pPr>
            <w:r>
              <w:rPr>
                <w:rFonts w:ascii="Times New Roman" w:hAnsi="Times New Roman"/>
                <w:sz w:val="24"/>
              </w:rPr>
              <w:t>of intangible asset</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9,457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Working capital adjustments</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0"/>
              <w:rPr/>
            </w:pPr>
            <w:r>
              <w:rPr/>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Decrease/(increase) in receivables and prepayments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141</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Increase/(decrease) in trade and other payables and accruals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1,126</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(1,256</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(3,551</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Taxation</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(1,529</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2,825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10,433</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b/>
                <w:sz w:val="24"/>
              </w:rPr>
            </w:pPr>
            <w:r>
              <w:rPr>
                <w:rFonts w:ascii="Times New Roman" w:hAnsi="Times New Roman"/>
                <w:b/>
                <w:sz w:val="24"/>
              </w:rPr>
              <w:t>Net cash flows used in operating activities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lineRule="atLeast" w:line="240" w:before="0" w:after="0"/>
              <w:jc w:val="right"/>
              <w:rPr>
                <w:b/>
                <w:spacing w:val="0"/>
                <w:sz w:val="24"/>
              </w:rPr>
            </w:pPr>
            <w:r>
              <w:rPr>
                <w:b/>
                <w:spacing w:val="0"/>
                <w:sz w:val="24"/>
              </w:rPr>
              <w:t>(38,820</w:t>
            </w:r>
          </w:p>
        </w:tc>
        <w:tc>
          <w:tcPr>
            <w:tcW w:w="155" w:type="dxa"/>
            <w:tcBorders/>
            <w:shd w:fill="FFFFFF" w:val="clear"/>
            <w:vAlign w:val="center"/>
          </w:tcPr>
          <w:p>
            <w:pPr>
              <w:pStyle w:val="TableContents"/>
              <w:spacing w:lineRule="atLeast" w:line="240" w:before="0" w:after="0"/>
              <w:rPr>
                <w:b/>
                <w:spacing w:val="0"/>
                <w:sz w:val="24"/>
              </w:rPr>
            </w:pPr>
            <w:r>
              <w:rPr>
                <w:b/>
                <w:spacing w:val="0"/>
                <w:sz w:val="24"/>
              </w:rPr>
              <w:t>)</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rPr>
            </w:pPr>
            <w:r>
              <w:rPr>
                <w:spacing w:val="0"/>
              </w:rPr>
              <w:t> </w:t>
            </w:r>
          </w:p>
        </w:tc>
        <w:tc>
          <w:tcPr>
            <w:tcW w:w="755" w:type="dxa"/>
            <w:tcBorders/>
            <w:shd w:fill="FFFFFF" w:val="clear"/>
            <w:vAlign w:val="center"/>
          </w:tcPr>
          <w:p>
            <w:pPr>
              <w:pStyle w:val="TableContents"/>
              <w:spacing w:before="0" w:after="0"/>
              <w:jc w:val="right"/>
              <w:rPr>
                <w:b/>
                <w:spacing w:val="0"/>
                <w:sz w:val="24"/>
              </w:rPr>
            </w:pPr>
            <w:r>
              <w:rPr>
                <w:b/>
                <w:spacing w:val="0"/>
                <w:sz w:val="24"/>
              </w:rPr>
              <w:t>(5,239</w:t>
            </w:r>
          </w:p>
        </w:tc>
        <w:tc>
          <w:tcPr>
            <w:tcW w:w="155" w:type="dxa"/>
            <w:tcBorders/>
            <w:shd w:fill="FFFFFF" w:val="clear"/>
            <w:vAlign w:val="center"/>
          </w:tcPr>
          <w:p>
            <w:pPr>
              <w:pStyle w:val="TableContents"/>
              <w:spacing w:before="0" w:after="0"/>
              <w:rPr>
                <w:b/>
                <w:spacing w:val="0"/>
                <w:sz w:val="24"/>
              </w:rPr>
            </w:pPr>
            <w:r>
              <w:rPr>
                <w:b/>
                <w:spacing w:val="0"/>
                <w:sz w:val="24"/>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rPr>
            </w:pPr>
            <w:r>
              <w:rPr>
                <w:spacing w:val="0"/>
              </w:rPr>
              <w:t> </w:t>
            </w:r>
          </w:p>
        </w:tc>
        <w:tc>
          <w:tcPr>
            <w:tcW w:w="875" w:type="dxa"/>
            <w:tcBorders/>
            <w:shd w:fill="FFFFFF" w:val="clear"/>
            <w:vAlign w:val="center"/>
          </w:tcPr>
          <w:p>
            <w:pPr>
              <w:pStyle w:val="TableContents"/>
              <w:spacing w:before="0" w:after="0"/>
              <w:jc w:val="right"/>
              <w:rPr>
                <w:b/>
                <w:spacing w:val="0"/>
                <w:sz w:val="24"/>
              </w:rPr>
            </w:pPr>
            <w:r>
              <w:rPr>
                <w:b/>
                <w:spacing w:val="0"/>
                <w:sz w:val="24"/>
              </w:rPr>
              <w:t>(28,341</w:t>
            </w:r>
          </w:p>
        </w:tc>
        <w:tc>
          <w:tcPr>
            <w:tcW w:w="170" w:type="dxa"/>
            <w:tcBorders/>
            <w:shd w:fill="FFFFFF" w:val="clear"/>
            <w:vAlign w:val="center"/>
          </w:tcPr>
          <w:p>
            <w:pPr>
              <w:pStyle w:val="TableContents"/>
              <w:spacing w:before="0" w:after="0"/>
              <w:rPr>
                <w:b/>
                <w:spacing w:val="0"/>
                <w:sz w:val="24"/>
              </w:rPr>
            </w:pPr>
            <w:r>
              <w:rPr>
                <w:b/>
                <w:spacing w:val="0"/>
                <w:sz w:val="24"/>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Investing activities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Acquisition of subsidiary</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(354</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Purchase of property, plant and equipment</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Proceeds from intangible assets (net of transaction costs)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0"/>
              <w:jc w:val="right"/>
              <w:rPr>
                <w:spacing w:val="0"/>
              </w:rPr>
            </w:pPr>
            <w:r>
              <w:rPr>
                <w:spacing w:val="0"/>
              </w:rPr>
              <w:t>9</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1,484</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113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1,821</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Interest earned</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0"/>
              <w:jc w:val="right"/>
              <w:rPr>
                <w:spacing w:val="0"/>
              </w:rPr>
            </w:pPr>
            <w:r>
              <w:rPr>
                <w:spacing w:val="0"/>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Payments to CVR holders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0"/>
              <w:jc w:val="right"/>
              <w:rPr>
                <w:spacing w:val="0"/>
              </w:rPr>
            </w:pPr>
            <w:r>
              <w:rPr>
                <w:spacing w:val="0"/>
              </w:rPr>
              <w:t>9</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(673</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  </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Net cash flows (used in)/from investing activities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lineRule="atLeast" w:line="240"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lineRule="atLeast" w:line="240"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lineRule="atLeast" w:line="240" w:before="0" w:after="0"/>
              <w:jc w:val="right"/>
              <w:rPr>
                <w:b/>
                <w:spacing w:val="0"/>
                <w:sz w:val="24"/>
              </w:rPr>
            </w:pPr>
            <w:r>
              <w:rPr>
                <w:b/>
                <w:spacing w:val="0"/>
                <w:sz w:val="24"/>
              </w:rPr>
              <w:t>1,497</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sz w:val="24"/>
              </w:rPr>
            </w:pPr>
            <w:r>
              <w:rPr>
                <w:b/>
                <w:spacing w:val="0"/>
                <w:sz w:val="24"/>
              </w:rPr>
              <w:t>(421</w:t>
            </w:r>
          </w:p>
        </w:tc>
        <w:tc>
          <w:tcPr>
            <w:tcW w:w="155" w:type="dxa"/>
            <w:tcBorders/>
            <w:shd w:fill="CCEEFF" w:val="clear"/>
            <w:vAlign w:val="center"/>
          </w:tcPr>
          <w:p>
            <w:pPr>
              <w:pStyle w:val="TableContents"/>
              <w:spacing w:before="0" w:after="0"/>
              <w:rPr>
                <w:b/>
                <w:spacing w:val="0"/>
                <w:sz w:val="24"/>
              </w:rPr>
            </w:pPr>
            <w:r>
              <w:rPr>
                <w:b/>
                <w:spacing w:val="0"/>
                <w:sz w:val="24"/>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sz w:val="24"/>
              </w:rPr>
            </w:pPr>
            <w:r>
              <w:rPr>
                <w:b/>
                <w:spacing w:val="0"/>
                <w:sz w:val="24"/>
              </w:rPr>
              <w:t>1,495</w:t>
            </w:r>
          </w:p>
        </w:tc>
        <w:tc>
          <w:tcPr>
            <w:tcW w:w="170" w:type="dxa"/>
            <w:tcBorders/>
            <w:shd w:fill="CCEEFF" w:val="clear"/>
            <w:vAlign w:val="center"/>
          </w:tcPr>
          <w:p>
            <w:pPr>
              <w:pStyle w:val="TableContents"/>
              <w:spacing w:before="0" w:after="0"/>
              <w:rPr>
                <w:spacing w:val="0"/>
              </w:rPr>
            </w:pPr>
            <w:r>
              <w:rPr>
                <w:spacing w:val="0"/>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b/>
                <w:sz w:val="24"/>
              </w:rPr>
            </w:pPr>
            <w:r>
              <w:rPr>
                <w:rFonts w:ascii="Times New Roman" w:hAnsi="Times New Roman"/>
                <w:b/>
                <w:sz w:val="24"/>
              </w:rPr>
              <w:t>Financing activities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Proceeds from issuance of ordinary shares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78,532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20,136</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Transaction costs on issuance of share</w:t>
            </w:r>
          </w:p>
          <w:p>
            <w:pPr>
              <w:pStyle w:val="TableContents"/>
              <w:spacing w:before="0" w:after="0"/>
              <w:rPr>
                <w:rFonts w:ascii="Times New Roman" w:hAnsi="Times New Roman"/>
                <w:spacing w:val="0"/>
                <w:sz w:val="24"/>
              </w:rPr>
            </w:pPr>
            <w:r>
              <w:rPr>
                <w:rFonts w:ascii="Times New Roman" w:hAnsi="Times New Roman"/>
                <w:spacing w:val="0"/>
                <w:sz w:val="24"/>
              </w:rPr>
              <w:t>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(234</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(1,307</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Proceeds from exercise of employee share options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Proceeds from issuance of convertible loan notes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44,375</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Transaction costs on issuance of convertible loan notes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(3,598</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Repayment of bank loans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(19,802</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Transaction costs relates to loans and borrowings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(81</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Interest paid on bank loan</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(2,900</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Payment of lease liabilities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(2,086</w:t>
            </w:r>
          </w:p>
        </w:tc>
        <w:tc>
          <w:tcPr>
            <w:tcW w:w="170" w:type="dxa"/>
            <w:tcBorders/>
            <w:shd w:fill="CCEEFF" w:val="clear"/>
            <w:vAlign w:val="center"/>
          </w:tcPr>
          <w:p>
            <w:pPr>
              <w:pStyle w:val="TableContents"/>
              <w:spacing w:before="0" w:after="283"/>
              <w:rPr/>
            </w:pPr>
            <w:r>
              <w:rPr/>
              <w:t>) </w:t>
            </w:r>
          </w:p>
        </w:tc>
      </w:tr>
      <w:tr>
        <w:trPr/>
        <w:tc>
          <w:tcPr>
            <w:tcW w:w="60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Proceeds from TAP agreement</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jc w:val="right"/>
              <w:rPr/>
            </w:pPr>
            <w:r>
              <w:rPr/>
              <w:t>22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153</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  </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Net cash flows (used in)/from financing activities</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lineRule="atLeast" w:line="240" w:before="0" w:after="0"/>
              <w:jc w:val="right"/>
              <w:rPr>
                <w:b/>
                <w:spacing w:val="0"/>
                <w:sz w:val="24"/>
              </w:rPr>
            </w:pPr>
            <w:r>
              <w:rPr>
                <w:b/>
                <w:spacing w:val="0"/>
                <w:sz w:val="24"/>
              </w:rPr>
              <w:t>(784</w:t>
            </w:r>
          </w:p>
        </w:tc>
        <w:tc>
          <w:tcPr>
            <w:tcW w:w="155" w:type="dxa"/>
            <w:tcBorders/>
            <w:shd w:fill="CCEEFF" w:val="clear"/>
            <w:vAlign w:val="center"/>
          </w:tcPr>
          <w:p>
            <w:pPr>
              <w:pStyle w:val="TableContents"/>
              <w:spacing w:before="0" w:after="0"/>
              <w:rPr>
                <w:b/>
                <w:sz w:val="24"/>
              </w:rPr>
            </w:pPr>
            <w:r>
              <w:rPr>
                <w:b/>
                <w:sz w:val="24"/>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sz w:val="24"/>
              </w:rPr>
            </w:pPr>
            <w:r>
              <w:rPr>
                <w:b/>
                <w:spacing w:val="0"/>
                <w:sz w:val="24"/>
              </w:rPr>
              <w:t>77,652</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sz w:val="24"/>
              </w:rPr>
            </w:pPr>
            <w:r>
              <w:rPr>
                <w:b/>
                <w:spacing w:val="0"/>
                <w:sz w:val="24"/>
              </w:rPr>
              <w:t>34,737</w:t>
            </w:r>
          </w:p>
        </w:tc>
        <w:tc>
          <w:tcPr>
            <w:tcW w:w="170" w:type="dxa"/>
            <w:tcBorders/>
            <w:shd w:fill="CCEEFF" w:val="clear"/>
            <w:vAlign w:val="center"/>
          </w:tcPr>
          <w:p>
            <w:pPr>
              <w:pStyle w:val="TableContents"/>
              <w:spacing w:before="0" w:after="0"/>
              <w:rPr>
                <w:spacing w:val="0"/>
              </w:rPr>
            </w:pPr>
            <w:r>
              <w:rPr>
                <w:spacing w:val="0"/>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b/>
                <w:sz w:val="24"/>
              </w:rPr>
            </w:pPr>
            <w:r>
              <w:rPr>
                <w:rFonts w:ascii="Times New Roman" w:hAnsi="Times New Roman"/>
                <w:b/>
                <w:sz w:val="24"/>
              </w:rPr>
              <w:t>Net (decrease)/increase in cash and cash equivalents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lineRule="atLeast" w:line="240" w:before="0" w:after="0"/>
              <w:jc w:val="right"/>
              <w:rPr>
                <w:b/>
                <w:sz w:val="24"/>
              </w:rPr>
            </w:pPr>
            <w:r>
              <w:rPr>
                <w:b/>
                <w:sz w:val="24"/>
              </w:rPr>
              <w:t>(38,107</w:t>
            </w:r>
          </w:p>
        </w:tc>
        <w:tc>
          <w:tcPr>
            <w:tcW w:w="155" w:type="dxa"/>
            <w:tcBorders/>
            <w:shd w:fill="FFFFFF" w:val="clear"/>
            <w:vAlign w:val="center"/>
          </w:tcPr>
          <w:p>
            <w:pPr>
              <w:pStyle w:val="TableContents"/>
              <w:spacing w:lineRule="atLeast" w:line="240" w:before="0" w:after="0"/>
              <w:rPr>
                <w:spacing w:val="0"/>
                <w:sz w:val="24"/>
              </w:rPr>
            </w:pPr>
            <w:r>
              <w:rPr>
                <w:spacing w:val="0"/>
                <w:sz w:val="24"/>
              </w:rPr>
              <w:t>)</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rPr>
            </w:pPr>
            <w:r>
              <w:rPr>
                <w:spacing w:val="0"/>
              </w:rPr>
              <w:t> </w:t>
            </w:r>
          </w:p>
        </w:tc>
        <w:tc>
          <w:tcPr>
            <w:tcW w:w="755" w:type="dxa"/>
            <w:tcBorders/>
            <w:shd w:fill="FFFFFF" w:val="clear"/>
            <w:vAlign w:val="center"/>
          </w:tcPr>
          <w:p>
            <w:pPr>
              <w:pStyle w:val="TableContents"/>
              <w:spacing w:before="0" w:after="0"/>
              <w:jc w:val="right"/>
              <w:rPr>
                <w:b/>
                <w:spacing w:val="0"/>
                <w:sz w:val="24"/>
              </w:rPr>
            </w:pPr>
            <w:r>
              <w:rPr>
                <w:b/>
                <w:spacing w:val="0"/>
                <w:sz w:val="24"/>
              </w:rPr>
              <w:t>71,992</w:t>
            </w:r>
          </w:p>
        </w:tc>
        <w:tc>
          <w:tcPr>
            <w:tcW w:w="15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rPr>
            </w:pPr>
            <w:r>
              <w:rPr>
                <w:spacing w:val="0"/>
              </w:rPr>
              <w:t> </w:t>
            </w:r>
          </w:p>
        </w:tc>
        <w:tc>
          <w:tcPr>
            <w:tcW w:w="875" w:type="dxa"/>
            <w:tcBorders/>
            <w:shd w:fill="FFFFFF" w:val="clear"/>
            <w:vAlign w:val="center"/>
          </w:tcPr>
          <w:p>
            <w:pPr>
              <w:pStyle w:val="TableContents"/>
              <w:spacing w:before="0" w:after="0"/>
              <w:jc w:val="right"/>
              <w:rPr>
                <w:b/>
                <w:spacing w:val="0"/>
                <w:sz w:val="24"/>
              </w:rPr>
            </w:pPr>
            <w:r>
              <w:rPr>
                <w:b/>
                <w:spacing w:val="0"/>
                <w:sz w:val="24"/>
              </w:rPr>
              <w:t>7,891</w:t>
            </w:r>
          </w:p>
        </w:tc>
        <w:tc>
          <w:tcPr>
            <w:tcW w:w="170" w:type="dxa"/>
            <w:tcBorders/>
            <w:shd w:fill="FFFFFF" w:val="clear"/>
            <w:vAlign w:val="center"/>
          </w:tcPr>
          <w:p>
            <w:pPr>
              <w:pStyle w:val="TableContents"/>
              <w:spacing w:before="0" w:after="0"/>
              <w:rPr>
                <w:spacing w:val="0"/>
              </w:rPr>
            </w:pPr>
            <w:r>
              <w:rPr>
                <w:spacing w:val="0"/>
              </w:rPr>
              <w:t> </w:t>
            </w:r>
          </w:p>
        </w:tc>
      </w:tr>
      <w:tr>
        <w:trPr/>
        <w:tc>
          <w:tcPr>
            <w:tcW w:w="60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Cash and cash equivalents at January 1</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94,296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23,469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16,347</w:t>
            </w:r>
          </w:p>
        </w:tc>
        <w:tc>
          <w:tcPr>
            <w:tcW w:w="170" w:type="dxa"/>
            <w:tcBorders/>
            <w:shd w:fill="CCEE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Effect of exchange rate changes</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145</w:t>
            </w:r>
          </w:p>
        </w:tc>
        <w:tc>
          <w:tcPr>
            <w:tcW w:w="155" w:type="dxa"/>
            <w:tcBorders/>
            <w:shd w:fill="FFFFFF" w:val="clear"/>
            <w:vAlign w:val="center"/>
          </w:tcPr>
          <w:p>
            <w:pPr>
              <w:pStyle w:val="TableContents"/>
              <w:spacing w:before="0" w:after="283"/>
              <w:rPr/>
            </w:pPr>
            <w:r>
              <w:rPr/>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(1,165</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jc w:val="right"/>
              <w:rPr/>
            </w:pPr>
            <w:r>
              <w:rPr/>
              <w:t>(769</w:t>
            </w:r>
          </w:p>
        </w:tc>
        <w:tc>
          <w:tcPr>
            <w:tcW w:w="170" w:type="dxa"/>
            <w:tcBorders/>
            <w:shd w:fill="FFFFFF" w:val="clear"/>
            <w:vAlign w:val="center"/>
          </w:tcPr>
          <w:p>
            <w:pPr>
              <w:pStyle w:val="TableContents"/>
              <w:spacing w:before="0" w:after="283"/>
              <w:rPr/>
            </w:pPr>
            <w:r>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87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60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Cash and cash equivalents at December 31</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lineRule="atLeast" w:line="240" w:before="0" w:after="0"/>
              <w:jc w:val="right"/>
              <w:rPr>
                <w:b/>
                <w:spacing w:val="0"/>
                <w:sz w:val="24"/>
              </w:rPr>
            </w:pPr>
            <w:r>
              <w:rPr>
                <w:b/>
                <w:spacing w:val="0"/>
                <w:sz w:val="24"/>
              </w:rPr>
              <w:t>56,334</w:t>
            </w:r>
          </w:p>
        </w:tc>
        <w:tc>
          <w:tcPr>
            <w:tcW w:w="155" w:type="dxa"/>
            <w:tcBorders/>
            <w:shd w:fill="CCEEFF" w:val="clear"/>
            <w:vAlign w:val="center"/>
          </w:tcPr>
          <w:p>
            <w:pPr>
              <w:pStyle w:val="TableContents"/>
              <w:spacing w:lineRule="atLeast" w:line="240"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sz w:val="24"/>
              </w:rPr>
            </w:pPr>
            <w:r>
              <w:rPr>
                <w:b/>
                <w:spacing w:val="0"/>
                <w:sz w:val="24"/>
              </w:rPr>
              <w:t>94,296</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sz w:val="24"/>
              </w:rPr>
            </w:pPr>
            <w:r>
              <w:rPr>
                <w:b/>
                <w:spacing w:val="0"/>
                <w:sz w:val="24"/>
              </w:rPr>
              <w:t>23,469</w:t>
            </w:r>
          </w:p>
        </w:tc>
        <w:tc>
          <w:tcPr>
            <w:tcW w:w="170" w:type="dxa"/>
            <w:tcBorders/>
            <w:shd w:fill="CCEEFF" w:val="clear"/>
            <w:vAlign w:val="center"/>
          </w:tcPr>
          <w:p>
            <w:pPr>
              <w:pStyle w:val="TableContents"/>
              <w:spacing w:before="0" w:after="0"/>
              <w:rPr>
                <w:spacing w:val="0"/>
              </w:rPr>
            </w:pPr>
            <w:r>
              <w:rPr>
                <w:spacing w:val="0"/>
              </w:rPr>
              <w:t> </w:t>
            </w:r>
          </w:p>
        </w:tc>
      </w:tr>
      <w:tr>
        <w:trPr/>
        <w:tc>
          <w:tcPr>
            <w:tcW w:w="60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5"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5"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875" w:type="dxa"/>
            <w:tcBorders/>
            <w:shd w:fill="FFFFFF" w:val="clear"/>
            <w:vAlign w:val="center"/>
          </w:tcPr>
          <w:p>
            <w:pPr>
              <w:pStyle w:val="TableContents"/>
              <w:spacing w:before="0" w:after="0"/>
              <w:rPr>
                <w:bdr w:val="double" w:sz="6" w:space="1" w:color="000000"/>
              </w:rPr>
            </w:pPr>
            <w:r>
              <w:rPr>
                <w:bdr w:val="double" w:sz="6" w:space="1" w:color="000000"/>
              </w:rPr>
              <w:t> </w:t>
            </w:r>
          </w:p>
        </w:tc>
        <w:tc>
          <w:tcPr>
            <w:tcW w:w="170" w:type="dxa"/>
            <w:tcBorders/>
            <w:shd w:fill="FFFFFF"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i/>
          <w:caps w:val="false"/>
          <w:smallCaps w:val="false"/>
          <w:spacing w:val="0"/>
          <w:sz w:val="22"/>
          <w:highlight w:val="white"/>
        </w:rPr>
      </w:pPr>
      <w:r>
        <w:rPr>
          <w:rFonts w:ascii="Times New Roman" w:hAnsi="Times New Roman"/>
          <w:i/>
          <w:caps w:val="false"/>
          <w:smallCaps w:val="false"/>
          <w:spacing w:val="0"/>
          <w:sz w:val="22"/>
          <w:highlight w:val="white"/>
        </w:rPr>
        <w:t xml:space="preserve">The accompanying notes form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spacing w:val="0"/>
          <w:sz w:val="22"/>
        </w:rPr>
      </w:pPr>
      <w:r>
        <w:rPr>
          <w:rFonts w:ascii="Times New Roman" w:hAnsi="Times New Roman"/>
          <w:spacing w:val="0"/>
          <w:sz w:val="22"/>
        </w:rPr>
        <w:t xml:space="preserve">MEREO BIOPHARMA GROUP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spacing w:val="0"/>
          <w:sz w:val="22"/>
        </w:rPr>
      </w:pPr>
      <w:r>
        <w:rPr>
          <w:rFonts w:ascii="Times New Roman" w:hAnsi="Times New Roman"/>
          <w:spacing w:val="0"/>
          <w:sz w:val="22"/>
        </w:rPr>
        <w:t xml:space="preserve">CONSOLIDATED STATEMENTS OF CHANGES IN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rPr>
      </w:pPr>
      <w:r>
        <w:rPr>
          <w:spacing w:val="0"/>
        </w:rPr>
        <w:t> </w:t>
      </w:r>
    </w:p>
    <w:tbl>
      <w:tblPr>
        <w:tblW w:w="11360" w:type="dxa"/>
        <w:jc w:val="left"/>
        <w:tblInd w:w="0" w:type="dxa"/>
        <w:tblCellMar>
          <w:top w:w="0" w:type="dxa"/>
          <w:left w:w="0" w:type="dxa"/>
          <w:bottom w:w="0" w:type="dxa"/>
          <w:right w:w="0" w:type="dxa"/>
        </w:tblCellMar>
      </w:tblPr>
      <w:tblGrid>
        <w:gridCol w:w="1340"/>
        <w:gridCol w:w="120"/>
        <w:gridCol w:w="107"/>
        <w:gridCol w:w="468"/>
        <w:gridCol w:w="60"/>
        <w:gridCol w:w="120"/>
        <w:gridCol w:w="61"/>
        <w:gridCol w:w="574"/>
        <w:gridCol w:w="60"/>
        <w:gridCol w:w="120"/>
        <w:gridCol w:w="60"/>
        <w:gridCol w:w="800"/>
        <w:gridCol w:w="60"/>
        <w:gridCol w:w="120"/>
        <w:gridCol w:w="60"/>
        <w:gridCol w:w="800"/>
        <w:gridCol w:w="95"/>
        <w:gridCol w:w="60"/>
        <w:gridCol w:w="100"/>
        <w:gridCol w:w="1060"/>
        <w:gridCol w:w="155"/>
        <w:gridCol w:w="60"/>
        <w:gridCol w:w="67"/>
        <w:gridCol w:w="718"/>
        <w:gridCol w:w="155"/>
        <w:gridCol w:w="60"/>
        <w:gridCol w:w="82"/>
        <w:gridCol w:w="1198"/>
        <w:gridCol w:w="155"/>
        <w:gridCol w:w="60"/>
        <w:gridCol w:w="93"/>
        <w:gridCol w:w="992"/>
        <w:gridCol w:w="155"/>
        <w:gridCol w:w="60"/>
        <w:gridCol w:w="60"/>
        <w:gridCol w:w="875"/>
        <w:gridCol w:w="170"/>
      </w:tblGrid>
      <w:tr>
        <w:trPr/>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7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Notes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Issued</w:t>
              <w:br/>
              <w:t>capital</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Share</w:t>
              <w:br/>
              <w:t>premium</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Other</w:t>
              <w:br/>
              <w:t>capital</w:t>
              <w:br/>
              <w:t>reserves</w:t>
            </w:r>
          </w:p>
        </w:tc>
        <w:tc>
          <w:tcPr>
            <w:tcW w:w="9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Employee</w:t>
              <w:br/>
              <w:t>Benefit</w:t>
              <w:br/>
              <w:t>Trust shares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8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Other</w:t>
              <w:br/>
              <w:t>reserves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Accumulated</w:t>
              <w:br/>
              <w:t>losses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Translation</w:t>
              <w:br/>
              <w:t>reserves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Total</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At December 31, 2019</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0"/>
              <w:jc w:val="right"/>
              <w:rPr>
                <w:b/>
                <w:spacing w:val="0"/>
              </w:rPr>
            </w:pPr>
            <w:r>
              <w:rPr>
                <w:b/>
                <w:spacing w:val="0"/>
              </w:rPr>
              <w:t>294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121,684</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59,147</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0"/>
              <w:jc w:val="right"/>
              <w:rPr>
                <w:b/>
                <w:spacing w:val="0"/>
              </w:rPr>
            </w:pPr>
            <w:r>
              <w:rPr>
                <w:b/>
                <w:spacing w:val="0"/>
              </w:rPr>
              <w:t>(1,305</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0"/>
              <w:jc w:val="right"/>
              <w:rPr>
                <w:b/>
                <w:spacing w:val="0"/>
              </w:rPr>
            </w:pPr>
            <w:r>
              <w:rPr>
                <w:b/>
                <w:spacing w:val="0"/>
              </w:rPr>
              <w:t>7,000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0"/>
              <w:jc w:val="right"/>
              <w:rPr>
                <w:b/>
                <w:spacing w:val="0"/>
              </w:rPr>
            </w:pPr>
            <w:r>
              <w:rPr>
                <w:b/>
                <w:spacing w:val="0"/>
              </w:rPr>
              <w:t>(146,065</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0"/>
              <w:jc w:val="right"/>
              <w:rPr>
                <w:b/>
                <w:spacing w:val="0"/>
              </w:rPr>
            </w:pPr>
            <w:r>
              <w:rPr>
                <w:b/>
                <w:spacing w:val="0"/>
              </w:rPr>
              <w:t>(499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40,256</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for the year</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(163,628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(163,628</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349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349</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(163,628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349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(163,279</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payments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0"/>
              <w:rPr>
                <w:spacing w:val="0"/>
              </w:rPr>
            </w:pPr>
            <w:r>
              <w:rPr>
                <w:spacing w:val="0"/>
              </w:rPr>
              <w:t> </w:t>
            </w:r>
          </w:p>
        </w:tc>
        <w:tc>
          <w:tcPr>
            <w:tcW w:w="468" w:type="dxa"/>
            <w:tcBorders/>
            <w:shd w:fill="CCEEFF" w:val="clear"/>
            <w:vAlign w:val="center"/>
          </w:tcPr>
          <w:p>
            <w:pPr>
              <w:pStyle w:val="TableContents"/>
              <w:spacing w:before="0" w:after="283"/>
              <w:jc w:val="right"/>
              <w:rPr/>
            </w:pPr>
            <w:r>
              <w:rPr/>
              <w:t>26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1,558</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1,558</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share capital, net</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347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18,715</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(2,125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16,937</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Conversion of loan notes and </w:t>
              <w:br/>
              <w:t>warrants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375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21,386</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34,188</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55,949</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Reclassification of loan notes </w:t>
              <w:br/>
              <w:t>embedded derivativ</w:t>
            </w:r>
          </w:p>
          <w:p>
            <w:pPr>
              <w:pStyle w:val="TableContents"/>
              <w:spacing w:before="0" w:after="0"/>
              <w:rPr>
                <w:rFonts w:ascii="Times New Roman" w:hAnsi="Times New Roman"/>
                <w:spacing w:val="0"/>
                <w:sz w:val="20"/>
              </w:rPr>
            </w:pPr>
            <w:r>
              <w:rPr>
                <w:rFonts w:ascii="Times New Roman" w:hAnsi="Times New Roman"/>
                <w:spacing w:val="0"/>
                <w:sz w:val="20"/>
              </w:rPr>
              <w:t>e</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33,481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33,481</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Conversion of warrants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126</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127</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At December 31, 2020</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0"/>
              <w:jc w:val="right"/>
              <w:rPr>
                <w:b/>
                <w:spacing w:val="0"/>
              </w:rPr>
            </w:pPr>
            <w:r>
              <w:rPr>
                <w:b/>
                <w:spacing w:val="0"/>
              </w:rPr>
              <w:t>1,017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161,785</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128,374</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0"/>
              <w:jc w:val="right"/>
              <w:rPr>
                <w:b/>
                <w:spacing w:val="0"/>
              </w:rPr>
            </w:pPr>
            <w:r>
              <w:rPr>
                <w:b/>
                <w:spacing w:val="0"/>
              </w:rPr>
              <w:t>(1,305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0"/>
              <w:jc w:val="right"/>
              <w:rPr>
                <w:b/>
                <w:spacing w:val="0"/>
              </w:rPr>
            </w:pPr>
            <w:r>
              <w:rPr>
                <w:b/>
                <w:spacing w:val="0"/>
              </w:rPr>
              <w:t>5,001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0"/>
              <w:jc w:val="right"/>
              <w:rPr>
                <w:b/>
                <w:spacing w:val="0"/>
              </w:rPr>
            </w:pPr>
            <w:r>
              <w:rPr>
                <w:b/>
                <w:spacing w:val="0"/>
              </w:rPr>
              <w:t>(309,693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0"/>
              <w:jc w:val="right"/>
              <w:rPr>
                <w:b/>
                <w:spacing w:val="0"/>
              </w:rPr>
            </w:pPr>
            <w:r>
              <w:rPr>
                <w:b/>
                <w:spacing w:val="0"/>
              </w:rPr>
              <w:t>(150</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(14,971</w:t>
            </w:r>
          </w:p>
        </w:tc>
        <w:tc>
          <w:tcPr>
            <w:tcW w:w="170" w:type="dxa"/>
            <w:tcBorders/>
            <w:shd w:fill="auto" w:val="clear"/>
            <w:vAlign w:val="center"/>
          </w:tcPr>
          <w:p>
            <w:pPr>
              <w:pStyle w:val="TableContents"/>
              <w:spacing w:before="0" w:after="0"/>
              <w:rPr>
                <w:b/>
                <w:spacing w:val="0"/>
              </w:rPr>
            </w:pPr>
            <w:r>
              <w:rPr>
                <w:b/>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Profit for the year</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12,725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12,725</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(191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(191</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12,725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(191</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12,534</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payments</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jc w:val="right"/>
              <w:rPr>
                <w:rFonts w:ascii="Times New Roman" w:hAnsi="Times New Roman"/>
                <w:spacing w:val="0"/>
                <w:sz w:val="20"/>
              </w:rPr>
            </w:pPr>
            <w:r>
              <w:rPr>
                <w:rFonts w:ascii="Times New Roman" w:hAnsi="Times New Roman"/>
                <w:spacing w:val="0"/>
                <w:sz w:val="20"/>
              </w:rPr>
              <w:t>26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3,302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3,302</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share capital, net</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0"/>
              <w:rPr>
                <w:spacing w:val="0"/>
              </w:rPr>
            </w:pPr>
            <w:r>
              <w:rPr>
                <w:spacing w:val="0"/>
              </w:rPr>
              <w:t> </w:t>
            </w:r>
          </w:p>
        </w:tc>
        <w:tc>
          <w:tcPr>
            <w:tcW w:w="468" w:type="dxa"/>
            <w:tcBorders/>
            <w:shd w:fill="CCEEFF" w:val="clear"/>
            <w:vAlign w:val="center"/>
          </w:tcPr>
          <w:p>
            <w:pPr>
              <w:pStyle w:val="TableContents"/>
              <w:spacing w:before="0" w:after="0"/>
              <w:jc w:val="right"/>
              <w:rPr>
                <w:rFonts w:ascii="Times New Roman" w:hAnsi="Times New Roman"/>
                <w:spacing w:val="0"/>
                <w:sz w:val="20"/>
              </w:rPr>
            </w:pPr>
            <w:r>
              <w:rPr>
                <w:rFonts w:ascii="Times New Roman" w:hAnsi="Times New Roman"/>
                <w:spacing w:val="0"/>
                <w:sz w:val="20"/>
              </w:rPr>
              <w:t>22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601</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78,609</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79,210</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share options</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(119</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165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46</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Conversion of loan notes and </w:t>
              <w:br/>
              <w:t>warrants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0"/>
              <w:rPr>
                <w:spacing w:val="0"/>
              </w:rPr>
            </w:pPr>
            <w:r>
              <w:rPr>
                <w:spacing w:val="0"/>
              </w:rPr>
              <w:t> </w:t>
            </w:r>
          </w:p>
        </w:tc>
        <w:tc>
          <w:tcPr>
            <w:tcW w:w="468" w:type="dxa"/>
            <w:tcBorders/>
            <w:shd w:fill="CCEEFF" w:val="clear"/>
            <w:vAlign w:val="center"/>
          </w:tcPr>
          <w:p>
            <w:pPr>
              <w:pStyle w:val="TableContents"/>
              <w:spacing w:lineRule="atLeast" w:line="200" w:before="0" w:after="0"/>
              <w:jc w:val="right"/>
              <w:rPr>
                <w:rFonts w:ascii="Times New Roman" w:hAnsi="Times New Roman"/>
                <w:spacing w:val="0"/>
                <w:sz w:val="20"/>
              </w:rPr>
            </w:pPr>
            <w:r>
              <w:rPr>
                <w:rFonts w:ascii="Times New Roman" w:hAnsi="Times New Roman"/>
                <w:spacing w:val="0"/>
                <w:sz w:val="20"/>
              </w:rPr>
              <w:t>22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137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7,066</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(1,722</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2,400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7,881</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At December 31, 2021</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0"/>
              <w:jc w:val="right"/>
              <w:rPr>
                <w:b/>
                <w:spacing w:val="0"/>
              </w:rPr>
            </w:pPr>
            <w:r>
              <w:rPr>
                <w:b/>
                <w:spacing w:val="0"/>
              </w:rPr>
              <w:t>1,755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247,460</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129,835</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0"/>
              <w:jc w:val="right"/>
              <w:rPr>
                <w:b/>
                <w:spacing w:val="0"/>
              </w:rPr>
            </w:pPr>
            <w:r>
              <w:rPr>
                <w:b/>
                <w:spacing w:val="0"/>
              </w:rPr>
              <w:t>(1,140</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0"/>
              <w:jc w:val="right"/>
              <w:rPr>
                <w:b/>
                <w:spacing w:val="0"/>
              </w:rPr>
            </w:pPr>
            <w:r>
              <w:rPr>
                <w:b/>
                <w:spacing w:val="0"/>
              </w:rPr>
              <w:t>7,401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0"/>
              <w:jc w:val="right"/>
              <w:rPr>
                <w:b/>
                <w:spacing w:val="0"/>
              </w:rPr>
            </w:pPr>
            <w:r>
              <w:rPr>
                <w:b/>
                <w:spacing w:val="0"/>
              </w:rPr>
              <w:t>(296,968</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0"/>
              <w:jc w:val="right"/>
              <w:rPr>
                <w:b/>
                <w:spacing w:val="0"/>
              </w:rPr>
            </w:pPr>
            <w:r>
              <w:rPr>
                <w:b/>
                <w:spacing w:val="0"/>
              </w:rPr>
              <w:t>(341</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88,002</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for the year</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0"/>
              <w:jc w:val="right"/>
              <w:rPr>
                <w:spacing w:val="0"/>
              </w:rPr>
            </w:pPr>
            <w:r>
              <w:rPr>
                <w:spacing w:val="0"/>
              </w:rPr>
              <w:t>(34,196</w:t>
            </w:r>
          </w:p>
          <w:p>
            <w:pPr>
              <w:pStyle w:val="TableContents"/>
              <w:spacing w:before="0" w:after="0"/>
              <w:rPr/>
            </w:pPr>
            <w:r>
              <w:rPr/>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spacing w:val="0"/>
              </w:rPr>
            </w:pPr>
            <w:r>
              <w:rPr>
                <w:spacing w:val="0"/>
              </w:rPr>
              <w:t>(34,196</w:t>
            </w:r>
          </w:p>
          <w:p>
            <w:pPr>
              <w:pStyle w:val="TableContents"/>
              <w:spacing w:before="0" w:after="0"/>
              <w:rPr/>
            </w:pPr>
            <w:r>
              <w:rPr/>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 xml:space="preserve">—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 xml:space="preserve">—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0"/>
              <w:jc w:val="right"/>
              <w:rPr>
                <w:spacing w:val="0"/>
              </w:rPr>
            </w:pPr>
            <w:r>
              <w:rPr>
                <w:spacing w:val="0"/>
              </w:rPr>
              <w:t>(1,828</w:t>
            </w:r>
          </w:p>
          <w:p>
            <w:pPr>
              <w:pStyle w:val="TableContents"/>
              <w:spacing w:before="0" w:after="0"/>
              <w:rPr/>
            </w:pPr>
            <w:r>
              <w:rPr/>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spacing w:val="0"/>
              </w:rPr>
            </w:pPr>
            <w:r>
              <w:rPr>
                <w:spacing w:val="0"/>
              </w:rPr>
              <w:t>(1,828</w:t>
            </w:r>
          </w:p>
          <w:p>
            <w:pPr>
              <w:pStyle w:val="TableContents"/>
              <w:spacing w:before="0" w:after="0"/>
              <w:rPr/>
            </w:pPr>
            <w:r>
              <w:rPr/>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0"/>
              <w:jc w:val="right"/>
              <w:rPr>
                <w:spacing w:val="0"/>
              </w:rPr>
            </w:pPr>
            <w:r>
              <w:rPr>
                <w:spacing w:val="0"/>
              </w:rPr>
              <w:t>(34,196</w:t>
            </w:r>
          </w:p>
          <w:p>
            <w:pPr>
              <w:pStyle w:val="TableContents"/>
              <w:spacing w:before="0" w:after="0"/>
              <w:rPr/>
            </w:pPr>
            <w:r>
              <w:rPr/>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0"/>
              <w:jc w:val="right"/>
              <w:rPr>
                <w:spacing w:val="0"/>
              </w:rPr>
            </w:pPr>
            <w:r>
              <w:rPr>
                <w:spacing w:val="0"/>
              </w:rPr>
              <w:t>(1,828</w:t>
            </w:r>
          </w:p>
          <w:p>
            <w:pPr>
              <w:pStyle w:val="TableContents"/>
              <w:spacing w:before="0" w:after="0"/>
              <w:rPr/>
            </w:pPr>
            <w:r>
              <w:rPr/>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spacing w:val="0"/>
              </w:rPr>
            </w:pPr>
            <w:r>
              <w:rPr>
                <w:spacing w:val="0"/>
              </w:rPr>
              <w:t>(36,024</w:t>
            </w:r>
          </w:p>
          <w:p>
            <w:pPr>
              <w:pStyle w:val="TableContents"/>
              <w:spacing w:before="0" w:after="0"/>
              <w:rPr/>
            </w:pPr>
            <w:r>
              <w:rPr/>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payments</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0"/>
              <w:jc w:val="right"/>
              <w:rPr>
                <w:rFonts w:ascii="Times New Roman" w:hAnsi="Times New Roman"/>
                <w:spacing w:val="0"/>
                <w:sz w:val="20"/>
              </w:rPr>
            </w:pPr>
            <w:r>
              <w:rPr>
                <w:rFonts w:ascii="Times New Roman" w:hAnsi="Times New Roman"/>
                <w:spacing w:val="0"/>
                <w:sz w:val="20"/>
              </w:rPr>
              <w:t>26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3,862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spacing w:val="0"/>
              </w:rPr>
            </w:pPr>
            <w:r>
              <w:rPr>
                <w:spacing w:val="0"/>
              </w:rPr>
              <w:t>3,862</w:t>
            </w:r>
          </w:p>
          <w:p>
            <w:pPr>
              <w:pStyle w:val="TableContents"/>
              <w:spacing w:before="0" w:after="0"/>
              <w:rPr/>
            </w:pPr>
            <w:r>
              <w:rPr/>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share options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(82</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82</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Conversion of loan notes</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0"/>
              <w:rPr>
                <w:spacing w:val="0"/>
              </w:rPr>
            </w:pPr>
            <w:r>
              <w:rPr>
                <w:spacing w:val="0"/>
              </w:rPr>
              <w:t> </w:t>
            </w:r>
          </w:p>
        </w:tc>
        <w:tc>
          <w:tcPr>
            <w:tcW w:w="468" w:type="dxa"/>
            <w:tcBorders/>
            <w:shd w:fill="auto" w:val="clear"/>
            <w:vAlign w:val="center"/>
          </w:tcPr>
          <w:p>
            <w:pPr>
              <w:pStyle w:val="TableContents"/>
              <w:spacing w:before="0" w:after="283"/>
              <w:jc w:val="right"/>
              <w:rPr/>
            </w:pPr>
            <w:r>
              <w:rPr/>
              <w:t>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283"/>
              <w:jc w:val="right"/>
              <w:rPr/>
            </w:pPr>
            <w:r>
              <w:rPr/>
              <w:t>120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 xml:space="preserve">6,843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283"/>
              <w:jc w:val="right"/>
              <w:rPr/>
            </w:pPr>
            <w:r>
              <w:rPr/>
              <w:t>(1,005</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5,958</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warrants</w:t>
            </w:r>
          </w:p>
        </w:tc>
        <w:tc>
          <w:tcPr>
            <w:tcW w:w="120" w:type="dxa"/>
            <w:tcBorders/>
            <w:shd w:fill="CCEEFF" w:val="clear"/>
            <w:vAlign w:val="center"/>
          </w:tcPr>
          <w:p>
            <w:pPr>
              <w:pStyle w:val="TableContents"/>
              <w:spacing w:before="0" w:after="0"/>
              <w:rPr>
                <w:spacing w:val="0"/>
              </w:rPr>
            </w:pPr>
            <w:r>
              <w:rPr>
                <w:spacing w:val="0"/>
              </w:rPr>
              <w:t>  </w:t>
            </w:r>
          </w:p>
        </w:tc>
        <w:tc>
          <w:tcPr>
            <w:tcW w:w="107" w:type="dxa"/>
            <w:tcBorders/>
            <w:shd w:fill="CCEEFF" w:val="clear"/>
            <w:vAlign w:val="center"/>
          </w:tcPr>
          <w:p>
            <w:pPr>
              <w:pStyle w:val="TableContents"/>
              <w:spacing w:before="0" w:after="0"/>
              <w:rPr>
                <w:spacing w:val="0"/>
              </w:rPr>
            </w:pPr>
            <w:r>
              <w:rPr>
                <w:spacing w:val="0"/>
              </w:rPr>
              <w:t> </w:t>
            </w:r>
          </w:p>
        </w:tc>
        <w:tc>
          <w:tcPr>
            <w:tcW w:w="468" w:type="dxa"/>
            <w:tcBorders/>
            <w:shd w:fill="CCEEFF" w:val="clear"/>
            <w:vAlign w:val="center"/>
          </w:tcPr>
          <w:p>
            <w:pPr>
              <w:pStyle w:val="TableContents"/>
              <w:spacing w:before="0" w:after="283"/>
              <w:jc w:val="right"/>
              <w:rPr/>
            </w:pPr>
            <w:r>
              <w:rPr/>
              <w:t>22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57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r>
          </w:p>
        </w:tc>
        <w:tc>
          <w:tcPr>
            <w:tcW w:w="12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283"/>
              <w:jc w:val="right"/>
              <w:rPr/>
            </w:pPr>
            <w:r>
              <w:rPr/>
              <w:t>70</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0"/>
              <w:rPr>
                <w:spacing w:val="0"/>
              </w:rPr>
            </w:pPr>
            <w:r>
              <w:rPr>
                <w:spacing w:val="0"/>
              </w:rPr>
              <w:t> </w:t>
            </w:r>
          </w:p>
        </w:tc>
        <w:tc>
          <w:tcPr>
            <w:tcW w:w="106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7" w:type="dxa"/>
            <w:tcBorders/>
            <w:shd w:fill="CCEEFF" w:val="clear"/>
            <w:vAlign w:val="center"/>
          </w:tcPr>
          <w:p>
            <w:pPr>
              <w:pStyle w:val="TableContents"/>
              <w:spacing w:before="0" w:after="0"/>
              <w:rPr>
                <w:spacing w:val="0"/>
              </w:rPr>
            </w:pPr>
            <w:r>
              <w:rPr>
                <w:spacing w:val="0"/>
              </w:rPr>
              <w:t> </w:t>
            </w:r>
          </w:p>
        </w:tc>
        <w:tc>
          <w:tcPr>
            <w:tcW w:w="718"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2" w:type="dxa"/>
            <w:tcBorders/>
            <w:shd w:fill="CCEEFF" w:val="clear"/>
            <w:vAlign w:val="center"/>
          </w:tcPr>
          <w:p>
            <w:pPr>
              <w:pStyle w:val="TableContents"/>
              <w:spacing w:before="0" w:after="0"/>
              <w:rPr>
                <w:spacing w:val="0"/>
              </w:rPr>
            </w:pPr>
            <w:r>
              <w:rPr>
                <w:spacing w:val="0"/>
              </w:rPr>
              <w:t> </w:t>
            </w:r>
          </w:p>
        </w:tc>
        <w:tc>
          <w:tcPr>
            <w:tcW w:w="1198"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0"/>
              <w:rPr>
                <w:spacing w:val="0"/>
              </w:rPr>
            </w:pPr>
            <w:r>
              <w:rPr>
                <w:spacing w:val="0"/>
              </w:rPr>
              <w:t> </w:t>
            </w:r>
          </w:p>
        </w:tc>
        <w:tc>
          <w:tcPr>
            <w:tcW w:w="992"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70</w:t>
            </w:r>
          </w:p>
        </w:tc>
        <w:tc>
          <w:tcPr>
            <w:tcW w:w="170" w:type="dxa"/>
            <w:tcBorders/>
            <w:shd w:fill="CCEEFF"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At December 31, 2022</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574" w:type="dxa"/>
            <w:tcBorders/>
            <w:shd w:fill="auto" w:val="clear"/>
            <w:vAlign w:val="center"/>
          </w:tcPr>
          <w:p>
            <w:pPr>
              <w:pStyle w:val="TableContents"/>
              <w:spacing w:before="0" w:after="0"/>
              <w:jc w:val="right"/>
              <w:rPr>
                <w:b/>
                <w:spacing w:val="0"/>
              </w:rPr>
            </w:pPr>
            <w:r>
              <w:rPr>
                <w:b/>
                <w:spacing w:val="0"/>
              </w:rPr>
              <w:t>1,875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254,303</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132,680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rPr>
            </w:pPr>
            <w:r>
              <w:rPr>
                <w:spacing w:val="0"/>
              </w:rPr>
              <w:t> </w:t>
            </w:r>
          </w:p>
        </w:tc>
        <w:tc>
          <w:tcPr>
            <w:tcW w:w="1060" w:type="dxa"/>
            <w:tcBorders/>
            <w:shd w:fill="auto" w:val="clear"/>
            <w:vAlign w:val="center"/>
          </w:tcPr>
          <w:p>
            <w:pPr>
              <w:pStyle w:val="TableContents"/>
              <w:spacing w:before="0" w:after="0"/>
              <w:jc w:val="right"/>
              <w:rPr>
                <w:b/>
                <w:spacing w:val="0"/>
              </w:rPr>
            </w:pPr>
            <w:r>
              <w:rPr>
                <w:b/>
                <w:spacing w:val="0"/>
              </w:rPr>
              <w:t>(1,058</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rPr>
            </w:pPr>
            <w:r>
              <w:rPr>
                <w:spacing w:val="0"/>
              </w:rPr>
              <w:t> </w:t>
            </w:r>
          </w:p>
        </w:tc>
        <w:tc>
          <w:tcPr>
            <w:tcW w:w="718" w:type="dxa"/>
            <w:tcBorders/>
            <w:shd w:fill="auto" w:val="clear"/>
            <w:vAlign w:val="center"/>
          </w:tcPr>
          <w:p>
            <w:pPr>
              <w:pStyle w:val="TableContents"/>
              <w:spacing w:before="0" w:after="0"/>
              <w:jc w:val="right"/>
              <w:rPr>
                <w:b/>
                <w:spacing w:val="0"/>
              </w:rPr>
            </w:pPr>
            <w:r>
              <w:rPr>
                <w:b/>
                <w:spacing w:val="0"/>
              </w:rPr>
              <w:t>7,401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rPr>
            </w:pPr>
            <w:r>
              <w:rPr>
                <w:spacing w:val="0"/>
              </w:rPr>
              <w:t> </w:t>
            </w:r>
          </w:p>
        </w:tc>
        <w:tc>
          <w:tcPr>
            <w:tcW w:w="1198" w:type="dxa"/>
            <w:tcBorders/>
            <w:shd w:fill="auto" w:val="clear"/>
            <w:vAlign w:val="center"/>
          </w:tcPr>
          <w:p>
            <w:pPr>
              <w:pStyle w:val="TableContents"/>
              <w:spacing w:before="0" w:after="0"/>
              <w:jc w:val="right"/>
              <w:rPr>
                <w:b/>
                <w:spacing w:val="0"/>
              </w:rPr>
            </w:pPr>
            <w:r>
              <w:rPr>
                <w:b/>
                <w:spacing w:val="0"/>
              </w:rPr>
              <w:t>(331,164</w:t>
            </w:r>
          </w:p>
          <w:p>
            <w:pPr>
              <w:pStyle w:val="TableContents"/>
              <w:spacing w:before="0" w:after="0"/>
              <w:rPr>
                <w:b/>
              </w:rPr>
            </w:pPr>
            <w:r>
              <w:rPr>
                <w:b/>
              </w:rPr>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rPr>
            </w:pPr>
            <w:r>
              <w:rPr>
                <w:spacing w:val="0"/>
              </w:rPr>
              <w:t> </w:t>
            </w:r>
          </w:p>
        </w:tc>
        <w:tc>
          <w:tcPr>
            <w:tcW w:w="992" w:type="dxa"/>
            <w:tcBorders/>
            <w:shd w:fill="auto" w:val="clear"/>
            <w:vAlign w:val="center"/>
          </w:tcPr>
          <w:p>
            <w:pPr>
              <w:pStyle w:val="TableContents"/>
              <w:spacing w:before="0" w:after="0"/>
              <w:jc w:val="right"/>
              <w:rPr>
                <w:b/>
                <w:spacing w:val="0"/>
              </w:rPr>
            </w:pPr>
            <w:r>
              <w:rPr>
                <w:b/>
                <w:spacing w:val="0"/>
              </w:rPr>
              <w:t>(2,169</w:t>
            </w:r>
          </w:p>
          <w:p>
            <w:pPr>
              <w:pStyle w:val="TableContents"/>
              <w:spacing w:before="0" w:after="0"/>
              <w:rPr>
                <w:b/>
              </w:rPr>
            </w:pPr>
            <w:r>
              <w:rPr>
                <w:b/>
              </w:rPr>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61,868</w:t>
            </w:r>
          </w:p>
        </w:tc>
        <w:tc>
          <w:tcPr>
            <w:tcW w:w="170" w:type="dxa"/>
            <w:tcBorders/>
            <w:shd w:fill="auto" w:val="clear"/>
            <w:vAlign w:val="center"/>
          </w:tcPr>
          <w:p>
            <w:pPr>
              <w:pStyle w:val="TableContents"/>
              <w:spacing w:before="0" w:after="0"/>
              <w:rPr>
                <w:spacing w:val="0"/>
              </w:rPr>
            </w:pPr>
            <w:r>
              <w:rPr>
                <w:spacing w:val="0"/>
              </w:rPr>
              <w:t> </w:t>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07" w:type="dxa"/>
            <w:tcBorders/>
            <w:shd w:fill="auto" w:val="clear"/>
            <w:vAlign w:val="center"/>
          </w:tcPr>
          <w:p>
            <w:pPr>
              <w:pStyle w:val="TableContents"/>
              <w:spacing w:before="0" w:after="283"/>
              <w:rPr/>
            </w:pPr>
            <w:r>
              <w:rPr/>
              <w:t> </w:t>
            </w:r>
          </w:p>
        </w:tc>
        <w:tc>
          <w:tcPr>
            <w:tcW w:w="4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r>
          </w:p>
        </w:tc>
        <w:tc>
          <w:tcPr>
            <w:tcW w:w="1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bl>
    <w:p>
      <w:pPr>
        <w:pStyle w:val="TextBody"/>
        <w:spacing w:before="240" w:after="0"/>
        <w:ind w:left="0" w:right="0" w:hanging="0"/>
        <w:jc w:val="center"/>
        <w:rPr>
          <w:rFonts w:ascii="Times New Roman" w:hAnsi="Times New Roman"/>
          <w:i/>
          <w:caps w:val="false"/>
          <w:smallCaps w:val="false"/>
          <w:spacing w:val="0"/>
          <w:sz w:val="22"/>
        </w:rPr>
      </w:pPr>
      <w:r>
        <w:rPr>
          <w:rFonts w:ascii="Times New Roman" w:hAnsi="Times New Roman"/>
          <w:i/>
          <w:caps w:val="false"/>
          <w:smallCaps w:val="false"/>
          <w:spacing w:val="0"/>
          <w:sz w:val="22"/>
        </w:rPr>
        <w:t xml:space="preserve">The accompanying notes form an integral part of these consolidated financial </w:t>
      </w:r>
    </w:p>
    <w:p>
      <w:pPr>
        <w:pStyle w:val="TextBody"/>
        <w:spacing w:before="240" w:after="0"/>
        <w:jc w:val="center"/>
        <w:rPr>
          <w:rFonts w:ascii="Times New Roman" w:hAnsi="Times New Roman"/>
          <w:i/>
          <w:caps w:val="false"/>
          <w:smallCaps w:val="false"/>
          <w:spacing w:val="0"/>
          <w:sz w:val="22"/>
        </w:rPr>
      </w:pPr>
      <w:r>
        <w:rPr>
          <w:rFonts w:ascii="Times New Roman" w:hAnsi="Times New Roman"/>
          <w:i/>
          <w:caps w:val="false"/>
          <w:smallCaps w:val="false"/>
          <w:spacing w:val="0"/>
          <w:sz w:val="22"/>
        </w:rPr>
        <w:t>statements</w:t>
      </w:r>
    </w:p>
    <w:p>
      <w:pPr>
        <w:pStyle w:val="TextBody"/>
        <w:spacing w:before="240" w:after="0"/>
        <w:jc w:val="center"/>
        <w:rPr>
          <w:rFonts w:ascii="Times New Roman" w:hAnsi="Times New Roman"/>
          <w:i/>
          <w:caps w:val="false"/>
          <w:smallCaps w:val="false"/>
          <w:spacing w:val="0"/>
          <w:sz w:val="22"/>
        </w:rPr>
      </w:pPr>
      <w:r>
        <w:rPr>
          <w:rFonts w:ascii="Times New Roman" w:hAnsi="Times New Roman"/>
          <w:i/>
          <w:caps w:val="false"/>
          <w:smallCaps w:val="false"/>
          <w:spacing w:val="0"/>
          <w:sz w:val="22"/>
        </w:rPr>
        <w:t xml:space="preserv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2"/>
        </w:rPr>
      </w:pPr>
      <w:r>
        <w:rPr>
          <w:rFonts w:ascii="Times New Roman" w:hAnsi="Times New Roman"/>
          <w:spacing w:val="0"/>
          <w:sz w:val="22"/>
        </w:rPr>
        <w:t xml:space="preserve">MEREO BIOPHARMA GROUP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pacing w:val="0"/>
          <w:sz w:val="22"/>
        </w:rPr>
      </w:pPr>
      <w:r>
        <w:rPr>
          <w:rFonts w:ascii="Times New Roman" w:hAnsi="Times New Roman"/>
          <w:spacing w:val="0"/>
          <w:sz w:val="22"/>
        </w:rPr>
        <w:t xml:space="preserve">NOTES TO THE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2"/>
        </w:rPr>
      </w:pPr>
      <w:r>
        <w:rPr>
          <w:rFonts w:ascii="Times New Roman" w:hAnsi="Times New Roman"/>
          <w:b/>
          <w:spacing w:val="0"/>
          <w:sz w:val="22"/>
        </w:rPr>
        <w:t xml:space="preserve">1. Corporate information </w:t>
      </w:r>
    </w:p>
    <w:p>
      <w:pPr>
        <w:pStyle w:val="TextBody"/>
        <w:spacing w:before="120" w:after="0"/>
        <w:jc w:val="left"/>
        <w:rPr>
          <w:rFonts w:ascii="Times New Roman" w:hAnsi="Times New Roman"/>
          <w:spacing w:val="0"/>
          <w:sz w:val="22"/>
        </w:rPr>
      </w:pPr>
      <w:r>
        <w:rPr>
          <w:rFonts w:ascii="Times New Roman" w:hAnsi="Times New Roman"/>
          <w:spacing w:val="0"/>
          <w:sz w:val="22"/>
        </w:rPr>
        <w:t xml:space="preserve">Mereo BioPharma Group plc (the “Company” or “Mereo”) is a clinical-stage, United Kingdom (“UK”) based biopharmaceutical company focused on rare diseases. </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The Company is a public limited company incorporated and domiciled in the UK, and registered in England, with shares publicly traded on the Nasdaq Global Market via American Depositary Shares (“ADSs”) under the ticker symbol “MREO”. The Company’s ordinary shares were previously admitted to trading on the AIM market of London Stock Exchange plc with admission cancelled with effect on December 18, 2020. The Company’s registered office is located at Fourth Floor, 1 Cavendish Place, London, W1G 0QF, United Kingdom. </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The consolidated financial statements of Mereo BioPharma Group plc and its subsidiaries for the year ended December 31, 2022 were authorized for issue in accordance with a resolution of the Directors on March </w:t>
      </w:r>
    </w:p>
    <w:p>
      <w:pPr>
        <w:pStyle w:val="TextBody"/>
        <w:spacing w:before="240" w:after="0"/>
        <w:jc w:val="left"/>
        <w:rPr>
          <w:rFonts w:ascii="Times New Roman" w:hAnsi="Times New Roman"/>
          <w:spacing w:val="0"/>
          <w:sz w:val="22"/>
        </w:rPr>
      </w:pPr>
      <w:r>
        <w:rPr>
          <w:rFonts w:ascii="Times New Roman" w:hAnsi="Times New Roman"/>
          <w:spacing w:val="0"/>
          <w:sz w:val="22"/>
        </w:rPr>
        <w:t>28</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 2023. The principal activities of the Company are the development and commercialization of innovative therapeutic pharmaceutical products for rare diseases. </w:t>
      </w:r>
    </w:p>
    <w:p>
      <w:pPr>
        <w:pStyle w:val="TextBody"/>
        <w:spacing w:before="360" w:after="0"/>
        <w:jc w:val="left"/>
        <w:rPr>
          <w:rFonts w:ascii="Times New Roman" w:hAnsi="Times New Roman"/>
          <w:b/>
          <w:spacing w:val="0"/>
          <w:sz w:val="22"/>
        </w:rPr>
      </w:pPr>
      <w:r>
        <w:rPr>
          <w:rFonts w:ascii="Times New Roman" w:hAnsi="Times New Roman"/>
          <w:b/>
          <w:spacing w:val="0"/>
          <w:sz w:val="22"/>
        </w:rPr>
        <w:t xml:space="preserve">2. Significant accounting policies </w:t>
      </w:r>
    </w:p>
    <w:p>
      <w:pPr>
        <w:pStyle w:val="TextBody"/>
        <w:spacing w:before="120" w:after="0"/>
        <w:jc w:val="left"/>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Basis of preparation </w:t>
      </w:r>
    </w:p>
    <w:p>
      <w:pPr>
        <w:pStyle w:val="TextBody"/>
        <w:spacing w:before="120" w:after="0"/>
        <w:jc w:val="left"/>
        <w:rPr>
          <w:rFonts w:ascii="Times New Roman" w:hAnsi="Times New Roman"/>
          <w:spacing w:val="0"/>
          <w:sz w:val="22"/>
        </w:rPr>
      </w:pPr>
      <w:r>
        <w:rPr>
          <w:rFonts w:ascii="Times New Roman" w:hAnsi="Times New Roman"/>
          <w:spacing w:val="0"/>
          <w:sz w:val="22"/>
        </w:rPr>
        <w:t xml:space="preserve">The Company’s consolidated financial statements have been prepared in accordance with International Financial Reporting Standards (IFRS) as issued by the International Accounting Standards Board (IASB). </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The consolidated financial statements are presented in pound sterling (“£”), which is the presentational currency of the Company. The functional currencies of consolidated subsidiaries are pound sterling and US dollars (“$”). All amounts disclosed in the consolidated financial statements and notes have been rounded to the nearest thousand, unless otherwise stated. The financial statements have been prepared on the historical cost basis, except for the revaluation of certain financial instruments that are measured at fair values at the end of each reporting period, as explained in the accounting policies below. </w:t>
      </w:r>
    </w:p>
    <w:p>
      <w:pPr>
        <w:pStyle w:val="TextBody"/>
        <w:spacing w:before="360" w:after="0"/>
        <w:jc w:val="left"/>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Basis of consolidation </w:t>
      </w:r>
    </w:p>
    <w:p>
      <w:pPr>
        <w:pStyle w:val="TextBody"/>
        <w:spacing w:before="120" w:after="0"/>
        <w:jc w:val="left"/>
        <w:rPr>
          <w:rFonts w:ascii="Times New Roman" w:hAnsi="Times New Roman"/>
          <w:spacing w:val="0"/>
          <w:sz w:val="22"/>
        </w:rPr>
      </w:pPr>
      <w:r>
        <w:rPr>
          <w:rFonts w:ascii="Times New Roman" w:hAnsi="Times New Roman"/>
          <w:spacing w:val="0"/>
          <w:sz w:val="22"/>
        </w:rPr>
        <w:t xml:space="preserve">The consolidated financial information comprises the financial statements of Mereo BioPharma Group plc and its subsidiaries as at December 31, 2022. Subsidiaries are all entities over which the Company has control. The Company controls an entity when the Company is exposed to, or has rights to, variable returns from its involvement with the entity and has the ability to affect those returns through its power over the entity. </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Subsidiaries are fully consolidated from the date on which control is transferred to the Company. They are deconsolidated from the date that control ceases. Intercompany transactions, balances and unrealized gains on transactions between subsidiaries are eliminated in preparing the consolidated financial statements. Accounting policies of subsidiaries are consistent with the policies adopted by the Company. </w:t>
      </w:r>
    </w:p>
    <w:p>
      <w:pPr>
        <w:pStyle w:val="TextBody"/>
        <w:spacing w:before="240" w:after="0"/>
        <w:jc w:val="left"/>
        <w:rPr>
          <w:rFonts w:ascii="Times New Roman" w:hAnsi="Times New Roman"/>
          <w:spacing w:val="0"/>
          <w:sz w:val="22"/>
        </w:rPr>
      </w:pPr>
      <w:r>
        <w:rPr>
          <w:rFonts w:ascii="Times New Roman" w:hAnsi="Times New Roman"/>
          <w:spacing w:val="0"/>
          <w:sz w:val="22"/>
        </w:rPr>
        <w:t xml:space="preserve">The Company has an employee share trust to facilitate share transactions pursuant to employee share schemes. Although the trust is a separate legal entity from the Company, it is consolidated into the Company’s results in accordance with the IFRS 10 rules on special purpose vehicles. The Company is deemed to control the trust principally because the trust cannot operate without the funding the Company provides. </w:t>
      </w:r>
    </w:p>
    <w:p>
      <w:pPr>
        <w:pStyle w:val="TextBody"/>
        <w:spacing w:before="360" w:after="0"/>
        <w:jc w:val="left"/>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Segmental information </w:t>
      </w:r>
    </w:p>
    <w:p>
      <w:pPr>
        <w:pStyle w:val="TextBody"/>
        <w:spacing w:before="120" w:after="0"/>
        <w:jc w:val="left"/>
        <w:rPr>
          <w:rFonts w:ascii="Times New Roman" w:hAnsi="Times New Roman"/>
          <w:spacing w:val="0"/>
          <w:sz w:val="22"/>
        </w:rPr>
      </w:pPr>
      <w:r>
        <w:rPr>
          <w:rFonts w:ascii="Times New Roman" w:hAnsi="Times New Roman"/>
          <w:spacing w:val="0"/>
          <w:sz w:val="22"/>
        </w:rPr>
        <w:t xml:space="preserve">The Company has one operating segment. The Chief Operating Decision Maker (“CODM”) is the Chief Executive Officer. The Company has a single portfolio of product candidates, with only direct research and development expenses monitored at a product candidate level. The CODM makes decisions over resource allocation at an overall portfolio level and the Company’s financing is managed and monitored on a consolidated basis.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2"/>
        </w:rPr>
      </w:pPr>
      <w:r>
        <w:rPr>
          <w:rFonts w:ascii="Times New Roman" w:hAnsi="Times New Roman"/>
          <w:sz w:val="22"/>
        </w:rPr>
        <w:t xml:space="preserve">Non-current assets held by the Company are located in the United Kingdom and United States. As at December 31, 2022, </w:t>
      </w:r>
    </w:p>
    <w:p>
      <w:pPr>
        <w:pStyle w:val="TextBody"/>
        <w:spacing w:before="0" w:after="0"/>
        <w:jc w:val="left"/>
        <w:rPr>
          <w:rFonts w:ascii="Times New Roman" w:hAnsi="Times New Roman"/>
          <w:sz w:val="22"/>
        </w:rPr>
      </w:pPr>
      <w:r>
        <w:rPr>
          <w:rFonts w:ascii="Times New Roman" w:hAnsi="Times New Roman"/>
          <w:sz w:val="22"/>
        </w:rPr>
        <w:t>less than</w:t>
      </w:r>
    </w:p>
    <w:p>
      <w:pPr>
        <w:pStyle w:val="TextBody"/>
        <w:spacing w:before="0" w:after="0"/>
        <w:jc w:val="left"/>
        <w:rPr>
          <w:rFonts w:ascii="Times New Roman" w:hAnsi="Times New Roman"/>
          <w:sz w:val="22"/>
        </w:rPr>
      </w:pPr>
      <w:r>
        <w:rPr>
          <w:rFonts w:ascii="Times New Roman" w:hAnsi="Times New Roman"/>
          <w:sz w:val="22"/>
        </w:rPr>
        <w:t xml:space="preserve">£0.1 million (2021: £0.1 million) of non-current assets are located in the United States. </w:t>
      </w:r>
    </w:p>
    <w:p>
      <w:pPr>
        <w:pStyle w:val="TextBody"/>
        <w:spacing w:before="24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Going concern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going concern basis has been applied in these consolidated financial statements as the Company has adequate resources to meet its liabilities as they fall due for the foreseeable future and at least 12 months from the issuance date of these consolidated financial statements.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Company expects to incur significant operating losses for the foreseeable future as it continues its research and development efforts, seeks to obtain regulatory approval of its product candidates and pursues any future product candidates the Company may develop.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Until such time as the Company can generate significant revenue from product sales, or other commercial revenues, if ever, or through licensing and/or collaboration agreements for its rare disease or oncology product candidates, the Company will seek to finance its operations through a combination of public or private equity or debt financings or other </w:t>
      </w:r>
    </w:p>
    <w:p>
      <w:pPr>
        <w:pStyle w:val="TextBody"/>
        <w:spacing w:before="240" w:after="0"/>
        <w:jc w:val="left"/>
        <w:rPr>
          <w:rFonts w:ascii="Times New Roman" w:hAnsi="Times New Roman"/>
          <w:spacing w:val="0"/>
          <w:sz w:val="24"/>
        </w:rPr>
      </w:pPr>
      <w:r>
        <w:rPr>
          <w:rFonts w:ascii="Times New Roman" w:hAnsi="Times New Roman"/>
          <w:spacing w:val="0"/>
          <w:sz w:val="24"/>
        </w:rPr>
        <w:t>non-dilutive</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sources. </w:t>
      </w:r>
    </w:p>
    <w:p>
      <w:pPr>
        <w:pStyle w:val="TextBody"/>
        <w:spacing w:before="24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Summary of significant accounting policies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a) Revenue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 within the scope of IFRS 15, Revenue from Contracts with Customers.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Revenue includes income from licensing and collaboration agreements. Consideration received up front is recognized at the point in time in which the right to use an intangible asset is transferred and further payments received are recognized upon the achievement of specified development, regulatory, commercial or other similar milestones. For agreements with a right to access an intangible asset, revenue is recognized over time, typically on a straight-line basis over the life of the license or collaboration agreement. When there are other performance obligations in such agreements, the consideration is allocated using the residual approach and recognized when the performance obligations are satisfied.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Income from development, regulatory, commercial or similar milestones is recognized when considered highly probable that a significant reversal will not occur. Timing of the recognition of such milestones are considered to be a key judgment, as they are often dependent on third parties. In general, for milestones which are subject to the decisions of third parties (e.g. the acceptance or approval of a filing by a regulatory authority), the Company recognizes milestone income when the decision occurs.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The Company does not currently have any approved product candidates. Accordingly, no commercial sales revenue was generated during the year. </w:t>
      </w:r>
    </w:p>
    <w:p>
      <w:pPr>
        <w:pStyle w:val="TextBody"/>
        <w:spacing w:before="240" w:after="0"/>
        <w:jc w:val="left"/>
        <w:rPr>
          <w:rFonts w:ascii="Times New Roman" w:hAnsi="Times New Roman"/>
          <w:sz w:val="24"/>
        </w:rPr>
      </w:pPr>
      <w:r>
        <w:rPr>
          <w:rFonts w:ascii="Times New Roman" w:hAnsi="Times New Roman"/>
          <w:sz w:val="24"/>
        </w:rPr>
        <w:t xml:space="preserve">Intangible assets </w:t>
      </w:r>
    </w:p>
    <w:p>
      <w:pPr>
        <w:pStyle w:val="TextBody"/>
        <w:spacing w:before="240" w:after="0"/>
        <w:jc w:val="left"/>
        <w:rPr>
          <w:rFonts w:ascii="Times New Roman" w:hAnsi="Times New Roman"/>
          <w:spacing w:val="0"/>
          <w:sz w:val="24"/>
        </w:rPr>
      </w:pPr>
      <w:r>
        <w:rPr>
          <w:rFonts w:ascii="Times New Roman" w:hAnsi="Times New Roman"/>
          <w:spacing w:val="0"/>
          <w:sz w:val="24"/>
        </w:rPr>
        <w:t>out-licensed</w:t>
      </w:r>
    </w:p>
    <w:p>
      <w:pPr>
        <w:pStyle w:val="TextBody"/>
        <w:spacing w:before="240" w:after="0"/>
        <w:jc w:val="left"/>
        <w:rPr>
          <w:rFonts w:ascii="Times New Roman" w:hAnsi="Times New Roman"/>
          <w:sz w:val="24"/>
        </w:rPr>
      </w:pPr>
      <w:r>
        <w:rPr>
          <w:rFonts w:ascii="Times New Roman" w:hAnsi="Times New Roman"/>
          <w:sz w:val="24"/>
        </w:rPr>
        <w:t xml:space="preserve">under a license or collaboration agreement are recorded within “Cost of revenue” in the Company’s consolidated statement of comprehensive (loss)/income based on an allocation of cost or value of the rights that have been </w:t>
      </w:r>
    </w:p>
    <w:p>
      <w:pPr>
        <w:pStyle w:val="TextBody"/>
        <w:spacing w:before="240" w:after="0"/>
        <w:jc w:val="left"/>
        <w:rPr>
          <w:rFonts w:ascii="Times New Roman" w:hAnsi="Times New Roman"/>
          <w:spacing w:val="0"/>
          <w:sz w:val="24"/>
        </w:rPr>
      </w:pPr>
      <w:r>
        <w:rPr>
          <w:rFonts w:ascii="Times New Roman" w:hAnsi="Times New Roman"/>
          <w:spacing w:val="0"/>
          <w:sz w:val="24"/>
        </w:rPr>
        <w:t>out-licensed.</w:t>
      </w:r>
    </w:p>
    <w:p>
      <w:pPr>
        <w:pStyle w:val="TextBody"/>
        <w:spacing w:before="240" w:after="0"/>
        <w:jc w:val="left"/>
        <w:rPr>
          <w:rFonts w:ascii="Times New Roman" w:hAnsi="Times New Roman"/>
          <w:sz w:val="24"/>
        </w:rPr>
      </w:pPr>
      <w:r>
        <w:rPr>
          <w:rFonts w:ascii="Times New Roman" w:hAnsi="Times New Roman"/>
          <w:sz w:val="24"/>
        </w:rPr>
        <w:t xml:space="preserve">Payments to third parties arising as a direct consequence of the income recognized are also recorded within “Cost of revenue” in the Company’s consolidated statement of comprehensive (loss)/income.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b) Research and development (R&amp;D) expenses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Company is satisfied that it is probable that future economic benefits will result from the product candidate once completed. Capitalization ceases when the product candidate receives regulatory approval for launch. No such costs have been capitalized to date. </w:t>
      </w:r>
    </w:p>
    <w:p>
      <w:pPr>
        <w:pStyle w:val="TextBody"/>
        <w:spacing w:before="240" w:after="0"/>
        <w:jc w:val="left"/>
        <w:rPr>
          <w:rFonts w:ascii="Times New Roman" w:hAnsi="Times New Roman"/>
          <w:sz w:val="24"/>
        </w:rPr>
      </w:pPr>
      <w:r>
        <w:rPr>
          <w:rFonts w:ascii="Times New Roman" w:hAnsi="Times New Roman"/>
          <w:sz w:val="24"/>
        </w:rPr>
        <w:t xml:space="preserve">Expenditure on R&amp;D activities that do not meet the criteria for capitalization, including ongoing costs associated with acquired intellectual property rights and intellectual property rights generated internally by the Company, is recognized in the consolidated statement of comprehensive (loss)/income as incurred. Intellectual property and </w:t>
      </w:r>
    </w:p>
    <w:p>
      <w:pPr>
        <w:pStyle w:val="TextBody"/>
        <w:spacing w:before="240" w:after="0"/>
        <w:jc w:val="left"/>
        <w:rPr>
          <w:rFonts w:ascii="Times New Roman" w:hAnsi="Times New Roman"/>
          <w:spacing w:val="0"/>
          <w:sz w:val="24"/>
        </w:rPr>
      </w:pPr>
      <w:r>
        <w:rPr>
          <w:rFonts w:ascii="Times New Roman" w:hAnsi="Times New Roman"/>
          <w:spacing w:val="0"/>
          <w:sz w:val="24"/>
        </w:rPr>
        <w:t>in-process</w:t>
      </w:r>
    </w:p>
    <w:p>
      <w:pPr>
        <w:pStyle w:val="TextBody"/>
        <w:spacing w:before="240" w:after="0"/>
        <w:jc w:val="left"/>
        <w:rPr>
          <w:rFonts w:ascii="Times New Roman" w:hAnsi="Times New Roman"/>
          <w:sz w:val="24"/>
        </w:rPr>
      </w:pPr>
      <w:r>
        <w:rPr>
          <w:rFonts w:ascii="Times New Roman" w:hAnsi="Times New Roman"/>
          <w:sz w:val="24"/>
        </w:rPr>
        <w:t xml:space="preserve">R&amp;D from asset acquisitions are recognized as intangible assets at cost.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 Taxation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Tax expense recognized in the consolidated statement of comprehensive (loss)/income comprises the sum of deferred tax and current tax not recognized in other comprehensive income or directly in equity.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Current income tax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Current income tax assets and liabilities are measured at the amount expected to be recovered from or paid to the taxation authorities that are unpaid at the reporting date. Current tax is payable on taxable profit, which differs from profit or loss in the consolidated financial statements. Calculation of current tax is based on tax rates and tax laws that have been enacted, or substantively enacted, by the end of the reporting period in the jurisdictions in which the Company operates.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Amounts receivable in respect of research and development tax credits are recognized in the consolidated financial statements provided there is sufficient evidence that the amounts are recoverable. These credits are recognized within income tax in the consolidated statement of comprehensive (loss)/income.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A provision is recognized for matters in which the tax determination is uncertain but it is considered probable that there will be a future outflow of funds to a tax authority. The provisions are measured at the best estimate of the amount expected to become payable.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Deferred tax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Deferred tax is provided using the liability method on temporary differences between the tax bases of assets and liabilities and their carrying amounts for financial reporting purposes at the reporting date.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Deferred income tax assets are recognized for all deductible temporary differences, carry-forward of unused tax credits and unused tax losses, to the extent that it is probable that taxable profit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4"/>
        </w:rPr>
      </w:pPr>
      <w:r>
        <w:rPr>
          <w:rFonts w:ascii="Times New Roman" w:hAnsi="Times New Roman"/>
          <w:sz w:val="24"/>
        </w:rPr>
        <w:t xml:space="preserve">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assets to be recovered.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Deferred tax assets and liabilities are measured on an undiscounted basis at the tax rates that are expected to apply in the year when the asset or liability is realized, based on tax rates (and tax laws) enacted or substantively enacted at the end of the reporting period. </w:t>
      </w:r>
    </w:p>
    <w:p>
      <w:pPr>
        <w:pStyle w:val="TextBody"/>
        <w:spacing w:before="240" w:after="0"/>
        <w:jc w:val="left"/>
        <w:rPr>
          <w:rFonts w:ascii="Times New Roman" w:hAnsi="Times New Roman"/>
          <w:sz w:val="24"/>
        </w:rPr>
      </w:pPr>
      <w:r>
        <w:rPr>
          <w:rFonts w:ascii="Times New Roman" w:hAnsi="Times New Roman"/>
          <w:sz w:val="24"/>
        </w:rPr>
        <w:t xml:space="preserve">Deferred tax assets and liabilities are offset when there is a legally enforceable right to set off current tax assets against current tax liabilities and when they relate to income taxes levied by the same taxation authority and the Company intends to settle its current tax assets and liabilities on a net basis.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d) Foreign currencies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Items included in the consolidated financial statements are measured using the currency of the primary economic environment in which the entity operates (“the functional currency”). The consolidated financial statements are presented in pound sterling (“£”), which is the presentational currency of the Company. The functional currencies of consolidated subsidiaries are pound sterling and US dollars (“$”). </w:t>
      </w:r>
    </w:p>
    <w:p>
      <w:pPr>
        <w:pStyle w:val="TextBody"/>
        <w:spacing w:before="240" w:after="0"/>
        <w:jc w:val="left"/>
        <w:rPr>
          <w:rFonts w:ascii="Times New Roman" w:hAnsi="Times New Roman"/>
          <w:sz w:val="24"/>
        </w:rPr>
      </w:pPr>
      <w:r>
        <w:rPr>
          <w:rFonts w:ascii="Times New Roman" w:hAnsi="Times New Roman"/>
          <w:sz w:val="24"/>
        </w:rPr>
        <w:t>Transactions in foreign currencies are initially recorded by the Company at the rate prevailing on the date the transaction first qualifies for recognition. Differences arising on settlement or translation of monetary items as well as gains or losses on the re</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translation of foreign currency balances at the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period-end</w:t>
      </w:r>
    </w:p>
    <w:p>
      <w:pPr>
        <w:pStyle w:val="TextBody"/>
        <w:spacing w:before="240" w:after="0"/>
        <w:jc w:val="left"/>
        <w:rPr>
          <w:rFonts w:ascii="Times New Roman" w:hAnsi="Times New Roman"/>
          <w:sz w:val="24"/>
          <w:highlight w:val="white"/>
        </w:rPr>
      </w:pPr>
      <w:r>
        <w:rPr>
          <w:rFonts w:ascii="Times New Roman" w:hAnsi="Times New Roman"/>
          <w:sz w:val="24"/>
          <w:highlight w:val="white"/>
        </w:rPr>
        <w:t>are recognized in the consolidated statement of comprehensive (loss</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)/income.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The results and financial position of subsidiaries that have a functional currency different from the presentational currency of the Company are translated into the presentational currency (pound sterling). The assets and liabilities of such entities are translated into pound sterling at the rate of exchange prevailing at the balance sheet date. Income and expenses are translated at the average rate for the period, which approximates the exchange rates at the dates of the transactions. Fair value adjustments arising on acquisition of such entities are treated as assets and liabilities of the relevant entity and translated into pound sterling at the closing rate. The exchange differences arising on translation for consolidation are recognized in other comprehensive (loss)/income.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e) Property, plant and equipment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Depreciation is computed using the straight-line method over the estimated useful lives of the related assets. Useful lives of various property, plant and equipment are as follows: </w:t>
      </w:r>
    </w:p>
    <w:p>
      <w:pPr>
        <w:pStyle w:val="TextBody"/>
        <w:spacing w:before="0" w:after="0"/>
        <w:jc w:val="left"/>
        <w:rPr>
          <w:spacing w:val="0"/>
        </w:rPr>
      </w:pPr>
      <w:r>
        <w:rPr>
          <w:spacing w:val="0"/>
        </w:rPr>
        <w:t> </w:t>
      </w:r>
    </w:p>
    <w:tbl>
      <w:tblPr>
        <w:tblW w:w="5850" w:type="dxa"/>
        <w:jc w:val="left"/>
        <w:tblInd w:w="0" w:type="dxa"/>
        <w:tblCellMar>
          <w:top w:w="0" w:type="dxa"/>
          <w:left w:w="0" w:type="dxa"/>
          <w:bottom w:w="0" w:type="dxa"/>
          <w:right w:w="0" w:type="dxa"/>
        </w:tblCellMar>
      </w:tblPr>
      <w:tblGrid>
        <w:gridCol w:w="125"/>
        <w:gridCol w:w="120"/>
        <w:gridCol w:w="2390"/>
        <w:gridCol w:w="120"/>
        <w:gridCol w:w="3095"/>
      </w:tblGrid>
      <w:tr>
        <w:trPr/>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Leasehold improvements</w:t>
            </w:r>
          </w:p>
        </w:tc>
        <w:tc>
          <w:tcPr>
            <w:tcW w:w="12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shorter of lease term or ten years</w:t>
            </w:r>
          </w:p>
        </w:tc>
      </w:tr>
      <w:tr>
        <w:trPr/>
        <w:tc>
          <w:tcPr>
            <w:tcW w:w="125" w:type="dxa"/>
            <w:tcBorders/>
            <w:shd w:fill="auto" w:val="clear"/>
            <w:vAlign w:val="center"/>
          </w:tcPr>
          <w:p>
            <w:pPr>
              <w:pStyle w:val="TableContents"/>
              <w:spacing w:before="0" w:after="283"/>
              <w:rPr/>
            </w:pPr>
            <w:r>
              <w:rPr/>
              <w:t> </w:t>
            </w:r>
          </w:p>
        </w:tc>
        <w:tc>
          <w:tcPr>
            <w:tcW w:w="2510" w:type="dxa"/>
            <w:gridSpan w:val="2"/>
            <w:tcBorders/>
            <w:shd w:fill="auto" w:val="clear"/>
            <w:vAlign w:val="center"/>
          </w:tcPr>
          <w:p>
            <w:pPr>
              <w:pStyle w:val="TableContents"/>
              <w:spacing w:before="0" w:after="283"/>
              <w:rPr/>
            </w:pPr>
            <w:r>
              <w:rPr/>
              <w:t> </w:t>
            </w:r>
          </w:p>
        </w:tc>
        <w:tc>
          <w:tcPr>
            <w:tcW w:w="3215" w:type="dxa"/>
            <w:gridSpan w:val="2"/>
            <w:tcBorders/>
            <w:shd w:fill="auto" w:val="cle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Office equipment</w:t>
            </w:r>
          </w:p>
        </w:tc>
        <w:tc>
          <w:tcPr>
            <w:tcW w:w="12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five years</w:t>
            </w:r>
          </w:p>
        </w:tc>
      </w:tr>
      <w:tr>
        <w:trPr/>
        <w:tc>
          <w:tcPr>
            <w:tcW w:w="125" w:type="dxa"/>
            <w:tcBorders/>
            <w:shd w:fill="auto" w:val="clear"/>
            <w:vAlign w:val="center"/>
          </w:tcPr>
          <w:p>
            <w:pPr>
              <w:pStyle w:val="TableContents"/>
              <w:spacing w:before="0" w:after="283"/>
              <w:rPr/>
            </w:pPr>
            <w:r>
              <w:rPr/>
              <w:t> </w:t>
            </w:r>
          </w:p>
        </w:tc>
        <w:tc>
          <w:tcPr>
            <w:tcW w:w="2510" w:type="dxa"/>
            <w:gridSpan w:val="2"/>
            <w:tcBorders/>
            <w:shd w:fill="auto" w:val="clear"/>
            <w:vAlign w:val="center"/>
          </w:tcPr>
          <w:p>
            <w:pPr>
              <w:pStyle w:val="TableContents"/>
              <w:spacing w:before="0" w:after="283"/>
              <w:rPr/>
            </w:pPr>
            <w:r>
              <w:rPr/>
              <w:t> </w:t>
            </w:r>
          </w:p>
        </w:tc>
        <w:tc>
          <w:tcPr>
            <w:tcW w:w="3215" w:type="dxa"/>
            <w:gridSpan w:val="2"/>
            <w:tcBorders/>
            <w:shd w:fill="auto" w:val="cle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IT equipment</w:t>
            </w:r>
          </w:p>
        </w:tc>
        <w:tc>
          <w:tcPr>
            <w:tcW w:w="12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three years</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Property, plant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comprehensive (loss)/income when the asset is derecognized.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residual values, useful lives and methods of depreciation of property, plant and equipment are reviewed annually and adjusted prospectively, if appropriate.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f) Business combinations </w:t>
      </w:r>
    </w:p>
    <w:p>
      <w:pPr>
        <w:pStyle w:val="TextBody"/>
        <w:spacing w:before="240" w:after="0"/>
        <w:jc w:val="left"/>
        <w:rPr>
          <w:rFonts w:ascii="Times New Roman" w:hAnsi="Times New Roman"/>
          <w:sz w:val="24"/>
        </w:rPr>
      </w:pPr>
      <w:r>
        <w:rPr>
          <w:rFonts w:ascii="Times New Roman" w:hAnsi="Times New Roman"/>
          <w:sz w:val="24"/>
        </w:rPr>
        <w:t xml:space="preserve">Business combinations are accounted for using the acquisition method of accounting. At the date of acquisition, the Company initially recognizes the fair value of the identifiable assets acquired, the liabilities assumed and any </w:t>
      </w:r>
    </w:p>
    <w:p>
      <w:pPr>
        <w:pStyle w:val="TextBody"/>
        <w:spacing w:before="240" w:after="0"/>
        <w:jc w:val="left"/>
        <w:rPr>
          <w:rFonts w:ascii="Times New Roman" w:hAnsi="Times New Roman"/>
          <w:spacing w:val="0"/>
          <w:sz w:val="24"/>
        </w:rPr>
      </w:pPr>
      <w:r>
        <w:rPr>
          <w:rFonts w:ascii="Times New Roman" w:hAnsi="Times New Roman"/>
          <w:spacing w:val="0"/>
          <w:sz w:val="24"/>
        </w:rPr>
        <w:t>non-controlling</w:t>
      </w:r>
    </w:p>
    <w:p>
      <w:pPr>
        <w:pStyle w:val="TextBody"/>
        <w:spacing w:before="240" w:after="0"/>
        <w:jc w:val="left"/>
        <w:rPr>
          <w:rFonts w:ascii="Times New Roman" w:hAnsi="Times New Roman"/>
          <w:sz w:val="24"/>
        </w:rPr>
      </w:pPr>
      <w:r>
        <w:rPr>
          <w:rFonts w:ascii="Times New Roman" w:hAnsi="Times New Roman"/>
          <w:sz w:val="24"/>
        </w:rPr>
        <w:t xml:space="preserve">interest in the acquired business. </w:t>
      </w:r>
    </w:p>
    <w:p>
      <w:pPr>
        <w:pStyle w:val="TextBody"/>
        <w:spacing w:before="240" w:after="0"/>
        <w:jc w:val="left"/>
        <w:rPr>
          <w:rFonts w:ascii="Times New Roman" w:hAnsi="Times New Roman"/>
          <w:sz w:val="24"/>
        </w:rPr>
      </w:pPr>
      <w:r>
        <w:rPr>
          <w:rFonts w:ascii="Times New Roman" w:hAnsi="Times New Roman"/>
          <w:sz w:val="24"/>
        </w:rPr>
        <w:t xml:space="preserve">The consideration transferred is measured at fair value at the date of acquisition. The excess of the consideration transferred over the fair value of net identifiable assets of the business acquired is recorded as goodwill, unless the amount of consideration transferred is less than the fair value of net identifiable assets of the business acquired in which case the difference is recognized directly in the consolidated statement of comprehensive (loss)/income as a bargain purchase. A valuation is performed of assets and liabilities assumed on each acquisition accounted for as a business combination based on the best estimate of fair value.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Where the settlement of any part of cash consideration is deferred, the amounts payable in the future are discounted to their present value. Contingent consideration is classified either as equity or a financial liability and is recognized at fair value on the acquisition date. Amounts classified as a financial liability are subsequently remeasured to fair value in accordance with IFRS 9 (Financial Instruments), with changes in fair value recognized in the consolidated statement of comprehensive (loss)/income as an administrative expense.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Directly attributable acquisition-related costs are expensed as incurred within the consolidated statement of comprehensive (loss)/income.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g) Leases </w:t>
      </w:r>
    </w:p>
    <w:p>
      <w:pPr>
        <w:pStyle w:val="TextBody"/>
        <w:spacing w:before="240" w:after="0"/>
        <w:jc w:val="left"/>
        <w:rPr>
          <w:rFonts w:ascii="Times New Roman" w:hAnsi="Times New Roman"/>
          <w:spacing w:val="0"/>
          <w:sz w:val="24"/>
        </w:rPr>
      </w:pPr>
      <w:r>
        <w:rPr>
          <w:rFonts w:ascii="Times New Roman" w:hAnsi="Times New Roman"/>
          <w:spacing w:val="0"/>
          <w:sz w:val="24"/>
        </w:rPr>
        <w:t>Effective January 1, 2019, the Company adopted IFRS 16 (Leases) using the modified retrospective approach.</w:t>
      </w:r>
    </w:p>
    <w:p>
      <w:pPr>
        <w:pStyle w:val="TextBody"/>
        <w:spacing w:before="240" w:after="0"/>
        <w:jc w:val="left"/>
        <w:rPr>
          <w:rFonts w:ascii="Times New Roman" w:hAnsi="Times New Roman"/>
          <w:sz w:val="24"/>
        </w:rPr>
      </w:pPr>
      <w:r>
        <w:rPr>
          <w:rFonts w:ascii="Times New Roman" w:hAnsi="Times New Roman"/>
          <w:sz w:val="24"/>
        </w:rPr>
        <w:t xml:space="preserve">The Company assesses whether a contract is, or contains, a lease at inception of the contract. The Company recognizes a </w:t>
      </w:r>
    </w:p>
    <w:p>
      <w:pPr>
        <w:pStyle w:val="TextBody"/>
        <w:spacing w:before="240" w:after="0"/>
        <w:jc w:val="left"/>
        <w:rPr>
          <w:rFonts w:ascii="Times New Roman" w:hAnsi="Times New Roman"/>
          <w:spacing w:val="0"/>
          <w:sz w:val="24"/>
        </w:rPr>
      </w:pPr>
      <w:r>
        <w:rPr>
          <w:rFonts w:ascii="Times New Roman" w:hAnsi="Times New Roman"/>
          <w:spacing w:val="0"/>
          <w:sz w:val="24"/>
        </w:rPr>
        <w:t>right-of-use</w:t>
      </w:r>
    </w:p>
    <w:p>
      <w:pPr>
        <w:pStyle w:val="TextBody"/>
        <w:spacing w:before="240" w:after="0"/>
        <w:jc w:val="left"/>
        <w:rPr>
          <w:rFonts w:ascii="Times New Roman" w:hAnsi="Times New Roman"/>
          <w:sz w:val="24"/>
        </w:rPr>
      </w:pPr>
      <w:r>
        <w:rPr>
          <w:rFonts w:ascii="Times New Roman" w:hAnsi="Times New Roman"/>
          <w:sz w:val="24"/>
        </w:rPr>
        <w:t xml:space="preserve">asset and a corresponding liability with respect to all lease arrangements in which it is a lessee.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lease liability is initially measured at the present value of the lease payments that are not paid at the commencement date, discounted using the rate implicit in the lease. If this rate cannot be readily determined, the Company uses its incremental borrowing rate.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Lease payments included in the measurement of the lease liability comprise of fixed lease payments, less any lease incentives receivable. </w:t>
      </w:r>
    </w:p>
    <w:p>
      <w:pPr>
        <w:pStyle w:val="TextBody"/>
        <w:spacing w:before="240" w:after="0"/>
        <w:jc w:val="left"/>
        <w:rPr>
          <w:rFonts w:ascii="Times New Roman" w:hAnsi="Times New Roman"/>
          <w:sz w:val="24"/>
        </w:rPr>
      </w:pPr>
      <w:r>
        <w:rPr>
          <w:rFonts w:ascii="Times New Roman" w:hAnsi="Times New Roman"/>
          <w:sz w:val="24"/>
        </w:rPr>
        <w:t xml:space="preserve">The lease liability is subsequently measured by increasing the carrying amount to reflect interest on the lease liability (using the effective interest method) and by reducing the carrying amount to reflect the lease payments made. The Company remeasures the lease liability (and makes a corresponding adjustment to the related </w:t>
      </w:r>
    </w:p>
    <w:p>
      <w:pPr>
        <w:pStyle w:val="TextBody"/>
        <w:spacing w:before="240" w:after="0"/>
        <w:jc w:val="left"/>
        <w:rPr>
          <w:rFonts w:ascii="Times New Roman" w:hAnsi="Times New Roman"/>
          <w:spacing w:val="0"/>
          <w:sz w:val="24"/>
        </w:rPr>
      </w:pPr>
      <w:r>
        <w:rPr>
          <w:rFonts w:ascii="Times New Roman" w:hAnsi="Times New Roman"/>
          <w:spacing w:val="0"/>
          <w:sz w:val="24"/>
        </w:rPr>
        <w:t>right-of-use</w:t>
      </w:r>
    </w:p>
    <w:p>
      <w:pPr>
        <w:pStyle w:val="TextBody"/>
        <w:spacing w:before="240" w:after="0"/>
        <w:jc w:val="left"/>
        <w:rPr>
          <w:rFonts w:ascii="Times New Roman" w:hAnsi="Times New Roman"/>
          <w:sz w:val="24"/>
        </w:rPr>
      </w:pPr>
      <w:r>
        <w:rPr>
          <w:rFonts w:ascii="Times New Roman" w:hAnsi="Times New Roman"/>
          <w:sz w:val="24"/>
        </w:rPr>
        <w:t xml:space="preserve">asset) whenever there is a significant change in lease term, lease payments or if the lease contract is modified and the lease modification is not accounted for as a separate lease.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4"/>
        </w:rPr>
      </w:pPr>
      <w:r>
        <w:rPr>
          <w:rFonts w:ascii="Times New Roman" w:hAnsi="Times New Roman"/>
          <w:sz w:val="24"/>
        </w:rPr>
        <w:t xml:space="preserve">The </w:t>
      </w:r>
    </w:p>
    <w:p>
      <w:pPr>
        <w:pStyle w:val="TextBody"/>
        <w:spacing w:before="0" w:after="0"/>
        <w:jc w:val="left"/>
        <w:rPr>
          <w:rFonts w:ascii="Times New Roman" w:hAnsi="Times New Roman"/>
          <w:spacing w:val="0"/>
          <w:sz w:val="24"/>
        </w:rPr>
      </w:pPr>
      <w:r>
        <w:rPr>
          <w:rFonts w:ascii="Times New Roman" w:hAnsi="Times New Roman"/>
          <w:spacing w:val="0"/>
          <w:sz w:val="24"/>
        </w:rPr>
        <w:t>right-of-use</w:t>
      </w:r>
    </w:p>
    <w:p>
      <w:pPr>
        <w:pStyle w:val="TextBody"/>
        <w:spacing w:before="0" w:after="0"/>
        <w:jc w:val="left"/>
        <w:rPr>
          <w:rFonts w:ascii="Times New Roman" w:hAnsi="Times New Roman"/>
          <w:sz w:val="24"/>
        </w:rPr>
      </w:pPr>
      <w:r>
        <w:rPr>
          <w:rFonts w:ascii="Times New Roman" w:hAnsi="Times New Roman"/>
          <w:sz w:val="24"/>
        </w:rPr>
        <w:t xml:space="preserve">assets comprise the initial measurement of the corresponding lease liability and lease payments made at or before the commencement date, less any lease incentives received and any initial direct costs. They are subsequently measured at cost less accumulated depreciation and impairment losses. </w:t>
      </w:r>
    </w:p>
    <w:p>
      <w:pPr>
        <w:pStyle w:val="TextBody"/>
        <w:spacing w:before="240" w:after="0"/>
        <w:jc w:val="left"/>
        <w:rPr>
          <w:rFonts w:ascii="Times New Roman" w:hAnsi="Times New Roman"/>
          <w:sz w:val="24"/>
        </w:rPr>
      </w:pPr>
      <w:r>
        <w:rPr>
          <w:rFonts w:ascii="Times New Roman" w:hAnsi="Times New Roman"/>
          <w:sz w:val="24"/>
        </w:rPr>
        <w:t xml:space="preserve">The </w:t>
      </w:r>
    </w:p>
    <w:p>
      <w:pPr>
        <w:pStyle w:val="TextBody"/>
        <w:spacing w:before="240" w:after="0"/>
        <w:jc w:val="left"/>
        <w:rPr>
          <w:rFonts w:ascii="Times New Roman" w:hAnsi="Times New Roman"/>
          <w:spacing w:val="0"/>
          <w:sz w:val="24"/>
        </w:rPr>
      </w:pPr>
      <w:r>
        <w:rPr>
          <w:rFonts w:ascii="Times New Roman" w:hAnsi="Times New Roman"/>
          <w:spacing w:val="0"/>
          <w:sz w:val="24"/>
        </w:rPr>
        <w:t>right-of-use</w:t>
      </w:r>
    </w:p>
    <w:p>
      <w:pPr>
        <w:pStyle w:val="TextBody"/>
        <w:spacing w:before="240" w:after="0"/>
        <w:jc w:val="left"/>
        <w:rPr>
          <w:rFonts w:ascii="Times New Roman" w:hAnsi="Times New Roman"/>
          <w:sz w:val="24"/>
        </w:rPr>
      </w:pPr>
      <w:r>
        <w:rPr>
          <w:rFonts w:ascii="Times New Roman" w:hAnsi="Times New Roman"/>
          <w:sz w:val="24"/>
        </w:rPr>
        <w:t xml:space="preserve">assets are presented within property, plant and equipment. </w:t>
      </w:r>
    </w:p>
    <w:p>
      <w:pPr>
        <w:pStyle w:val="TextBody"/>
        <w:spacing w:before="240" w:after="0"/>
        <w:jc w:val="left"/>
        <w:rPr>
          <w:rFonts w:ascii="Times New Roman" w:hAnsi="Times New Roman"/>
          <w:spacing w:val="0"/>
          <w:sz w:val="24"/>
        </w:rPr>
      </w:pPr>
      <w:r>
        <w:rPr>
          <w:rFonts w:ascii="Times New Roman" w:hAnsi="Times New Roman"/>
          <w:spacing w:val="0"/>
          <w:sz w:val="24"/>
        </w:rPr>
        <w:t>Right-of-use</w:t>
      </w:r>
    </w:p>
    <w:p>
      <w:pPr>
        <w:pStyle w:val="TextBody"/>
        <w:spacing w:before="240" w:after="0"/>
        <w:jc w:val="left"/>
        <w:rPr>
          <w:rFonts w:ascii="Times New Roman" w:hAnsi="Times New Roman"/>
          <w:sz w:val="24"/>
        </w:rPr>
      </w:pPr>
      <w:r>
        <w:rPr>
          <w:rFonts w:ascii="Times New Roman" w:hAnsi="Times New Roman"/>
          <w:sz w:val="24"/>
        </w:rPr>
        <w:t xml:space="preserve">assets are depreciated over the shorter period of lease term and useful life of the underlying asset: </w:t>
      </w:r>
    </w:p>
    <w:p>
      <w:pPr>
        <w:pStyle w:val="TextBody"/>
        <w:spacing w:before="0" w:after="0"/>
        <w:jc w:val="left"/>
        <w:rPr>
          <w:spacing w:val="0"/>
        </w:rPr>
      </w:pPr>
      <w:r>
        <w:rPr>
          <w:spacing w:val="0"/>
        </w:rPr>
        <w:t> </w:t>
      </w:r>
    </w:p>
    <w:tbl>
      <w:tblPr>
        <w:tblW w:w="3630" w:type="dxa"/>
        <w:jc w:val="left"/>
        <w:tblInd w:w="0" w:type="dxa"/>
        <w:tblCellMar>
          <w:top w:w="0" w:type="dxa"/>
          <w:left w:w="0" w:type="dxa"/>
          <w:bottom w:w="0" w:type="dxa"/>
          <w:right w:w="0" w:type="dxa"/>
        </w:tblCellMar>
      </w:tblPr>
      <w:tblGrid>
        <w:gridCol w:w="125"/>
        <w:gridCol w:w="120"/>
        <w:gridCol w:w="1670"/>
        <w:gridCol w:w="120"/>
        <w:gridCol w:w="1595"/>
      </w:tblGrid>
      <w:tr>
        <w:trPr/>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0"/>
              <w:rPr>
                <w:spacing w:val="0"/>
              </w:rPr>
            </w:pPr>
            <w:r>
              <w:rPr>
                <w:spacing w:val="0"/>
              </w:rPr>
              <w:t>Right-of-use</w:t>
            </w:r>
          </w:p>
          <w:p>
            <w:pPr>
              <w:pStyle w:val="TableContents"/>
              <w:spacing w:before="0" w:after="0"/>
              <w:rPr/>
            </w:pPr>
            <w:r>
              <w:rPr/>
              <w:t>asset (building)</w:t>
            </w:r>
          </w:p>
        </w:tc>
        <w:tc>
          <w:tcPr>
            <w:tcW w:w="12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rPr/>
            </w:pPr>
            <w:r>
              <w:rPr/>
              <w:t>six to nine years</w:t>
            </w:r>
          </w:p>
        </w:tc>
      </w:tr>
      <w:tr>
        <w:trPr/>
        <w:tc>
          <w:tcPr>
            <w:tcW w:w="125" w:type="dxa"/>
            <w:tcBorders/>
            <w:shd w:fill="auto" w:val="clear"/>
            <w:vAlign w:val="center"/>
          </w:tcPr>
          <w:p>
            <w:pPr>
              <w:pStyle w:val="TableContents"/>
              <w:spacing w:before="0" w:after="283"/>
              <w:rPr>
                <w:sz w:val="4"/>
                <w:szCs w:val="4"/>
              </w:rPr>
            </w:pPr>
            <w:r>
              <w:rPr>
                <w:sz w:val="4"/>
                <w:szCs w:val="4"/>
              </w:rPr>
            </w:r>
          </w:p>
        </w:tc>
        <w:tc>
          <w:tcPr>
            <w:tcW w:w="1790"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0"/>
              <w:rPr>
                <w:spacing w:val="0"/>
              </w:rPr>
            </w:pPr>
            <w:r>
              <w:rPr>
                <w:spacing w:val="0"/>
              </w:rPr>
              <w:t>Right-of-use</w:t>
            </w:r>
          </w:p>
          <w:p>
            <w:pPr>
              <w:pStyle w:val="TableContents"/>
              <w:spacing w:before="0" w:after="0"/>
              <w:rPr/>
            </w:pPr>
            <w:r>
              <w:rPr/>
              <w:t>asset (equipment)</w:t>
            </w:r>
          </w:p>
        </w:tc>
        <w:tc>
          <w:tcPr>
            <w:tcW w:w="12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rPr/>
            </w:pPr>
            <w:r>
              <w:rPr/>
              <w:t>one to two years</w:t>
            </w:r>
          </w:p>
        </w:tc>
      </w:tr>
    </w:tbl>
    <w:p>
      <w:pPr>
        <w:pStyle w:val="TextBody"/>
        <w:spacing w:before="240" w:after="0"/>
        <w:jc w:val="left"/>
        <w:rPr>
          <w:rFonts w:ascii="Times New Roman" w:hAnsi="Times New Roman"/>
          <w:sz w:val="24"/>
        </w:rPr>
      </w:pPr>
      <w:r>
        <w:rPr>
          <w:rFonts w:ascii="Times New Roman" w:hAnsi="Times New Roman"/>
          <w:sz w:val="24"/>
        </w:rPr>
        <w:t xml:space="preserve">When the Company is an intermediate lessor, it accounts for the head lease and the </w:t>
      </w:r>
    </w:p>
    <w:p>
      <w:pPr>
        <w:pStyle w:val="TextBody"/>
        <w:spacing w:before="240" w:after="0"/>
        <w:jc w:val="left"/>
        <w:rPr>
          <w:rFonts w:ascii="Times New Roman" w:hAnsi="Times New Roman"/>
          <w:spacing w:val="0"/>
          <w:sz w:val="24"/>
        </w:rPr>
      </w:pPr>
      <w:r>
        <w:rPr>
          <w:rFonts w:ascii="Times New Roman" w:hAnsi="Times New Roman"/>
          <w:spacing w:val="0"/>
          <w:sz w:val="24"/>
        </w:rPr>
        <w:t>sub-lease</w:t>
      </w:r>
    </w:p>
    <w:p>
      <w:pPr>
        <w:pStyle w:val="TextBody"/>
        <w:spacing w:before="240" w:after="0"/>
        <w:jc w:val="left"/>
        <w:rPr>
          <w:rFonts w:ascii="Times New Roman" w:hAnsi="Times New Roman"/>
          <w:sz w:val="24"/>
        </w:rPr>
      </w:pPr>
      <w:r>
        <w:rPr>
          <w:rFonts w:ascii="Times New Roman" w:hAnsi="Times New Roman"/>
          <w:sz w:val="24"/>
        </w:rPr>
        <w:t xml:space="preserve">as two separate contracts. The </w:t>
      </w:r>
    </w:p>
    <w:p>
      <w:pPr>
        <w:pStyle w:val="TextBody"/>
        <w:spacing w:before="240" w:after="0"/>
        <w:jc w:val="left"/>
        <w:rPr>
          <w:rFonts w:ascii="Times New Roman" w:hAnsi="Times New Roman"/>
          <w:spacing w:val="0"/>
          <w:sz w:val="24"/>
        </w:rPr>
      </w:pPr>
      <w:r>
        <w:rPr>
          <w:rFonts w:ascii="Times New Roman" w:hAnsi="Times New Roman"/>
          <w:spacing w:val="0"/>
          <w:sz w:val="24"/>
        </w:rPr>
        <w:t>sub-lease</w:t>
      </w:r>
    </w:p>
    <w:p>
      <w:pPr>
        <w:pStyle w:val="TextBody"/>
        <w:spacing w:before="240" w:after="0"/>
        <w:jc w:val="left"/>
        <w:rPr>
          <w:rFonts w:ascii="Times New Roman" w:hAnsi="Times New Roman"/>
          <w:sz w:val="24"/>
        </w:rPr>
      </w:pPr>
      <w:r>
        <w:rPr>
          <w:rFonts w:ascii="Times New Roman" w:hAnsi="Times New Roman"/>
          <w:sz w:val="24"/>
        </w:rPr>
        <w:t xml:space="preserve">is classified as a finance or operating lease by reference to the </w:t>
      </w:r>
    </w:p>
    <w:p>
      <w:pPr>
        <w:pStyle w:val="TextBody"/>
        <w:spacing w:before="240" w:after="0"/>
        <w:jc w:val="left"/>
        <w:rPr>
          <w:rFonts w:ascii="Times New Roman" w:hAnsi="Times New Roman"/>
          <w:spacing w:val="0"/>
          <w:sz w:val="24"/>
        </w:rPr>
      </w:pPr>
      <w:r>
        <w:rPr>
          <w:rFonts w:ascii="Times New Roman" w:hAnsi="Times New Roman"/>
          <w:spacing w:val="0"/>
          <w:sz w:val="24"/>
        </w:rPr>
        <w:t>right-of-use</w:t>
      </w:r>
    </w:p>
    <w:p>
      <w:pPr>
        <w:pStyle w:val="TextBody"/>
        <w:spacing w:before="240" w:after="0"/>
        <w:jc w:val="left"/>
        <w:rPr>
          <w:rFonts w:ascii="Times New Roman" w:hAnsi="Times New Roman"/>
          <w:sz w:val="24"/>
        </w:rPr>
      </w:pPr>
      <w:r>
        <w:rPr>
          <w:rFonts w:ascii="Times New Roman" w:hAnsi="Times New Roman"/>
          <w:sz w:val="24"/>
        </w:rPr>
        <w:t xml:space="preserve">asset arising from the head lease. Rental income from operating leases is recognized on a straight-line basis over the term of the relevant lease.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h) Intangible assets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Intangible assets are initially recorded at cost which has been determined as the fair value of the consideration paid and payable. Assets that have been acquired through a business combination are initially recorded at fair value. The fair value of consideration is regularly reviewed based on the probability of achieving contractual milestones. Refer to policy on provision for deferred cash consideration below.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Where the consideration paid or payable is in shares, the cost is measured in accordance with IFRS 2 (Share Based Payments).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Intangible assets that are not yet available for use are reviewed for impairment at each reporting date by allocating the assets to the cash-generating units to which they relate. The estimated useful life is the lower of the legal duration and economic useful life. The estimated useful lives of intangible assets are reviewed at least annually.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Intangible assets are amortized from the date they are available for commercial use. No amortization has been recognized to date.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i) Financial instruments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Financial assets and liabilities are recognized in the consolidated balance sheet only when the Company becomes party to the contractual provisions of the instrument.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Financial assets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On initial recognition, a financial asset is classified into one of three primary measurement categories: </w:t>
      </w:r>
    </w:p>
    <w:p>
      <w:pPr>
        <w:pStyle w:val="TextBody"/>
        <w:spacing w:before="0" w:after="0"/>
        <w:jc w:val="left"/>
        <w:rPr>
          <w:spacing w:val="0"/>
        </w:rPr>
      </w:pPr>
      <w:r>
        <w:rPr>
          <w:spacing w:val="0"/>
        </w:rPr>
        <w:t> </w:t>
      </w:r>
    </w:p>
    <w:tbl>
      <w:tblPr>
        <w:tblW w:w="1840" w:type="dxa"/>
        <w:jc w:val="left"/>
        <w:tblInd w:w="0" w:type="dxa"/>
        <w:tblCellMar>
          <w:top w:w="0" w:type="dxa"/>
          <w:left w:w="0" w:type="dxa"/>
          <w:bottom w:w="0" w:type="dxa"/>
          <w:right w:w="0" w:type="dxa"/>
        </w:tblCellMar>
      </w:tblPr>
      <w:tblGrid>
        <w:gridCol w:w="75"/>
        <w:gridCol w:w="110"/>
        <w:gridCol w:w="60"/>
        <w:gridCol w:w="1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Amortized cost; </w:t>
            </w:r>
          </w:p>
        </w:tc>
      </w:tr>
    </w:tbl>
    <w:p>
      <w:pPr>
        <w:pStyle w:val="TextBody"/>
        <w:spacing w:before="0" w:after="0"/>
        <w:jc w:val="left"/>
        <w:rPr>
          <w:spacing w:val="0"/>
        </w:rPr>
      </w:pPr>
      <w:r>
        <w:rPr>
          <w:spacing w:val="0"/>
        </w:rPr>
        <w:t> </w:t>
      </w:r>
    </w:p>
    <w:tbl>
      <w:tblPr>
        <w:tblW w:w="6325" w:type="dxa"/>
        <w:jc w:val="left"/>
        <w:tblInd w:w="0" w:type="dxa"/>
        <w:tblCellMar>
          <w:top w:w="0" w:type="dxa"/>
          <w:left w:w="0" w:type="dxa"/>
          <w:bottom w:w="0" w:type="dxa"/>
          <w:right w:w="0" w:type="dxa"/>
        </w:tblCellMar>
      </w:tblPr>
      <w:tblGrid>
        <w:gridCol w:w="75"/>
        <w:gridCol w:w="110"/>
        <w:gridCol w:w="60"/>
        <w:gridCol w:w="6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Fair value through other comprehensive income (“FVOCI”); or </w:t>
            </w:r>
          </w:p>
        </w:tc>
      </w:tr>
    </w:tbl>
    <w:p>
      <w:pPr>
        <w:pStyle w:val="TextBody"/>
        <w:spacing w:before="0" w:after="0"/>
        <w:jc w:val="left"/>
        <w:rPr>
          <w:spacing w:val="0"/>
        </w:rPr>
      </w:pPr>
      <w:r>
        <w:rPr>
          <w:spacing w:val="0"/>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Fair value through profit or loss (“FVTPL”).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The initial classification into a primary measurement category depends on the nature and purpose of the financial asset. </w:t>
      </w:r>
    </w:p>
    <w:p>
      <w:pPr>
        <w:pStyle w:val="TextBody"/>
        <w:spacing w:before="0" w:after="0"/>
        <w:jc w:val="left"/>
        <w:rPr>
          <w:rFonts w:ascii="Times New Roman" w:hAnsi="Times New Roman"/>
          <w:sz w:val="24"/>
        </w:rPr>
      </w:pPr>
      <w:r>
        <w:rPr>
          <w:rFonts w:ascii="Times New Roman" w:hAnsi="Times New Roman"/>
          <w:sz w:val="24"/>
        </w:rPr>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For short-term investments, interest income and impairment gains or losses are recognized directly in the consolidated statement of comprehensive income. The difference between cumulative fair value gains or losses and the cumulative amounts recognized in the consolidated statement of comprehensive (loss)/income is recognized in other comprehensive income until derecognition, when the amounts in other comprehensive income are reclassified to the consolidated statement of comprehensive (loss)/income.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Classification as debt or equity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Debt and equity instruments are classified as either financial liabilities or as equity in accordance with the substance of the contractual arrangements and the definitions of a financial liability and an equity instrument.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Embedded derivatives </w:t>
      </w:r>
    </w:p>
    <w:p>
      <w:pPr>
        <w:pStyle w:val="TextBody"/>
        <w:spacing w:before="240" w:after="0"/>
        <w:jc w:val="left"/>
        <w:rPr>
          <w:rFonts w:ascii="Times New Roman" w:hAnsi="Times New Roman"/>
          <w:sz w:val="24"/>
        </w:rPr>
      </w:pPr>
      <w:r>
        <w:rPr>
          <w:rFonts w:ascii="Times New Roman" w:hAnsi="Times New Roman"/>
          <w:sz w:val="24"/>
        </w:rPr>
        <w:t xml:space="preserve">An embedded derivative is a component of a hybrid contract that also includes a </w:t>
      </w:r>
    </w:p>
    <w:p>
      <w:pPr>
        <w:pStyle w:val="TextBody"/>
        <w:spacing w:before="240" w:after="0"/>
        <w:jc w:val="left"/>
        <w:rPr>
          <w:rFonts w:ascii="Times New Roman" w:hAnsi="Times New Roman"/>
          <w:spacing w:val="0"/>
          <w:sz w:val="24"/>
        </w:rPr>
      </w:pPr>
      <w:r>
        <w:rPr>
          <w:rFonts w:ascii="Times New Roman" w:hAnsi="Times New Roman"/>
          <w:spacing w:val="0"/>
          <w:sz w:val="24"/>
        </w:rPr>
        <w:t>non-derivative</w:t>
      </w:r>
    </w:p>
    <w:p>
      <w:pPr>
        <w:pStyle w:val="TextBody"/>
        <w:spacing w:before="240" w:after="0"/>
        <w:jc w:val="left"/>
        <w:rPr>
          <w:rFonts w:ascii="Times New Roman" w:hAnsi="Times New Roman"/>
          <w:sz w:val="24"/>
        </w:rPr>
      </w:pPr>
      <w:r>
        <w:rPr>
          <w:rFonts w:ascii="Times New Roman" w:hAnsi="Times New Roman"/>
          <w:sz w:val="24"/>
        </w:rPr>
        <w:t xml:space="preserve">host with the effect that some of the cash flows of the combined instrument vary in a way similar to a stand-alone derivative. Derivatives embedded in hybrid contracts with hosts that are not financial assets within the scope of IFRS 9 (e.g. financial liabilities) are treated as separate derivatives when they meet the definition of a derivative, their risks and characteristics are not closely related to those of the host contracts and the host contracts are not measured at FVTPL.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Convertible loan notes </w:t>
      </w:r>
    </w:p>
    <w:p>
      <w:pPr>
        <w:pStyle w:val="TextBody"/>
        <w:spacing w:before="240" w:after="0"/>
        <w:jc w:val="left"/>
        <w:rPr>
          <w:rFonts w:ascii="Times New Roman" w:hAnsi="Times New Roman"/>
          <w:sz w:val="24"/>
        </w:rPr>
      </w:pPr>
      <w:r>
        <w:rPr>
          <w:rFonts w:ascii="Times New Roman" w:hAnsi="Times New Roman"/>
          <w:sz w:val="24"/>
        </w:rPr>
        <w:t xml:space="preserve">Convertible loan notes are regarded as compound instruments consisting of a liability component and an equity component. At the date of issue, the fair value of the liability component is estimated using a discount rate for an equivalent liability without the conversion feature. This amount is recorded as a liability on an amortized cost basis using the effective interest method until extinguished upon conversion or at the instrument’s maturity date. The difference between the proceeds from the issue of the convertible loan note and the fair value assigned to the liability component is included in equity and not subsequently remeasured. Upon conversion, the amount initially recognized in “Other capital reserves” will be transferred to “Share premium.”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Financial liabilities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All financial liabilities are measured subsequently at amortized cost using the effective interest method or at FVTPL.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Borrowings (including interest-bearing loans)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Under the effective interest method, amortization is included as a finance cost in the consolidated statement of comprehensive (loss)/income. </w:t>
      </w:r>
    </w:p>
    <w:p>
      <w:pPr>
        <w:pStyle w:val="TextBody"/>
        <w:spacing w:before="240" w:after="0"/>
        <w:jc w:val="left"/>
        <w:rPr>
          <w:rFonts w:ascii="Times New Roman" w:hAnsi="Times New Roman"/>
          <w:spacing w:val="0"/>
          <w:sz w:val="24"/>
        </w:rPr>
      </w:pPr>
      <w:r>
        <w:rPr>
          <w:rFonts w:ascii="Times New Roman" w:hAnsi="Times New Roman"/>
          <w:spacing w:val="0"/>
          <w:sz w:val="24"/>
        </w:rPr>
        <w:t>Non-substantial</w:t>
      </w:r>
    </w:p>
    <w:p>
      <w:pPr>
        <w:pStyle w:val="TextBody"/>
        <w:spacing w:before="240" w:after="0"/>
        <w:jc w:val="left"/>
        <w:rPr>
          <w:rFonts w:ascii="Times New Roman" w:hAnsi="Times New Roman"/>
          <w:sz w:val="24"/>
        </w:rPr>
      </w:pPr>
      <w:r>
        <w:rPr>
          <w:rFonts w:ascii="Times New Roman" w:hAnsi="Times New Roman"/>
          <w:sz w:val="24"/>
        </w:rPr>
        <w:t xml:space="preserve">modifications to financial liabilities are measured at amortized cost with the associated gain or loss recognized in the consolidated statement of comprehensive (loss)/income. The gain or loss is computed as the difference between the original contractual cash flows and the modified cash flows, discounted at the original effective interest rate. For substantial modifications, the existing financial liability is derecognized and a new financial liability is established.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Borrowings are derecognized from the balance sheet when the obligation specified in the contract is discharged, cancelled or expired.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The warrant instruments are recorded at fair value, with changes in the fair value recognized in the consolidated statement of comprehensive (loss)/income, where the terms of the warrant instruments allow for cashless exercise.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j) Fair value measurement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w:t>
      </w:r>
    </w:p>
    <w:p>
      <w:pPr>
        <w:pStyle w:val="TextBody"/>
        <w:spacing w:before="0" w:after="0"/>
        <w:jc w:val="left"/>
        <w:rPr>
          <w:spacing w:val="0"/>
        </w:rPr>
      </w:pPr>
      <w:r>
        <w:rPr>
          <w:spacing w:val="0"/>
        </w:rPr>
        <w:t> </w:t>
      </w:r>
    </w:p>
    <w:tbl>
      <w:tblPr>
        <w:tblW w:w="4990" w:type="dxa"/>
        <w:jc w:val="left"/>
        <w:tblInd w:w="0" w:type="dxa"/>
        <w:tblCellMar>
          <w:top w:w="0" w:type="dxa"/>
          <w:left w:w="0" w:type="dxa"/>
          <w:bottom w:w="0" w:type="dxa"/>
          <w:right w:w="0" w:type="dxa"/>
        </w:tblCellMar>
      </w:tblPr>
      <w:tblGrid>
        <w:gridCol w:w="75"/>
        <w:gridCol w:w="110"/>
        <w:gridCol w:w="60"/>
        <w:gridCol w:w="4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In the principal market for the asset or liability;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In the absence of a principal market, in the most advantageous market for the asset or liability. The principal or the most advantageous market must be accessible by the Company. </w:t>
            </w:r>
          </w:p>
        </w:tc>
      </w:tr>
    </w:tbl>
    <w:p>
      <w:pPr>
        <w:pStyle w:val="TextBody"/>
        <w:spacing w:before="240" w:after="0"/>
        <w:jc w:val="left"/>
        <w:rPr>
          <w:rFonts w:ascii="Times New Roman" w:hAnsi="Times New Roman"/>
          <w:spacing w:val="0"/>
          <w:sz w:val="24"/>
        </w:rPr>
      </w:pPr>
      <w:r>
        <w:rPr>
          <w:rFonts w:ascii="Times New Roman" w:hAnsi="Times New Roman"/>
          <w:spacing w:val="0"/>
          <w:sz w:val="24"/>
        </w:rPr>
        <w:t xml:space="preserve">The fair value of an asset or a liability is measured using the assumptions that market participants would use when pricing the asset or liability, assuming that market participants act in their economic best interest.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Company uses valuation techniques that are appropriate in the circumstances and for which sufficient data are available to measure fair value, maximizing the use of relevant observable inputs and minimizing the use of unobservable inputs.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All assets and liabilities for which fair value is measured or disclosed in the consolidated financial statements are categorized within the fair value hierarchy, described as follows, based on the lowest level input that is significant to the fair value measurement as a whole: </w:t>
      </w:r>
    </w:p>
    <w:p>
      <w:pPr>
        <w:pStyle w:val="TextBody"/>
        <w:spacing w:before="0" w:after="0"/>
        <w:jc w:val="left"/>
        <w:rPr>
          <w:spacing w:val="0"/>
        </w:rPr>
      </w:pPr>
      <w:r>
        <w:rPr>
          <w:spacing w:val="0"/>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Level 1 — quoted (unadjusted) market prices in active markets for identical assets or liabilities.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Level 2 — valuation techniques for which the lowest level input that is significant to the fair value measurement is directly or indirectly observable.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Level 3 — valuation techniques for which the lowest level input that is significant to the fair value measurement is unobservable. </w:t>
            </w:r>
          </w:p>
        </w:tc>
      </w:tr>
    </w:tbl>
    <w:p>
      <w:pPr>
        <w:pStyle w:val="TextBody"/>
        <w:spacing w:before="240" w:after="0"/>
        <w:jc w:val="left"/>
        <w:rPr>
          <w:rFonts w:ascii="Times New Roman" w:hAnsi="Times New Roman"/>
          <w:spacing w:val="0"/>
          <w:sz w:val="24"/>
        </w:rPr>
      </w:pPr>
      <w:r>
        <w:rPr>
          <w:rFonts w:ascii="Times New Roman" w:hAnsi="Times New Roman"/>
          <w:spacing w:val="0"/>
          <w:sz w:val="24"/>
        </w:rPr>
        <w:t xml:space="preserve">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k) Impairment of </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non-financial</w:t>
      </w:r>
    </w:p>
    <w:p>
      <w:pPr>
        <w:pStyle w:val="TextBody"/>
        <w:spacing w:before="24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assets </w:t>
      </w:r>
    </w:p>
    <w:p>
      <w:pPr>
        <w:pStyle w:val="TextBody"/>
        <w:spacing w:before="240" w:after="0"/>
        <w:jc w:val="left"/>
        <w:rPr>
          <w:rFonts w:ascii="Times New Roman" w:hAnsi="Times New Roman"/>
          <w:sz w:val="24"/>
        </w:rPr>
      </w:pPr>
      <w:r>
        <w:rPr>
          <w:rFonts w:ascii="Times New Roman" w:hAnsi="Times New Roman"/>
          <w:sz w:val="24"/>
        </w:rPr>
        <w:t xml:space="preserve">Further disclosures relating to impairment of </w:t>
      </w:r>
    </w:p>
    <w:p>
      <w:pPr>
        <w:pStyle w:val="TextBody"/>
        <w:spacing w:before="240" w:after="0"/>
        <w:jc w:val="left"/>
        <w:rPr>
          <w:rFonts w:ascii="Times New Roman" w:hAnsi="Times New Roman"/>
          <w:spacing w:val="0"/>
          <w:sz w:val="24"/>
        </w:rPr>
      </w:pPr>
      <w:r>
        <w:rPr>
          <w:rFonts w:ascii="Times New Roman" w:hAnsi="Times New Roman"/>
          <w:spacing w:val="0"/>
          <w:sz w:val="24"/>
        </w:rPr>
        <w:t>non-financial</w:t>
      </w:r>
    </w:p>
    <w:p>
      <w:pPr>
        <w:pStyle w:val="TextBody"/>
        <w:spacing w:before="240" w:after="0"/>
        <w:jc w:val="left"/>
        <w:rPr>
          <w:rFonts w:ascii="Times New Roman" w:hAnsi="Times New Roman"/>
          <w:sz w:val="24"/>
        </w:rPr>
      </w:pPr>
      <w:r>
        <w:rPr>
          <w:rFonts w:ascii="Times New Roman" w:hAnsi="Times New Roman"/>
          <w:sz w:val="24"/>
        </w:rPr>
        <w:t xml:space="preserve">assets are also provided in the following notes: </w:t>
      </w:r>
    </w:p>
    <w:p>
      <w:pPr>
        <w:pStyle w:val="TextBody"/>
        <w:spacing w:before="0" w:after="0"/>
        <w:jc w:val="left"/>
        <w:rPr>
          <w:spacing w:val="0"/>
        </w:rPr>
      </w:pPr>
      <w:r>
        <w:rPr>
          <w:spacing w:val="0"/>
        </w:rPr>
        <w:t> </w:t>
      </w:r>
    </w:p>
    <w:tbl>
      <w:tblPr>
        <w:tblW w:w="5835" w:type="dxa"/>
        <w:jc w:val="left"/>
        <w:tblInd w:w="0" w:type="dxa"/>
        <w:tblCellMar>
          <w:top w:w="0" w:type="dxa"/>
          <w:left w:w="0" w:type="dxa"/>
          <w:bottom w:w="0" w:type="dxa"/>
          <w:right w:w="0" w:type="dxa"/>
        </w:tblCellMar>
      </w:tblPr>
      <w:tblGrid>
        <w:gridCol w:w="125"/>
        <w:gridCol w:w="120"/>
        <w:gridCol w:w="3875"/>
        <w:gridCol w:w="120"/>
        <w:gridCol w:w="1595"/>
      </w:tblGrid>
      <w:tr>
        <w:trPr/>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283"/>
              <w:rPr/>
            </w:pPr>
            <w:r>
              <w:rPr/>
              <w:t>Disclosures for significant assumptions</w:t>
            </w:r>
          </w:p>
        </w:tc>
        <w:tc>
          <w:tcPr>
            <w:tcW w:w="12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rPr/>
            </w:pPr>
            <w:r>
              <w:rPr/>
              <w:t>Note 3</w:t>
            </w:r>
          </w:p>
        </w:tc>
      </w:tr>
      <w:tr>
        <w:trPr/>
        <w:tc>
          <w:tcPr>
            <w:tcW w:w="125" w:type="dxa"/>
            <w:tcBorders/>
            <w:shd w:fill="auto" w:val="clear"/>
            <w:vAlign w:val="center"/>
          </w:tcPr>
          <w:p>
            <w:pPr>
              <w:pStyle w:val="TableContents"/>
              <w:spacing w:before="0" w:after="283"/>
              <w:rPr>
                <w:sz w:val="4"/>
                <w:szCs w:val="4"/>
              </w:rPr>
            </w:pPr>
            <w:r>
              <w:rPr>
                <w:sz w:val="4"/>
                <w:szCs w:val="4"/>
              </w:rPr>
            </w:r>
          </w:p>
        </w:tc>
        <w:tc>
          <w:tcPr>
            <w:tcW w:w="3995"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283"/>
              <w:rPr/>
            </w:pPr>
            <w:r>
              <w:rPr/>
              <w:t>Property, plant and equipment</w:t>
            </w:r>
          </w:p>
        </w:tc>
        <w:tc>
          <w:tcPr>
            <w:tcW w:w="12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rPr/>
            </w:pPr>
            <w:r>
              <w:rPr/>
              <w:t>Note 12</w:t>
            </w:r>
          </w:p>
        </w:tc>
      </w:tr>
      <w:tr>
        <w:trPr/>
        <w:tc>
          <w:tcPr>
            <w:tcW w:w="125" w:type="dxa"/>
            <w:tcBorders/>
            <w:shd w:fill="auto" w:val="clear"/>
            <w:vAlign w:val="center"/>
          </w:tcPr>
          <w:p>
            <w:pPr>
              <w:pStyle w:val="TableContents"/>
              <w:spacing w:before="0" w:after="283"/>
              <w:rPr>
                <w:sz w:val="4"/>
                <w:szCs w:val="4"/>
              </w:rPr>
            </w:pPr>
            <w:r>
              <w:rPr>
                <w:sz w:val="4"/>
                <w:szCs w:val="4"/>
              </w:rPr>
            </w:r>
          </w:p>
        </w:tc>
        <w:tc>
          <w:tcPr>
            <w:tcW w:w="3995"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283"/>
              <w:rPr/>
            </w:pPr>
            <w:r>
              <w:rPr/>
              <w:t>Intangible assets not yet available for use</w:t>
            </w:r>
          </w:p>
        </w:tc>
        <w:tc>
          <w:tcPr>
            <w:tcW w:w="12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rPr/>
            </w:pPr>
            <w:r>
              <w:rPr/>
              <w:t>Notes 13 and 14</w:t>
            </w:r>
          </w:p>
        </w:tc>
      </w:tr>
    </w:tbl>
    <w:p>
      <w:pPr>
        <w:pStyle w:val="TextBody"/>
        <w:spacing w:before="240" w:after="0"/>
        <w:jc w:val="left"/>
        <w:rPr>
          <w:rFonts w:ascii="Times New Roman" w:hAnsi="Times New Roman"/>
          <w:spacing w:val="0"/>
          <w:sz w:val="24"/>
        </w:rPr>
      </w:pPr>
      <w:r>
        <w:rPr>
          <w:rFonts w:ascii="Times New Roman" w:hAnsi="Times New Roman"/>
          <w:spacing w:val="0"/>
          <w:sz w:val="24"/>
        </w:rPr>
        <w:t xml:space="preserve">At each reporting date, the Company assesses whether there is any indication that an asset may be impaired. If any such indication exists, or when annual impairment testing for an asset is required,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the Company estimates the asset’s recoverable amount. An asset’s recoverable amount is the higher of an asset’s or cash-generating unit’s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cash-generating unit exceeds its recoverable amount, the asset is considered impaired and is written down to its recoverable amount. </w:t>
      </w:r>
    </w:p>
    <w:p>
      <w:pPr>
        <w:pStyle w:val="TextBody"/>
        <w:spacing w:before="260" w:after="0"/>
        <w:jc w:val="left"/>
        <w:rPr>
          <w:rFonts w:ascii="Times New Roman" w:hAnsi="Times New Roman"/>
          <w:sz w:val="24"/>
        </w:rPr>
      </w:pPr>
      <w:r>
        <w:rPr>
          <w:rFonts w:ascii="Times New Roman" w:hAnsi="Times New Roman"/>
          <w:sz w:val="24"/>
        </w:rPr>
        <w:t xml:space="preserve">In assessing value in use, the estimated future cash flows are discounted to their present value using a </w:t>
      </w:r>
    </w:p>
    <w:p>
      <w:pPr>
        <w:pStyle w:val="TextBody"/>
        <w:spacing w:before="260" w:after="0"/>
        <w:jc w:val="left"/>
        <w:rPr>
          <w:rFonts w:ascii="Times New Roman" w:hAnsi="Times New Roman"/>
          <w:spacing w:val="0"/>
          <w:sz w:val="24"/>
        </w:rPr>
      </w:pPr>
      <w:r>
        <w:rPr>
          <w:rFonts w:ascii="Times New Roman" w:hAnsi="Times New Roman"/>
          <w:spacing w:val="0"/>
          <w:sz w:val="24"/>
        </w:rPr>
        <w:t>pre-tax</w:t>
      </w:r>
    </w:p>
    <w:p>
      <w:pPr>
        <w:pStyle w:val="TextBody"/>
        <w:spacing w:before="260" w:after="0"/>
        <w:jc w:val="left"/>
        <w:rPr>
          <w:rFonts w:ascii="Times New Roman" w:hAnsi="Times New Roman"/>
          <w:sz w:val="24"/>
        </w:rPr>
      </w:pPr>
      <w:r>
        <w:rPr>
          <w:rFonts w:ascii="Times New Roman" w:hAnsi="Times New Roman"/>
          <w:sz w:val="24"/>
        </w:rPr>
        <w:t xml:space="preserve">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Impairment losses are recognized in the consolidated statement of comprehensive (loss)/income in expense categories consistent with the function of the impaired asset.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An assessment is made at each reporting date to determine whether there is an indication that previously recognized impairment losses no longer exist or have decreased. If such indication exists, the Company estimates the asset’s or cash-generating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comprehensive (loss)/income unless the asset is carried at a revalued amount, in which case the reversal is treated as a revaluation increase.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l) Cash and short-term deposits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Cash and short-term deposits in the balance sheet comprise cash at banks and on hand along with short-term deposits with a maturity of three months or less, which are subject to an insignificant risk of changes in value.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m) Provisions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 When the Company expects some or all of a provision to be reimbursed, for example, under an insurance contract, the reimbursement is recognized as a separate asset, but only when the reimbursement is virtually certain. The expense relating to a provision is presented in the consolidated statement of comprehensive (loss)/income net of any reimbursement. </w:t>
      </w:r>
    </w:p>
    <w:p>
      <w:pPr>
        <w:pStyle w:val="TextBody"/>
        <w:spacing w:before="260" w:after="0"/>
        <w:jc w:val="left"/>
        <w:rPr>
          <w:rFonts w:ascii="Times New Roman" w:hAnsi="Times New Roman"/>
          <w:sz w:val="24"/>
        </w:rPr>
      </w:pPr>
      <w:r>
        <w:rPr>
          <w:rFonts w:ascii="Times New Roman" w:hAnsi="Times New Roman"/>
          <w:sz w:val="24"/>
        </w:rPr>
        <w:t xml:space="preserve">If the effect of the time value of money is material, provisions are discounted using a current </w:t>
      </w:r>
    </w:p>
    <w:p>
      <w:pPr>
        <w:pStyle w:val="TextBody"/>
        <w:spacing w:before="260" w:after="0"/>
        <w:jc w:val="left"/>
        <w:rPr>
          <w:rFonts w:ascii="Times New Roman" w:hAnsi="Times New Roman"/>
          <w:spacing w:val="0"/>
          <w:sz w:val="24"/>
        </w:rPr>
      </w:pPr>
      <w:r>
        <w:rPr>
          <w:rFonts w:ascii="Times New Roman" w:hAnsi="Times New Roman"/>
          <w:spacing w:val="0"/>
          <w:sz w:val="24"/>
        </w:rPr>
        <w:t>pre-tax</w:t>
      </w:r>
    </w:p>
    <w:p>
      <w:pPr>
        <w:pStyle w:val="TextBody"/>
        <w:spacing w:before="260" w:after="0"/>
        <w:jc w:val="left"/>
        <w:rPr>
          <w:rFonts w:ascii="Times New Roman" w:hAnsi="Times New Roman"/>
          <w:sz w:val="24"/>
        </w:rPr>
      </w:pPr>
      <w:r>
        <w:rPr>
          <w:rFonts w:ascii="Times New Roman" w:hAnsi="Times New Roman"/>
          <w:sz w:val="24"/>
        </w:rPr>
        <w:t xml:space="preserve">rate that reflects, when appropriate, the risks specific to the liability. When discounting is used, the increase in the provision due to the passage of time is recognized as a finance cost. </w:t>
      </w:r>
    </w:p>
    <w:p>
      <w:pPr>
        <w:pStyle w:val="TextBody"/>
        <w:spacing w:before="260" w:after="0"/>
        <w:jc w:val="left"/>
        <w:rPr>
          <w:rFonts w:ascii="Times New Roman" w:hAnsi="Times New Roman"/>
          <w:sz w:val="24"/>
        </w:rPr>
      </w:pPr>
      <w:r>
        <w:rPr>
          <w:rFonts w:ascii="Times New Roman" w:hAnsi="Times New Roman"/>
          <w:sz w:val="24"/>
        </w:rPr>
        <w:t xml:space="preserve">Where contingent payments relate to future use of the </w:t>
      </w:r>
    </w:p>
    <w:p>
      <w:pPr>
        <w:pStyle w:val="TextBody"/>
        <w:spacing w:before="260" w:after="0"/>
        <w:jc w:val="left"/>
        <w:rPr>
          <w:rFonts w:ascii="Times New Roman" w:hAnsi="Times New Roman"/>
          <w:spacing w:val="0"/>
          <w:sz w:val="24"/>
        </w:rPr>
      </w:pPr>
      <w:r>
        <w:rPr>
          <w:rFonts w:ascii="Times New Roman" w:hAnsi="Times New Roman"/>
          <w:spacing w:val="0"/>
          <w:sz w:val="24"/>
        </w:rPr>
        <w:t>in-licensed</w:t>
      </w:r>
    </w:p>
    <w:p>
      <w:pPr>
        <w:pStyle w:val="TextBody"/>
        <w:spacing w:before="260" w:after="0"/>
        <w:jc w:val="left"/>
        <w:rPr>
          <w:rFonts w:ascii="Times New Roman" w:hAnsi="Times New Roman"/>
          <w:sz w:val="24"/>
        </w:rPr>
      </w:pPr>
      <w:r>
        <w:rPr>
          <w:rFonts w:ascii="Times New Roman" w:hAnsi="Times New Roman"/>
          <w:sz w:val="24"/>
        </w:rPr>
        <w:t xml:space="preserve">IP, no liability or provision is recognized for variable amounts to be paid to the vendors based on future events unless such arrangements are onerous. The liability (and corresponding expense in the income statement) to the vendors is recognized as an obligation arises.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n) Provision for deferred cash consideration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 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o) Share-based payments </w:t>
      </w:r>
    </w:p>
    <w:p>
      <w:pPr>
        <w:pStyle w:val="TextBody"/>
        <w:spacing w:before="260" w:after="0"/>
        <w:jc w:val="left"/>
        <w:rPr>
          <w:rFonts w:ascii="Times New Roman" w:hAnsi="Times New Roman"/>
          <w:sz w:val="24"/>
        </w:rPr>
      </w:pPr>
      <w:r>
        <w:rPr>
          <w:rFonts w:ascii="Times New Roman" w:hAnsi="Times New Roman"/>
          <w:sz w:val="24"/>
        </w:rPr>
        <w:t xml:space="preserve">Employees (including executives) and </w:t>
      </w:r>
    </w:p>
    <w:p>
      <w:pPr>
        <w:pStyle w:val="TextBody"/>
        <w:spacing w:before="260" w:after="0"/>
        <w:jc w:val="left"/>
        <w:rPr>
          <w:rFonts w:ascii="Times New Roman" w:hAnsi="Times New Roman"/>
          <w:spacing w:val="0"/>
          <w:sz w:val="24"/>
        </w:rPr>
      </w:pPr>
      <w:r>
        <w:rPr>
          <w:rFonts w:ascii="Times New Roman" w:hAnsi="Times New Roman"/>
          <w:spacing w:val="0"/>
          <w:sz w:val="24"/>
        </w:rPr>
        <w:t>non-executive</w:t>
      </w:r>
    </w:p>
    <w:p>
      <w:pPr>
        <w:pStyle w:val="TextBody"/>
        <w:spacing w:before="260" w:after="0"/>
        <w:jc w:val="left"/>
        <w:rPr>
          <w:rFonts w:ascii="Times New Roman" w:hAnsi="Times New Roman"/>
          <w:sz w:val="24"/>
        </w:rPr>
      </w:pPr>
      <w:r>
        <w:rPr>
          <w:rFonts w:ascii="Times New Roman" w:hAnsi="Times New Roman"/>
          <w:sz w:val="24"/>
        </w:rPr>
        <w:t xml:space="preserve">directors of the Company receive remuneration in the form of share-based payments, whereby employees and </w:t>
      </w:r>
    </w:p>
    <w:p>
      <w:pPr>
        <w:pStyle w:val="TextBody"/>
        <w:spacing w:before="260" w:after="0"/>
        <w:jc w:val="left"/>
        <w:rPr>
          <w:rFonts w:ascii="Times New Roman" w:hAnsi="Times New Roman"/>
          <w:spacing w:val="0"/>
          <w:sz w:val="24"/>
        </w:rPr>
      </w:pPr>
      <w:r>
        <w:rPr>
          <w:rFonts w:ascii="Times New Roman" w:hAnsi="Times New Roman"/>
          <w:spacing w:val="0"/>
          <w:sz w:val="24"/>
        </w:rPr>
        <w:t>non-executive</w:t>
      </w:r>
    </w:p>
    <w:p>
      <w:pPr>
        <w:pStyle w:val="TextBody"/>
        <w:spacing w:before="260" w:after="0"/>
        <w:jc w:val="left"/>
        <w:rPr>
          <w:rFonts w:ascii="Times New Roman" w:hAnsi="Times New Roman"/>
          <w:sz w:val="24"/>
        </w:rPr>
      </w:pPr>
      <w:r>
        <w:rPr>
          <w:rFonts w:ascii="Times New Roman" w:hAnsi="Times New Roman"/>
          <w:sz w:val="24"/>
        </w:rPr>
        <w:t xml:space="preserve">directors render services as consideration for equity instruments (equity settled transactions). </w:t>
      </w:r>
    </w:p>
    <w:p>
      <w:pPr>
        <w:pStyle w:val="TextBody"/>
        <w:spacing w:before="260" w:after="0"/>
        <w:jc w:val="left"/>
        <w:rPr>
          <w:rFonts w:ascii="Times New Roman" w:hAnsi="Times New Roman"/>
          <w:sz w:val="24"/>
        </w:rPr>
      </w:pPr>
      <w:r>
        <w:rPr>
          <w:rFonts w:ascii="Times New Roman" w:hAnsi="Times New Roman"/>
          <w:sz w:val="24"/>
        </w:rPr>
        <w:t xml:space="preserve">Incentives in the form of shares are provided to employees and </w:t>
      </w:r>
    </w:p>
    <w:p>
      <w:pPr>
        <w:pStyle w:val="TextBody"/>
        <w:spacing w:before="260" w:after="0"/>
        <w:jc w:val="left"/>
        <w:rPr>
          <w:rFonts w:ascii="Times New Roman" w:hAnsi="Times New Roman"/>
          <w:spacing w:val="0"/>
          <w:sz w:val="24"/>
        </w:rPr>
      </w:pPr>
      <w:r>
        <w:rPr>
          <w:rFonts w:ascii="Times New Roman" w:hAnsi="Times New Roman"/>
          <w:spacing w:val="0"/>
          <w:sz w:val="24"/>
        </w:rPr>
        <w:t>non-executive</w:t>
      </w:r>
    </w:p>
    <w:p>
      <w:pPr>
        <w:pStyle w:val="TextBody"/>
        <w:spacing w:before="260" w:after="0"/>
        <w:jc w:val="left"/>
        <w:rPr>
          <w:rFonts w:ascii="Times New Roman" w:hAnsi="Times New Roman"/>
          <w:sz w:val="24"/>
        </w:rPr>
      </w:pPr>
      <w:r>
        <w:rPr>
          <w:rFonts w:ascii="Times New Roman" w:hAnsi="Times New Roman"/>
          <w:sz w:val="24"/>
        </w:rPr>
        <w:t>directors under various plans (</w:t>
      </w:r>
    </w:p>
    <w:p>
      <w:pPr>
        <w:pStyle w:val="TextBody"/>
        <w:spacing w:before="260" w:after="0"/>
        <w:jc w:val="left"/>
        <w:rPr>
          <w:rFonts w:ascii="Times New Roman" w:hAnsi="Times New Roman"/>
          <w:sz w:val="24"/>
        </w:rPr>
      </w:pPr>
      <w:r>
        <w:rPr>
          <w:rFonts w:ascii="Times New Roman" w:hAnsi="Times New Roman"/>
          <w:sz w:val="24"/>
        </w:rPr>
        <w:t xml:space="preserve">see </w:t>
      </w:r>
    </w:p>
    <w:p>
      <w:pPr>
        <w:pStyle w:val="TextBody"/>
        <w:spacing w:before="260" w:after="0"/>
        <w:jc w:val="left"/>
        <w:rPr>
          <w:rFonts w:ascii="Times New Roman" w:hAnsi="Times New Roman"/>
          <w:sz w:val="24"/>
        </w:rPr>
      </w:pPr>
      <w:r>
        <w:rPr>
          <w:rFonts w:ascii="Times New Roman" w:hAnsi="Times New Roman"/>
          <w:sz w:val="24"/>
        </w:rPr>
        <w:t xml:space="preserve">Note 26). </w:t>
      </w:r>
    </w:p>
    <w:p>
      <w:pPr>
        <w:pStyle w:val="TextBody"/>
        <w:spacing w:before="260" w:after="0"/>
        <w:jc w:val="left"/>
        <w:rPr>
          <w:rFonts w:ascii="Times New Roman" w:hAnsi="Times New Roman"/>
          <w:sz w:val="24"/>
        </w:rPr>
      </w:pPr>
      <w:r>
        <w:rPr>
          <w:rFonts w:ascii="Times New Roman" w:hAnsi="Times New Roman"/>
          <w:sz w:val="24"/>
        </w:rPr>
        <w:t xml:space="preserve">In accordance with IFRS 2 Share-based Payments (“IFRS 2”), charges for these incentives are expensed through the consolidated statement of comprehensive (loss)/income on a straight-line basis over their vesting period, based on the Company’s estimate of shares that will eventually vest. The total amount to be expensed is determined by reference to the fair value of the options or awards at the date they were granted. For LTIP shares, the fair value on grant date excludes the impact of any </w:t>
      </w:r>
    </w:p>
    <w:p>
      <w:pPr>
        <w:pStyle w:val="TextBody"/>
        <w:spacing w:before="260" w:after="0"/>
        <w:jc w:val="left"/>
        <w:rPr>
          <w:rFonts w:ascii="Times New Roman" w:hAnsi="Times New Roman"/>
          <w:spacing w:val="0"/>
          <w:sz w:val="24"/>
        </w:rPr>
      </w:pPr>
      <w:r>
        <w:rPr>
          <w:rFonts w:ascii="Times New Roman" w:hAnsi="Times New Roman"/>
          <w:spacing w:val="0"/>
          <w:sz w:val="24"/>
        </w:rPr>
        <w:t>non-market</w:t>
      </w:r>
    </w:p>
    <w:p>
      <w:pPr>
        <w:pStyle w:val="TextBody"/>
        <w:spacing w:before="260" w:after="0"/>
        <w:jc w:val="left"/>
        <w:rPr>
          <w:rFonts w:ascii="Times New Roman" w:hAnsi="Times New Roman"/>
          <w:sz w:val="24"/>
        </w:rPr>
      </w:pPr>
      <w:r>
        <w:rPr>
          <w:rFonts w:ascii="Times New Roman" w:hAnsi="Times New Roman"/>
          <w:sz w:val="24"/>
        </w:rPr>
        <w:t xml:space="preserve">vesting conditions, which are taken into account by adjusting the number of equity instruments included in the measurement of the share-based payment transaction and are adjusted each period until such time as the equity instruments vest.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p) Costs of issuing capital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q) Employee Benefit Trust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Company operates an Employee Benefit Trust (“EBT”), the Mereo BioPharma Group plc Employee Benefit Trust. </w:t>
      </w:r>
    </w:p>
    <w:p>
      <w:pPr>
        <w:pStyle w:val="TextBody"/>
        <w:spacing w:before="260" w:after="0"/>
        <w:jc w:val="left"/>
        <w:rPr>
          <w:rFonts w:ascii="Times New Roman" w:hAnsi="Times New Roman"/>
          <w:spacing w:val="0"/>
          <w:sz w:val="24"/>
        </w:rPr>
      </w:pPr>
      <w:r>
        <w:rPr>
          <w:rFonts w:ascii="Times New Roman" w:hAnsi="Times New Roman"/>
          <w:spacing w:val="0"/>
          <w:sz w:val="24"/>
        </w:rPr>
        <w:t>The EBT holds ADS’s to satisfy the exercise of options under the Company’s share-based incentive schemes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see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Note 26). The EBT is a Jersey-based trust which was initially funded by a loan from the Company, which it utilized to purchase shares in sufficient quantity to fulfill the envisaged awards. The Company will issue ordinary shares to a custodian for conversion by a depositary bank to ADS’s and delivery to the EBT. These ordinary shares will be deducted from the shareholders’ funds on the consolidated balance sheet at their nominal value.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Shares held by the EBT are included in the consolidated balance sheet as a reduction in equity.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r) Pension contribution costs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Payments to defined contribution retirement benefit plans are recognized as an expense when employees have rendered service entitling them to the contributions. </w:t>
      </w:r>
    </w:p>
    <w:p>
      <w:pPr>
        <w:pStyle w:val="TextBody"/>
        <w:spacing w:before="260" w:after="0"/>
        <w:jc w:val="left"/>
        <w:rPr>
          <w:rFonts w:ascii="Times New Roman" w:hAnsi="Times New Roman"/>
          <w:b/>
          <w:spacing w:val="0"/>
          <w:sz w:val="24"/>
        </w:rPr>
      </w:pPr>
      <w:r>
        <w:rPr>
          <w:rFonts w:ascii="Times New Roman" w:hAnsi="Times New Roman"/>
          <w:b/>
          <w:spacing w:val="0"/>
          <w:sz w:val="24"/>
        </w:rPr>
        <w:t xml:space="preserve">3. Significant judgments, estimates and assumptions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preparation of these consolidated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 </w:t>
      </w:r>
    </w:p>
    <w:p>
      <w:pPr>
        <w:pStyle w:val="TextBody"/>
        <w:spacing w:before="26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Judgments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a) Revenue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Judgment is required to determine the appropriate accounting for the license and collaboration agreement with Ultragenyx Pharmaceutical, Inc. (“Ultragenyx”). Management has determined that the upfront proceeds from the license and collaboration agreement represent proceeds from the Company’s ordinary business activities and, therefore, represent revenue within the scope of IFRS 15, Revenue from Contracts with Customers. Judgment is also required to determine the portion of the carrying amount of the intangible asset to derecognize, relative to the value retained, as a result of the license and collaboration agreement with Ultragenyx.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b) Impairment of intangible assets and property, plant and equipment </w:t>
      </w:r>
    </w:p>
    <w:p>
      <w:pPr>
        <w:pStyle w:val="TextBody"/>
        <w:spacing w:before="260" w:after="0"/>
        <w:jc w:val="left"/>
        <w:rPr>
          <w:rFonts w:ascii="Times New Roman" w:hAnsi="Times New Roman"/>
          <w:sz w:val="24"/>
        </w:rPr>
      </w:pPr>
      <w:r>
        <w:rPr>
          <w:rFonts w:ascii="Times New Roman" w:hAnsi="Times New Roman"/>
          <w:sz w:val="24"/>
        </w:rPr>
        <w:t xml:space="preserve">An assessment was made in respect of indicators of impairment in the carrying value of the Company’s intangible assets (see Note 14), </w:t>
      </w:r>
    </w:p>
    <w:p>
      <w:pPr>
        <w:pStyle w:val="TextBody"/>
        <w:spacing w:before="260" w:after="0"/>
        <w:jc w:val="left"/>
        <w:rPr>
          <w:rFonts w:ascii="Times New Roman" w:hAnsi="Times New Roman"/>
          <w:spacing w:val="0"/>
          <w:sz w:val="24"/>
        </w:rPr>
      </w:pPr>
      <w:r>
        <w:rPr>
          <w:rFonts w:ascii="Times New Roman" w:hAnsi="Times New Roman"/>
          <w:spacing w:val="0"/>
          <w:sz w:val="24"/>
        </w:rPr>
        <w:t>right-of-use</w:t>
      </w:r>
    </w:p>
    <w:p>
      <w:pPr>
        <w:pStyle w:val="TextBody"/>
        <w:spacing w:before="260" w:after="0"/>
        <w:jc w:val="left"/>
        <w:rPr>
          <w:rFonts w:ascii="Times New Roman" w:hAnsi="Times New Roman"/>
          <w:sz w:val="24"/>
        </w:rPr>
      </w:pPr>
      <w:r>
        <w:rPr>
          <w:rFonts w:ascii="Times New Roman" w:hAnsi="Times New Roman"/>
          <w:sz w:val="24"/>
        </w:rPr>
        <w:t xml:space="preserve">assets, leasehold improvements, office equipment and IT equipment as at December 31, 2022.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If such an indication exists, the recoverable amount of the asset, being the higher of the asset’s fair value less costs to sell and value in use, is compared to the asset’s carrying value. Any excess of the asset’s carrying value over its recoverable amount is recognized as an impairment in the consolidated statement of comprehensive (loss)/income. The assessment of intangible assets involves a number of significant judgments regarding the likelihood of successful product approval, the costs of attaining approval, the estimated useful life of intangible assets following commercialization and the subsequent commercial profitability of the product once approved.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 Incremental borrowing rate and lease modification </w:t>
      </w:r>
    </w:p>
    <w:p>
      <w:pPr>
        <w:pStyle w:val="TextBody"/>
        <w:spacing w:before="260" w:after="0"/>
        <w:jc w:val="left"/>
        <w:rPr>
          <w:rFonts w:ascii="Times New Roman" w:hAnsi="Times New Roman"/>
          <w:sz w:val="24"/>
        </w:rPr>
      </w:pPr>
      <w:r>
        <w:rPr>
          <w:rFonts w:ascii="Times New Roman" w:hAnsi="Times New Roman"/>
          <w:sz w:val="24"/>
        </w:rPr>
        <w:t xml:space="preserve">Future lease payments are discounted using the interest rate implicit in the lease, or, if that rate cannot be readily determined, the incremental borrowing rate. IFRS 16 (Leases) defines the incremental borrowing rate as the rate of interest a lessee would have to pay to borrow over a similar term, and with a similar security, the funds necessary to obtain an asset of similar value to the </w:t>
      </w:r>
    </w:p>
    <w:p>
      <w:pPr>
        <w:pStyle w:val="TextBody"/>
        <w:spacing w:before="260" w:after="0"/>
        <w:jc w:val="left"/>
        <w:rPr>
          <w:rFonts w:ascii="Times New Roman" w:hAnsi="Times New Roman"/>
          <w:spacing w:val="0"/>
          <w:sz w:val="24"/>
        </w:rPr>
      </w:pPr>
      <w:r>
        <w:rPr>
          <w:rFonts w:ascii="Times New Roman" w:hAnsi="Times New Roman"/>
          <w:spacing w:val="0"/>
          <w:sz w:val="24"/>
        </w:rPr>
        <w:t>right-of-use</w:t>
      </w:r>
    </w:p>
    <w:p>
      <w:pPr>
        <w:pStyle w:val="TextBody"/>
        <w:spacing w:before="260" w:after="0"/>
        <w:jc w:val="left"/>
        <w:rPr>
          <w:rFonts w:ascii="Times New Roman" w:hAnsi="Times New Roman"/>
          <w:sz w:val="24"/>
        </w:rPr>
      </w:pPr>
      <w:r>
        <w:rPr>
          <w:rFonts w:ascii="Times New Roman" w:hAnsi="Times New Roman"/>
          <w:sz w:val="24"/>
        </w:rPr>
        <w:t>assets in a similar economic</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environment.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The incremental borrowing rate for the current lease portfolio was determined based on relevant and available information as the interest rate implicit in the lease arrangements cannot be readily determined.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4"/>
        </w:rPr>
      </w:pPr>
      <w:r>
        <w:rPr>
          <w:rFonts w:ascii="Times New Roman" w:hAnsi="Times New Roman"/>
          <w:sz w:val="24"/>
        </w:rPr>
        <w:t xml:space="preserve">In addition to the determination of an appropriate discount rate, the Company was also required to assess the lease term for qualifying leases. The determination of the lease term is judgmental as for certain qualifying leases held by the Company, the contract includes an extension option beyond the </w:t>
      </w:r>
    </w:p>
    <w:p>
      <w:pPr>
        <w:pStyle w:val="TextBody"/>
        <w:spacing w:before="0" w:after="0"/>
        <w:jc w:val="left"/>
        <w:rPr>
          <w:rFonts w:ascii="Times New Roman" w:hAnsi="Times New Roman"/>
          <w:spacing w:val="0"/>
          <w:sz w:val="24"/>
        </w:rPr>
      </w:pPr>
      <w:r>
        <w:rPr>
          <w:rFonts w:ascii="Times New Roman" w:hAnsi="Times New Roman"/>
          <w:spacing w:val="0"/>
          <w:sz w:val="24"/>
        </w:rPr>
        <w:t>non-cancellable</w:t>
      </w:r>
    </w:p>
    <w:p>
      <w:pPr>
        <w:pStyle w:val="TextBody"/>
        <w:spacing w:before="0" w:after="0"/>
        <w:jc w:val="left"/>
        <w:rPr>
          <w:rFonts w:ascii="Times New Roman" w:hAnsi="Times New Roman"/>
          <w:sz w:val="24"/>
        </w:rPr>
      </w:pPr>
      <w:r>
        <w:rPr>
          <w:rFonts w:ascii="Times New Roman" w:hAnsi="Times New Roman"/>
          <w:sz w:val="24"/>
        </w:rPr>
        <w:t xml:space="preserve">period for which the Company has the right to use the underlying asset. In applying this judgment, the Company considered the period over which it was reasonably certain to make use of the extension option. </w:t>
      </w:r>
    </w:p>
    <w:p>
      <w:pPr>
        <w:pStyle w:val="TextBody"/>
        <w:spacing w:before="260" w:after="0"/>
        <w:jc w:val="left"/>
        <w:rPr>
          <w:rFonts w:ascii="Times New Roman" w:hAnsi="Times New Roman"/>
          <w:spacing w:val="0"/>
          <w:sz w:val="24"/>
        </w:rPr>
      </w:pPr>
      <w:r>
        <w:rPr>
          <w:rFonts w:ascii="Times New Roman" w:hAnsi="Times New Roman"/>
          <w:spacing w:val="0"/>
          <w:sz w:val="24"/>
        </w:rPr>
        <w:t>In August 2020, a lease for office space was modified to reduce the size of the office space leased. At the time of this lease modification, judgment was applied in determining the new lease term and remeasuring the lease liability by discounting the revised lease payments using a revised incremental borrowing rate. The lease expired in August 2022.</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d) Identification and classification of financial instruments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On June 3, 2020, the Company completed a private placement transaction (Note 19) which comprised the issue of ordinary shares, Loan Notes and Warrants. Judgment is applied under IAS 32 (Financial instruments: Presentation) in determining the features of the identified financial instruments on both the transaction date and the date of the general meeting at which Resolutions relating to the private placement were voted on by the Shareholders, to determine the appropriate recognition in accordance with IAS 32. In applying this judgment, management considered the probability of passing the Resolutions at the general meeting and the likelihood of a change of control prior to the passing of the Resolutions, which impact the settlement terms of the financial instruments, and the classification of the financial instruments as liabilities or equity. Management concluded that a change of control event was uncertain and outside of the Company’s control, and therefore the conversion feature on the Loan Notes at the transaction date represented a financial liability with an embedded derivative for the conversion option. On the passing of the Resolutions, judgment was applied to determine that the effective terms of the Loans Notes changed and the embedded derivative financial liability representing the conversion option was reclassified to equity at its fair value, with no associated gain or loss recognized in profit or loss. </w:t>
      </w:r>
    </w:p>
    <w:p>
      <w:pPr>
        <w:pStyle w:val="TextBody"/>
        <w:spacing w:before="26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Estimates and assumptions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a) Deferred consideration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Deferred consideration represents contingent cash consideration and is recognized as a provision at each balance sheet date, to the extent its amount is quantifiable at the inception of the arrangement (see Note 18). The amount provided is based on estimates regarding the timing and progress of the related research and development activities (see Note 24).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Deferred consideration in the form of shares is recognized as a share-based payment when it is probable that shares will be transferred.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b) Fair value of financial instruments </w:t>
      </w:r>
    </w:p>
    <w:p>
      <w:pPr>
        <w:pStyle w:val="TextBody"/>
        <w:spacing w:before="260" w:after="0"/>
        <w:jc w:val="left"/>
        <w:rPr>
          <w:rFonts w:ascii="Times New Roman" w:hAnsi="Times New Roman"/>
          <w:spacing w:val="0"/>
          <w:sz w:val="24"/>
        </w:rPr>
      </w:pPr>
      <w:r>
        <w:rPr>
          <w:rFonts w:ascii="Times New Roman" w:hAnsi="Times New Roman"/>
          <w:spacing w:val="0"/>
          <w:sz w:val="24"/>
        </w:rPr>
        <w:t>As part of the private placement transaction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see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Note 19), the Company performed a valuation of the fair value of the identified financial instruments including the embedded derivative and the warrants on the transaction date and the general meeting date. For qualifying financial instruments, the fair value is reassessed at each balance sheet date. Specific consideration was applied to the estimation of implied share price on the transaction date, the volatility, credit spread and discount rate (see Note 24).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c) Contingent consideration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Company makes a provision for the estimated fair value of amounts payable to the former shareholders of Mereo BioPharma 5, Inc. under the Contingent Value Rights Agreement (“CVR”), which is accounted for as a contingent consideration liability.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F-19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 xml:space="preserve">At December 31, 2022, the Company estimates the fair value of the contingent consideration liability to be £nil (2021: nil). Total potential payments under the CVR on a gross, undiscounted basis, are approximately £58.6 million ($80.0 million).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estimated contingent consideration payable is based on a risk-adjusted, probability-based scenario. Under this approach the likelihood of future payments being made to the former shareholders of Mereo BioPharma 5, Inc. under the CVR is considered. The estimate could materially change over time in line with the development plan and potential subsequent commercialization of the product. </w:t>
      </w:r>
    </w:p>
    <w:p>
      <w:pPr>
        <w:pStyle w:val="TextBody"/>
        <w:spacing w:before="260" w:after="0"/>
        <w:jc w:val="left"/>
        <w:rPr>
          <w:rFonts w:ascii="Times New Roman" w:hAnsi="Times New Roman"/>
          <w:b/>
          <w:spacing w:val="0"/>
          <w:sz w:val="24"/>
        </w:rPr>
      </w:pPr>
      <w:r>
        <w:rPr>
          <w:rFonts w:ascii="Times New Roman" w:hAnsi="Times New Roman"/>
          <w:b/>
          <w:spacing w:val="0"/>
          <w:sz w:val="24"/>
        </w:rPr>
        <w:t xml:space="preserve">4. Changes in accounting policies </w:t>
      </w:r>
    </w:p>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a) New standards, interpretations and amendments adopted from January 1, 2022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In the current year, the Company has applied the below amendments to IFRS issued by the IASB that are effective for an annual period that begins on or after January 1, 2022. Their adoption has not had any material impact on the disclosures or on the amounts reported in these consolidated financial statements: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Annual Improvements to IFRS Standards 2018-2020 (Amendments to IFRS 1, IFRS 9, IFRS 16 and IAS 41) </w:t>
            </w:r>
          </w:p>
        </w:tc>
      </w:tr>
    </w:tbl>
    <w:tbl>
      <w:tblPr>
        <w:tblW w:w="5665" w:type="dxa"/>
        <w:jc w:val="left"/>
        <w:tblInd w:w="0" w:type="dxa"/>
        <w:tblCellMar>
          <w:top w:w="0" w:type="dxa"/>
          <w:left w:w="0" w:type="dxa"/>
          <w:bottom w:w="0" w:type="dxa"/>
          <w:right w:w="0" w:type="dxa"/>
        </w:tblCellMar>
      </w:tblPr>
      <w:tblGrid>
        <w:gridCol w:w="75"/>
        <w:gridCol w:w="110"/>
        <w:gridCol w:w="60"/>
        <w:gridCol w:w="54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2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16 – Proceeds before Intended Use </w:t>
            </w:r>
          </w:p>
        </w:tc>
      </w:tr>
    </w:tbl>
    <w:tbl>
      <w:tblPr>
        <w:tblW w:w="7495" w:type="dxa"/>
        <w:jc w:val="left"/>
        <w:tblInd w:w="0" w:type="dxa"/>
        <w:tblCellMar>
          <w:top w:w="0" w:type="dxa"/>
          <w:left w:w="0" w:type="dxa"/>
          <w:bottom w:w="0" w:type="dxa"/>
          <w:right w:w="0" w:type="dxa"/>
        </w:tblCellMar>
      </w:tblPr>
      <w:tblGrid>
        <w:gridCol w:w="75"/>
        <w:gridCol w:w="110"/>
        <w:gridCol w:w="60"/>
        <w:gridCol w:w="7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37 – Onerous Contracts – Cost of Fulfilling a Contract </w:t>
            </w:r>
          </w:p>
        </w:tc>
      </w:tr>
    </w:tbl>
    <w:tbl>
      <w:tblPr>
        <w:tblW w:w="2590" w:type="dxa"/>
        <w:jc w:val="left"/>
        <w:tblInd w:w="0" w:type="dxa"/>
        <w:tblCellMar>
          <w:top w:w="0" w:type="dxa"/>
          <w:left w:w="0" w:type="dxa"/>
          <w:bottom w:w="0" w:type="dxa"/>
          <w:right w:w="0" w:type="dxa"/>
        </w:tblCellMar>
      </w:tblPr>
      <w:tblGrid>
        <w:gridCol w:w="75"/>
        <w:gridCol w:w="110"/>
        <w:gridCol w:w="60"/>
        <w:gridCol w:w="2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IFRS 3 </w:t>
            </w:r>
          </w:p>
        </w:tc>
      </w:tr>
    </w:tbl>
    <w:p>
      <w:pPr>
        <w:pStyle w:val="TextBody"/>
        <w:spacing w:before="260" w:after="0"/>
        <w:jc w:val="left"/>
        <w:rPr>
          <w:rFonts w:ascii="Times New Roman" w:hAnsi="Times New Roman"/>
          <w:i/>
          <w:caps w:val="false"/>
          <w:smallCaps w:val="false"/>
          <w:spacing w:val="0"/>
          <w:sz w:val="24"/>
        </w:rPr>
      </w:pPr>
      <w:r>
        <w:rPr>
          <w:rFonts w:ascii="Times New Roman" w:hAnsi="Times New Roman"/>
          <w:i/>
          <w:caps w:val="false"/>
          <w:smallCaps w:val="false"/>
          <w:spacing w:val="0"/>
          <w:sz w:val="24"/>
        </w:rPr>
        <w:t xml:space="preserve">b) New standards, interpretations and amendments not yet effective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At the date of authorization of these consolidated financial statements, the Company has not applied the following new and revised IFRS that have been issued but are not yet effective: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Effective January 1, 2023 </w:t>
      </w:r>
    </w:p>
    <w:p>
      <w:pPr>
        <w:pStyle w:val="TextBody"/>
        <w:spacing w:before="0" w:after="0"/>
        <w:jc w:val="left"/>
        <w:rPr>
          <w:spacing w:val="0"/>
        </w:rPr>
      </w:pPr>
      <w:r>
        <w:rPr>
          <w:spacing w:val="0"/>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IFRS 17 – Insurance Contracts </w:t>
            </w:r>
          </w:p>
        </w:tc>
      </w:tr>
    </w:tbl>
    <w:tbl>
      <w:tblPr>
        <w:tblW w:w="9910" w:type="dxa"/>
        <w:jc w:val="left"/>
        <w:tblInd w:w="0" w:type="dxa"/>
        <w:tblCellMar>
          <w:top w:w="0" w:type="dxa"/>
          <w:left w:w="0" w:type="dxa"/>
          <w:bottom w:w="0" w:type="dxa"/>
          <w:right w:w="0" w:type="dxa"/>
        </w:tblCellMar>
      </w:tblPr>
      <w:tblGrid>
        <w:gridCol w:w="75"/>
        <w:gridCol w:w="110"/>
        <w:gridCol w:w="60"/>
        <w:gridCol w:w="9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12 – Deferred tax related to assets and liabilities arising from a single transaction </w:t>
            </w:r>
          </w:p>
        </w:tc>
      </w:tr>
    </w:tbl>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8 – Definition of accounting estimates </w:t>
            </w:r>
          </w:p>
        </w:tc>
      </w:tr>
    </w:tbl>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1 and IFRS Practice Statement 2 – Disclosure of accounting policies </w:t>
            </w:r>
          </w:p>
        </w:tc>
      </w:tr>
    </w:tbl>
    <w:p>
      <w:pPr>
        <w:pStyle w:val="TextBody"/>
        <w:spacing w:before="260" w:after="0"/>
        <w:jc w:val="left"/>
        <w:rPr>
          <w:rFonts w:ascii="Times New Roman" w:hAnsi="Times New Roman"/>
          <w:spacing w:val="0"/>
          <w:sz w:val="24"/>
        </w:rPr>
      </w:pPr>
      <w:r>
        <w:rPr>
          <w:rFonts w:ascii="Times New Roman" w:hAnsi="Times New Roman"/>
          <w:spacing w:val="0"/>
          <w:sz w:val="24"/>
        </w:rPr>
        <w:t xml:space="preserve">Effective January 1, 2024 </w:t>
      </w:r>
    </w:p>
    <w:p>
      <w:pPr>
        <w:pStyle w:val="TextBody"/>
        <w:spacing w:before="0" w:after="0"/>
        <w:ind w:left="0" w:right="0" w:hanging="0"/>
        <w:jc w:val="left"/>
        <w:rPr>
          <w:spacing w:val="0"/>
        </w:rPr>
      </w:pPr>
      <w:r>
        <w:rPr>
          <w:spacing w:val="0"/>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728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1 – Classification of liabilities as current or non-current </w:t>
            </w:r>
          </w:p>
        </w:tc>
      </w:tr>
    </w:tbl>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6005"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IAS 1 – Non-current liabilities with covenants </w:t>
            </w:r>
          </w:p>
        </w:tc>
      </w:tr>
    </w:tbl>
    <w:tbl>
      <w:tblPr>
        <w:tblW w:w="6475" w:type="dxa"/>
        <w:jc w:val="left"/>
        <w:tblInd w:w="0" w:type="dxa"/>
        <w:tblCellMar>
          <w:top w:w="0" w:type="dxa"/>
          <w:left w:w="0" w:type="dxa"/>
          <w:bottom w:w="0" w:type="dxa"/>
          <w:right w:w="0" w:type="dxa"/>
        </w:tblCellMar>
      </w:tblPr>
      <w:tblGrid>
        <w:gridCol w:w="75"/>
        <w:gridCol w:w="110"/>
        <w:gridCol w:w="60"/>
        <w:gridCol w:w="623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623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Amendments to IFRS 16 – Lease liability in a sale and leaseback </w:t>
            </w:r>
          </w:p>
        </w:tc>
      </w:tr>
    </w:tbl>
    <w:p>
      <w:pPr>
        <w:pStyle w:val="TextBody"/>
        <w:spacing w:before="260" w:after="0"/>
        <w:ind w:left="0" w:right="0" w:hanging="0"/>
        <w:jc w:val="left"/>
        <w:rPr>
          <w:rFonts w:ascii="Times New Roman" w:hAnsi="Times New Roman"/>
          <w:spacing w:val="0"/>
          <w:sz w:val="24"/>
        </w:rPr>
      </w:pPr>
      <w:r>
        <w:rPr>
          <w:rFonts w:ascii="Times New Roman" w:hAnsi="Times New Roman"/>
          <w:spacing w:val="0"/>
          <w:sz w:val="24"/>
        </w:rPr>
        <w:t xml:space="preserve">The Company does not expect the adoption of these IFRS amendments will have a material impact on the Company in the current or future reporting periods and on foreseeable future transactions.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F-20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4"/>
        </w:rPr>
      </w:pPr>
      <w:r>
        <w:rPr>
          <w:rFonts w:ascii="Times New Roman" w:hAnsi="Times New Roman"/>
          <w:b/>
          <w:spacing w:val="0"/>
          <w:sz w:val="24"/>
        </w:rPr>
        <w:t xml:space="preserve">5. Group information </w:t>
      </w:r>
    </w:p>
    <w:p>
      <w:pPr>
        <w:pStyle w:val="TextBody"/>
        <w:spacing w:before="26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Information about subsidiaries </w:t>
      </w:r>
    </w:p>
    <w:p>
      <w:pPr>
        <w:pStyle w:val="TextBody"/>
        <w:spacing w:before="240" w:after="0"/>
        <w:jc w:val="left"/>
        <w:rPr>
          <w:rFonts w:ascii="Times New Roman" w:hAnsi="Times New Roman"/>
          <w:spacing w:val="0"/>
          <w:sz w:val="24"/>
        </w:rPr>
      </w:pPr>
      <w:r>
        <w:rPr>
          <w:rFonts w:ascii="Times New Roman" w:hAnsi="Times New Roman"/>
          <w:spacing w:val="0"/>
          <w:sz w:val="24"/>
        </w:rPr>
        <w:t xml:space="preserve">The consolidated financial statements of the Company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186"/>
        <w:gridCol w:w="120"/>
        <w:gridCol w:w="2098"/>
        <w:gridCol w:w="120"/>
        <w:gridCol w:w="114"/>
        <w:gridCol w:w="1301"/>
        <w:gridCol w:w="60"/>
        <w:gridCol w:w="120"/>
        <w:gridCol w:w="192"/>
        <w:gridCol w:w="1223"/>
        <w:gridCol w:w="60"/>
        <w:gridCol w:w="120"/>
        <w:gridCol w:w="192"/>
        <w:gridCol w:w="1223"/>
        <w:gridCol w:w="76"/>
      </w:tblGrid>
      <w:tr>
        <w:trPr/>
        <w:tc>
          <w:tcPr>
            <w:tcW w:w="31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86" w:type="dxa"/>
            <w:tcBorders/>
            <w:shd w:fill="auto" w:val="clear"/>
            <w:vAlign w:val="center"/>
          </w:tcPr>
          <w:p>
            <w:pPr>
              <w:pStyle w:val="TableContents"/>
              <w:spacing w:before="0" w:after="0"/>
              <w:rPr>
                <w:rFonts w:ascii="Times New Roman" w:hAnsi="Times New Roman"/>
                <w:b/>
                <w:spacing w:val="0"/>
                <w:sz w:val="22"/>
                <w:bdr w:val="single" w:sz="8" w:space="1" w:color="000000"/>
              </w:rPr>
            </w:pPr>
            <w:r>
              <w:rPr>
                <w:rFonts w:ascii="Times New Roman" w:hAnsi="Times New Roman"/>
                <w:b/>
                <w:spacing w:val="0"/>
                <w:sz w:val="22"/>
                <w:bdr w:val="single" w:sz="8" w:space="1" w:color="000000"/>
              </w:rPr>
              <w:t>Name</w:t>
            </w:r>
          </w:p>
        </w:tc>
        <w:tc>
          <w:tcPr>
            <w:tcW w:w="120" w:type="dxa"/>
            <w:tcBorders/>
            <w:shd w:fill="auto" w:val="clear"/>
            <w:vAlign w:val="center"/>
          </w:tcPr>
          <w:p>
            <w:pPr>
              <w:pStyle w:val="TableContents"/>
              <w:spacing w:before="0" w:after="283"/>
              <w:rPr/>
            </w:pPr>
            <w:r>
              <w:rPr/>
              <w:t>  </w:t>
            </w:r>
          </w:p>
        </w:tc>
        <w:tc>
          <w:tcPr>
            <w:tcW w:w="2098" w:type="dxa"/>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Principal activities</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Country of</w:t>
              <w:br/>
              <w:t>incorporation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 Equity</w:t>
              <w:br/>
              <w:t>interest</w:t>
              <w:br/>
              <w:t>December 31,</w:t>
              <w:b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 Equity</w:t>
              <w:br/>
              <w:t>interest</w:t>
              <w:br/>
              <w:t>December 31,</w:t>
              <w:br/>
              <w:t>2021</w:t>
            </w:r>
          </w:p>
        </w:tc>
        <w:tc>
          <w:tcPr>
            <w:tcW w:w="76" w:type="dxa"/>
            <w:tcBorders/>
            <w:shd w:fill="auto" w:val="clear"/>
            <w:vAlign w:val="center"/>
          </w:tcPr>
          <w:p>
            <w:pPr>
              <w:pStyle w:val="TableContents"/>
              <w:spacing w:before="0" w:after="283"/>
              <w:rPr/>
            </w:pPr>
            <w:r>
              <w:rPr/>
              <w:t> </w:t>
            </w:r>
          </w:p>
        </w:tc>
      </w:tr>
      <w:tr>
        <w:trPr/>
        <w:tc>
          <w:tcPr>
            <w:tcW w:w="3186" w:type="dxa"/>
            <w:tcBorders/>
            <w:shd w:fill="CCEEFF" w:val="clear"/>
            <w:vAlign w:val="center"/>
          </w:tcPr>
          <w:p>
            <w:pPr>
              <w:pStyle w:val="TableContents"/>
              <w:spacing w:before="0" w:after="283"/>
              <w:rPr/>
            </w:pPr>
            <w:r>
              <w:rPr/>
              <w:t>Mereo BioPharma 1 Limited</w:t>
            </w:r>
          </w:p>
        </w:tc>
        <w:tc>
          <w:tcPr>
            <w:tcW w:w="120" w:type="dxa"/>
            <w:tcBorders/>
            <w:shd w:fill="CCEEFF" w:val="clear"/>
            <w:vAlign w:val="center"/>
          </w:tcPr>
          <w:p>
            <w:pPr>
              <w:pStyle w:val="TableContents"/>
              <w:spacing w:before="0" w:after="283"/>
              <w:rPr/>
            </w:pPr>
            <w:r>
              <w:rPr/>
              <w:t>  </w:t>
            </w:r>
          </w:p>
        </w:tc>
        <w:tc>
          <w:tcPr>
            <w:tcW w:w="2098" w:type="dxa"/>
            <w:tcBorders/>
            <w:shd w:fill="CCEEFF" w:val="clear"/>
            <w:vAlign w:val="center"/>
          </w:tcPr>
          <w:p>
            <w:pPr>
              <w:pStyle w:val="TableContents"/>
              <w:spacing w:before="0" w:after="283"/>
              <w:rPr/>
            </w:pPr>
            <w:r>
              <w:rPr/>
              <w:t>Pharmaceutical R&amp;D</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UK</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76" w:type="dxa"/>
            <w:tcBorders/>
            <w:shd w:fill="CCEEFF" w:val="clear"/>
            <w:vAlign w:val="center"/>
          </w:tcPr>
          <w:p>
            <w:pPr>
              <w:pStyle w:val="TableContents"/>
              <w:spacing w:before="0" w:after="283"/>
              <w:rPr/>
            </w:pPr>
            <w:r>
              <w:rPr/>
              <w:t> </w:t>
            </w:r>
          </w:p>
        </w:tc>
      </w:tr>
      <w:tr>
        <w:trPr/>
        <w:tc>
          <w:tcPr>
            <w:tcW w:w="3186" w:type="dxa"/>
            <w:tcBorders/>
            <w:shd w:fill="auto" w:val="clear"/>
            <w:vAlign w:val="center"/>
          </w:tcPr>
          <w:p>
            <w:pPr>
              <w:pStyle w:val="TableContents"/>
              <w:spacing w:before="0" w:after="283"/>
              <w:rPr/>
            </w:pPr>
            <w:r>
              <w:rPr/>
              <w:t>Mereo BioPharma 2 Limited</w:t>
            </w:r>
          </w:p>
        </w:tc>
        <w:tc>
          <w:tcPr>
            <w:tcW w:w="120" w:type="dxa"/>
            <w:tcBorders/>
            <w:shd w:fill="auto" w:val="clear"/>
            <w:vAlign w:val="center"/>
          </w:tcPr>
          <w:p>
            <w:pPr>
              <w:pStyle w:val="TableContents"/>
              <w:spacing w:before="0" w:after="283"/>
              <w:rPr/>
            </w:pPr>
            <w:r>
              <w:rPr/>
              <w:t>  </w:t>
            </w:r>
          </w:p>
        </w:tc>
        <w:tc>
          <w:tcPr>
            <w:tcW w:w="2098" w:type="dxa"/>
            <w:tcBorders/>
            <w:shd w:fill="auto" w:val="clear"/>
            <w:vAlign w:val="center"/>
          </w:tcPr>
          <w:p>
            <w:pPr>
              <w:pStyle w:val="TableContents"/>
              <w:spacing w:before="0" w:after="283"/>
              <w:rPr/>
            </w:pPr>
            <w:r>
              <w:rPr/>
              <w:t>Pharmaceutical R&amp;D</w:t>
            </w:r>
          </w:p>
        </w:tc>
        <w:tc>
          <w:tcPr>
            <w:tcW w:w="12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spacing w:before="0" w:after="283"/>
              <w:jc w:val="right"/>
              <w:rPr/>
            </w:pPr>
            <w:r>
              <w:rPr/>
              <w:t>UK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76" w:type="dxa"/>
            <w:tcBorders/>
            <w:shd w:fill="auto" w:val="clear"/>
            <w:vAlign w:val="center"/>
          </w:tcPr>
          <w:p>
            <w:pPr>
              <w:pStyle w:val="TableContents"/>
              <w:spacing w:before="0" w:after="283"/>
              <w:rPr/>
            </w:pPr>
            <w:r>
              <w:rPr/>
              <w:t> </w:t>
            </w:r>
          </w:p>
        </w:tc>
      </w:tr>
      <w:tr>
        <w:trPr/>
        <w:tc>
          <w:tcPr>
            <w:tcW w:w="3186" w:type="dxa"/>
            <w:tcBorders/>
            <w:shd w:fill="CCEEFF" w:val="clear"/>
            <w:vAlign w:val="center"/>
          </w:tcPr>
          <w:p>
            <w:pPr>
              <w:pStyle w:val="TableContents"/>
              <w:spacing w:before="0" w:after="283"/>
              <w:rPr/>
            </w:pPr>
            <w:r>
              <w:rPr/>
              <w:t>Mereo BioPharma 3 Limited</w:t>
            </w:r>
          </w:p>
        </w:tc>
        <w:tc>
          <w:tcPr>
            <w:tcW w:w="120" w:type="dxa"/>
            <w:tcBorders/>
            <w:shd w:fill="CCEEFF" w:val="clear"/>
            <w:vAlign w:val="center"/>
          </w:tcPr>
          <w:p>
            <w:pPr>
              <w:pStyle w:val="TableContents"/>
              <w:spacing w:before="0" w:after="283"/>
              <w:rPr/>
            </w:pPr>
            <w:r>
              <w:rPr/>
              <w:t>  </w:t>
            </w:r>
          </w:p>
        </w:tc>
        <w:tc>
          <w:tcPr>
            <w:tcW w:w="2098" w:type="dxa"/>
            <w:tcBorders/>
            <w:shd w:fill="CCEEFF" w:val="clear"/>
            <w:vAlign w:val="center"/>
          </w:tcPr>
          <w:p>
            <w:pPr>
              <w:pStyle w:val="TableContents"/>
              <w:spacing w:before="0" w:after="283"/>
              <w:rPr/>
            </w:pPr>
            <w:r>
              <w:rPr/>
              <w:t>Pharmaceutical R&amp;D</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UK</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76" w:type="dxa"/>
            <w:tcBorders/>
            <w:shd w:fill="CCEEFF" w:val="clear"/>
            <w:vAlign w:val="center"/>
          </w:tcPr>
          <w:p>
            <w:pPr>
              <w:pStyle w:val="TableContents"/>
              <w:spacing w:before="0" w:after="283"/>
              <w:rPr/>
            </w:pPr>
            <w:r>
              <w:rPr/>
              <w:t> </w:t>
            </w:r>
          </w:p>
        </w:tc>
      </w:tr>
      <w:tr>
        <w:trPr/>
        <w:tc>
          <w:tcPr>
            <w:tcW w:w="3186" w:type="dxa"/>
            <w:tcBorders/>
            <w:shd w:fill="auto" w:val="clear"/>
            <w:vAlign w:val="center"/>
          </w:tcPr>
          <w:p>
            <w:pPr>
              <w:pStyle w:val="TableContents"/>
              <w:spacing w:before="0" w:after="283"/>
              <w:rPr/>
            </w:pPr>
            <w:r>
              <w:rPr/>
              <w:t>Mereo BioPharma 4 Limited</w:t>
            </w:r>
          </w:p>
        </w:tc>
        <w:tc>
          <w:tcPr>
            <w:tcW w:w="120" w:type="dxa"/>
            <w:tcBorders/>
            <w:shd w:fill="auto" w:val="clear"/>
            <w:vAlign w:val="center"/>
          </w:tcPr>
          <w:p>
            <w:pPr>
              <w:pStyle w:val="TableContents"/>
              <w:spacing w:before="0" w:after="283"/>
              <w:rPr/>
            </w:pPr>
            <w:r>
              <w:rPr/>
              <w:t>  </w:t>
            </w:r>
          </w:p>
        </w:tc>
        <w:tc>
          <w:tcPr>
            <w:tcW w:w="2098" w:type="dxa"/>
            <w:tcBorders/>
            <w:shd w:fill="auto" w:val="clear"/>
            <w:vAlign w:val="center"/>
          </w:tcPr>
          <w:p>
            <w:pPr>
              <w:pStyle w:val="TableContents"/>
              <w:spacing w:before="0" w:after="283"/>
              <w:rPr/>
            </w:pPr>
            <w:r>
              <w:rPr/>
              <w:t>Pharmaceutical R&amp;D</w:t>
            </w:r>
          </w:p>
        </w:tc>
        <w:tc>
          <w:tcPr>
            <w:tcW w:w="12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spacing w:before="0" w:after="283"/>
              <w:jc w:val="right"/>
              <w:rPr/>
            </w:pPr>
            <w:r>
              <w:rPr/>
              <w:t>UK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76" w:type="dxa"/>
            <w:tcBorders/>
            <w:shd w:fill="auto" w:val="clear"/>
            <w:vAlign w:val="center"/>
          </w:tcPr>
          <w:p>
            <w:pPr>
              <w:pStyle w:val="TableContents"/>
              <w:spacing w:before="0" w:after="283"/>
              <w:ind w:left="0" w:right="0" w:hanging="187"/>
              <w:rPr/>
            </w:pPr>
            <w:r>
              <w:rPr/>
              <w:t> </w:t>
            </w:r>
          </w:p>
        </w:tc>
      </w:tr>
      <w:tr>
        <w:trPr/>
        <w:tc>
          <w:tcPr>
            <w:tcW w:w="3186" w:type="dxa"/>
            <w:tcBorders/>
            <w:shd w:fill="CCEEFF" w:val="clear"/>
            <w:vAlign w:val="center"/>
          </w:tcPr>
          <w:p>
            <w:pPr>
              <w:pStyle w:val="TableContents"/>
              <w:spacing w:before="0" w:after="283"/>
              <w:rPr/>
            </w:pPr>
            <w:r>
              <w:rPr/>
              <w:t>Mereo BioPharma Ireland Limited</w:t>
            </w:r>
          </w:p>
        </w:tc>
        <w:tc>
          <w:tcPr>
            <w:tcW w:w="120" w:type="dxa"/>
            <w:tcBorders/>
            <w:shd w:fill="CCEEFF" w:val="clear"/>
            <w:vAlign w:val="center"/>
          </w:tcPr>
          <w:p>
            <w:pPr>
              <w:pStyle w:val="TableContents"/>
              <w:spacing w:before="0" w:after="283"/>
              <w:rPr/>
            </w:pPr>
            <w:r>
              <w:rPr/>
              <w:t>  </w:t>
            </w:r>
          </w:p>
        </w:tc>
        <w:tc>
          <w:tcPr>
            <w:tcW w:w="2098" w:type="dxa"/>
            <w:tcBorders/>
            <w:shd w:fill="CCEEFF" w:val="clear"/>
            <w:vAlign w:val="center"/>
          </w:tcPr>
          <w:p>
            <w:pPr>
              <w:pStyle w:val="TableContents"/>
              <w:spacing w:before="0" w:after="283"/>
              <w:rPr/>
            </w:pPr>
            <w:r>
              <w:rPr/>
              <w:t>Pharmaceutical R&amp;D</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Ireland</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76" w:type="dxa"/>
            <w:tcBorders/>
            <w:shd w:fill="CCEEFF" w:val="clear"/>
            <w:vAlign w:val="center"/>
          </w:tcPr>
          <w:p>
            <w:pPr>
              <w:pStyle w:val="TableContents"/>
              <w:spacing w:before="0" w:after="283"/>
              <w:rPr/>
            </w:pPr>
            <w:r>
              <w:rPr/>
              <w:t> </w:t>
            </w:r>
          </w:p>
        </w:tc>
      </w:tr>
      <w:tr>
        <w:trPr/>
        <w:tc>
          <w:tcPr>
            <w:tcW w:w="3186" w:type="dxa"/>
            <w:tcBorders/>
            <w:shd w:fill="auto" w:val="clear"/>
            <w:vAlign w:val="center"/>
          </w:tcPr>
          <w:p>
            <w:pPr>
              <w:pStyle w:val="TableContents"/>
              <w:spacing w:before="0" w:after="283"/>
              <w:rPr/>
            </w:pPr>
            <w:r>
              <w:rPr/>
              <w:t>Mereo BioPharma 5, Inc.</w:t>
            </w:r>
          </w:p>
        </w:tc>
        <w:tc>
          <w:tcPr>
            <w:tcW w:w="120" w:type="dxa"/>
            <w:tcBorders/>
            <w:shd w:fill="auto" w:val="clear"/>
            <w:vAlign w:val="center"/>
          </w:tcPr>
          <w:p>
            <w:pPr>
              <w:pStyle w:val="TableContents"/>
              <w:spacing w:before="0" w:after="283"/>
              <w:rPr/>
            </w:pPr>
            <w:r>
              <w:rPr/>
              <w:t>  </w:t>
            </w:r>
          </w:p>
        </w:tc>
        <w:tc>
          <w:tcPr>
            <w:tcW w:w="2098" w:type="dxa"/>
            <w:tcBorders/>
            <w:shd w:fill="auto" w:val="clear"/>
            <w:vAlign w:val="center"/>
          </w:tcPr>
          <w:p>
            <w:pPr>
              <w:pStyle w:val="TableContents"/>
              <w:spacing w:before="0" w:after="283"/>
              <w:rPr/>
            </w:pPr>
            <w:r>
              <w:rPr/>
              <w:t>Pharmaceutical R&amp;D</w:t>
            </w:r>
          </w:p>
        </w:tc>
        <w:tc>
          <w:tcPr>
            <w:tcW w:w="12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spacing w:before="0" w:after="283"/>
              <w:jc w:val="right"/>
              <w:rPr/>
            </w:pPr>
            <w:r>
              <w:rPr/>
              <w:t>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76" w:type="dxa"/>
            <w:tcBorders/>
            <w:shd w:fill="auto" w:val="clear"/>
            <w:vAlign w:val="center"/>
          </w:tcPr>
          <w:p>
            <w:pPr>
              <w:pStyle w:val="TableContents"/>
              <w:spacing w:before="0" w:after="283"/>
              <w:rPr/>
            </w:pPr>
            <w:r>
              <w:rPr/>
              <w:t> </w:t>
            </w:r>
          </w:p>
        </w:tc>
      </w:tr>
      <w:tr>
        <w:trPr/>
        <w:tc>
          <w:tcPr>
            <w:tcW w:w="3186" w:type="dxa"/>
            <w:tcBorders/>
            <w:shd w:fill="CCEEFF" w:val="clear"/>
            <w:vAlign w:val="center"/>
          </w:tcPr>
          <w:p>
            <w:pPr>
              <w:pStyle w:val="TableContents"/>
              <w:spacing w:before="0" w:after="283"/>
              <w:rPr/>
            </w:pPr>
            <w:r>
              <w:rPr/>
              <w:t>Navi Subsidiary, Inc.</w:t>
            </w:r>
          </w:p>
        </w:tc>
        <w:tc>
          <w:tcPr>
            <w:tcW w:w="120" w:type="dxa"/>
            <w:tcBorders/>
            <w:shd w:fill="CCEEFF" w:val="clear"/>
            <w:vAlign w:val="center"/>
          </w:tcPr>
          <w:p>
            <w:pPr>
              <w:pStyle w:val="TableContents"/>
              <w:spacing w:before="0" w:after="283"/>
              <w:rPr/>
            </w:pPr>
            <w:r>
              <w:rPr/>
              <w:t>  </w:t>
            </w:r>
          </w:p>
        </w:tc>
        <w:tc>
          <w:tcPr>
            <w:tcW w:w="2098" w:type="dxa"/>
            <w:tcBorders/>
            <w:shd w:fill="CCEEFF" w:val="clear"/>
            <w:vAlign w:val="center"/>
          </w:tcPr>
          <w:p>
            <w:pPr>
              <w:pStyle w:val="TableContents"/>
              <w:spacing w:before="0" w:after="283"/>
              <w:rPr/>
            </w:pPr>
            <w:r>
              <w:rPr/>
              <w:t>Pharmaceutical R&amp;D</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US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100</w:t>
            </w:r>
          </w:p>
        </w:tc>
        <w:tc>
          <w:tcPr>
            <w:tcW w:w="76" w:type="dxa"/>
            <w:tcBorders/>
            <w:shd w:fill="CCEEFF" w:val="clear"/>
            <w:vAlign w:val="center"/>
          </w:tcPr>
          <w:p>
            <w:pPr>
              <w:pStyle w:val="TableContents"/>
              <w:spacing w:before="0" w:after="283"/>
              <w:rPr/>
            </w:pPr>
            <w:r>
              <w:rPr/>
              <w:t> </w:t>
            </w:r>
          </w:p>
        </w:tc>
      </w:tr>
      <w:tr>
        <w:trPr/>
        <w:tc>
          <w:tcPr>
            <w:tcW w:w="3186" w:type="dxa"/>
            <w:tcBorders/>
            <w:shd w:fill="auto" w:val="clear"/>
            <w:vAlign w:val="center"/>
          </w:tcPr>
          <w:p>
            <w:pPr>
              <w:pStyle w:val="TableContents"/>
              <w:spacing w:before="0" w:after="283"/>
              <w:rPr/>
            </w:pPr>
            <w:r>
              <w:rPr/>
              <w:t>Mereo US Holdings, Inc.</w:t>
            </w:r>
          </w:p>
        </w:tc>
        <w:tc>
          <w:tcPr>
            <w:tcW w:w="120" w:type="dxa"/>
            <w:tcBorders/>
            <w:shd w:fill="auto" w:val="clear"/>
            <w:vAlign w:val="center"/>
          </w:tcPr>
          <w:p>
            <w:pPr>
              <w:pStyle w:val="TableContents"/>
              <w:spacing w:before="0" w:after="283"/>
              <w:rPr/>
            </w:pPr>
            <w:r>
              <w:rPr/>
              <w:t>  </w:t>
            </w:r>
          </w:p>
        </w:tc>
        <w:tc>
          <w:tcPr>
            <w:tcW w:w="2098" w:type="dxa"/>
            <w:tcBorders/>
            <w:shd w:fill="auto" w:val="clear"/>
            <w:vAlign w:val="center"/>
          </w:tcPr>
          <w:p>
            <w:pPr>
              <w:pStyle w:val="TableContents"/>
              <w:spacing w:before="0" w:after="283"/>
              <w:rPr/>
            </w:pPr>
            <w:r>
              <w:rPr/>
              <w:t>Holding Company</w:t>
            </w:r>
          </w:p>
        </w:tc>
        <w:tc>
          <w:tcPr>
            <w:tcW w:w="12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spacing w:before="0" w:after="283"/>
              <w:jc w:val="right"/>
              <w:rPr/>
            </w:pPr>
            <w:r>
              <w:rPr/>
              <w:t>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100</w:t>
            </w:r>
          </w:p>
        </w:tc>
        <w:tc>
          <w:tcPr>
            <w:tcW w:w="76" w:type="dxa"/>
            <w:tcBorders/>
            <w:shd w:fill="auto" w:val="clear"/>
            <w:vAlign w:val="center"/>
          </w:tcPr>
          <w:p>
            <w:pPr>
              <w:pStyle w:val="TableContents"/>
              <w:spacing w:before="0" w:after="283"/>
              <w:ind w:left="0" w:right="0" w:hanging="187"/>
              <w:rPr/>
            </w:pPr>
            <w:r>
              <w:rPr/>
              <w:t> </w:t>
            </w:r>
          </w:p>
        </w:tc>
      </w:tr>
      <w:tr>
        <w:trPr/>
        <w:tc>
          <w:tcPr>
            <w:tcW w:w="3186" w:type="dxa"/>
            <w:tcBorders/>
            <w:shd w:fill="CCEEFF" w:val="clear"/>
            <w:vAlign w:val="center"/>
          </w:tcPr>
          <w:p>
            <w:pPr>
              <w:pStyle w:val="TableContents"/>
              <w:spacing w:before="0" w:after="283"/>
              <w:rPr/>
            </w:pPr>
            <w:r>
              <w:rPr/>
              <w:t>Mereo BioPharma Group plc Employee Benefit Trust</w:t>
            </w:r>
          </w:p>
        </w:tc>
        <w:tc>
          <w:tcPr>
            <w:tcW w:w="120" w:type="dxa"/>
            <w:tcBorders/>
            <w:shd w:fill="CCEEFF" w:val="clear"/>
            <w:vAlign w:val="center"/>
          </w:tcPr>
          <w:p>
            <w:pPr>
              <w:pStyle w:val="TableContents"/>
              <w:spacing w:before="0" w:after="283"/>
              <w:rPr/>
            </w:pPr>
            <w:r>
              <w:rPr/>
              <w:t>  </w:t>
            </w:r>
          </w:p>
        </w:tc>
        <w:tc>
          <w:tcPr>
            <w:tcW w:w="2098" w:type="dxa"/>
            <w:tcBorders/>
            <w:shd w:fill="CCEEFF" w:val="clear"/>
            <w:vAlign w:val="center"/>
          </w:tcPr>
          <w:p>
            <w:pPr>
              <w:pStyle w:val="TableContents"/>
              <w:spacing w:before="0" w:after="283"/>
              <w:rPr/>
            </w:pPr>
            <w:r>
              <w:rPr/>
              <w:t>Employee share scheme</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Jersey</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rPr/>
            </w:pPr>
            <w:r>
              <w:rPr/>
              <w:t> </w:t>
            </w:r>
          </w:p>
        </w:tc>
      </w:tr>
    </w:tbl>
    <w:p>
      <w:pPr>
        <w:pStyle w:val="TextBody"/>
        <w:spacing w:before="260" w:after="0"/>
        <w:jc w:val="left"/>
        <w:rPr>
          <w:rFonts w:ascii="Times New Roman" w:hAnsi="Times New Roman"/>
          <w:spacing w:val="0"/>
          <w:sz w:val="24"/>
        </w:rPr>
      </w:pPr>
      <w:r>
        <w:rPr>
          <w:rFonts w:ascii="Times New Roman" w:hAnsi="Times New Roman"/>
          <w:spacing w:val="0"/>
          <w:sz w:val="24"/>
        </w:rPr>
        <w:t xml:space="preserve">The registered office of Mereo BioPharma 1 Limited, Mereo BioPharma 2 Limited, Mereo BioPharma 3 Limited and Mereo BioPharma 4 Limited is located at Fourth Floor, 1 Cavendish Place, London W1G 0QF. The registered office of Mereo BioPharma Ireland Limited is Rocktwist House, Block 1, Western Business Park, Shannon, County Clare, V14 FW97, Republic of Ireland.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Mereo US Holdings Inc. was incorporated on December 3, 2018 for the sole purpose of effecting the business combination with Mereo BioPharma 5, Inc. (formerly OncoMed Pharmaceuticals, Inc.) on April 23, 2019. The registered office of Mereo US Holdings Inc., Mereo BioPharma 5, Inc. and its wholly owned subsidiary, Navi Subsidiary, Inc., is 251 Little Falls Drive, City of Wilmington, County of New Castle, Delaware 19808, US. </w:t>
      </w:r>
    </w:p>
    <w:p>
      <w:pPr>
        <w:pStyle w:val="TextBody"/>
        <w:spacing w:before="260" w:after="0"/>
        <w:jc w:val="left"/>
        <w:rPr>
          <w:rFonts w:ascii="Times New Roman" w:hAnsi="Times New Roman"/>
          <w:b/>
          <w:spacing w:val="0"/>
          <w:sz w:val="24"/>
        </w:rPr>
      </w:pPr>
      <w:r>
        <w:rPr>
          <w:rFonts w:ascii="Times New Roman" w:hAnsi="Times New Roman"/>
          <w:b/>
          <w:spacing w:val="0"/>
          <w:sz w:val="24"/>
        </w:rPr>
        <w:t xml:space="preserve">6. Revenue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Company recognized upfront proceeds of £36.5 million ($50.0 million) from the license and collaboration agreement with Ultragenyx for setrusumab as revenue in the year ended December 31, 2021. The variable consideration relating to future milestones and sales royalties will be recognized in the consolidated statement of comprehensive (loss)/income when the milestones are achieved or the underlying commercial sales are made, in the event regulatory approval is achieved. </w:t>
      </w:r>
    </w:p>
    <w:p>
      <w:pPr>
        <w:pStyle w:val="TextBody"/>
        <w:spacing w:before="260" w:after="0"/>
        <w:jc w:val="left"/>
        <w:rPr>
          <w:rFonts w:ascii="Times New Roman" w:hAnsi="Times New Roman"/>
          <w:spacing w:val="0"/>
          <w:sz w:val="24"/>
        </w:rPr>
      </w:pPr>
      <w:r>
        <w:rPr>
          <w:rFonts w:ascii="Times New Roman" w:hAnsi="Times New Roman"/>
          <w:spacing w:val="0"/>
          <w:sz w:val="24"/>
        </w:rPr>
        <w:t>As a consequence of the license and collaboration agreement with Ultragenyx and in accordance with terms of the 2015 asset purchase with Novartis, the Company made a payment to Novartis of £7.2 million ($10.0 million). The payment included a deduction for costs of £2.4 million which was deferred and will be recognized in the consolidated statement of comprehensive (loss)/income when the associated costs are incurred. In the year ended December 31, 2022, £0.9 million (2021: £1.1 million) of these deductions were recognized within “Cost of revenue” in the consolidated statement of comprehensive (loss)/income. As of December 31, 2022</w:t>
      </w:r>
    </w:p>
    <w:p>
      <w:pPr>
        <w:pStyle w:val="TextBody"/>
        <w:spacing w:before="260" w:after="0"/>
        <w:jc w:val="left"/>
        <w:rPr>
          <w:rFonts w:ascii="Times New Roman" w:hAnsi="Times New Roman"/>
          <w:spacing w:val="0"/>
          <w:sz w:val="24"/>
        </w:rPr>
      </w:pPr>
      <w:r>
        <w:rPr>
          <w:rFonts w:ascii="Times New Roman" w:hAnsi="Times New Roman"/>
          <w:spacing w:val="0"/>
          <w:sz w:val="24"/>
        </w:rPr>
        <w:t>,</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the remaining balance to be recognized of £0.3 million (2021: £1.3 million) is included within “Other liabilities” in the consolidated balance sheet. See Note 13 for additional details.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4"/>
        </w:rPr>
      </w:pPr>
      <w:r>
        <w:rPr>
          <w:rFonts w:ascii="Times New Roman" w:hAnsi="Times New Roman"/>
          <w:b/>
          <w:spacing w:val="0"/>
          <w:sz w:val="24"/>
        </w:rPr>
        <w:t xml:space="preserve">7. (Loss)/profit before tax </w:t>
      </w:r>
    </w:p>
    <w:p>
      <w:pPr>
        <w:pStyle w:val="TextBody"/>
        <w:spacing w:before="260" w:after="0"/>
        <w:jc w:val="left"/>
        <w:rPr>
          <w:rFonts w:ascii="Times New Roman" w:hAnsi="Times New Roman"/>
          <w:spacing w:val="0"/>
          <w:sz w:val="24"/>
        </w:rPr>
      </w:pPr>
      <w:r>
        <w:rPr>
          <w:rFonts w:ascii="Times New Roman" w:hAnsi="Times New Roman"/>
          <w:spacing w:val="0"/>
          <w:sz w:val="24"/>
        </w:rPr>
        <w:t>(Loss)/Profit before tax is stated after charging:</w:t>
      </w:r>
    </w:p>
    <w:p>
      <w:pPr>
        <w:pStyle w:val="TextBody"/>
        <w:spacing w:before="0" w:after="0"/>
        <w:ind w:left="0" w:right="0" w:hanging="0"/>
        <w:jc w:val="left"/>
        <w:rPr>
          <w:spacing w:val="0"/>
        </w:rPr>
      </w:pPr>
      <w:r>
        <w:rPr>
          <w:spacing w:val="0"/>
        </w:rPr>
        <w:t> </w:t>
      </w:r>
    </w:p>
    <w:tbl>
      <w:tblPr>
        <w:tblW w:w="8619" w:type="dxa"/>
        <w:jc w:val="left"/>
        <w:tblInd w:w="0" w:type="dxa"/>
        <w:tblCellMar>
          <w:top w:w="0" w:type="dxa"/>
          <w:left w:w="0" w:type="dxa"/>
          <w:bottom w:w="0" w:type="dxa"/>
          <w:right w:w="0" w:type="dxa"/>
        </w:tblCellMar>
      </w:tblPr>
      <w:tblGrid>
        <w:gridCol w:w="5600"/>
        <w:gridCol w:w="120"/>
        <w:gridCol w:w="89"/>
        <w:gridCol w:w="576"/>
        <w:gridCol w:w="84"/>
        <w:gridCol w:w="170"/>
        <w:gridCol w:w="89"/>
        <w:gridCol w:w="576"/>
        <w:gridCol w:w="84"/>
        <w:gridCol w:w="170"/>
        <w:gridCol w:w="84"/>
        <w:gridCol w:w="807"/>
        <w:gridCol w:w="170"/>
      </w:tblGrid>
      <w:tr>
        <w:trPr/>
        <w:tc>
          <w:tcPr>
            <w:tcW w:w="5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6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729"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6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84" w:type="dxa"/>
            <w:tcBorders/>
            <w:shd w:fill="auto" w:val="clear"/>
            <w:vAlign w:val="center"/>
          </w:tcPr>
          <w:p>
            <w:pPr>
              <w:pStyle w:val="TableContents"/>
              <w:spacing w:before="0" w:after="0"/>
              <w:rPr>
                <w:spacing w:val="0"/>
              </w:rPr>
            </w:pPr>
            <w:r>
              <w:rPr>
                <w:spacing w:val="0"/>
              </w:rPr>
              <w:t> </w:t>
            </w:r>
          </w:p>
        </w:tc>
        <w:tc>
          <w:tcPr>
            <w:tcW w:w="17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84" w:type="dxa"/>
            <w:tcBorders/>
            <w:shd w:fill="auto" w:val="clear"/>
            <w:vAlign w:val="center"/>
          </w:tcPr>
          <w:p>
            <w:pPr>
              <w:pStyle w:val="TableContents"/>
              <w:spacing w:before="0" w:after="0"/>
              <w:rPr>
                <w:spacing w:val="0"/>
              </w:rPr>
            </w:pPr>
            <w:r>
              <w:rPr>
                <w:spacing w:val="0"/>
              </w:rPr>
              <w:t> </w:t>
            </w:r>
          </w:p>
        </w:tc>
        <w:tc>
          <w:tcPr>
            <w:tcW w:w="170" w:type="dxa"/>
            <w:tcBorders/>
            <w:shd w:fill="auto" w:val="clear"/>
            <w:vAlign w:val="center"/>
          </w:tcPr>
          <w:p>
            <w:pPr>
              <w:pStyle w:val="TableContents"/>
              <w:spacing w:before="0" w:after="0"/>
              <w:rPr>
                <w:spacing w:val="0"/>
              </w:rPr>
            </w:pPr>
            <w:r>
              <w:rPr>
                <w:spacing w:val="0"/>
              </w:rPr>
              <w:t>  </w:t>
            </w:r>
          </w:p>
        </w:tc>
        <w:tc>
          <w:tcPr>
            <w:tcW w:w="89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170" w:type="dxa"/>
            <w:tcBorders/>
            <w:shd w:fill="auto" w:val="clear"/>
            <w:vAlign w:val="center"/>
          </w:tcPr>
          <w:p>
            <w:pPr>
              <w:pStyle w:val="TableContents"/>
              <w:spacing w:before="0" w:after="0"/>
              <w:rPr>
                <w:spacing w:val="0"/>
              </w:rPr>
            </w:pPr>
            <w:r>
              <w:rPr>
                <w:spacing w:val="0"/>
              </w:rPr>
              <w:t> </w:t>
            </w:r>
          </w:p>
        </w:tc>
      </w:tr>
      <w:tr>
        <w:trPr/>
        <w:tc>
          <w:tcPr>
            <w:tcW w:w="56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Fees payable to the Company’s Auditor for the audit of the</w:t>
              <w:br/>
              <w:t>consolidated accounts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371</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358</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807" w:type="dxa"/>
            <w:tcBorders/>
            <w:shd w:fill="CCEEFF" w:val="clear"/>
            <w:vAlign w:val="center"/>
          </w:tcPr>
          <w:p>
            <w:pPr>
              <w:pStyle w:val="TableContents"/>
              <w:spacing w:before="0" w:after="283"/>
              <w:jc w:val="right"/>
              <w:rPr/>
            </w:pPr>
            <w:r>
              <w:rPr/>
              <w:t>449</w:t>
            </w:r>
          </w:p>
        </w:tc>
        <w:tc>
          <w:tcPr>
            <w:tcW w:w="170" w:type="dxa"/>
            <w:tcBorders/>
            <w:shd w:fill="CCEEFF" w:val="clear"/>
            <w:vAlign w:val="center"/>
          </w:tcPr>
          <w:p>
            <w:pPr>
              <w:pStyle w:val="TableContents"/>
              <w:spacing w:before="0" w:after="283"/>
              <w:rPr/>
            </w:pPr>
            <w:r>
              <w:rPr/>
              <w:t> </w:t>
            </w:r>
          </w:p>
        </w:tc>
      </w:tr>
      <w:tr>
        <w:trPr/>
        <w:tc>
          <w:tcPr>
            <w:tcW w:w="560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Fees payable to the Company’s Auditor for other services: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07"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60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Audit of subsidiary accounts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49</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46</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807" w:type="dxa"/>
            <w:tcBorders/>
            <w:shd w:fill="CCEEFF" w:val="clear"/>
            <w:vAlign w:val="center"/>
          </w:tcPr>
          <w:p>
            <w:pPr>
              <w:pStyle w:val="TableContents"/>
              <w:spacing w:before="0" w:after="283"/>
              <w:jc w:val="right"/>
              <w:rPr/>
            </w:pPr>
            <w:r>
              <w:rPr/>
              <w:t>49</w:t>
            </w:r>
          </w:p>
        </w:tc>
        <w:tc>
          <w:tcPr>
            <w:tcW w:w="170" w:type="dxa"/>
            <w:tcBorders/>
            <w:shd w:fill="CCEEFF" w:val="clear"/>
            <w:vAlign w:val="center"/>
          </w:tcPr>
          <w:p>
            <w:pPr>
              <w:pStyle w:val="TableContents"/>
              <w:spacing w:before="0" w:after="283"/>
              <w:rPr/>
            </w:pPr>
            <w:r>
              <w:rPr/>
              <w:t> </w:t>
            </w:r>
          </w:p>
        </w:tc>
      </w:tr>
      <w:tr>
        <w:trPr/>
        <w:tc>
          <w:tcPr>
            <w:tcW w:w="560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Audit related assurance services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59</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57</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807" w:type="dxa"/>
            <w:tcBorders/>
            <w:shd w:fill="auto" w:val="clear"/>
            <w:vAlign w:val="center"/>
          </w:tcPr>
          <w:p>
            <w:pPr>
              <w:pStyle w:val="TableContents"/>
              <w:spacing w:before="0" w:after="283"/>
              <w:jc w:val="right"/>
              <w:rPr/>
            </w:pPr>
            <w:r>
              <w:rPr/>
              <w:t>318</w:t>
            </w:r>
          </w:p>
        </w:tc>
        <w:tc>
          <w:tcPr>
            <w:tcW w:w="170" w:type="dxa"/>
            <w:tcBorders/>
            <w:shd w:fill="auto" w:val="clear"/>
            <w:vAlign w:val="center"/>
          </w:tcPr>
          <w:p>
            <w:pPr>
              <w:pStyle w:val="TableContents"/>
              <w:spacing w:before="0" w:after="283"/>
              <w:rPr/>
            </w:pPr>
            <w:r>
              <w:rPr/>
              <w:t> </w:t>
            </w:r>
          </w:p>
        </w:tc>
      </w:tr>
      <w:tr>
        <w:trPr/>
        <w:tc>
          <w:tcPr>
            <w:tcW w:w="560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Gain on modification of lease</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 xml:space="preserve">–   </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807" w:type="dxa"/>
            <w:tcBorders/>
            <w:shd w:fill="CCEEFF" w:val="clear"/>
            <w:vAlign w:val="center"/>
          </w:tcPr>
          <w:p>
            <w:pPr>
              <w:pStyle w:val="TableContents"/>
              <w:spacing w:before="0" w:after="283"/>
              <w:jc w:val="right"/>
              <w:rPr/>
            </w:pPr>
            <w:r>
              <w:rPr/>
              <w:t>(957</w:t>
            </w:r>
          </w:p>
        </w:tc>
        <w:tc>
          <w:tcPr>
            <w:tcW w:w="170" w:type="dxa"/>
            <w:tcBorders/>
            <w:shd w:fill="CCEEFF" w:val="clear"/>
            <w:vAlign w:val="center"/>
          </w:tcPr>
          <w:p>
            <w:pPr>
              <w:pStyle w:val="TableContents"/>
              <w:spacing w:before="0" w:after="283"/>
              <w:rPr/>
            </w:pPr>
            <w:r>
              <w:rPr/>
              <w:t>) </w:t>
            </w:r>
          </w:p>
        </w:tc>
      </w:tr>
      <w:tr>
        <w:trPr/>
        <w:tc>
          <w:tcPr>
            <w:tcW w:w="56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Income from </w:t>
            </w:r>
          </w:p>
          <w:p>
            <w:pPr>
              <w:pStyle w:val="TableContents"/>
              <w:spacing w:before="0" w:after="0"/>
              <w:rPr>
                <w:rFonts w:ascii="Times New Roman" w:hAnsi="Times New Roman"/>
                <w:spacing w:val="0"/>
                <w:sz w:val="24"/>
              </w:rPr>
            </w:pPr>
            <w:r>
              <w:rPr>
                <w:rFonts w:ascii="Times New Roman" w:hAnsi="Times New Roman"/>
                <w:spacing w:val="0"/>
                <w:sz w:val="24"/>
              </w:rPr>
              <w:t>sub-lease</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 xml:space="preserve">–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807" w:type="dxa"/>
            <w:tcBorders/>
            <w:shd w:fill="auto" w:val="clear"/>
            <w:vAlign w:val="center"/>
          </w:tcPr>
          <w:p>
            <w:pPr>
              <w:pStyle w:val="TableContents"/>
              <w:spacing w:before="0" w:after="283"/>
              <w:jc w:val="right"/>
              <w:rPr/>
            </w:pPr>
            <w:r>
              <w:rPr/>
              <w:t>(646</w:t>
            </w:r>
          </w:p>
        </w:tc>
        <w:tc>
          <w:tcPr>
            <w:tcW w:w="170" w:type="dxa"/>
            <w:tcBorders/>
            <w:shd w:fill="auto" w:val="clear"/>
            <w:vAlign w:val="center"/>
          </w:tcPr>
          <w:p>
            <w:pPr>
              <w:pStyle w:val="TableContents"/>
              <w:spacing w:before="0" w:after="283"/>
              <w:rPr/>
            </w:pPr>
            <w:r>
              <w:rPr/>
              <w:t>)</w:t>
            </w:r>
          </w:p>
        </w:tc>
      </w:tr>
      <w:tr>
        <w:trPr/>
        <w:tc>
          <w:tcPr>
            <w:tcW w:w="56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 xml:space="preserve">Depreciation of </w:t>
            </w:r>
          </w:p>
          <w:p>
            <w:pPr>
              <w:pStyle w:val="TableContents"/>
              <w:spacing w:before="0" w:after="0"/>
              <w:rPr>
                <w:rFonts w:ascii="Times New Roman" w:hAnsi="Times New Roman"/>
                <w:spacing w:val="0"/>
                <w:sz w:val="24"/>
              </w:rPr>
            </w:pPr>
            <w:r>
              <w:rPr>
                <w:rFonts w:ascii="Times New Roman" w:hAnsi="Times New Roman"/>
                <w:spacing w:val="0"/>
                <w:sz w:val="24"/>
              </w:rPr>
              <w:t>right-of-use</w:t>
            </w:r>
          </w:p>
          <w:p>
            <w:pPr>
              <w:pStyle w:val="TableContents"/>
              <w:spacing w:before="0" w:after="0"/>
              <w:rPr>
                <w:rFonts w:ascii="Times New Roman" w:hAnsi="Times New Roman"/>
                <w:sz w:val="24"/>
              </w:rPr>
            </w:pPr>
            <w:r>
              <w:rPr>
                <w:rFonts w:ascii="Times New Roman" w:hAnsi="Times New Roman"/>
                <w:sz w:val="24"/>
              </w:rPr>
              <w:t>assets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583</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576" w:type="dxa"/>
            <w:tcBorders/>
            <w:shd w:fill="CCEEFF" w:val="clear"/>
            <w:vAlign w:val="center"/>
          </w:tcPr>
          <w:p>
            <w:pPr>
              <w:pStyle w:val="TableContents"/>
              <w:spacing w:before="0" w:after="283"/>
              <w:jc w:val="right"/>
              <w:rPr/>
            </w:pPr>
            <w:r>
              <w:rPr/>
              <w:t>570</w:t>
            </w:r>
          </w:p>
        </w:tc>
        <w:tc>
          <w:tcPr>
            <w:tcW w:w="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807" w:type="dxa"/>
            <w:tcBorders/>
            <w:shd w:fill="CCEEFF" w:val="clear"/>
            <w:vAlign w:val="center"/>
          </w:tcPr>
          <w:p>
            <w:pPr>
              <w:pStyle w:val="TableContents"/>
              <w:spacing w:before="0" w:after="283"/>
              <w:jc w:val="right"/>
              <w:rPr/>
            </w:pPr>
            <w:r>
              <w:rPr/>
              <w:t>1,531</w:t>
            </w:r>
          </w:p>
        </w:tc>
        <w:tc>
          <w:tcPr>
            <w:tcW w:w="170" w:type="dxa"/>
            <w:tcBorders/>
            <w:shd w:fill="CCEEFF" w:val="clear"/>
            <w:vAlign w:val="center"/>
          </w:tcPr>
          <w:p>
            <w:pPr>
              <w:pStyle w:val="TableContents"/>
              <w:spacing w:before="0" w:after="283"/>
              <w:rPr/>
            </w:pPr>
            <w:r>
              <w:rPr/>
              <w:t> </w:t>
            </w:r>
          </w:p>
        </w:tc>
      </w:tr>
      <w:tr>
        <w:trPr/>
        <w:tc>
          <w:tcPr>
            <w:tcW w:w="56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Depreciation (excluding </w:t>
            </w:r>
          </w:p>
          <w:p>
            <w:pPr>
              <w:pStyle w:val="TableContents"/>
              <w:spacing w:before="0" w:after="0"/>
              <w:rPr>
                <w:rFonts w:ascii="Times New Roman" w:hAnsi="Times New Roman"/>
                <w:spacing w:val="0"/>
                <w:sz w:val="24"/>
              </w:rPr>
            </w:pPr>
            <w:r>
              <w:rPr>
                <w:rFonts w:ascii="Times New Roman" w:hAnsi="Times New Roman"/>
                <w:spacing w:val="0"/>
                <w:sz w:val="24"/>
              </w:rPr>
              <w:t>right-of-use</w:t>
            </w:r>
          </w:p>
          <w:p>
            <w:pPr>
              <w:pStyle w:val="TableContents"/>
              <w:spacing w:before="0" w:after="0"/>
              <w:rPr>
                <w:rFonts w:ascii="Times New Roman" w:hAnsi="Times New Roman"/>
                <w:sz w:val="24"/>
              </w:rPr>
            </w:pPr>
            <w:r>
              <w:rPr>
                <w:rFonts w:ascii="Times New Roman" w:hAnsi="Times New Roman"/>
                <w:sz w:val="24"/>
              </w:rPr>
              <w:t>assets)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144</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283"/>
              <w:jc w:val="right"/>
              <w:rPr/>
            </w:pPr>
            <w:r>
              <w:rPr/>
              <w:t>72</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807" w:type="dxa"/>
            <w:tcBorders/>
            <w:shd w:fill="auto" w:val="clear"/>
            <w:vAlign w:val="center"/>
          </w:tcPr>
          <w:p>
            <w:pPr>
              <w:pStyle w:val="TableContents"/>
              <w:spacing w:before="0" w:after="283"/>
              <w:jc w:val="right"/>
              <w:rPr/>
            </w:pPr>
            <w:r>
              <w:rPr/>
              <w:t>68</w:t>
            </w:r>
          </w:p>
        </w:tc>
        <w:tc>
          <w:tcPr>
            <w:tcW w:w="170" w:type="dxa"/>
            <w:tcBorders/>
            <w:shd w:fill="auto" w:val="clear"/>
            <w:vAlign w:val="center"/>
          </w:tcPr>
          <w:p>
            <w:pPr>
              <w:pStyle w:val="TableContents"/>
              <w:spacing w:before="0" w:after="283"/>
              <w:rPr/>
            </w:pPr>
            <w:r>
              <w:rPr/>
              <w:t> </w:t>
            </w:r>
          </w:p>
        </w:tc>
      </w:tr>
      <w:tr>
        <w:trPr/>
        <w:tc>
          <w:tcPr>
            <w:tcW w:w="56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60" w:after="0"/>
        <w:jc w:val="left"/>
        <w:rPr>
          <w:rFonts w:ascii="Times New Roman" w:hAnsi="Times New Roman"/>
          <w:sz w:val="24"/>
        </w:rPr>
      </w:pPr>
      <w:r>
        <w:rPr>
          <w:rFonts w:ascii="Times New Roman" w:hAnsi="Times New Roman"/>
          <w:sz w:val="24"/>
        </w:rPr>
        <w:t xml:space="preserve">Gain on modification of lease, </w:t>
      </w:r>
    </w:p>
    <w:p>
      <w:pPr>
        <w:pStyle w:val="TextBody"/>
        <w:spacing w:before="260" w:after="0"/>
        <w:jc w:val="left"/>
        <w:rPr>
          <w:rFonts w:ascii="Times New Roman" w:hAnsi="Times New Roman"/>
          <w:spacing w:val="0"/>
          <w:sz w:val="24"/>
        </w:rPr>
      </w:pPr>
      <w:r>
        <w:rPr>
          <w:rFonts w:ascii="Times New Roman" w:hAnsi="Times New Roman"/>
          <w:spacing w:val="0"/>
          <w:sz w:val="24"/>
        </w:rPr>
        <w:t>sub-lease</w:t>
      </w:r>
    </w:p>
    <w:p>
      <w:pPr>
        <w:pStyle w:val="TextBody"/>
        <w:spacing w:before="260" w:after="0"/>
        <w:jc w:val="left"/>
        <w:rPr>
          <w:rFonts w:ascii="Times New Roman" w:hAnsi="Times New Roman"/>
          <w:sz w:val="24"/>
        </w:rPr>
      </w:pPr>
      <w:r>
        <w:rPr>
          <w:rFonts w:ascii="Times New Roman" w:hAnsi="Times New Roman"/>
          <w:sz w:val="24"/>
        </w:rPr>
        <w:t xml:space="preserve">income and transaction costs associated with lease modification are included within administrative expenses within the consolidated statement of comprehensive income/(loss). </w:t>
      </w:r>
    </w:p>
    <w:p>
      <w:pPr>
        <w:pStyle w:val="TextBody"/>
        <w:spacing w:before="260" w:after="0"/>
        <w:jc w:val="left"/>
        <w:rPr>
          <w:rFonts w:ascii="Times New Roman" w:hAnsi="Times New Roman"/>
          <w:b/>
          <w:spacing w:val="0"/>
          <w:sz w:val="24"/>
        </w:rPr>
      </w:pPr>
      <w:r>
        <w:rPr>
          <w:rFonts w:ascii="Times New Roman" w:hAnsi="Times New Roman"/>
          <w:b/>
          <w:spacing w:val="0"/>
          <w:sz w:val="24"/>
        </w:rPr>
        <w:t xml:space="preserve">8. Employees </w:t>
      </w:r>
    </w:p>
    <w:p>
      <w:pPr>
        <w:pStyle w:val="TextBody"/>
        <w:spacing w:before="260" w:after="0"/>
        <w:jc w:val="left"/>
        <w:rPr>
          <w:spacing w:val="0"/>
        </w:rPr>
      </w:pPr>
      <w:r>
        <w:rPr>
          <w:spacing w:val="0"/>
        </w:rPr>
        <w:t> </w:t>
      </w:r>
    </w:p>
    <w:p>
      <w:pPr>
        <w:pStyle w:val="TextBody"/>
        <w:spacing w:before="260" w:after="0"/>
        <w:jc w:val="left"/>
        <w:rPr>
          <w:rFonts w:ascii="Times New Roman" w:hAnsi="Times New Roman"/>
          <w:sz w:val="24"/>
        </w:rPr>
      </w:pPr>
      <w:r>
        <w:rPr>
          <w:rFonts w:ascii="Times New Roman" w:hAnsi="Times New Roman"/>
          <w:sz w:val="24"/>
        </w:rPr>
      </w:r>
    </w:p>
    <w:p>
      <w:pPr>
        <w:pStyle w:val="TextBody"/>
        <w:spacing w:before="260" w:after="0"/>
        <w:jc w:val="left"/>
        <w:rPr>
          <w:rFonts w:ascii="Times New Roman" w:hAnsi="Times New Roman"/>
          <w:spacing w:val="0"/>
          <w:sz w:val="24"/>
        </w:rPr>
      </w:pPr>
      <w:r>
        <w:rPr>
          <w:rFonts w:ascii="Times New Roman" w:hAnsi="Times New Roman"/>
          <w:spacing w:val="0"/>
          <w:sz w:val="24"/>
        </w:rPr>
        <w:t>Total compensation costs for persons employed by the Company (including Directors) during the year was:</w:t>
      </w:r>
    </w:p>
    <w:p>
      <w:pPr>
        <w:pStyle w:val="TextBody"/>
        <w:spacing w:before="0" w:after="0"/>
        <w:ind w:left="0" w:right="0" w:hanging="0"/>
        <w:jc w:val="left"/>
        <w:rPr>
          <w:spacing w:val="0"/>
        </w:rPr>
      </w:pPr>
      <w:r>
        <w:rPr>
          <w:spacing w:val="0"/>
        </w:rPr>
        <w:t> </w:t>
      </w:r>
    </w:p>
    <w:tbl>
      <w:tblPr>
        <w:tblW w:w="7444" w:type="dxa"/>
        <w:jc w:val="left"/>
        <w:tblInd w:w="0" w:type="dxa"/>
        <w:tblCellMar>
          <w:top w:w="0" w:type="dxa"/>
          <w:left w:w="0" w:type="dxa"/>
          <w:bottom w:w="0" w:type="dxa"/>
          <w:right w:w="0" w:type="dxa"/>
        </w:tblCellMar>
      </w:tblPr>
      <w:tblGrid>
        <w:gridCol w:w="4595"/>
        <w:gridCol w:w="120"/>
        <w:gridCol w:w="61"/>
        <w:gridCol w:w="700"/>
        <w:gridCol w:w="61"/>
        <w:gridCol w:w="122"/>
        <w:gridCol w:w="61"/>
        <w:gridCol w:w="700"/>
        <w:gridCol w:w="61"/>
        <w:gridCol w:w="122"/>
        <w:gridCol w:w="61"/>
        <w:gridCol w:w="705"/>
        <w:gridCol w:w="75"/>
      </w:tblGrid>
      <w:tr>
        <w:trPr/>
        <w:tc>
          <w:tcPr>
            <w:tcW w:w="4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54"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6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76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0"/>
              <w:rPr>
                <w:spacing w:val="0"/>
              </w:rPr>
            </w:pPr>
            <w:r>
              <w:rPr>
                <w:spacing w:val="0"/>
              </w:rPr>
              <w:t>  </w:t>
            </w:r>
          </w:p>
        </w:tc>
        <w:tc>
          <w:tcPr>
            <w:tcW w:w="76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Included in research and development expenses:</w:t>
            </w:r>
          </w:p>
        </w:tc>
        <w:tc>
          <w:tcPr>
            <w:tcW w:w="120"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283"/>
              <w:rPr>
                <w:sz w:val="4"/>
                <w:szCs w:val="4"/>
              </w:rPr>
            </w:pPr>
            <w:r>
              <w:rPr>
                <w:sz w:val="4"/>
                <w:szCs w:val="4"/>
              </w:rPr>
            </w:r>
          </w:p>
        </w:tc>
        <w:tc>
          <w:tcPr>
            <w:tcW w:w="700" w:type="dxa"/>
            <w:tcBorders/>
            <w:shd w:fill="CCEEFF" w:val="clear"/>
            <w:vAlign w:val="center"/>
          </w:tcPr>
          <w:p>
            <w:pPr>
              <w:pStyle w:val="TableContents"/>
              <w:spacing w:before="0" w:after="283"/>
              <w:rPr>
                <w:sz w:val="4"/>
                <w:szCs w:val="4"/>
              </w:rPr>
            </w:pPr>
            <w:r>
              <w:rPr>
                <w:sz w:val="4"/>
                <w:szCs w:val="4"/>
              </w:rPr>
            </w:r>
          </w:p>
        </w:tc>
        <w:tc>
          <w:tcPr>
            <w:tcW w:w="61" w:type="dxa"/>
            <w:tcBorders/>
            <w:shd w:fill="CCEEFF" w:val="clear"/>
            <w:vAlign w:val="center"/>
          </w:tcPr>
          <w:p>
            <w:pPr>
              <w:pStyle w:val="TableContents"/>
              <w:spacing w:before="0" w:after="283"/>
              <w:rPr>
                <w:sz w:val="4"/>
                <w:szCs w:val="4"/>
              </w:rPr>
            </w:pPr>
            <w:r>
              <w:rPr>
                <w:sz w:val="4"/>
                <w:szCs w:val="4"/>
              </w:rPr>
            </w:r>
          </w:p>
        </w:tc>
        <w:tc>
          <w:tcPr>
            <w:tcW w:w="122"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283"/>
              <w:rPr>
                <w:sz w:val="4"/>
                <w:szCs w:val="4"/>
              </w:rPr>
            </w:pPr>
            <w:r>
              <w:rPr>
                <w:sz w:val="4"/>
                <w:szCs w:val="4"/>
              </w:rPr>
            </w:r>
          </w:p>
        </w:tc>
        <w:tc>
          <w:tcPr>
            <w:tcW w:w="700" w:type="dxa"/>
            <w:tcBorders/>
            <w:shd w:fill="CCEEFF" w:val="clear"/>
            <w:vAlign w:val="center"/>
          </w:tcPr>
          <w:p>
            <w:pPr>
              <w:pStyle w:val="TableContents"/>
              <w:spacing w:before="0" w:after="283"/>
              <w:rPr>
                <w:sz w:val="4"/>
                <w:szCs w:val="4"/>
              </w:rPr>
            </w:pPr>
            <w:r>
              <w:rPr>
                <w:sz w:val="4"/>
                <w:szCs w:val="4"/>
              </w:rPr>
            </w:r>
          </w:p>
        </w:tc>
        <w:tc>
          <w:tcPr>
            <w:tcW w:w="61" w:type="dxa"/>
            <w:tcBorders/>
            <w:shd w:fill="CCEEFF" w:val="clear"/>
            <w:vAlign w:val="center"/>
          </w:tcPr>
          <w:p>
            <w:pPr>
              <w:pStyle w:val="TableContents"/>
              <w:spacing w:before="0" w:after="283"/>
              <w:rPr>
                <w:sz w:val="4"/>
                <w:szCs w:val="4"/>
              </w:rPr>
            </w:pPr>
            <w:r>
              <w:rPr>
                <w:sz w:val="4"/>
                <w:szCs w:val="4"/>
              </w:rPr>
            </w:r>
          </w:p>
        </w:tc>
        <w:tc>
          <w:tcPr>
            <w:tcW w:w="122"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283"/>
              <w:rPr>
                <w:sz w:val="4"/>
                <w:szCs w:val="4"/>
              </w:rPr>
            </w:pPr>
            <w:r>
              <w:rPr>
                <w:sz w:val="4"/>
                <w:szCs w:val="4"/>
              </w:rPr>
            </w:r>
          </w:p>
        </w:tc>
        <w:tc>
          <w:tcPr>
            <w:tcW w:w="70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59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Salaries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4,590</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4,126</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3,046</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Social security costs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456</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402</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397</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Pension contributions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78</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73</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66</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Share-based payment expenses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1,083</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1,210</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446</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Included in administrative expenses: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Salaries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4,478</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3,763</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4,832</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Social security costs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606</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418</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681</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Pension contributions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124</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99</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89</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Share-based payment expenses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2,779</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2,092</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1,112</w:t>
            </w:r>
          </w:p>
        </w:tc>
        <w:tc>
          <w:tcPr>
            <w:tcW w:w="75" w:type="dxa"/>
            <w:tcBorders/>
            <w:shd w:fill="auto"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CCEEFF" w:val="clear"/>
            <w:vAlign w:val="center"/>
          </w:tcPr>
          <w:p>
            <w:pPr>
              <w:pStyle w:val="TableContents"/>
              <w:spacing w:lineRule="atLeast" w:line="240" w:before="0" w:after="0"/>
              <w:rPr>
                <w:spacing w:val="0"/>
              </w:rPr>
            </w:pPr>
            <w:r>
              <w:rPr>
                <w:spacing w:val="0"/>
              </w:rPr>
              <w:t>  </w:t>
            </w:r>
          </w:p>
        </w:tc>
        <w:tc>
          <w:tcPr>
            <w:tcW w:w="61" w:type="dxa"/>
            <w:tcBorders/>
            <w:shd w:fill="CCEEFF" w:val="clear"/>
            <w:vAlign w:val="center"/>
          </w:tcPr>
          <w:p>
            <w:pPr>
              <w:pStyle w:val="TableContents"/>
              <w:spacing w:lineRule="atLeast" w:line="240" w:before="0" w:after="0"/>
              <w:rPr>
                <w:spacing w:val="0"/>
              </w:rPr>
            </w:pPr>
            <w:r>
              <w:rPr>
                <w:spacing w:val="0"/>
              </w:rPr>
              <w:t> </w:t>
            </w:r>
          </w:p>
        </w:tc>
        <w:tc>
          <w:tcPr>
            <w:tcW w:w="700" w:type="dxa"/>
            <w:tcBorders/>
            <w:shd w:fill="CCEEFF" w:val="clear"/>
            <w:vAlign w:val="center"/>
          </w:tcPr>
          <w:p>
            <w:pPr>
              <w:pStyle w:val="TableContents"/>
              <w:spacing w:lineRule="atLeast" w:line="240" w:before="0" w:after="0"/>
              <w:jc w:val="right"/>
              <w:rPr>
                <w:b/>
                <w:sz w:val="24"/>
              </w:rPr>
            </w:pPr>
            <w:r>
              <w:rPr>
                <w:b/>
                <w:sz w:val="24"/>
              </w:rPr>
              <w:t>14,194</w:t>
            </w:r>
          </w:p>
        </w:tc>
        <w:tc>
          <w:tcPr>
            <w:tcW w:w="61" w:type="dxa"/>
            <w:tcBorders/>
            <w:shd w:fill="CCEEFF" w:val="clear"/>
            <w:vAlign w:val="center"/>
          </w:tcPr>
          <w:p>
            <w:pPr>
              <w:pStyle w:val="TableContents"/>
              <w:spacing w:lineRule="atLeast" w:line="240" w:before="0" w:after="0"/>
              <w:rPr>
                <w:spacing w:val="0"/>
              </w:rPr>
            </w:pPr>
            <w:r>
              <w:rPr>
                <w:spacing w:val="0"/>
              </w:rPr>
              <w:t> </w:t>
            </w:r>
          </w:p>
        </w:tc>
        <w:tc>
          <w:tcPr>
            <w:tcW w:w="122" w:type="dxa"/>
            <w:tcBorders/>
            <w:shd w:fill="CCEEFF" w:val="clear"/>
            <w:vAlign w:val="center"/>
          </w:tcPr>
          <w:p>
            <w:pPr>
              <w:pStyle w:val="TableContents"/>
              <w:spacing w:lineRule="atLeast" w:line="240" w:before="0" w:after="0"/>
              <w:rPr>
                <w:spacing w:val="0"/>
              </w:rPr>
            </w:pPr>
            <w:r>
              <w:rPr>
                <w:spacing w:val="0"/>
              </w:rPr>
              <w:t>  </w:t>
            </w:r>
          </w:p>
        </w:tc>
        <w:tc>
          <w:tcPr>
            <w:tcW w:w="61" w:type="dxa"/>
            <w:tcBorders/>
            <w:shd w:fill="CCEEFF" w:val="clear"/>
            <w:vAlign w:val="center"/>
          </w:tcPr>
          <w:p>
            <w:pPr>
              <w:pStyle w:val="TableContents"/>
              <w:spacing w:before="0" w:after="0"/>
              <w:rPr>
                <w:spacing w:val="0"/>
              </w:rPr>
            </w:pPr>
            <w:r>
              <w:rPr>
                <w:spacing w:val="0"/>
              </w:rPr>
              <w:t> </w:t>
            </w:r>
          </w:p>
        </w:tc>
        <w:tc>
          <w:tcPr>
            <w:tcW w:w="700" w:type="dxa"/>
            <w:tcBorders/>
            <w:shd w:fill="CCEEFF" w:val="clear"/>
            <w:vAlign w:val="center"/>
          </w:tcPr>
          <w:p>
            <w:pPr>
              <w:pStyle w:val="TableContents"/>
              <w:spacing w:before="0" w:after="0"/>
              <w:jc w:val="right"/>
              <w:rPr>
                <w:b/>
                <w:spacing w:val="0"/>
                <w:sz w:val="24"/>
              </w:rPr>
            </w:pPr>
            <w:r>
              <w:rPr>
                <w:b/>
                <w:spacing w:val="0"/>
                <w:sz w:val="24"/>
              </w:rPr>
              <w:t>12,183</w:t>
            </w:r>
          </w:p>
        </w:tc>
        <w:tc>
          <w:tcPr>
            <w:tcW w:w="61" w:type="dxa"/>
            <w:tcBorders/>
            <w:shd w:fill="CCEEFF" w:val="clear"/>
            <w:vAlign w:val="center"/>
          </w:tcPr>
          <w:p>
            <w:pPr>
              <w:pStyle w:val="TableContents"/>
              <w:spacing w:before="0" w:after="0"/>
              <w:rPr>
                <w:spacing w:val="0"/>
              </w:rPr>
            </w:pPr>
            <w:r>
              <w:rPr>
                <w:spacing w:val="0"/>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705" w:type="dxa"/>
            <w:tcBorders/>
            <w:shd w:fill="CCEEFF" w:val="clear"/>
            <w:vAlign w:val="center"/>
          </w:tcPr>
          <w:p>
            <w:pPr>
              <w:pStyle w:val="TableContents"/>
              <w:spacing w:before="0" w:after="0"/>
              <w:jc w:val="right"/>
              <w:rPr>
                <w:b/>
                <w:spacing w:val="0"/>
                <w:sz w:val="24"/>
              </w:rPr>
            </w:pPr>
            <w:r>
              <w:rPr>
                <w:b/>
                <w:spacing w:val="0"/>
                <w:sz w:val="24"/>
              </w:rPr>
              <w:t>10,669</w:t>
            </w:r>
          </w:p>
        </w:tc>
        <w:tc>
          <w:tcPr>
            <w:tcW w:w="75" w:type="dxa"/>
            <w:tcBorders/>
            <w:shd w:fill="CCEEFF" w:val="clear"/>
            <w:vAlign w:val="center"/>
          </w:tcPr>
          <w:p>
            <w:pPr>
              <w:pStyle w:val="TableContents"/>
              <w:spacing w:before="0" w:after="0"/>
              <w:rPr>
                <w:spacing w:val="0"/>
              </w:rPr>
            </w:pPr>
            <w:r>
              <w:rPr>
                <w:spacing w:val="0"/>
              </w:rPr>
              <w:t> </w:t>
            </w:r>
          </w:p>
        </w:tc>
      </w:tr>
      <w:tr>
        <w:trPr/>
        <w:tc>
          <w:tcPr>
            <w:tcW w:w="4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60" w:after="0"/>
        <w:ind w:left="0" w:right="0" w:hanging="0"/>
        <w:jc w:val="left"/>
        <w:rPr>
          <w:rFonts w:ascii="Times New Roman" w:hAnsi="Times New Roman"/>
          <w:spacing w:val="0"/>
          <w:sz w:val="24"/>
        </w:rPr>
      </w:pPr>
      <w:r>
        <w:rPr>
          <w:rFonts w:ascii="Times New Roman" w:hAnsi="Times New Roman"/>
          <w:spacing w:val="0"/>
          <w:sz w:val="24"/>
        </w:rPr>
        <w:t xml:space="preserve">Total compensation costs for Directors during the year was: </w:t>
      </w:r>
    </w:p>
    <w:p>
      <w:pPr>
        <w:pStyle w:val="TextBody"/>
        <w:spacing w:before="0" w:after="0"/>
        <w:ind w:left="0" w:right="0" w:hanging="0"/>
        <w:jc w:val="left"/>
        <w:rPr>
          <w:spacing w:val="0"/>
        </w:rPr>
      </w:pPr>
      <w:r>
        <w:rPr>
          <w:spacing w:val="0"/>
        </w:rPr>
        <w:t> </w:t>
      </w:r>
    </w:p>
    <w:tbl>
      <w:tblPr>
        <w:tblW w:w="5017" w:type="dxa"/>
        <w:jc w:val="left"/>
        <w:tblInd w:w="0" w:type="dxa"/>
        <w:tblCellMar>
          <w:top w:w="0" w:type="dxa"/>
          <w:left w:w="0" w:type="dxa"/>
          <w:bottom w:w="0" w:type="dxa"/>
          <w:right w:w="0" w:type="dxa"/>
        </w:tblCellMar>
      </w:tblPr>
      <w:tblGrid>
        <w:gridCol w:w="2075"/>
        <w:gridCol w:w="120"/>
        <w:gridCol w:w="90"/>
        <w:gridCol w:w="575"/>
        <w:gridCol w:w="77"/>
        <w:gridCol w:w="155"/>
        <w:gridCol w:w="77"/>
        <w:gridCol w:w="729"/>
        <w:gridCol w:w="77"/>
        <w:gridCol w:w="155"/>
        <w:gridCol w:w="77"/>
        <w:gridCol w:w="735"/>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747" w:type="dxa"/>
            <w:gridSpan w:val="10"/>
            <w:tcBorders/>
            <w:shd w:fill="auto" w:val="cle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0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2022</w:t>
              <w:br/>
              <w:t>£’000s</w:t>
            </w:r>
          </w:p>
        </w:tc>
        <w:tc>
          <w:tcPr>
            <w:tcW w:w="77" w:type="dxa"/>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806" w:type="dxa"/>
            <w:gridSpan w:val="2"/>
            <w:tcBorders/>
            <w:shd w:fill="auto" w:val="clear"/>
            <w:vAlign w:val="center"/>
          </w:tcPr>
          <w:p>
            <w:pPr>
              <w:pStyle w:val="TableContents"/>
              <w:spacing w:before="0" w:after="0"/>
              <w:jc w:val="center"/>
              <w:rPr>
                <w:b/>
                <w:spacing w:val="0"/>
              </w:rPr>
            </w:pPr>
            <w:r>
              <w:rPr>
                <w:b/>
                <w:spacing w:val="0"/>
              </w:rPr>
              <w:t>2021</w:t>
              <w:br/>
              <w:t>£’000s</w:t>
            </w:r>
          </w:p>
        </w:tc>
        <w:tc>
          <w:tcPr>
            <w:tcW w:w="77" w:type="dxa"/>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812" w:type="dxa"/>
            <w:gridSpan w:val="2"/>
            <w:tcBorders/>
            <w:shd w:fill="auto" w:val="clear"/>
            <w:vAlign w:val="center"/>
          </w:tcPr>
          <w:p>
            <w:pPr>
              <w:pStyle w:val="TableContents"/>
              <w:spacing w:before="0" w:after="0"/>
              <w:jc w:val="center"/>
              <w:rPr>
                <w:b/>
                <w:spacing w:val="0"/>
              </w:rPr>
            </w:pPr>
            <w:r>
              <w:rPr>
                <w:b/>
                <w:spacing w:val="0"/>
              </w:rPr>
              <w:t>2020</w:t>
              <w:br/>
              <w:t>£’000s</w:t>
            </w:r>
          </w:p>
        </w:tc>
        <w:tc>
          <w:tcPr>
            <w:tcW w:w="75" w:type="dxa"/>
            <w:tcBorders/>
            <w:shd w:fill="auto" w:val="clear"/>
            <w:vAlign w:val="center"/>
          </w:tcPr>
          <w:p>
            <w:pPr>
              <w:pStyle w:val="TableContents"/>
              <w:spacing w:before="0" w:after="0"/>
              <w:rPr>
                <w:spacing w:val="0"/>
              </w:rPr>
            </w:pPr>
            <w:r>
              <w:rPr>
                <w:spacing w:val="0"/>
              </w:rPr>
              <w:t> </w:t>
            </w:r>
          </w:p>
        </w:tc>
      </w:tr>
      <w:tr>
        <w:trPr/>
        <w:tc>
          <w:tcPr>
            <w:tcW w:w="207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Salaries and fees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534</w:t>
            </w:r>
          </w:p>
        </w:tc>
        <w:tc>
          <w:tcPr>
            <w:tcW w:w="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pPr>
            <w:r>
              <w:rPr/>
              <w:t>810</w:t>
            </w:r>
          </w:p>
        </w:tc>
        <w:tc>
          <w:tcPr>
            <w:tcW w:w="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35" w:type="dxa"/>
            <w:tcBorders/>
            <w:shd w:fill="CCEEFF" w:val="clear"/>
            <w:vAlign w:val="center"/>
          </w:tcPr>
          <w:p>
            <w:pPr>
              <w:pStyle w:val="TableContents"/>
              <w:spacing w:before="0" w:after="283"/>
              <w:jc w:val="right"/>
              <w:rPr/>
            </w:pPr>
            <w:r>
              <w:rPr/>
              <w:t>1,114</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Benefits in kind</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9</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9" w:type="dxa"/>
            <w:tcBorders/>
            <w:shd w:fill="auto" w:val="clear"/>
            <w:vAlign w:val="center"/>
          </w:tcPr>
          <w:p>
            <w:pPr>
              <w:pStyle w:val="TableContents"/>
              <w:spacing w:before="0" w:after="283"/>
              <w:jc w:val="right"/>
              <w:rPr/>
            </w:pPr>
            <w:r>
              <w:rPr/>
              <w:t>9</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35"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Pension contributions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42</w:t>
            </w:r>
          </w:p>
        </w:tc>
        <w:tc>
          <w:tcPr>
            <w:tcW w:w="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pPr>
            <w:r>
              <w:rPr/>
              <w:t>58</w:t>
            </w:r>
          </w:p>
        </w:tc>
        <w:tc>
          <w:tcPr>
            <w:tcW w:w="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35" w:type="dxa"/>
            <w:tcBorders/>
            <w:shd w:fill="CCEEFF" w:val="clear"/>
            <w:vAlign w:val="center"/>
          </w:tcPr>
          <w:p>
            <w:pPr>
              <w:pStyle w:val="TableContents"/>
              <w:spacing w:before="0" w:after="283"/>
              <w:jc w:val="right"/>
              <w:rPr/>
            </w:pPr>
            <w:r>
              <w:rPr/>
              <w:t>61</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Bonus</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226</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9" w:type="dxa"/>
            <w:tcBorders/>
            <w:shd w:fill="auto" w:val="clear"/>
            <w:vAlign w:val="center"/>
          </w:tcPr>
          <w:p>
            <w:pPr>
              <w:pStyle w:val="TableContents"/>
              <w:spacing w:before="0" w:after="283"/>
              <w:jc w:val="right"/>
              <w:rPr/>
            </w:pPr>
            <w:r>
              <w:rPr/>
              <w:t>239</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35" w:type="dxa"/>
            <w:tcBorders/>
            <w:shd w:fill="auto" w:val="clear"/>
            <w:vAlign w:val="center"/>
          </w:tcPr>
          <w:p>
            <w:pPr>
              <w:pStyle w:val="TableContents"/>
              <w:spacing w:before="0" w:after="283"/>
              <w:jc w:val="right"/>
              <w:rPr/>
            </w:pPr>
            <w:r>
              <w:rPr/>
              <w:t>538</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5" w:type="dxa"/>
            <w:tcBorders/>
            <w:shd w:fill="auto" w:val="clear"/>
            <w:vAlign w:val="center"/>
          </w:tcPr>
          <w:p>
            <w:pPr>
              <w:pStyle w:val="TableContents"/>
              <w:spacing w:before="0" w:after="0"/>
              <w:jc w:val="right"/>
              <w:rPr>
                <w:spacing w:val="0"/>
                <w:bdr w:val="single" w:sz="2" w:space="1" w:color="000000"/>
              </w:rPr>
            </w:pPr>
            <w:r>
              <w:rPr>
                <w:spacing w:val="0"/>
                <w:bdr w:val="single" w:sz="2" w:space="1" w:color="000000"/>
              </w:rPr>
              <w:t> </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575" w:type="dxa"/>
            <w:tcBorders/>
            <w:shd w:fill="CCEEFF" w:val="clear"/>
            <w:vAlign w:val="center"/>
          </w:tcPr>
          <w:p>
            <w:pPr>
              <w:pStyle w:val="TableContents"/>
              <w:spacing w:before="0" w:after="0"/>
              <w:jc w:val="right"/>
              <w:rPr>
                <w:b/>
                <w:spacing w:val="0"/>
              </w:rPr>
            </w:pPr>
            <w:r>
              <w:rPr>
                <w:b/>
                <w:spacing w:val="0"/>
              </w:rPr>
              <w:t>811</w:t>
            </w:r>
          </w:p>
          <w:p>
            <w:pPr>
              <w:pStyle w:val="TableContents"/>
              <w:spacing w:before="0" w:after="0"/>
              <w:rPr/>
            </w:pPr>
            <w:r>
              <w:rPr/>
            </w:r>
          </w:p>
        </w:tc>
        <w:tc>
          <w:tcPr>
            <w:tcW w:w="77" w:type="dxa"/>
            <w:tcBorders/>
            <w:shd w:fill="CCEEFF" w:val="clear"/>
            <w:vAlign w:val="center"/>
          </w:tcPr>
          <w:p>
            <w:pPr>
              <w:pStyle w:val="TableContents"/>
              <w:spacing w:before="0" w:after="0"/>
              <w:rPr/>
            </w:pPr>
            <w:r>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0"/>
              <w:rPr>
                <w:spacing w:val="0"/>
              </w:rPr>
            </w:pPr>
            <w:r>
              <w:rPr>
                <w:spacing w:val="0"/>
              </w:rPr>
              <w:t> </w:t>
            </w:r>
          </w:p>
        </w:tc>
        <w:tc>
          <w:tcPr>
            <w:tcW w:w="729" w:type="dxa"/>
            <w:tcBorders/>
            <w:shd w:fill="CCEEFF" w:val="clear"/>
            <w:vAlign w:val="center"/>
          </w:tcPr>
          <w:p>
            <w:pPr>
              <w:pStyle w:val="TableContents"/>
              <w:spacing w:before="0" w:after="0"/>
              <w:jc w:val="right"/>
              <w:rPr>
                <w:b/>
                <w:spacing w:val="0"/>
              </w:rPr>
            </w:pPr>
            <w:r>
              <w:rPr>
                <w:b/>
                <w:spacing w:val="0"/>
              </w:rPr>
              <w:t>1,116</w:t>
            </w:r>
          </w:p>
        </w:tc>
        <w:tc>
          <w:tcPr>
            <w:tcW w:w="77" w:type="dxa"/>
            <w:tcBorders/>
            <w:shd w:fill="CCEEFF" w:val="clear"/>
            <w:vAlign w:val="center"/>
          </w:tcPr>
          <w:p>
            <w:pPr>
              <w:pStyle w:val="TableContents"/>
              <w:spacing w:before="0" w:after="0"/>
              <w:rPr>
                <w:spacing w:val="0"/>
              </w:rPr>
            </w:pPr>
            <w:r>
              <w:rPr>
                <w:spacing w:val="0"/>
              </w:rPr>
              <w:t> </w:t>
            </w:r>
          </w:p>
        </w:tc>
        <w:tc>
          <w:tcPr>
            <w:tcW w:w="155"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0"/>
              <w:rPr>
                <w:spacing w:val="0"/>
              </w:rPr>
            </w:pPr>
            <w:r>
              <w:rPr>
                <w:spacing w:val="0"/>
              </w:rPr>
              <w:t> </w:t>
            </w:r>
          </w:p>
        </w:tc>
        <w:tc>
          <w:tcPr>
            <w:tcW w:w="735" w:type="dxa"/>
            <w:tcBorders/>
            <w:shd w:fill="CCEEFF" w:val="clear"/>
            <w:vAlign w:val="center"/>
          </w:tcPr>
          <w:p>
            <w:pPr>
              <w:pStyle w:val="TableContents"/>
              <w:spacing w:before="0" w:after="0"/>
              <w:jc w:val="right"/>
              <w:rPr>
                <w:b/>
                <w:spacing w:val="0"/>
              </w:rPr>
            </w:pPr>
            <w:r>
              <w:rPr>
                <w:b/>
                <w:spacing w:val="0"/>
              </w:rPr>
              <w:t>1,727</w:t>
            </w:r>
          </w:p>
        </w:tc>
        <w:tc>
          <w:tcPr>
            <w:tcW w:w="75" w:type="dxa"/>
            <w:tcBorders/>
            <w:shd w:fill="CCEEFF" w:val="clear"/>
            <w:vAlign w:val="center"/>
          </w:tcPr>
          <w:p>
            <w:pPr>
              <w:pStyle w:val="TableContents"/>
              <w:spacing w:before="0" w:after="0"/>
              <w:rPr>
                <w:spacing w:val="0"/>
              </w:rPr>
            </w:pPr>
            <w:r>
              <w:rPr>
                <w:spacing w:val="0"/>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F-22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pacing w:val="0"/>
          <w:sz w:val="24"/>
        </w:rPr>
      </w:pPr>
      <w:r>
        <w:rPr>
          <w:rFonts w:ascii="Times New Roman" w:hAnsi="Times New Roman"/>
          <w:spacing w:val="0"/>
          <w:sz w:val="24"/>
        </w:rPr>
        <w:t xml:space="preserve">MEREO BIOPHARMA GROUP PLC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NOTES TO THE CONSOLIDATED FINANCIAL STATEMENTS (CONTINUED)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4"/>
        </w:rPr>
      </w:pPr>
      <w:r>
        <w:rPr>
          <w:rFonts w:ascii="Times New Roman" w:hAnsi="Times New Roman"/>
          <w:spacing w:val="0"/>
          <w:sz w:val="24"/>
        </w:rPr>
        <w:t>During 2022, one Director was a member of a defined contribution pension scheme (2021: one</w:t>
      </w:r>
    </w:p>
    <w:p>
      <w:pPr>
        <w:pStyle w:val="TextBody"/>
        <w:spacing w:before="0" w:after="0"/>
        <w:jc w:val="left"/>
        <w:rPr>
          <w:rFonts w:ascii="Times New Roman" w:hAnsi="Times New Roman"/>
          <w:spacing w:val="0"/>
          <w:sz w:val="24"/>
        </w:rPr>
      </w:pPr>
      <w:r>
        <w:rPr>
          <w:rFonts w:ascii="Times New Roman" w:hAnsi="Times New Roman"/>
          <w:spacing w:val="0"/>
          <w:sz w:val="24"/>
        </w:rPr>
        <w:t>;</w:t>
      </w:r>
    </w:p>
    <w:p>
      <w:pPr>
        <w:pStyle w:val="TextBody"/>
        <w:spacing w:before="0" w:after="0"/>
        <w:jc w:val="left"/>
        <w:rPr>
          <w:spacing w:val="0"/>
        </w:rPr>
      </w:pPr>
      <w:r>
        <w:rPr>
          <w:spacing w:val="0"/>
        </w:rPr>
        <w:t> </w:t>
      </w:r>
      <w:r>
        <w:rPr>
          <w:rFonts w:ascii="Times New Roman" w:hAnsi="Times New Roman"/>
          <w:spacing w:val="0"/>
          <w:sz w:val="24"/>
        </w:rPr>
        <w:t xml:space="preserve">2020: one). Further details concerning the remuneration of key management personnel is included in Note 27. </w:t>
      </w:r>
    </w:p>
    <w:p>
      <w:pPr>
        <w:pStyle w:val="TextBody"/>
        <w:spacing w:before="260" w:after="0"/>
        <w:jc w:val="left"/>
        <w:rPr>
          <w:rFonts w:ascii="Times New Roman" w:hAnsi="Times New Roman"/>
          <w:b/>
          <w:spacing w:val="0"/>
          <w:sz w:val="24"/>
        </w:rPr>
      </w:pPr>
      <w:r>
        <w:rPr>
          <w:rFonts w:ascii="Times New Roman" w:hAnsi="Times New Roman"/>
          <w:b/>
          <w:spacing w:val="0"/>
          <w:sz w:val="24"/>
        </w:rPr>
        <w:t xml:space="preserve">9. Other income/expenses and adjustments </w:t>
      </w:r>
    </w:p>
    <w:p>
      <w:pPr>
        <w:pStyle w:val="TextBody"/>
        <w:spacing w:before="26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Finance income</w:t>
      </w:r>
    </w:p>
    <w:p>
      <w:pPr>
        <w:pStyle w:val="TextBody"/>
        <w:spacing w:before="0" w:after="0"/>
        <w:ind w:left="0" w:right="0" w:hanging="0"/>
        <w:jc w:val="left"/>
        <w:rPr>
          <w:spacing w:val="0"/>
        </w:rPr>
      </w:pPr>
      <w:r>
        <w:rPr>
          <w:spacing w:val="0"/>
        </w:rPr>
        <w:t> </w:t>
      </w:r>
    </w:p>
    <w:tbl>
      <w:tblPr>
        <w:tblW w:w="5960" w:type="dxa"/>
        <w:jc w:val="left"/>
        <w:tblInd w:w="0" w:type="dxa"/>
        <w:tblCellMar>
          <w:top w:w="0" w:type="dxa"/>
          <w:left w:w="0" w:type="dxa"/>
          <w:bottom w:w="0" w:type="dxa"/>
          <w:right w:w="0" w:type="dxa"/>
        </w:tblCellMar>
      </w:tblPr>
      <w:tblGrid>
        <w:gridCol w:w="2990"/>
        <w:gridCol w:w="120"/>
        <w:gridCol w:w="102"/>
        <w:gridCol w:w="647"/>
        <w:gridCol w:w="102"/>
        <w:gridCol w:w="204"/>
        <w:gridCol w:w="102"/>
        <w:gridCol w:w="647"/>
        <w:gridCol w:w="102"/>
        <w:gridCol w:w="204"/>
        <w:gridCol w:w="124"/>
        <w:gridCol w:w="541"/>
        <w:gridCol w:w="75"/>
      </w:tblGrid>
      <w:tr>
        <w:trPr/>
        <w:tc>
          <w:tcPr>
            <w:tcW w:w="29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77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9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102" w:type="dxa"/>
            <w:tcBorders/>
            <w:shd w:fill="auto" w:val="clear"/>
            <w:vAlign w:val="center"/>
          </w:tcPr>
          <w:p>
            <w:pPr>
              <w:pStyle w:val="TableContents"/>
              <w:spacing w:before="0" w:after="0"/>
              <w:rPr>
                <w:spacing w:val="0"/>
              </w:rPr>
            </w:pPr>
            <w:r>
              <w:rPr>
                <w:spacing w:val="0"/>
              </w:rPr>
              <w:t> </w:t>
            </w:r>
          </w:p>
        </w:tc>
        <w:tc>
          <w:tcPr>
            <w:tcW w:w="204" w:type="dxa"/>
            <w:tcBorders/>
            <w:shd w:fill="auto" w:val="clear"/>
            <w:vAlign w:val="center"/>
          </w:tcPr>
          <w:p>
            <w:pPr>
              <w:pStyle w:val="TableContents"/>
              <w:spacing w:before="0" w:after="0"/>
              <w:rPr>
                <w:spacing w:val="0"/>
              </w:rPr>
            </w:pPr>
            <w:r>
              <w:rPr>
                <w:spacing w:val="0"/>
              </w:rPr>
              <w:t>  </w:t>
            </w:r>
          </w:p>
        </w:tc>
        <w:tc>
          <w:tcPr>
            <w:tcW w:w="74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102" w:type="dxa"/>
            <w:tcBorders/>
            <w:shd w:fill="auto" w:val="clear"/>
            <w:vAlign w:val="center"/>
          </w:tcPr>
          <w:p>
            <w:pPr>
              <w:pStyle w:val="TableContents"/>
              <w:spacing w:before="0" w:after="0"/>
              <w:rPr>
                <w:spacing w:val="0"/>
              </w:rPr>
            </w:pPr>
            <w:r>
              <w:rPr>
                <w:spacing w:val="0"/>
              </w:rPr>
              <w:t> </w:t>
            </w:r>
          </w:p>
        </w:tc>
        <w:tc>
          <w:tcPr>
            <w:tcW w:w="204"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75" w:type="dxa"/>
            <w:tcBorders/>
            <w:shd w:fill="auto" w:val="clear"/>
            <w:vAlign w:val="center"/>
          </w:tcPr>
          <w:p>
            <w:pPr>
              <w:pStyle w:val="TableContents"/>
              <w:spacing w:before="0" w:after="0"/>
              <w:rPr>
                <w:spacing w:val="0"/>
              </w:rPr>
            </w:pPr>
            <w:r>
              <w:rPr>
                <w:spacing w:val="0"/>
              </w:rPr>
              <w:t> </w:t>
            </w:r>
          </w:p>
        </w:tc>
      </w:tr>
      <w:tr>
        <w:trPr/>
        <w:tc>
          <w:tcPr>
            <w:tcW w:w="299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Bank interest earned</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47" w:type="dxa"/>
            <w:tcBorders/>
            <w:shd w:fill="CCEEFF" w:val="clear"/>
            <w:vAlign w:val="center"/>
          </w:tcPr>
          <w:p>
            <w:pPr>
              <w:pStyle w:val="TableContents"/>
              <w:spacing w:before="0" w:after="283"/>
              <w:jc w:val="right"/>
              <w:rPr/>
            </w:pPr>
            <w:r>
              <w:rPr/>
              <w:t>696</w:t>
            </w:r>
          </w:p>
        </w:tc>
        <w:tc>
          <w:tcPr>
            <w:tcW w:w="102"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47" w:type="dxa"/>
            <w:tcBorders/>
            <w:shd w:fill="CCEEFF" w:val="clear"/>
            <w:vAlign w:val="center"/>
          </w:tcPr>
          <w:p>
            <w:pPr>
              <w:pStyle w:val="TableContents"/>
              <w:spacing w:before="0" w:after="283"/>
              <w:jc w:val="right"/>
              <w:rPr/>
            </w:pPr>
            <w:r>
              <w:rPr/>
              <w:t>1</w:t>
            </w:r>
          </w:p>
        </w:tc>
        <w:tc>
          <w:tcPr>
            <w:tcW w:w="102"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541" w:type="dxa"/>
            <w:tcBorders/>
            <w:shd w:fill="CCEEFF" w:val="clear"/>
            <w:vAlign w:val="center"/>
          </w:tcPr>
          <w:p>
            <w:pPr>
              <w:pStyle w:val="TableContents"/>
              <w:spacing w:before="0" w:after="283"/>
              <w:jc w:val="right"/>
              <w:rPr/>
            </w:pPr>
            <w:r>
              <w:rPr/>
              <w:t>5</w:t>
            </w:r>
          </w:p>
        </w:tc>
        <w:tc>
          <w:tcPr>
            <w:tcW w:w="75" w:type="dxa"/>
            <w:tcBorders/>
            <w:shd w:fill="CCEEFF" w:val="clear"/>
            <w:vAlign w:val="center"/>
          </w:tcPr>
          <w:p>
            <w:pPr>
              <w:pStyle w:val="TableContents"/>
              <w:spacing w:before="0" w:after="283"/>
              <w:rPr/>
            </w:pPr>
            <w:r>
              <w:rPr/>
              <w:t> </w:t>
            </w:r>
          </w:p>
        </w:tc>
      </w:tr>
      <w:tr>
        <w:trPr/>
        <w:tc>
          <w:tcPr>
            <w:tcW w:w="299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Gain on short-term investments</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541"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29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90"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647" w:type="dxa"/>
            <w:tcBorders/>
            <w:shd w:fill="CCEEFF" w:val="clear"/>
            <w:vAlign w:val="center"/>
          </w:tcPr>
          <w:p>
            <w:pPr>
              <w:pStyle w:val="TableContents"/>
              <w:spacing w:before="0" w:after="0"/>
              <w:jc w:val="right"/>
              <w:rPr>
                <w:b/>
                <w:spacing w:val="0"/>
              </w:rPr>
            </w:pPr>
            <w:r>
              <w:rPr>
                <w:b/>
                <w:spacing w:val="0"/>
              </w:rPr>
              <w:t>696</w:t>
            </w:r>
          </w:p>
        </w:tc>
        <w:tc>
          <w:tcPr>
            <w:tcW w:w="102" w:type="dxa"/>
            <w:tcBorders/>
            <w:shd w:fill="CCEEFF" w:val="clear"/>
            <w:vAlign w:val="center"/>
          </w:tcPr>
          <w:p>
            <w:pPr>
              <w:pStyle w:val="TableContents"/>
              <w:spacing w:before="0" w:after="0"/>
              <w:rPr>
                <w:spacing w:val="0"/>
              </w:rPr>
            </w:pPr>
            <w:r>
              <w:rPr>
                <w:spacing w:val="0"/>
              </w:rPr>
              <w:t> </w:t>
            </w:r>
          </w:p>
        </w:tc>
        <w:tc>
          <w:tcPr>
            <w:tcW w:w="204"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647" w:type="dxa"/>
            <w:tcBorders/>
            <w:shd w:fill="CCEEFF" w:val="clear"/>
            <w:vAlign w:val="center"/>
          </w:tcPr>
          <w:p>
            <w:pPr>
              <w:pStyle w:val="TableContents"/>
              <w:spacing w:before="0" w:after="0"/>
              <w:jc w:val="right"/>
              <w:rPr>
                <w:b/>
                <w:spacing w:val="0"/>
              </w:rPr>
            </w:pPr>
            <w:r>
              <w:rPr>
                <w:b/>
                <w:spacing w:val="0"/>
              </w:rPr>
              <w:t>1</w:t>
            </w:r>
          </w:p>
        </w:tc>
        <w:tc>
          <w:tcPr>
            <w:tcW w:w="102" w:type="dxa"/>
            <w:tcBorders/>
            <w:shd w:fill="CCEEFF" w:val="clear"/>
            <w:vAlign w:val="center"/>
          </w:tcPr>
          <w:p>
            <w:pPr>
              <w:pStyle w:val="TableContents"/>
              <w:spacing w:before="0" w:after="0"/>
              <w:rPr>
                <w:spacing w:val="0"/>
              </w:rPr>
            </w:pPr>
            <w:r>
              <w:rPr>
                <w:spacing w:val="0"/>
              </w:rPr>
              <w:t> </w:t>
            </w:r>
          </w:p>
        </w:tc>
        <w:tc>
          <w:tcPr>
            <w:tcW w:w="20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0"/>
              <w:rPr>
                <w:spacing w:val="0"/>
              </w:rPr>
            </w:pPr>
            <w:r>
              <w:rPr>
                <w:spacing w:val="0"/>
              </w:rPr>
              <w:t> </w:t>
            </w:r>
          </w:p>
        </w:tc>
        <w:tc>
          <w:tcPr>
            <w:tcW w:w="541" w:type="dxa"/>
            <w:tcBorders/>
            <w:shd w:fill="CCEEFF" w:val="clear"/>
            <w:vAlign w:val="center"/>
          </w:tcPr>
          <w:p>
            <w:pPr>
              <w:pStyle w:val="TableContents"/>
              <w:spacing w:before="0" w:after="0"/>
              <w:jc w:val="right"/>
              <w:rPr>
                <w:b/>
                <w:spacing w:val="0"/>
              </w:rPr>
            </w:pPr>
            <w:r>
              <w:rPr>
                <w:b/>
                <w:spacing w:val="0"/>
              </w:rPr>
              <w:t>44</w:t>
            </w:r>
          </w:p>
        </w:tc>
        <w:tc>
          <w:tcPr>
            <w:tcW w:w="75" w:type="dxa"/>
            <w:tcBorders/>
            <w:shd w:fill="CCEEFF" w:val="clear"/>
            <w:vAlign w:val="center"/>
          </w:tcPr>
          <w:p>
            <w:pPr>
              <w:pStyle w:val="TableContents"/>
              <w:spacing w:before="0" w:after="0"/>
              <w:rPr>
                <w:spacing w:val="0"/>
              </w:rPr>
            </w:pPr>
            <w:r>
              <w:rPr>
                <w:spacing w:val="0"/>
              </w:rPr>
              <w:t> </w:t>
            </w:r>
          </w:p>
        </w:tc>
      </w:tr>
      <w:tr>
        <w:trPr/>
        <w:tc>
          <w:tcPr>
            <w:tcW w:w="29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60" w:after="0"/>
        <w:ind w:left="0" w:right="0" w:hanging="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Finance costs </w:t>
      </w:r>
    </w:p>
    <w:p>
      <w:pPr>
        <w:pStyle w:val="TextBody"/>
        <w:spacing w:before="0" w:after="0"/>
        <w:ind w:left="0" w:right="0" w:hanging="0"/>
        <w:jc w:val="left"/>
        <w:rPr>
          <w:spacing w:val="0"/>
        </w:rPr>
      </w:pPr>
      <w:r>
        <w:rPr>
          <w:spacing w:val="0"/>
        </w:rPr>
        <w:t> </w:t>
      </w:r>
    </w:p>
    <w:tbl>
      <w:tblPr>
        <w:tblW w:w="8274" w:type="dxa"/>
        <w:jc w:val="left"/>
        <w:tblInd w:w="0" w:type="dxa"/>
        <w:tblCellMar>
          <w:top w:w="0" w:type="dxa"/>
          <w:left w:w="0" w:type="dxa"/>
          <w:bottom w:w="0" w:type="dxa"/>
          <w:right w:w="0" w:type="dxa"/>
        </w:tblCellMar>
      </w:tblPr>
      <w:tblGrid>
        <w:gridCol w:w="5330"/>
        <w:gridCol w:w="120"/>
        <w:gridCol w:w="61"/>
        <w:gridCol w:w="655"/>
        <w:gridCol w:w="97"/>
        <w:gridCol w:w="123"/>
        <w:gridCol w:w="61"/>
        <w:gridCol w:w="655"/>
        <w:gridCol w:w="159"/>
        <w:gridCol w:w="123"/>
        <w:gridCol w:w="61"/>
        <w:gridCol w:w="659"/>
        <w:gridCol w:w="170"/>
      </w:tblGrid>
      <w:tr>
        <w:trPr/>
        <w:tc>
          <w:tcPr>
            <w:tcW w:w="5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54" w:type="dxa"/>
            <w:gridSpan w:val="10"/>
            <w:tcBorders/>
            <w:shd w:fill="auto" w:val="cle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3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16" w:type="dxa"/>
            <w:gridSpan w:val="2"/>
            <w:tcBorders/>
            <w:shd w:fill="auto" w:val="clear"/>
            <w:vAlign w:val="center"/>
          </w:tcPr>
          <w:p>
            <w:pPr>
              <w:pStyle w:val="TableContents"/>
              <w:spacing w:before="0" w:after="0"/>
              <w:jc w:val="center"/>
              <w:rPr>
                <w:b/>
                <w:spacing w:val="0"/>
              </w:rPr>
            </w:pPr>
            <w:r>
              <w:rPr>
                <w:b/>
                <w:spacing w:val="0"/>
              </w:rPr>
              <w:t>2022</w:t>
              <w:br/>
              <w:t>£’000s</w:t>
            </w:r>
          </w:p>
        </w:tc>
        <w:tc>
          <w:tcPr>
            <w:tcW w:w="97"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716" w:type="dxa"/>
            <w:gridSpan w:val="2"/>
            <w:tcBorders/>
            <w:shd w:fill="auto" w:val="clear"/>
            <w:vAlign w:val="center"/>
          </w:tcPr>
          <w:p>
            <w:pPr>
              <w:pStyle w:val="TableContents"/>
              <w:spacing w:before="0" w:after="0"/>
              <w:jc w:val="center"/>
              <w:rPr>
                <w:b/>
                <w:spacing w:val="0"/>
              </w:rPr>
            </w:pPr>
            <w:r>
              <w:rPr>
                <w:b/>
                <w:spacing w:val="0"/>
              </w:rPr>
              <w:t>2021</w:t>
              <w:br/>
              <w:t>£’000s</w:t>
            </w:r>
          </w:p>
        </w:tc>
        <w:tc>
          <w:tcPr>
            <w:tcW w:w="159"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720" w:type="dxa"/>
            <w:gridSpan w:val="2"/>
            <w:tcBorders/>
            <w:shd w:fill="auto" w:val="clear"/>
            <w:vAlign w:val="center"/>
          </w:tcPr>
          <w:p>
            <w:pPr>
              <w:pStyle w:val="TableContents"/>
              <w:spacing w:before="0" w:after="0"/>
              <w:jc w:val="center"/>
              <w:rPr>
                <w:b/>
                <w:spacing w:val="0"/>
              </w:rPr>
            </w:pPr>
            <w:r>
              <w:rPr>
                <w:b/>
                <w:spacing w:val="0"/>
              </w:rPr>
              <w:t>2020</w:t>
              <w:br/>
              <w:t>£’000s</w:t>
            </w:r>
          </w:p>
        </w:tc>
        <w:tc>
          <w:tcPr>
            <w:tcW w:w="170" w:type="dxa"/>
            <w:tcBorders/>
            <w:shd w:fill="auto" w:val="clear"/>
            <w:vAlign w:val="center"/>
          </w:tcPr>
          <w:p>
            <w:pPr>
              <w:pStyle w:val="TableContents"/>
              <w:spacing w:before="0" w:after="0"/>
              <w:rPr>
                <w:spacing w:val="0"/>
              </w:rPr>
            </w:pPr>
            <w:r>
              <w:rPr>
                <w:spacing w:val="0"/>
              </w:rPr>
              <w:t> </w:t>
            </w:r>
          </w:p>
        </w:tc>
      </w:tr>
      <w:tr>
        <w:trPr/>
        <w:tc>
          <w:tcPr>
            <w:tcW w:w="533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Interest on convertible loan notes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(2,660</w:t>
            </w:r>
          </w:p>
        </w:tc>
        <w:tc>
          <w:tcPr>
            <w:tcW w:w="97" w:type="dxa"/>
            <w:tcBorders/>
            <w:shd w:fill="CCEEFF" w:val="clear"/>
            <w:vAlign w:val="center"/>
          </w:tcPr>
          <w:p>
            <w:pPr>
              <w:pStyle w:val="TableContents"/>
              <w:spacing w:before="0" w:after="283"/>
              <w:rPr/>
            </w:pPr>
            <w:r>
              <w:rPr/>
              <w:t>)</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(3,549</w:t>
            </w:r>
          </w:p>
        </w:tc>
        <w:tc>
          <w:tcPr>
            <w:tcW w:w="159"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9" w:type="dxa"/>
            <w:tcBorders/>
            <w:shd w:fill="CCEEFF" w:val="clear"/>
            <w:vAlign w:val="center"/>
          </w:tcPr>
          <w:p>
            <w:pPr>
              <w:pStyle w:val="TableContents"/>
              <w:spacing w:before="0" w:after="283"/>
              <w:jc w:val="right"/>
              <w:rPr/>
            </w:pPr>
            <w:r>
              <w:rPr/>
              <w:t>(2,241</w:t>
            </w:r>
          </w:p>
        </w:tc>
        <w:tc>
          <w:tcPr>
            <w:tcW w:w="170"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Interest on bank loan</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5" w:type="dxa"/>
            <w:tcBorders/>
            <w:shd w:fill="auto" w:val="clear"/>
            <w:vAlign w:val="center"/>
          </w:tcPr>
          <w:p>
            <w:pPr>
              <w:pStyle w:val="TableContents"/>
              <w:spacing w:before="0" w:after="283"/>
              <w:jc w:val="right"/>
              <w:rPr/>
            </w:pPr>
            <w:r>
              <w:rPr/>
              <w:t xml:space="preserve">—   </w:t>
            </w:r>
          </w:p>
        </w:tc>
        <w:tc>
          <w:tcPr>
            <w:tcW w:w="97"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5" w:type="dxa"/>
            <w:tcBorders/>
            <w:shd w:fill="auto" w:val="cle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9" w:type="dxa"/>
            <w:tcBorders/>
            <w:shd w:fill="auto" w:val="clear"/>
            <w:vAlign w:val="center"/>
          </w:tcPr>
          <w:p>
            <w:pPr>
              <w:pStyle w:val="TableContents"/>
              <w:spacing w:before="0" w:after="283"/>
              <w:jc w:val="right"/>
              <w:rPr/>
            </w:pPr>
            <w:r>
              <w:rPr/>
              <w:t>(2,900</w:t>
            </w:r>
          </w:p>
        </w:tc>
        <w:tc>
          <w:tcPr>
            <w:tcW w:w="170"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Interest on lease liabilities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(209</w:t>
            </w:r>
          </w:p>
        </w:tc>
        <w:tc>
          <w:tcPr>
            <w:tcW w:w="97" w:type="dxa"/>
            <w:tcBorders/>
            <w:shd w:fill="CCEEFF" w:val="clear"/>
            <w:vAlign w:val="center"/>
          </w:tcPr>
          <w:p>
            <w:pPr>
              <w:pStyle w:val="TableContents"/>
              <w:spacing w:before="0" w:after="283"/>
              <w:rPr/>
            </w:pPr>
            <w:r>
              <w:rPr/>
              <w:t>)</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(227</w:t>
            </w:r>
          </w:p>
        </w:tc>
        <w:tc>
          <w:tcPr>
            <w:tcW w:w="159"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9" w:type="dxa"/>
            <w:tcBorders/>
            <w:shd w:fill="CCEEFF" w:val="clear"/>
            <w:vAlign w:val="center"/>
          </w:tcPr>
          <w:p>
            <w:pPr>
              <w:pStyle w:val="TableContents"/>
              <w:spacing w:before="0" w:after="283"/>
              <w:jc w:val="right"/>
              <w:rPr/>
            </w:pPr>
            <w:r>
              <w:rPr/>
              <w:t>(1,085</w:t>
            </w:r>
          </w:p>
        </w:tc>
        <w:tc>
          <w:tcPr>
            <w:tcW w:w="170"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Discounting of provision on deferred cash consideration</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5" w:type="dxa"/>
            <w:tcBorders/>
            <w:shd w:fill="auto" w:val="clear"/>
            <w:vAlign w:val="center"/>
          </w:tcPr>
          <w:p>
            <w:pPr>
              <w:pStyle w:val="TableContents"/>
              <w:spacing w:before="0" w:after="283"/>
              <w:jc w:val="right"/>
              <w:rPr/>
            </w:pPr>
            <w:r>
              <w:rPr/>
              <w:t>(451</w:t>
            </w:r>
          </w:p>
        </w:tc>
        <w:tc>
          <w:tcPr>
            <w:tcW w:w="97" w:type="dxa"/>
            <w:tcBorders/>
            <w:shd w:fill="auto" w:val="clear"/>
            <w:vAlign w:val="center"/>
          </w:tcPr>
          <w:p>
            <w:pPr>
              <w:pStyle w:val="TableContents"/>
              <w:spacing w:before="0" w:after="283"/>
              <w:rPr/>
            </w:pPr>
            <w:r>
              <w:rPr/>
              <w:t>)</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5" w:type="dxa"/>
            <w:tcBorders/>
            <w:shd w:fill="auto" w:val="clear"/>
            <w:vAlign w:val="center"/>
          </w:tcPr>
          <w:p>
            <w:pPr>
              <w:pStyle w:val="TableContents"/>
              <w:spacing w:before="0" w:after="283"/>
              <w:jc w:val="right"/>
              <w:rPr/>
            </w:pPr>
            <w:r>
              <w:rPr/>
              <w:t>(225</w:t>
            </w:r>
          </w:p>
        </w:tc>
        <w:tc>
          <w:tcPr>
            <w:tcW w:w="159"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59" w:type="dxa"/>
            <w:tcBorders/>
            <w:shd w:fill="auto" w:val="clear"/>
            <w:vAlign w:val="center"/>
          </w:tcPr>
          <w:p>
            <w:pPr>
              <w:pStyle w:val="TableContents"/>
              <w:spacing w:before="0" w:after="283"/>
              <w:jc w:val="right"/>
              <w:rPr/>
            </w:pPr>
            <w:r>
              <w:rPr/>
              <w:t>(157</w:t>
            </w:r>
          </w:p>
        </w:tc>
        <w:tc>
          <w:tcPr>
            <w:tcW w:w="170"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Other</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(41</w:t>
            </w:r>
          </w:p>
        </w:tc>
        <w:tc>
          <w:tcPr>
            <w:tcW w:w="97" w:type="dxa"/>
            <w:tcBorders/>
            <w:shd w:fill="CCEEFF" w:val="clear"/>
            <w:vAlign w:val="center"/>
          </w:tcPr>
          <w:p>
            <w:pPr>
              <w:pStyle w:val="TableContents"/>
              <w:spacing w:before="0" w:after="283"/>
              <w:rPr/>
            </w:pPr>
            <w:r>
              <w:rPr/>
              <w:t>)</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(21</w:t>
            </w:r>
          </w:p>
        </w:tc>
        <w:tc>
          <w:tcPr>
            <w:tcW w:w="159"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59"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7"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1" w:type="dxa"/>
            <w:tcBorders/>
            <w:shd w:fill="auto" w:val="clear"/>
            <w:vAlign w:val="center"/>
          </w:tcPr>
          <w:p>
            <w:pPr>
              <w:pStyle w:val="TableContents"/>
              <w:spacing w:lineRule="atLeast" w:line="240" w:before="0" w:after="0"/>
              <w:rPr>
                <w:spacing w:val="0"/>
              </w:rPr>
            </w:pPr>
            <w:r>
              <w:rPr>
                <w:spacing w:val="0"/>
              </w:rPr>
              <w:t> </w:t>
            </w:r>
          </w:p>
        </w:tc>
        <w:tc>
          <w:tcPr>
            <w:tcW w:w="655" w:type="dxa"/>
            <w:tcBorders/>
            <w:shd w:fill="auto" w:val="clear"/>
            <w:vAlign w:val="center"/>
          </w:tcPr>
          <w:p>
            <w:pPr>
              <w:pStyle w:val="TableContents"/>
              <w:spacing w:lineRule="atLeast" w:line="240" w:before="0" w:after="0"/>
              <w:jc w:val="right"/>
              <w:rPr>
                <w:b/>
                <w:sz w:val="24"/>
              </w:rPr>
            </w:pPr>
            <w:r>
              <w:rPr>
                <w:b/>
                <w:sz w:val="24"/>
              </w:rPr>
              <w:t>(3,361</w:t>
            </w:r>
          </w:p>
        </w:tc>
        <w:tc>
          <w:tcPr>
            <w:tcW w:w="97" w:type="dxa"/>
            <w:tcBorders/>
            <w:shd w:fill="auto" w:val="clear"/>
            <w:vAlign w:val="center"/>
          </w:tcPr>
          <w:p>
            <w:pPr>
              <w:pStyle w:val="TableContents"/>
              <w:spacing w:lineRule="atLeast" w:line="240" w:before="0" w:after="0"/>
              <w:rPr>
                <w:b/>
                <w:sz w:val="24"/>
              </w:rPr>
            </w:pPr>
            <w:r>
              <w:rPr>
                <w:b/>
                <w:sz w:val="24"/>
              </w:rPr>
              <w:t>)</w:t>
            </w:r>
          </w:p>
        </w:tc>
        <w:tc>
          <w:tcPr>
            <w:tcW w:w="123" w:type="dxa"/>
            <w:tcBorders/>
            <w:shd w:fill="auto" w:val="clear"/>
            <w:vAlign w:val="center"/>
          </w:tcPr>
          <w:p>
            <w:pPr>
              <w:pStyle w:val="TableContents"/>
              <w:spacing w:lineRule="atLeast" w:line="240" w:before="0" w:after="0"/>
              <w:rPr>
                <w:spacing w:val="0"/>
              </w:rPr>
            </w:pPr>
            <w:r>
              <w:rPr>
                <w:spacing w:val="0"/>
              </w:rPr>
              <w:t>  </w:t>
            </w:r>
          </w:p>
        </w:tc>
        <w:tc>
          <w:tcPr>
            <w:tcW w:w="61" w:type="dxa"/>
            <w:tcBorders/>
            <w:shd w:fill="auto" w:val="clear"/>
            <w:vAlign w:val="center"/>
          </w:tcPr>
          <w:p>
            <w:pPr>
              <w:pStyle w:val="TableContents"/>
              <w:spacing w:before="0" w:after="0"/>
              <w:rPr>
                <w:spacing w:val="0"/>
              </w:rPr>
            </w:pPr>
            <w:r>
              <w:rPr>
                <w:spacing w:val="0"/>
              </w:rPr>
              <w:t> </w:t>
            </w:r>
          </w:p>
        </w:tc>
        <w:tc>
          <w:tcPr>
            <w:tcW w:w="655" w:type="dxa"/>
            <w:tcBorders/>
            <w:shd w:fill="auto" w:val="clear"/>
            <w:vAlign w:val="center"/>
          </w:tcPr>
          <w:p>
            <w:pPr>
              <w:pStyle w:val="TableContents"/>
              <w:spacing w:before="0" w:after="0"/>
              <w:jc w:val="right"/>
              <w:rPr>
                <w:b/>
                <w:spacing w:val="0"/>
                <w:sz w:val="24"/>
              </w:rPr>
            </w:pPr>
            <w:r>
              <w:rPr>
                <w:b/>
                <w:spacing w:val="0"/>
                <w:sz w:val="24"/>
              </w:rPr>
              <w:t>(4,022</w:t>
            </w:r>
          </w:p>
        </w:tc>
        <w:tc>
          <w:tcPr>
            <w:tcW w:w="159" w:type="dxa"/>
            <w:tcBorders/>
            <w:shd w:fill="auto" w:val="clear"/>
            <w:vAlign w:val="center"/>
          </w:tcPr>
          <w:p>
            <w:pPr>
              <w:pStyle w:val="TableContents"/>
              <w:spacing w:before="0" w:after="0"/>
              <w:rPr>
                <w:b/>
                <w:spacing w:val="0"/>
                <w:sz w:val="24"/>
              </w:rPr>
            </w:pPr>
            <w:r>
              <w:rPr>
                <w:b/>
                <w:spacing w:val="0"/>
                <w:sz w:val="24"/>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659" w:type="dxa"/>
            <w:tcBorders/>
            <w:shd w:fill="auto" w:val="clear"/>
            <w:vAlign w:val="center"/>
          </w:tcPr>
          <w:p>
            <w:pPr>
              <w:pStyle w:val="TableContents"/>
              <w:spacing w:before="0" w:after="0"/>
              <w:jc w:val="right"/>
              <w:rPr>
                <w:b/>
                <w:spacing w:val="0"/>
                <w:sz w:val="24"/>
              </w:rPr>
            </w:pPr>
            <w:r>
              <w:rPr>
                <w:b/>
                <w:spacing w:val="0"/>
                <w:sz w:val="24"/>
              </w:rPr>
              <w:t>(6,383</w:t>
            </w:r>
          </w:p>
        </w:tc>
        <w:tc>
          <w:tcPr>
            <w:tcW w:w="170" w:type="dxa"/>
            <w:tcBorders/>
            <w:shd w:fill="auto" w:val="clear"/>
            <w:vAlign w:val="center"/>
          </w:tcPr>
          <w:p>
            <w:pPr>
              <w:pStyle w:val="TableContents"/>
              <w:spacing w:before="0" w:after="0"/>
              <w:rPr>
                <w:b/>
                <w:spacing w:val="0"/>
                <w:sz w:val="24"/>
              </w:rPr>
            </w:pPr>
            <w:r>
              <w:rPr>
                <w:b/>
                <w:spacing w:val="0"/>
                <w:sz w:val="24"/>
              </w:rPr>
              <w:t>) </w:t>
            </w:r>
          </w:p>
        </w:tc>
      </w:tr>
      <w:tr>
        <w:trPr/>
        <w:tc>
          <w:tcPr>
            <w:tcW w:w="53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7"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60" w:after="0"/>
        <w:ind w:left="0" w:right="0" w:hanging="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Changes in the fair value of financial instruments</w:t>
      </w:r>
    </w:p>
    <w:p>
      <w:pPr>
        <w:pStyle w:val="TextBody"/>
        <w:spacing w:before="0" w:after="0"/>
        <w:ind w:left="0" w:right="0" w:hanging="0"/>
        <w:jc w:val="left"/>
        <w:rPr>
          <w:spacing w:val="0"/>
        </w:rPr>
      </w:pPr>
      <w:r>
        <w:rPr>
          <w:spacing w:val="0"/>
        </w:rPr>
        <w:t> </w:t>
      </w:r>
    </w:p>
    <w:tbl>
      <w:tblPr>
        <w:tblW w:w="8412" w:type="dxa"/>
        <w:jc w:val="left"/>
        <w:tblInd w:w="0" w:type="dxa"/>
        <w:tblCellMar>
          <w:top w:w="0" w:type="dxa"/>
          <w:left w:w="0" w:type="dxa"/>
          <w:bottom w:w="0" w:type="dxa"/>
          <w:right w:w="0" w:type="dxa"/>
        </w:tblCellMar>
      </w:tblPr>
      <w:tblGrid>
        <w:gridCol w:w="5420"/>
        <w:gridCol w:w="120"/>
        <w:gridCol w:w="64"/>
        <w:gridCol w:w="601"/>
        <w:gridCol w:w="60"/>
        <w:gridCol w:w="120"/>
        <w:gridCol w:w="60"/>
        <w:gridCol w:w="681"/>
        <w:gridCol w:w="60"/>
        <w:gridCol w:w="120"/>
        <w:gridCol w:w="60"/>
        <w:gridCol w:w="876"/>
        <w:gridCol w:w="170"/>
      </w:tblGrid>
      <w:tr>
        <w:trPr/>
        <w:tc>
          <w:tcPr>
            <w:tcW w:w="5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702"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4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170" w:type="dxa"/>
            <w:tcBorders/>
            <w:shd w:fill="auto" w:val="clear"/>
            <w:vAlign w:val="center"/>
          </w:tcPr>
          <w:p>
            <w:pPr>
              <w:pStyle w:val="TableContents"/>
              <w:spacing w:before="0" w:after="0"/>
              <w:rPr>
                <w:spacing w:val="0"/>
              </w:rPr>
            </w:pPr>
            <w:r>
              <w:rPr>
                <w:spacing w:val="0"/>
              </w:rPr>
              <w:t> </w:t>
            </w:r>
          </w:p>
        </w:tc>
      </w:tr>
      <w:tr>
        <w:trPr/>
        <w:tc>
          <w:tcPr>
            <w:tcW w:w="542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Changes in the fair value of warrants – private placement</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7,593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1" w:type="dxa"/>
            <w:tcBorders/>
            <w:shd w:fill="CCEEFF" w:val="clear"/>
            <w:vAlign w:val="center"/>
          </w:tcPr>
          <w:p>
            <w:pPr>
              <w:pStyle w:val="TableContents"/>
              <w:spacing w:before="0" w:after="283"/>
              <w:jc w:val="right"/>
              <w:rPr/>
            </w:pPr>
            <w:r>
              <w:rPr/>
              <w:t>39,535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6" w:type="dxa"/>
            <w:tcBorders/>
            <w:shd w:fill="CCEEFF" w:val="clear"/>
            <w:vAlign w:val="center"/>
          </w:tcPr>
          <w:p>
            <w:pPr>
              <w:pStyle w:val="TableContents"/>
              <w:spacing w:before="0" w:after="283"/>
              <w:jc w:val="right"/>
              <w:rPr/>
            </w:pPr>
            <w:r>
              <w:rPr/>
              <w:t>(45,977</w:t>
            </w:r>
          </w:p>
        </w:tc>
        <w:tc>
          <w:tcPr>
            <w:tcW w:w="170" w:type="dxa"/>
            <w:tcBorders/>
            <w:shd w:fill="CCEEFF"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Changes in the fair value of warrants – bank loan</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212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jc w:val="right"/>
              <w:rPr/>
            </w:pPr>
            <w:r>
              <w:rPr/>
              <w:t>504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jc w:val="right"/>
              <w:rPr/>
            </w:pPr>
            <w:r>
              <w:rPr/>
              <w:t>(714</w:t>
            </w:r>
          </w:p>
        </w:tc>
        <w:tc>
          <w:tcPr>
            <w:tcW w:w="170" w:type="dxa"/>
            <w:tcBorders/>
            <w:shd w:fill="auto" w:val="clear"/>
            <w:vAlign w:val="center"/>
          </w:tcPr>
          <w:p>
            <w:pPr>
              <w:pStyle w:val="TableContents"/>
              <w:spacing w:before="0" w:after="283"/>
              <w:rPr/>
            </w:pPr>
            <w:r>
              <w:rPr/>
              <w:t>) </w:t>
            </w:r>
          </w:p>
        </w:tc>
      </w:tr>
      <w:tr>
        <w:trPr/>
        <w:tc>
          <w:tcPr>
            <w:tcW w:w="542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Changes in the fair value of embedde</w:t>
            </w:r>
          </w:p>
          <w:p>
            <w:pPr>
              <w:pStyle w:val="TableContents"/>
              <w:spacing w:before="0" w:after="0"/>
              <w:rPr>
                <w:rFonts w:ascii="Times New Roman" w:hAnsi="Times New Roman"/>
                <w:spacing w:val="0"/>
                <w:sz w:val="24"/>
              </w:rPr>
            </w:pPr>
            <w:r>
              <w:rPr>
                <w:rFonts w:ascii="Times New Roman" w:hAnsi="Times New Roman"/>
                <w:spacing w:val="0"/>
                <w:sz w:val="24"/>
              </w:rPr>
              <w:t>d</w:t>
            </w:r>
          </w:p>
          <w:p>
            <w:pPr>
              <w:pStyle w:val="TableContents"/>
              <w:spacing w:before="0" w:after="0"/>
              <w:rPr>
                <w:spacing w:val="0"/>
              </w:rPr>
            </w:pPr>
            <w:r>
              <w:rPr>
                <w:spacing w:val="0"/>
              </w:rPr>
              <w:t> </w:t>
            </w:r>
            <w:r>
              <w:rPr>
                <w:rFonts w:ascii="Times New Roman" w:hAnsi="Times New Roman"/>
                <w:spacing w:val="0"/>
                <w:sz w:val="24"/>
              </w:rPr>
              <w:t>derivative</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6" w:type="dxa"/>
            <w:tcBorders/>
            <w:shd w:fill="CCEEFF" w:val="clear"/>
            <w:vAlign w:val="center"/>
          </w:tcPr>
          <w:p>
            <w:pPr>
              <w:pStyle w:val="TableContents"/>
              <w:spacing w:before="0" w:after="283"/>
              <w:jc w:val="right"/>
              <w:rPr/>
            </w:pPr>
            <w:r>
              <w:rPr/>
              <w:t>(63,158</w:t>
            </w:r>
          </w:p>
        </w:tc>
        <w:tc>
          <w:tcPr>
            <w:tcW w:w="170" w:type="dxa"/>
            <w:tcBorders/>
            <w:shd w:fill="CCEEFF"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20" w:type="dxa"/>
            <w:tcBorders/>
            <w:shd w:fill="auto"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4" w:type="dxa"/>
            <w:tcBorders/>
            <w:shd w:fill="auto" w:val="clear"/>
            <w:vAlign w:val="center"/>
          </w:tcPr>
          <w:p>
            <w:pPr>
              <w:pStyle w:val="TableContents"/>
              <w:spacing w:lineRule="atLeast" w:line="240" w:before="0" w:after="0"/>
              <w:rPr>
                <w:spacing w:val="0"/>
              </w:rPr>
            </w:pPr>
            <w:r>
              <w:rPr>
                <w:spacing w:val="0"/>
              </w:rPr>
              <w:t> </w:t>
            </w:r>
          </w:p>
        </w:tc>
        <w:tc>
          <w:tcPr>
            <w:tcW w:w="601" w:type="dxa"/>
            <w:tcBorders/>
            <w:shd w:fill="auto" w:val="clear"/>
            <w:vAlign w:val="center"/>
          </w:tcPr>
          <w:p>
            <w:pPr>
              <w:pStyle w:val="TableContents"/>
              <w:spacing w:lineRule="atLeast" w:line="240" w:before="0" w:after="0"/>
              <w:jc w:val="right"/>
              <w:rPr>
                <w:b/>
                <w:sz w:val="24"/>
              </w:rPr>
            </w:pPr>
            <w:r>
              <w:rPr>
                <w:b/>
                <w:sz w:val="24"/>
              </w:rPr>
              <w:t>7,805</w:t>
            </w:r>
          </w:p>
        </w:tc>
        <w:tc>
          <w:tcPr>
            <w:tcW w:w="60" w:type="dxa"/>
            <w:tcBorders/>
            <w:shd w:fill="auto" w:val="clear"/>
            <w:vAlign w:val="center"/>
          </w:tcPr>
          <w:p>
            <w:pPr>
              <w:pStyle w:val="TableContents"/>
              <w:spacing w:lineRule="atLeast" w:line="240" w:before="0" w:after="0"/>
              <w:rPr>
                <w:spacing w:val="0"/>
              </w:rPr>
            </w:pPr>
            <w:r>
              <w:rPr>
                <w:spacing w:val="0"/>
              </w:rPr>
              <w:t> </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81" w:type="dxa"/>
            <w:tcBorders/>
            <w:shd w:fill="auto" w:val="clear"/>
            <w:vAlign w:val="center"/>
          </w:tcPr>
          <w:p>
            <w:pPr>
              <w:pStyle w:val="TableContents"/>
              <w:spacing w:before="0" w:after="0"/>
              <w:jc w:val="right"/>
              <w:rPr>
                <w:b/>
                <w:spacing w:val="0"/>
                <w:sz w:val="24"/>
              </w:rPr>
            </w:pPr>
            <w:r>
              <w:rPr>
                <w:b/>
                <w:spacing w:val="0"/>
                <w:sz w:val="24"/>
              </w:rPr>
              <w:t>40,039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6" w:type="dxa"/>
            <w:tcBorders/>
            <w:shd w:fill="auto" w:val="clear"/>
            <w:vAlign w:val="center"/>
          </w:tcPr>
          <w:p>
            <w:pPr>
              <w:pStyle w:val="TableContents"/>
              <w:spacing w:before="0" w:after="0"/>
              <w:jc w:val="right"/>
              <w:rPr>
                <w:b/>
                <w:spacing w:val="0"/>
                <w:sz w:val="24"/>
              </w:rPr>
            </w:pPr>
            <w:r>
              <w:rPr>
                <w:b/>
                <w:spacing w:val="0"/>
                <w:sz w:val="24"/>
              </w:rPr>
              <w:t>(109,849</w:t>
            </w:r>
          </w:p>
        </w:tc>
        <w:tc>
          <w:tcPr>
            <w:tcW w:w="170" w:type="dxa"/>
            <w:tcBorders/>
            <w:shd w:fill="auto" w:val="clear"/>
            <w:vAlign w:val="center"/>
          </w:tcPr>
          <w:p>
            <w:pPr>
              <w:pStyle w:val="TableContents"/>
              <w:spacing w:before="0" w:after="0"/>
              <w:rPr>
                <w:b/>
                <w:spacing w:val="0"/>
                <w:sz w:val="24"/>
              </w:rPr>
            </w:pPr>
            <w:r>
              <w:rPr>
                <w:b/>
                <w:spacing w:val="0"/>
                <w:sz w:val="24"/>
              </w:rPr>
              <w:t>) </w:t>
            </w:r>
          </w:p>
        </w:tc>
      </w:tr>
      <w:tr>
        <w:trPr/>
        <w:tc>
          <w:tcPr>
            <w:tcW w:w="5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60" w:after="0"/>
        <w:jc w:val="left"/>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Other income and expenses </w:t>
      </w:r>
    </w:p>
    <w:p>
      <w:pPr>
        <w:pStyle w:val="TextBody"/>
        <w:spacing w:before="260" w:after="0"/>
        <w:jc w:val="left"/>
        <w:rPr>
          <w:rFonts w:ascii="Times New Roman" w:hAnsi="Times New Roman"/>
          <w:spacing w:val="0"/>
          <w:sz w:val="24"/>
        </w:rPr>
      </w:pPr>
      <w:r>
        <w:rPr>
          <w:rFonts w:ascii="Times New Roman" w:hAnsi="Times New Roman"/>
          <w:spacing w:val="0"/>
          <w:sz w:val="24"/>
        </w:rPr>
        <w:t xml:space="preserve">In February 2022, the Company received a milestone payment of $2.0 million (£1.5 million) under the Navi License Agreement with OncXerna. An associated payment was made to the former shareholders of Mereo BioPharma 5, Inc. under the Contingent Value Rights Agreement (“CVR”) of a total of $0.9 million (£0.7 million), after deductions of costs, charges and expenditures, which resulted in other income, net of £0.8 million.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4"/>
        </w:rPr>
      </w:pPr>
      <w:r>
        <w:rPr>
          <w:rFonts w:ascii="Times New Roman" w:hAnsi="Times New Roman"/>
          <w:spacing w:val="0"/>
          <w:sz w:val="24"/>
        </w:rPr>
        <w:t xml:space="preserve">F-23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b/>
          <w:spacing w:val="0"/>
          <w:sz w:val="24"/>
          <w:highlight w:val="white"/>
        </w:rPr>
      </w:pPr>
      <w:r>
        <w:rPr>
          <w:rFonts w:ascii="Times New Roman" w:hAnsi="Times New Roman"/>
          <w:b/>
          <w:spacing w:val="0"/>
          <w:sz w:val="24"/>
          <w:highlight w:val="white"/>
        </w:rPr>
        <w:t>10. Taxation</w:t>
      </w:r>
    </w:p>
    <w:p>
      <w:pPr>
        <w:pStyle w:val="TextBody"/>
        <w:spacing w:before="0" w:after="0"/>
        <w:jc w:val="left"/>
        <w:rPr>
          <w:spacing w:val="0"/>
          <w:highlight w:val="white"/>
        </w:rPr>
      </w:pPr>
      <w:r>
        <w:rPr>
          <w:spacing w:val="0"/>
          <w:highlight w:val="white"/>
        </w:rPr>
        <w:t> </w:t>
      </w:r>
    </w:p>
    <w:p>
      <w:pPr>
        <w:pStyle w:val="TextBody"/>
        <w:spacing w:before="0" w:after="0"/>
        <w:ind w:left="0" w:right="0" w:hanging="0"/>
        <w:jc w:val="left"/>
        <w:rPr>
          <w:spacing w:val="0"/>
          <w:highlight w:val="white"/>
        </w:rPr>
      </w:pPr>
      <w:r>
        <w:rPr>
          <w:spacing w:val="0"/>
          <w:highlight w:val="white"/>
        </w:rPr>
        <w:t> </w:t>
      </w:r>
    </w:p>
    <w:tbl>
      <w:tblPr>
        <w:tblW w:w="5939" w:type="dxa"/>
        <w:jc w:val="left"/>
        <w:tblInd w:w="0" w:type="dxa"/>
        <w:tblCellMar>
          <w:top w:w="0" w:type="dxa"/>
          <w:left w:w="0" w:type="dxa"/>
          <w:bottom w:w="0" w:type="dxa"/>
          <w:right w:w="0" w:type="dxa"/>
        </w:tblCellMar>
      </w:tblPr>
      <w:tblGrid>
        <w:gridCol w:w="3050"/>
        <w:gridCol w:w="120"/>
        <w:gridCol w:w="60"/>
        <w:gridCol w:w="809"/>
        <w:gridCol w:w="60"/>
        <w:gridCol w:w="121"/>
        <w:gridCol w:w="60"/>
        <w:gridCol w:w="642"/>
        <w:gridCol w:w="156"/>
        <w:gridCol w:w="121"/>
        <w:gridCol w:w="64"/>
        <w:gridCol w:w="601"/>
        <w:gridCol w:w="75"/>
      </w:tblGrid>
      <w:tr>
        <w:trPr/>
        <w:tc>
          <w:tcPr>
            <w:tcW w:w="3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94"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6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60" w:type="dxa"/>
            <w:tcBorders/>
            <w:shd w:fill="auto" w:val="clear"/>
            <w:vAlign w:val="center"/>
          </w:tcPr>
          <w:p>
            <w:pPr>
              <w:pStyle w:val="TableContents"/>
              <w:spacing w:before="0" w:after="0"/>
              <w:rPr>
                <w:spacing w:val="0"/>
              </w:rPr>
            </w:pPr>
            <w:r>
              <w:rPr>
                <w:spacing w:val="0"/>
              </w:rPr>
              <w:t> </w:t>
            </w:r>
          </w:p>
        </w:tc>
        <w:tc>
          <w:tcPr>
            <w:tcW w:w="121" w:type="dxa"/>
            <w:tcBorders/>
            <w:shd w:fill="auto" w:val="clear"/>
            <w:vAlign w:val="center"/>
          </w:tcPr>
          <w:p>
            <w:pPr>
              <w:pStyle w:val="TableContents"/>
              <w:spacing w:before="0" w:after="0"/>
              <w:rPr>
                <w:spacing w:val="0"/>
              </w:rPr>
            </w:pPr>
            <w:r>
              <w:rPr>
                <w:spacing w:val="0"/>
              </w:rPr>
              <w:t>  </w:t>
            </w:r>
          </w:p>
        </w:tc>
        <w:tc>
          <w:tcPr>
            <w:tcW w:w="70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156" w:type="dxa"/>
            <w:tcBorders/>
            <w:shd w:fill="auto" w:val="clear"/>
            <w:vAlign w:val="center"/>
          </w:tcPr>
          <w:p>
            <w:pPr>
              <w:pStyle w:val="TableContents"/>
              <w:spacing w:before="0" w:after="0"/>
              <w:rPr>
                <w:spacing w:val="0"/>
              </w:rPr>
            </w:pPr>
            <w:r>
              <w:rPr>
                <w:spacing w:val="0"/>
              </w:rPr>
              <w:t> </w:t>
            </w:r>
          </w:p>
        </w:tc>
        <w:tc>
          <w:tcPr>
            <w:tcW w:w="121"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75" w:type="dxa"/>
            <w:tcBorders/>
            <w:shd w:fill="auto" w:val="clear"/>
            <w:vAlign w:val="center"/>
          </w:tcPr>
          <w:p>
            <w:pPr>
              <w:pStyle w:val="TableContents"/>
              <w:spacing w:before="0" w:after="0"/>
              <w:rPr>
                <w:spacing w:val="0"/>
              </w:rPr>
            </w:pPr>
            <w:r>
              <w:rPr>
                <w:spacing w:val="0"/>
              </w:rPr>
              <w:t> </w:t>
            </w:r>
          </w:p>
        </w:tc>
      </w:tr>
      <w:tr>
        <w:trPr/>
        <w:tc>
          <w:tcPr>
            <w:tcW w:w="30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UK corporation tax R&amp;D credit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r>
              <w:rPr/>
              <w:t>1,296</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2" w:type="dxa"/>
            <w:tcBorders/>
            <w:shd w:fill="CCEEFF" w:val="clear"/>
            <w:vAlign w:val="center"/>
          </w:tcPr>
          <w:p>
            <w:pPr>
              <w:pStyle w:val="TableContents"/>
              <w:spacing w:before="0" w:after="283"/>
              <w:jc w:val="right"/>
              <w:rPr/>
            </w:pPr>
            <w:r>
              <w:rPr/>
              <w:t>—  </w:t>
            </w:r>
          </w:p>
        </w:tc>
        <w:tc>
          <w:tcPr>
            <w:tcW w:w="156"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2,822</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Tax credit/(charge)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601</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2" w:type="dxa"/>
            <w:tcBorders/>
            <w:shd w:fill="auto" w:val="clear"/>
            <w:vAlign w:val="center"/>
          </w:tcPr>
          <w:p>
            <w:pPr>
              <w:pStyle w:val="TableContents"/>
              <w:spacing w:before="0" w:after="283"/>
              <w:jc w:val="right"/>
              <w:rPr/>
            </w:pPr>
            <w:r>
              <w:rPr/>
              <w:t>(1,516</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42" w:type="dxa"/>
            <w:tcBorders/>
            <w:shd w:fill="auto" w:val="clear"/>
            <w:vAlign w:val="center"/>
          </w:tcPr>
          <w:p>
            <w:pPr>
              <w:pStyle w:val="TableContents"/>
              <w:spacing w:before="0" w:after="0"/>
              <w:rPr>
                <w:bdr w:val="single" w:sz="2" w:space="1" w:color="000000"/>
              </w:rPr>
            </w:pPr>
            <w:r>
              <w:rPr>
                <w:bdr w:val="single" w:sz="2"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9" w:type="dxa"/>
            <w:tcBorders/>
            <w:shd w:fill="CCEEFF" w:val="clear"/>
            <w:vAlign w:val="center"/>
          </w:tcPr>
          <w:p>
            <w:pPr>
              <w:pStyle w:val="TableContents"/>
              <w:spacing w:before="0" w:after="0"/>
              <w:jc w:val="right"/>
              <w:rPr>
                <w:b/>
                <w:spacing w:val="0"/>
                <w:sz w:val="24"/>
              </w:rPr>
            </w:pPr>
            <w:r>
              <w:rPr>
                <w:b/>
                <w:spacing w:val="0"/>
                <w:sz w:val="24"/>
              </w:rPr>
              <w:t>1,897</w:t>
            </w:r>
          </w:p>
        </w:tc>
        <w:tc>
          <w:tcPr>
            <w:tcW w:w="60" w:type="dxa"/>
            <w:tcBorders/>
            <w:shd w:fill="CCEEFF" w:val="clear"/>
            <w:vAlign w:val="center"/>
          </w:tcPr>
          <w:p>
            <w:pPr>
              <w:pStyle w:val="TableContents"/>
              <w:spacing w:before="0" w:after="0"/>
              <w:rPr>
                <w:spacing w:val="0"/>
              </w:rPr>
            </w:pPr>
            <w:r>
              <w:rPr>
                <w:spacing w:val="0"/>
              </w:rPr>
              <w:t> </w:t>
            </w:r>
          </w:p>
        </w:tc>
        <w:tc>
          <w:tcPr>
            <w:tcW w:w="1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42" w:type="dxa"/>
            <w:tcBorders/>
            <w:shd w:fill="CCEEFF" w:val="clear"/>
            <w:vAlign w:val="center"/>
          </w:tcPr>
          <w:p>
            <w:pPr>
              <w:pStyle w:val="TableContents"/>
              <w:spacing w:before="0" w:after="0"/>
              <w:jc w:val="right"/>
              <w:rPr>
                <w:b/>
                <w:spacing w:val="0"/>
                <w:sz w:val="24"/>
              </w:rPr>
            </w:pPr>
            <w:r>
              <w:rPr>
                <w:b/>
                <w:spacing w:val="0"/>
                <w:sz w:val="24"/>
              </w:rPr>
              <w:t>(1,516</w:t>
            </w:r>
          </w:p>
        </w:tc>
        <w:tc>
          <w:tcPr>
            <w:tcW w:w="156" w:type="dxa"/>
            <w:tcBorders/>
            <w:shd w:fill="CCEEFF" w:val="clear"/>
            <w:vAlign w:val="center"/>
          </w:tcPr>
          <w:p>
            <w:pPr>
              <w:pStyle w:val="TableContents"/>
              <w:spacing w:before="0" w:after="0"/>
              <w:rPr>
                <w:b/>
                <w:spacing w:val="0"/>
                <w:sz w:val="24"/>
              </w:rPr>
            </w:pPr>
            <w:r>
              <w:rPr>
                <w:b/>
                <w:spacing w:val="0"/>
                <w:sz w:val="24"/>
              </w:rPr>
              <w:t>) </w:t>
            </w:r>
          </w:p>
        </w:tc>
        <w:tc>
          <w:tcPr>
            <w:tcW w:w="121"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sz w:val="24"/>
              </w:rPr>
            </w:pPr>
            <w:r>
              <w:rPr>
                <w:b/>
                <w:spacing w:val="0"/>
                <w:sz w:val="24"/>
              </w:rPr>
              <w:t>2,822</w:t>
            </w:r>
          </w:p>
        </w:tc>
        <w:tc>
          <w:tcPr>
            <w:tcW w:w="75" w:type="dxa"/>
            <w:tcBorders/>
            <w:shd w:fill="CCEEFF" w:val="clear"/>
            <w:vAlign w:val="center"/>
          </w:tcPr>
          <w:p>
            <w:pPr>
              <w:pStyle w:val="TableContents"/>
              <w:spacing w:before="0" w:after="0"/>
              <w:rPr>
                <w:spacing w:val="0"/>
              </w:rPr>
            </w:pPr>
            <w:r>
              <w:rPr>
                <w:spacing w:val="0"/>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09"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42" w:type="dxa"/>
            <w:tcBorders/>
            <w:shd w:fill="auto" w:val="clear"/>
            <w:vAlign w:val="center"/>
          </w:tcPr>
          <w:p>
            <w:pPr>
              <w:pStyle w:val="TableContents"/>
              <w:spacing w:before="0" w:after="0"/>
              <w:rPr>
                <w:bdr w:val="double" w:sz="6" w:space="1" w:color="000000"/>
              </w:rPr>
            </w:pPr>
            <w:r>
              <w:rPr>
                <w:bdr w:val="double" w:sz="6"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60" w:after="0"/>
        <w:ind w:left="0" w:right="0" w:hanging="0"/>
        <w:jc w:val="left"/>
        <w:rPr>
          <w:rFonts w:ascii="Times New Roman" w:hAnsi="Times New Roman"/>
          <w:b/>
          <w:sz w:val="24"/>
          <w:highlight w:val="white"/>
        </w:rPr>
      </w:pPr>
      <w:r>
        <w:rPr>
          <w:rFonts w:ascii="Times New Roman" w:hAnsi="Times New Roman"/>
          <w:b/>
          <w:sz w:val="24"/>
          <w:highlight w:val="white"/>
        </w:rPr>
        <w:t xml:space="preserve">U.K. income tax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The Company is entitled to claim tax credits in the United Kingdom under the U.K. R&amp;D small or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medium-sized</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enterprise (“SME”) scheme, which provides additional taxation relief for qualifying expenditure on R&amp;D activities, and includes an option to surrender a portion of tax losses arising from qualifying activities in return for a cash payment from HM Revenue &amp; Customs (“HMRC”). </w:t>
      </w:r>
    </w:p>
    <w:p>
      <w:pPr>
        <w:pStyle w:val="TextBody"/>
        <w:spacing w:before="260" w:after="0"/>
        <w:jc w:val="left"/>
        <w:rPr>
          <w:rFonts w:ascii="Times New Roman" w:hAnsi="Times New Roman"/>
          <w:b/>
          <w:sz w:val="24"/>
          <w:highlight w:val="white"/>
        </w:rPr>
      </w:pPr>
      <w:r>
        <w:rPr>
          <w:rFonts w:ascii="Times New Roman" w:hAnsi="Times New Roman"/>
          <w:b/>
          <w:sz w:val="24"/>
          <w:highlight w:val="white"/>
        </w:rPr>
        <w:t xml:space="preserve">U.S. income tax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During the year-ended December 31, 2022, the Company received £0.8 million related to Alternative Minimum Tax (“AMT”) credits, previously recognized as other taxes recoverable within the consolidated balance sheet. The Company generates R&amp;D tax credits for U.S. federal and state purposes. In respect of these R&amp;D tax credits, no deferred tax assets have been recognized in any periods presented. As of December 31, 2022, the Company had an uncertain tax position of £3.1 million, representing approximately 20% of these historic R&amp;D tax losses claimed. </w:t>
      </w:r>
    </w:p>
    <w:p>
      <w:pPr>
        <w:pStyle w:val="TextBody"/>
        <w:widowControl/>
        <w:spacing w:before="0" w:after="0"/>
        <w:ind w:left="0" w:right="0" w:hanging="0"/>
        <w:jc w:val="left"/>
        <w:rPr>
          <w:rFonts w:ascii="Times New Roman" w:hAnsi="Times New Roman"/>
          <w:b/>
          <w:i/>
          <w:caps w:val="false"/>
          <w:smallCaps w:val="false"/>
          <w:color w:val="000000"/>
          <w:spacing w:val="0"/>
          <w:sz w:val="24"/>
          <w:highlight w:val="white"/>
        </w:rPr>
      </w:pPr>
      <w:r>
        <w:rPr>
          <w:rFonts w:ascii="Times New Roman" w:hAnsi="Times New Roman"/>
          <w:b/>
          <w:i/>
          <w:caps w:val="false"/>
          <w:smallCaps w:val="false"/>
          <w:color w:val="000000"/>
          <w:spacing w:val="0"/>
          <w:sz w:val="24"/>
          <w:highlight w:val="white"/>
        </w:rPr>
        <w:t>Reconciliation of effective tax rate</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0205" w:type="dxa"/>
        <w:jc w:val="left"/>
        <w:tblInd w:w="0" w:type="dxa"/>
        <w:tblCellMar>
          <w:top w:w="0" w:type="dxa"/>
          <w:left w:w="0" w:type="dxa"/>
          <w:bottom w:w="0" w:type="dxa"/>
          <w:right w:w="0" w:type="dxa"/>
        </w:tblCellMar>
      </w:tblPr>
      <w:tblGrid>
        <w:gridCol w:w="6875"/>
        <w:gridCol w:w="120"/>
        <w:gridCol w:w="60"/>
        <w:gridCol w:w="755"/>
        <w:gridCol w:w="155"/>
        <w:gridCol w:w="120"/>
        <w:gridCol w:w="60"/>
        <w:gridCol w:w="680"/>
        <w:gridCol w:w="155"/>
        <w:gridCol w:w="120"/>
        <w:gridCol w:w="60"/>
        <w:gridCol w:w="875"/>
        <w:gridCol w:w="170"/>
      </w:tblGrid>
      <w:tr>
        <w:trPr/>
        <w:tc>
          <w:tcPr>
            <w:tcW w:w="6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04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(Loss)/profit on ordinary activities before income tax</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(36,093</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14,241</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(166,450</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Tax on profit at standard U.K rate of 19%</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6,857</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(2,706</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31,626</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Expenses not deductible for income tax purposes (permanent differences)</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(965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(708</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(13,270</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Income not taxable</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12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78</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4</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Temporary timing differences</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(65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R&amp;D relief uplift</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558</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1,435</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1,214</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Losses (unrecognized)</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(4,810</w:t>
            </w:r>
          </w:p>
        </w:tc>
        <w:tc>
          <w:tcPr>
            <w:tcW w:w="155" w:type="dxa"/>
            <w:tcBorders/>
            <w:shd w:fill="CCEEFF" w:val="clear"/>
            <w:vAlign w:val="center"/>
          </w:tcPr>
          <w:p>
            <w:pPr>
              <w:pStyle w:val="TableContents"/>
              <w:spacing w:before="0" w:after="0"/>
              <w:rPr/>
            </w:pPr>
            <w:r>
              <w:rPr/>
              <w:t>)</w:t>
            </w:r>
          </w:p>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(345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(14,479</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Foreign tax</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422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505</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184</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Differences in overseas tax rates</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323</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286</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261</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Derecognition of deferred tax</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 xml:space="preserve">—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283"/>
              <w:jc w:val="right"/>
              <w:rPr/>
            </w:pPr>
            <w:r>
              <w:rPr/>
              <w:t>(2,686</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Effects of carryback loss relief</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(649</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Adjustments in respect of prior years</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612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pPr>
            <w:r>
              <w:rPr/>
              <w:t> —</w:t>
            </w:r>
          </w:p>
        </w:tc>
        <w:tc>
          <w:tcPr>
            <w:tcW w:w="170" w:type="dxa"/>
            <w:tcBorders/>
            <w:shd w:fill="auto" w:val="clear"/>
            <w:vAlign w:val="center"/>
          </w:tcPr>
          <w:p>
            <w:pPr>
              <w:pStyle w:val="TableContents"/>
              <w:spacing w:before="0" w:after="283"/>
              <w:rPr/>
            </w:pPr>
            <w:r>
              <w:rPr/>
              <w:t> </w:t>
            </w:r>
          </w:p>
        </w:tc>
      </w:tr>
      <w:tr>
        <w:trPr/>
        <w:tc>
          <w:tcPr>
            <w:tcW w:w="6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(463</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283"/>
              <w:jc w:val="right"/>
              <w:rPr/>
            </w:pPr>
            <w:r>
              <w:rPr/>
              <w:t>(32</w:t>
            </w:r>
          </w:p>
        </w:tc>
        <w:tc>
          <w:tcPr>
            <w:tcW w:w="170" w:type="dxa"/>
            <w:tcBorders/>
            <w:shd w:fill="CCEEFF"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Tax credit/(charge) for the year</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1,897</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(1,516</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2,822</w:t>
            </w:r>
          </w:p>
        </w:tc>
        <w:tc>
          <w:tcPr>
            <w:tcW w:w="170" w:type="dxa"/>
            <w:tcBorders/>
            <w:shd w:fill="auto" w:val="clear"/>
            <w:vAlign w:val="center"/>
          </w:tcPr>
          <w:p>
            <w:pPr>
              <w:pStyle w:val="TableContents"/>
              <w:spacing w:before="0" w:after="0"/>
              <w:rPr>
                <w:spacing w:val="0"/>
              </w:rPr>
            </w:pPr>
            <w:r>
              <w:rPr>
                <w:spacing w:val="0"/>
              </w:rPr>
              <w:t> </w:t>
            </w:r>
          </w:p>
        </w:tc>
      </w:tr>
      <w:tr>
        <w:trPr/>
        <w:tc>
          <w:tcPr>
            <w:tcW w:w="6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0"/>
              <w:rPr>
                <w:spacing w:val="0"/>
              </w:rPr>
            </w:pPr>
            <w:r>
              <w:rPr>
                <w:spacing w:val="0"/>
              </w:rPr>
              <w:t> </w:t>
            </w:r>
          </w:p>
        </w:tc>
      </w:tr>
    </w:tbl>
    <w:p>
      <w:pPr>
        <w:pStyle w:val="TextBody"/>
        <w:spacing w:before="0" w:after="0"/>
        <w:ind w:left="0" w:right="0" w:hanging="0"/>
        <w:jc w:val="left"/>
        <w:rPr>
          <w:spacing w:val="0"/>
          <w:highlight w:val="white"/>
        </w:rPr>
      </w:pPr>
      <w:r>
        <w:rPr>
          <w:spacing w:val="0"/>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Deferred tax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The analysis of unrecognized deferred tax is set out below: </w:t>
      </w:r>
    </w:p>
    <w:p>
      <w:pPr>
        <w:pStyle w:val="TextBody"/>
        <w:spacing w:before="0" w:after="0"/>
        <w:jc w:val="left"/>
        <w:rPr>
          <w:highlight w:val="white"/>
        </w:rPr>
      </w:pPr>
      <w:r>
        <w:rPr>
          <w:highlight w:val="white"/>
        </w:rPr>
        <w:t> </w:t>
      </w:r>
    </w:p>
    <w:tbl>
      <w:tblPr>
        <w:tblW w:w="6664" w:type="dxa"/>
        <w:jc w:val="left"/>
        <w:tblInd w:w="0" w:type="dxa"/>
        <w:tblCellMar>
          <w:top w:w="0" w:type="dxa"/>
          <w:left w:w="0" w:type="dxa"/>
          <w:bottom w:w="0" w:type="dxa"/>
          <w:right w:w="0" w:type="dxa"/>
        </w:tblCellMar>
      </w:tblPr>
      <w:tblGrid>
        <w:gridCol w:w="3815"/>
        <w:gridCol w:w="120"/>
        <w:gridCol w:w="61"/>
        <w:gridCol w:w="700"/>
        <w:gridCol w:w="61"/>
        <w:gridCol w:w="122"/>
        <w:gridCol w:w="61"/>
        <w:gridCol w:w="700"/>
        <w:gridCol w:w="61"/>
        <w:gridCol w:w="122"/>
        <w:gridCol w:w="61"/>
        <w:gridCol w:w="705"/>
        <w:gridCol w:w="75"/>
      </w:tblGrid>
      <w:tr>
        <w:trPr/>
        <w:tc>
          <w:tcPr>
            <w:tcW w:w="3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54"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76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76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75" w:type="dxa"/>
            <w:tcBorders/>
            <w:shd w:fill="auto"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Losses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47,209</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44,683</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37,021</w:t>
            </w:r>
          </w:p>
        </w:tc>
        <w:tc>
          <w:tcPr>
            <w:tcW w:w="75" w:type="dxa"/>
            <w:tcBorders/>
            <w:shd w:fill="CCEEFF" w:val="cle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Loan relationships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443</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73</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421</w:t>
            </w:r>
          </w:p>
        </w:tc>
        <w:tc>
          <w:tcPr>
            <w:tcW w:w="75" w:type="dxa"/>
            <w:tcBorders/>
            <w:shd w:fill="auto"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U.S tax credits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12,206</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10,557</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9,880</w:t>
            </w:r>
          </w:p>
        </w:tc>
        <w:tc>
          <w:tcPr>
            <w:tcW w:w="75" w:type="dxa"/>
            <w:tcBorders/>
            <w:shd w:fill="CCEEFF" w:val="clear"/>
            <w:vAlign w:val="center"/>
          </w:tcPr>
          <w:p>
            <w:pPr>
              <w:pStyle w:val="TableContents"/>
              <w:spacing w:before="0" w:after="283"/>
              <w:rPr/>
            </w:pPr>
            <w:r>
              <w:rPr/>
              <w:t> </w:t>
            </w:r>
          </w:p>
        </w:tc>
      </w:tr>
      <w:tr>
        <w:trPr/>
        <w:tc>
          <w:tcPr>
            <w:tcW w:w="381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R&amp;D capitalization</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3,001</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Fixed assets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xml:space="preserve">—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414</w:t>
            </w:r>
          </w:p>
        </w:tc>
        <w:tc>
          <w:tcPr>
            <w:tcW w:w="75"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Share options</w:t>
            </w:r>
          </w:p>
        </w:tc>
        <w:tc>
          <w:tcPr>
            <w:tcW w:w="12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0" w:type="dxa"/>
            <w:tcBorders/>
            <w:shd w:fill="FFFFFF" w:val="clear"/>
            <w:vAlign w:val="center"/>
          </w:tcPr>
          <w:p>
            <w:pPr>
              <w:pStyle w:val="TableContents"/>
              <w:spacing w:before="0" w:after="283"/>
              <w:jc w:val="right"/>
              <w:rPr/>
            </w:pPr>
            <w:r>
              <w:rPr/>
              <w:t xml:space="preserve">434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0" w:type="dxa"/>
            <w:tcBorders/>
            <w:shd w:fill="FFFFFF" w:val="clear"/>
            <w:vAlign w:val="center"/>
          </w:tcPr>
          <w:p>
            <w:pPr>
              <w:pStyle w:val="TableContents"/>
              <w:spacing w:before="0" w:after="283"/>
              <w:jc w:val="right"/>
              <w:rPr/>
            </w:pPr>
            <w:r>
              <w:rPr/>
              <w:t>151</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5" w:type="dxa"/>
            <w:tcBorders/>
            <w:shd w:fill="FFFFFF" w:val="clear"/>
            <w:vAlign w:val="center"/>
          </w:tcPr>
          <w:p>
            <w:pPr>
              <w:pStyle w:val="TableContents"/>
              <w:spacing w:before="0" w:after="283"/>
              <w:jc w:val="right"/>
              <w:rPr/>
            </w:pPr>
            <w:r>
              <w:rPr/>
              <w:t>55</w:t>
            </w:r>
          </w:p>
        </w:tc>
        <w:tc>
          <w:tcPr>
            <w:tcW w:w="75" w:type="dxa"/>
            <w:tcBorders/>
            <w:shd w:fill="FFFFFF"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U.S deferred tax</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xml:space="preserve">—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31</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86</w:t>
            </w:r>
          </w:p>
        </w:tc>
        <w:tc>
          <w:tcPr>
            <w:tcW w:w="75"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Other</w:t>
            </w:r>
          </w:p>
        </w:tc>
        <w:tc>
          <w:tcPr>
            <w:tcW w:w="12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0" w:type="dxa"/>
            <w:tcBorders/>
            <w:shd w:fill="FFFFFF" w:val="clear"/>
            <w:vAlign w:val="center"/>
          </w:tcPr>
          <w:p>
            <w:pPr>
              <w:pStyle w:val="TableContents"/>
              <w:spacing w:before="0" w:after="283"/>
              <w:jc w:val="right"/>
              <w:rPr/>
            </w:pPr>
            <w:r>
              <w:rPr/>
              <w:t xml:space="preserve">—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0" w:type="dxa"/>
            <w:tcBorders/>
            <w:shd w:fill="FFFFFF" w:val="clear"/>
            <w:vAlign w:val="center"/>
          </w:tcPr>
          <w:p>
            <w:pPr>
              <w:pStyle w:val="TableContents"/>
              <w:spacing w:before="0" w:after="283"/>
              <w:jc w:val="right"/>
              <w:rPr/>
            </w:pPr>
            <w:r>
              <w:rPr/>
              <w:t>—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705" w:type="dxa"/>
            <w:tcBorders/>
            <w:shd w:fill="FFFFFF" w:val="clear"/>
            <w:vAlign w:val="center"/>
          </w:tcPr>
          <w:p>
            <w:pPr>
              <w:pStyle w:val="TableContents"/>
              <w:spacing w:before="0" w:after="283"/>
              <w:jc w:val="right"/>
              <w:rPr/>
            </w:pPr>
            <w:r>
              <w:rPr/>
              <w:t>137</w:t>
            </w:r>
          </w:p>
        </w:tc>
        <w:tc>
          <w:tcPr>
            <w:tcW w:w="75" w:type="dxa"/>
            <w:tcBorders/>
            <w:shd w:fill="FFFFFF"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Temporary differences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xml:space="preserve">51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56</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18</w:t>
            </w:r>
          </w:p>
        </w:tc>
        <w:tc>
          <w:tcPr>
            <w:tcW w:w="75"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single" w:sz="2" w:space="1" w:color="000000"/>
              </w:rPr>
            </w:pPr>
            <w:r>
              <w:rPr>
                <w:bdr w:val="single" w:sz="2" w:space="1" w:color="000000"/>
              </w:rPr>
              <w:t> </w:t>
            </w:r>
          </w:p>
        </w:tc>
        <w:tc>
          <w:tcPr>
            <w:tcW w:w="700" w:type="dxa"/>
            <w:tcBorders/>
            <w:shd w:fill="FFFFFF" w:val="clear"/>
            <w:vAlign w:val="center"/>
          </w:tcPr>
          <w:p>
            <w:pPr>
              <w:pStyle w:val="TableContents"/>
              <w:spacing w:before="0" w:after="0"/>
              <w:rPr>
                <w:bdr w:val="single" w:sz="2" w:space="1" w:color="000000"/>
              </w:rPr>
            </w:pPr>
            <w:r>
              <w:rPr>
                <w:bdr w:val="single" w:sz="2" w:space="1" w:color="000000"/>
              </w:rPr>
              <w:t>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single" w:sz="2" w:space="1" w:color="000000"/>
              </w:rPr>
            </w:pPr>
            <w:r>
              <w:rPr>
                <w:bdr w:val="single" w:sz="2" w:space="1" w:color="000000"/>
              </w:rPr>
              <w:t> </w:t>
            </w:r>
          </w:p>
        </w:tc>
        <w:tc>
          <w:tcPr>
            <w:tcW w:w="700" w:type="dxa"/>
            <w:tcBorders/>
            <w:shd w:fill="FFFFFF" w:val="clear"/>
            <w:vAlign w:val="center"/>
          </w:tcPr>
          <w:p>
            <w:pPr>
              <w:pStyle w:val="TableContents"/>
              <w:spacing w:before="0" w:after="0"/>
              <w:rPr>
                <w:bdr w:val="single" w:sz="2" w:space="1" w:color="000000"/>
              </w:rPr>
            </w:pPr>
            <w:r>
              <w:rPr>
                <w:bdr w:val="single" w:sz="2" w:space="1" w:color="000000"/>
              </w:rPr>
              <w:t>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single" w:sz="2" w:space="1" w:color="000000"/>
              </w:rPr>
            </w:pPr>
            <w:r>
              <w:rPr>
                <w:bdr w:val="single" w:sz="2" w:space="1" w:color="000000"/>
              </w:rPr>
              <w:t> </w:t>
            </w:r>
          </w:p>
        </w:tc>
        <w:tc>
          <w:tcPr>
            <w:tcW w:w="705"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rPr>
                <w:rFonts w:ascii="Times New Roman" w:hAnsi="Times New Roman"/>
                <w:b/>
                <w:sz w:val="24"/>
              </w:rPr>
            </w:pPr>
            <w:r>
              <w:rPr>
                <w:rFonts w:ascii="Times New Roman" w:hAnsi="Times New Roman"/>
                <w:b/>
                <w:sz w:val="24"/>
              </w:rPr>
              <w:t>Net deferred tax asset (unrecognized)</w:t>
            </w:r>
          </w:p>
        </w:tc>
        <w:tc>
          <w:tcPr>
            <w:tcW w:w="12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spacing w:val="0"/>
              </w:rPr>
            </w:pPr>
            <w:r>
              <w:rPr>
                <w:spacing w:val="0"/>
              </w:rPr>
              <w:t> </w:t>
            </w:r>
          </w:p>
        </w:tc>
        <w:tc>
          <w:tcPr>
            <w:tcW w:w="700" w:type="dxa"/>
            <w:tcBorders/>
            <w:shd w:fill="FFFFFF" w:val="clear"/>
            <w:vAlign w:val="center"/>
          </w:tcPr>
          <w:p>
            <w:pPr>
              <w:pStyle w:val="TableContents"/>
              <w:spacing w:before="0" w:after="0"/>
              <w:jc w:val="right"/>
              <w:rPr>
                <w:b/>
                <w:spacing w:val="0"/>
              </w:rPr>
            </w:pPr>
            <w:r>
              <w:rPr>
                <w:b/>
                <w:spacing w:val="0"/>
              </w:rPr>
              <w:t>63,344</w:t>
            </w:r>
          </w:p>
        </w:tc>
        <w:tc>
          <w:tcPr>
            <w:tcW w:w="61" w:type="dxa"/>
            <w:tcBorders/>
            <w:shd w:fill="FFFFFF" w:val="clear"/>
            <w:vAlign w:val="center"/>
          </w:tcPr>
          <w:p>
            <w:pPr>
              <w:pStyle w:val="TableContents"/>
              <w:spacing w:before="0" w:after="0"/>
              <w:rPr>
                <w:spacing w:val="0"/>
              </w:rPr>
            </w:pPr>
            <w:r>
              <w:rPr>
                <w:spacing w:val="0"/>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spacing w:val="0"/>
              </w:rPr>
            </w:pPr>
            <w:r>
              <w:rPr>
                <w:spacing w:val="0"/>
              </w:rPr>
              <w:t> </w:t>
            </w:r>
          </w:p>
        </w:tc>
        <w:tc>
          <w:tcPr>
            <w:tcW w:w="700" w:type="dxa"/>
            <w:tcBorders/>
            <w:shd w:fill="FFFFFF" w:val="clear"/>
            <w:vAlign w:val="center"/>
          </w:tcPr>
          <w:p>
            <w:pPr>
              <w:pStyle w:val="TableContents"/>
              <w:spacing w:before="0" w:after="0"/>
              <w:jc w:val="right"/>
              <w:rPr>
                <w:b/>
                <w:spacing w:val="0"/>
              </w:rPr>
            </w:pPr>
            <w:r>
              <w:rPr>
                <w:b/>
                <w:spacing w:val="0"/>
              </w:rPr>
              <w:t>55,551</w:t>
            </w:r>
          </w:p>
        </w:tc>
        <w:tc>
          <w:tcPr>
            <w:tcW w:w="61" w:type="dxa"/>
            <w:tcBorders/>
            <w:shd w:fill="FFFFFF" w:val="clear"/>
            <w:vAlign w:val="center"/>
          </w:tcPr>
          <w:p>
            <w:pPr>
              <w:pStyle w:val="TableContents"/>
              <w:spacing w:before="0" w:after="0"/>
              <w:rPr>
                <w:spacing w:val="0"/>
              </w:rPr>
            </w:pPr>
            <w:r>
              <w:rPr>
                <w:spacing w:val="0"/>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spacing w:val="0"/>
              </w:rPr>
            </w:pPr>
            <w:r>
              <w:rPr>
                <w:spacing w:val="0"/>
              </w:rPr>
              <w:t> </w:t>
            </w:r>
          </w:p>
        </w:tc>
        <w:tc>
          <w:tcPr>
            <w:tcW w:w="705" w:type="dxa"/>
            <w:tcBorders/>
            <w:shd w:fill="FFFFFF" w:val="clear"/>
            <w:vAlign w:val="center"/>
          </w:tcPr>
          <w:p>
            <w:pPr>
              <w:pStyle w:val="TableContents"/>
              <w:spacing w:before="0" w:after="0"/>
              <w:jc w:val="right"/>
              <w:rPr>
                <w:b/>
                <w:spacing w:val="0"/>
              </w:rPr>
            </w:pPr>
            <w:r>
              <w:rPr>
                <w:b/>
                <w:spacing w:val="0"/>
              </w:rPr>
              <w:t>48,032</w:t>
            </w:r>
          </w:p>
        </w:tc>
        <w:tc>
          <w:tcPr>
            <w:tcW w:w="75" w:type="dxa"/>
            <w:tcBorders/>
            <w:shd w:fill="FFFFFF" w:val="clear"/>
            <w:vAlign w:val="center"/>
          </w:tcPr>
          <w:p>
            <w:pPr>
              <w:pStyle w:val="TableContents"/>
              <w:spacing w:before="0" w:after="0"/>
              <w:rPr>
                <w:spacing w:val="0"/>
              </w:rPr>
            </w:pPr>
            <w:r>
              <w:rPr>
                <w:spacing w:val="0"/>
              </w:rPr>
              <w:t> </w:t>
            </w:r>
          </w:p>
        </w:tc>
      </w:tr>
      <w:tr>
        <w:trPr/>
        <w:tc>
          <w:tcPr>
            <w:tcW w:w="381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double" w:sz="6" w:space="1" w:color="000000"/>
              </w:rPr>
            </w:pPr>
            <w:r>
              <w:rPr>
                <w:bdr w:val="double" w:sz="6" w:space="1" w:color="000000"/>
              </w:rPr>
              <w:t> </w:t>
            </w:r>
          </w:p>
        </w:tc>
        <w:tc>
          <w:tcPr>
            <w:tcW w:w="70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double" w:sz="6" w:space="1" w:color="000000"/>
              </w:rPr>
            </w:pPr>
            <w:r>
              <w:rPr>
                <w:bdr w:val="double" w:sz="6" w:space="1" w:color="000000"/>
              </w:rPr>
              <w:t> </w:t>
            </w:r>
          </w:p>
        </w:tc>
        <w:tc>
          <w:tcPr>
            <w:tcW w:w="70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0"/>
              <w:rPr>
                <w:bdr w:val="double" w:sz="6" w:space="1" w:color="000000"/>
              </w:rPr>
            </w:pPr>
            <w:r>
              <w:rPr>
                <w:bdr w:val="double" w:sz="6" w:space="1" w:color="000000"/>
              </w:rPr>
              <w:t> </w:t>
            </w:r>
          </w:p>
        </w:tc>
        <w:tc>
          <w:tcPr>
            <w:tcW w:w="705"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 w:type="dxa"/>
            <w:tcBorders/>
            <w:shd w:fill="FFFFFF" w:val="clear"/>
            <w:vAlign w:val="center"/>
          </w:tcPr>
          <w:p>
            <w:pPr>
              <w:pStyle w:val="TableContents"/>
              <w:spacing w:before="0" w:after="283"/>
              <w:rPr/>
            </w:pPr>
            <w:r>
              <w:rPr/>
              <w:t> </w:t>
            </w:r>
          </w:p>
        </w:tc>
      </w:tr>
    </w:tbl>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The analysis of recognized deferred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tax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is set out below: </w:t>
      </w:r>
    </w:p>
    <w:tbl>
      <w:tblPr>
        <w:tblW w:w="8825" w:type="dxa"/>
        <w:jc w:val="left"/>
        <w:tblInd w:w="0" w:type="dxa"/>
        <w:tblCellMar>
          <w:top w:w="0" w:type="dxa"/>
          <w:left w:w="0" w:type="dxa"/>
          <w:bottom w:w="0" w:type="dxa"/>
          <w:right w:w="0" w:type="dxa"/>
        </w:tblCellMar>
      </w:tblPr>
      <w:tblGrid>
        <w:gridCol w:w="3635"/>
        <w:gridCol w:w="120"/>
        <w:gridCol w:w="195"/>
        <w:gridCol w:w="1235"/>
        <w:gridCol w:w="155"/>
        <w:gridCol w:w="120"/>
        <w:gridCol w:w="138"/>
        <w:gridCol w:w="1052"/>
        <w:gridCol w:w="155"/>
        <w:gridCol w:w="120"/>
        <w:gridCol w:w="201"/>
        <w:gridCol w:w="1529"/>
        <w:gridCol w:w="170"/>
      </w:tblGrid>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529"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At January 1,</w:t>
              <w:b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Recognized</w:t>
              <w:br/>
              <w:t>in income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At December 31,</w:t>
              <w:br/>
              <w:t>2022</w:t>
            </w:r>
          </w:p>
        </w:tc>
        <w:tc>
          <w:tcPr>
            <w:tcW w:w="17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Deferred tax liabilities</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529"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Intangible asset and </w:t>
            </w:r>
          </w:p>
          <w:p>
            <w:pPr>
              <w:pStyle w:val="TableContents"/>
              <w:spacing w:before="0" w:after="0"/>
              <w:rPr>
                <w:rFonts w:ascii="Times New Roman" w:hAnsi="Times New Roman"/>
                <w:spacing w:val="0"/>
                <w:sz w:val="24"/>
              </w:rPr>
            </w:pPr>
            <w:r>
              <w:rPr>
                <w:rFonts w:ascii="Times New Roman" w:hAnsi="Times New Roman"/>
                <w:spacing w:val="0"/>
                <w:sz w:val="24"/>
              </w:rPr>
              <w:t>right-of-use</w:t>
            </w:r>
          </w:p>
          <w:p>
            <w:pPr>
              <w:pStyle w:val="TableContents"/>
              <w:spacing w:before="0" w:after="0"/>
              <w:rPr>
                <w:rFonts w:ascii="Times New Roman" w:hAnsi="Times New Roman"/>
                <w:sz w:val="24"/>
              </w:rPr>
            </w:pPr>
            <w:r>
              <w:rPr>
                <w:rFonts w:ascii="Times New Roman" w:hAnsi="Times New Roman"/>
                <w:sz w:val="24"/>
              </w:rPr>
              <w:t>asset</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(156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529" w:type="dxa"/>
            <w:tcBorders/>
            <w:shd w:fill="auto" w:val="clear"/>
            <w:vAlign w:val="center"/>
          </w:tcPr>
          <w:p>
            <w:pPr>
              <w:pStyle w:val="TableContents"/>
              <w:spacing w:before="0" w:after="283"/>
              <w:jc w:val="right"/>
              <w:rPr/>
            </w:pPr>
            <w:r>
              <w:rPr/>
              <w:t>(176</w:t>
            </w:r>
          </w:p>
        </w:tc>
        <w:tc>
          <w:tcPr>
            <w:tcW w:w="17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Deferred tax asset</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529"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operating losses and lease liability</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156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529" w:type="dxa"/>
            <w:tcBorders/>
            <w:shd w:fill="auto" w:val="clear"/>
            <w:vAlign w:val="center"/>
          </w:tcPr>
          <w:p>
            <w:pPr>
              <w:pStyle w:val="TableContents"/>
              <w:spacing w:before="0" w:after="283"/>
              <w:jc w:val="right"/>
              <w:rPr/>
            </w:pPr>
            <w:r>
              <w:rPr/>
              <w:t>176</w:t>
            </w:r>
          </w:p>
        </w:tc>
        <w:tc>
          <w:tcPr>
            <w:tcW w:w="170"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bdr w:val="single" w:sz="2" w:space="1" w:color="000000"/>
              </w:rPr>
            </w:pPr>
            <w:r>
              <w:rPr>
                <w:bdr w:val="single" w:sz="2" w:space="1" w:color="000000"/>
              </w:rPr>
              <w:t> </w:t>
            </w:r>
          </w:p>
        </w:tc>
        <w:tc>
          <w:tcPr>
            <w:tcW w:w="123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bdr w:val="single" w:sz="2" w:space="1" w:color="000000"/>
              </w:rPr>
            </w:pPr>
            <w:r>
              <w:rPr>
                <w:bdr w:val="single" w:sz="2" w:space="1" w:color="000000"/>
              </w:rPr>
              <w:t> </w:t>
            </w:r>
          </w:p>
        </w:tc>
        <w:tc>
          <w:tcPr>
            <w:tcW w:w="152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Net deferred tax asset/(liability)</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0"/>
              <w:rPr>
                <w:spacing w:val="0"/>
              </w:rPr>
            </w:pPr>
            <w:r>
              <w:rPr>
                <w:spacing w:val="0"/>
              </w:rPr>
              <w:t> </w:t>
            </w:r>
          </w:p>
        </w:tc>
        <w:tc>
          <w:tcPr>
            <w:tcW w:w="1235"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0"/>
              <w:rPr>
                <w:spacing w:val="0"/>
              </w:rPr>
            </w:pPr>
            <w:r>
              <w:rPr>
                <w:spacing w:val="0"/>
              </w:rPr>
              <w:t> </w:t>
            </w:r>
          </w:p>
        </w:tc>
        <w:tc>
          <w:tcPr>
            <w:tcW w:w="1052"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0"/>
              <w:rPr>
                <w:spacing w:val="0"/>
              </w:rPr>
            </w:pPr>
            <w:r>
              <w:rPr>
                <w:spacing w:val="0"/>
              </w:rPr>
              <w:t> </w:t>
            </w:r>
          </w:p>
        </w:tc>
        <w:tc>
          <w:tcPr>
            <w:tcW w:w="1529"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bdr w:val="double" w:sz="6" w:space="1" w:color="000000"/>
              </w:rPr>
            </w:pPr>
            <w:r>
              <w:rPr>
                <w:bdr w:val="double" w:sz="6" w:space="1" w:color="000000"/>
              </w:rPr>
              <w:t> </w:t>
            </w:r>
          </w:p>
        </w:tc>
        <w:tc>
          <w:tcPr>
            <w:tcW w:w="123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bdr w:val="double" w:sz="6" w:space="1" w:color="000000"/>
              </w:rPr>
            </w:pPr>
            <w:r>
              <w:rPr>
                <w:bdr w:val="double" w:sz="6" w:space="1" w:color="000000"/>
              </w:rPr>
              <w:t> </w:t>
            </w:r>
          </w:p>
        </w:tc>
        <w:tc>
          <w:tcPr>
            <w:tcW w:w="1529"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A deferred tax asset on losses has been recognized up to the level of the deferred tax liability, resulting in a net deferred tax liability of £nil.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The remaining deferred tax assets, as set out in the table above, have not been recognized as there is uncertainty regarding when suitable future profits against which to offset the accumulated tax losses will arise. </w:t>
      </w:r>
    </w:p>
    <w:p>
      <w:pPr>
        <w:pStyle w:val="TextBody"/>
        <w:spacing w:before="260" w:after="0"/>
        <w:jc w:val="left"/>
        <w:rPr>
          <w:rFonts w:ascii="Times New Roman" w:hAnsi="Times New Roman"/>
          <w:b/>
          <w:sz w:val="24"/>
          <w:highlight w:val="white"/>
        </w:rPr>
      </w:pPr>
      <w:r>
        <w:rPr>
          <w:rFonts w:ascii="Times New Roman" w:hAnsi="Times New Roman"/>
          <w:b/>
          <w:sz w:val="24"/>
          <w:highlight w:val="white"/>
        </w:rPr>
        <w:t xml:space="preserve">U.K. deferred tax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The deferred tax assets have not been recognized as there is uncertainty regarding when suitable future profits against which to offset the accumulated tax losses will arise. There is no expiration date for the accumulated tax losses.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The standard rate of corporation tax applied to the reported profit/(loss) before tax is 19% (2021: 19%). The Finance Act 2021, which was substantively enacted on May 24, 2021, included provisions to increase the standard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rate of U.K. corporation tax from</w:t>
      </w:r>
    </w:p>
    <w:p>
      <w:pPr>
        <w:pStyle w:val="TextBody"/>
        <w:spacing w:before="260" w:after="0"/>
        <w:jc w:val="left"/>
        <w:rPr>
          <w:spacing w:val="0"/>
          <w:highlight w:val="white"/>
        </w:rPr>
      </w:pPr>
      <w:r>
        <w:rPr>
          <w:spacing w:val="0"/>
          <w:highlight w:val="white"/>
        </w:rPr>
        <w:t> </w:t>
      </w:r>
    </w:p>
    <w:p>
      <w:pPr>
        <w:pStyle w:val="TextBody"/>
        <w:spacing w:before="260" w:after="0"/>
        <w:jc w:val="left"/>
        <w:rPr>
          <w:rFonts w:ascii="Times New Roman" w:hAnsi="Times New Roman"/>
          <w:sz w:val="24"/>
          <w:highlight w:val="white"/>
        </w:rPr>
      </w:pPr>
      <w:r>
        <w:rPr>
          <w:rFonts w:ascii="Times New Roman" w:hAnsi="Times New Roman"/>
          <w:sz w:val="24"/>
          <w:highlight w:val="white"/>
        </w:rPr>
        <w:t>19</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 to </w:t>
      </w:r>
    </w:p>
    <w:p>
      <w:pPr>
        <w:pStyle w:val="TextBody"/>
        <w:spacing w:before="260" w:after="0"/>
        <w:jc w:val="left"/>
        <w:rPr>
          <w:rFonts w:ascii="Times New Roman" w:hAnsi="Times New Roman"/>
          <w:sz w:val="24"/>
          <w:highlight w:val="white"/>
        </w:rPr>
      </w:pPr>
      <w:r>
        <w:rPr>
          <w:rFonts w:ascii="Times New Roman" w:hAnsi="Times New Roman"/>
          <w:sz w:val="24"/>
          <w:highlight w:val="white"/>
        </w:rPr>
        <w:t>25</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 effective from April 1, 2023. As a result, U.K. deferred tax assets and liabilities have been measured at a rate of </w:t>
      </w:r>
    </w:p>
    <w:p>
      <w:pPr>
        <w:pStyle w:val="TextBody"/>
        <w:spacing w:before="260" w:after="0"/>
        <w:jc w:val="left"/>
        <w:rPr>
          <w:rFonts w:ascii="Times New Roman" w:hAnsi="Times New Roman"/>
          <w:sz w:val="24"/>
          <w:highlight w:val="white"/>
        </w:rPr>
      </w:pPr>
      <w:r>
        <w:rPr>
          <w:rFonts w:ascii="Times New Roman" w:hAnsi="Times New Roman"/>
          <w:sz w:val="24"/>
          <w:highlight w:val="white"/>
        </w:rPr>
        <w:t>25</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At December 31, 2022, the Company had U.K. tax losses to be carried forward of approximately £125.8 million. </w:t>
      </w:r>
    </w:p>
    <w:p>
      <w:pPr>
        <w:pStyle w:val="TextBody"/>
        <w:spacing w:before="260" w:after="0"/>
        <w:jc w:val="left"/>
        <w:rPr>
          <w:rFonts w:ascii="Times New Roman" w:hAnsi="Times New Roman"/>
          <w:b/>
          <w:sz w:val="24"/>
          <w:highlight w:val="white"/>
        </w:rPr>
      </w:pPr>
      <w:r>
        <w:rPr>
          <w:rFonts w:ascii="Times New Roman" w:hAnsi="Times New Roman"/>
          <w:b/>
          <w:sz w:val="24"/>
          <w:highlight w:val="white"/>
        </w:rPr>
        <w:t xml:space="preserve">U.S. deferred tax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U.S. deferred tax assets and liabilities are calculated at a blended rate of approximately 21%. </w:t>
      </w:r>
    </w:p>
    <w:p>
      <w:pPr>
        <w:pStyle w:val="TextBody"/>
        <w:spacing w:before="260" w:after="0"/>
        <w:jc w:val="left"/>
        <w:rPr>
          <w:rFonts w:ascii="Times New Roman" w:hAnsi="Times New Roman"/>
          <w:sz w:val="24"/>
          <w:highlight w:val="white"/>
        </w:rPr>
      </w:pPr>
      <w:r>
        <w:rPr>
          <w:rFonts w:ascii="Times New Roman" w:hAnsi="Times New Roman"/>
          <w:sz w:val="24"/>
          <w:highlight w:val="white"/>
        </w:rPr>
        <w:t xml:space="preserve">For Mereo BioPharma 5, Inc, with respect to accumulated tax losses carried forward prior to its acquisition by the Company, there is a change of control restriction which will limit the amount available in any one year. </w:t>
      </w:r>
    </w:p>
    <w:p>
      <w:pPr>
        <w:pStyle w:val="TextBody"/>
        <w:spacing w:before="260" w:after="0"/>
        <w:jc w:val="left"/>
        <w:rPr>
          <w:rFonts w:ascii="Times New Roman" w:hAnsi="Times New Roman"/>
          <w:sz w:val="24"/>
          <w:highlight w:val="white"/>
        </w:rPr>
      </w:pPr>
      <w:r>
        <w:rPr>
          <w:rFonts w:ascii="Times New Roman" w:hAnsi="Times New Roman"/>
          <w:sz w:val="24"/>
          <w:highlight w:val="white"/>
        </w:rPr>
        <w:t>At December 31, 2022, the Company had U.S. federal tax losses to be carried forward of approximately £74.6 million, of which £67.7 million can be carried forward indefinitely and £6.9 million which will begin to expire in 2023. At December 31, 2022, the Company had U.S. state tax losses to be carried forward of approximately £4.0 million which begin to expire in 2027</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b/>
          <w:sz w:val="24"/>
          <w:highlight w:val="white"/>
        </w:rPr>
      </w:pPr>
      <w:r>
        <w:rPr>
          <w:rFonts w:ascii="Times New Roman" w:hAnsi="Times New Roman"/>
          <w:b/>
          <w:sz w:val="24"/>
          <w:highlight w:val="white"/>
        </w:rPr>
        <w:t xml:space="preserve">11. Earnings per share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Basic profit/(loss) per share is calculated by dividing the profit/(loss) attributable for the year to ordinary equity holders of the parent by the weighted average number of ordinary shares outstanding during the year. Diluted loss per share is based on dividing the </w:t>
      </w:r>
    </w:p>
    <w:p>
      <w:pPr>
        <w:pStyle w:val="TextBody"/>
        <w:spacing w:before="260" w:after="0"/>
        <w:jc w:val="left"/>
        <w:rPr>
          <w:rFonts w:ascii="Times New Roman;serif" w:hAnsi="Times New Roman;serif"/>
          <w:spacing w:val="0"/>
          <w:sz w:val="24"/>
          <w:highlight w:val="white"/>
        </w:rPr>
      </w:pPr>
      <w:r>
        <w:rPr>
          <w:rFonts w:ascii="Times New Roman;serif" w:hAnsi="Times New Roman;serif"/>
          <w:spacing w:val="0"/>
          <w:sz w:val="24"/>
          <w:highlight w:val="white"/>
        </w:rPr>
        <w:t>loss</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attributable for the year, adjusted for the effect of diluted ordinary shares, by ordinary share equivalents, which includes the weighted average number of ordinary shares outstanding and the effect of dilutive ordinary share equivalents. </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5585"/>
        <w:gridCol w:w="120"/>
        <w:gridCol w:w="60"/>
        <w:gridCol w:w="1220"/>
        <w:gridCol w:w="95"/>
        <w:gridCol w:w="120"/>
        <w:gridCol w:w="60"/>
        <w:gridCol w:w="1220"/>
        <w:gridCol w:w="155"/>
        <w:gridCol w:w="120"/>
        <w:gridCol w:w="60"/>
        <w:gridCol w:w="1220"/>
        <w:gridCol w:w="170"/>
      </w:tblGrid>
      <w:tr>
        <w:trPr/>
        <w:tc>
          <w:tcPr>
            <w:tcW w:w="55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58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433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58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p>
            <w:pPr>
              <w:pStyle w:val="TableContents"/>
              <w:spacing w:before="0" w:after="0"/>
              <w:rPr>
                <w:spacing w:val="0"/>
              </w:rPr>
            </w:pPr>
            <w:r>
              <w:rPr>
                <w:spacing w:val="0"/>
              </w:rPr>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p>
            <w:pPr>
              <w:pStyle w:val="TableContents"/>
              <w:spacing w:before="0" w:after="0"/>
              <w:rPr>
                <w:spacing w:val="0"/>
              </w:rPr>
            </w:pPr>
            <w:r>
              <w:rPr>
                <w:spacing w:val="0"/>
              </w:rPr>
            </w:r>
          </w:p>
        </w:tc>
        <w:tc>
          <w:tcPr>
            <w:tcW w:w="170" w:type="dxa"/>
            <w:tcBorders/>
            <w:shd w:fill="auto" w:val="clear"/>
            <w:vAlign w:val="center"/>
          </w:tcPr>
          <w:p>
            <w:pPr>
              <w:pStyle w:val="TableContents"/>
              <w:spacing w:before="0" w:after="0"/>
              <w:rPr>
                <w:spacing w:val="0"/>
              </w:rPr>
            </w:pPr>
            <w:r>
              <w:rPr>
                <w:spacing w:val="0"/>
              </w:rPr>
              <w:t> </w:t>
            </w:r>
          </w:p>
        </w:tc>
      </w:tr>
      <w:tr>
        <w:trPr/>
        <w:tc>
          <w:tcPr>
            <w:tcW w:w="558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Numerator – Basic earnings per share (£’000s):</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ind w:left="0" w:right="0" w:hanging="0"/>
              <w:rPr>
                <w:sz w:val="4"/>
                <w:szCs w:val="4"/>
              </w:rPr>
            </w:pPr>
            <w:r>
              <w:rPr>
                <w:sz w:val="4"/>
                <w:szCs w:val="4"/>
              </w:rPr>
            </w:r>
          </w:p>
        </w:tc>
      </w:tr>
      <w:tr>
        <w:trPr/>
        <w:tc>
          <w:tcPr>
            <w:tcW w:w="5585" w:type="dxa"/>
            <w:tcBorders/>
            <w:shd w:fill="auto" w:val="clear"/>
            <w:vAlign w:val="center"/>
          </w:tcPr>
          <w:p>
            <w:pPr>
              <w:pStyle w:val="TableContents"/>
              <w:spacing w:before="0" w:after="0"/>
              <w:rPr>
                <w:rFonts w:ascii="Times New Roman;serif" w:hAnsi="Times New Roman;serif"/>
                <w:spacing w:val="0"/>
                <w:sz w:val="24"/>
              </w:rPr>
            </w:pPr>
            <w:r>
              <w:rPr>
                <w:rFonts w:ascii="Times New Roman;serif" w:hAnsi="Times New Roman;serif"/>
                <w:spacing w:val="0"/>
                <w:sz w:val="24"/>
              </w:rPr>
              <w:t>(Loss)/profit</w:t>
            </w:r>
          </w:p>
          <w:p>
            <w:pPr>
              <w:pStyle w:val="TableContents"/>
              <w:spacing w:before="0" w:after="0"/>
              <w:rPr>
                <w:rFonts w:ascii="Times New Roman;serif" w:hAnsi="Times New Roman;serif"/>
                <w:spacing w:val="0"/>
                <w:sz w:val="24"/>
              </w:rPr>
            </w:pPr>
            <w:r>
              <w:rPr>
                <w:rFonts w:ascii="Times New Roman;serif" w:hAnsi="Times New Roman;serif"/>
                <w:spacing w:val="0"/>
                <w:sz w:val="24"/>
              </w:rPr>
              <w:t>attributable to equity holders of the parent</w:t>
            </w:r>
          </w:p>
          <w:p>
            <w:pPr>
              <w:pStyle w:val="TableContents"/>
              <w:spacing w:before="0" w:after="0"/>
              <w:ind w:left="0" w:right="0" w:hanging="0"/>
              <w:rPr>
                <w:rFonts w:ascii="Times New Roman" w:hAnsi="Times New Roman"/>
                <w:sz w:val="24"/>
              </w:rPr>
            </w:pPr>
            <w:r>
              <w:rPr>
                <w:rFonts w:ascii="Times New Roman" w:hAnsi="Times New Roman"/>
                <w:sz w:val="24"/>
              </w:rPr>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(34,196</w:t>
            </w:r>
          </w:p>
          <w:p>
            <w:pPr>
              <w:pStyle w:val="TableContents"/>
              <w:spacing w:before="0" w:after="0"/>
              <w:ind w:left="0" w:right="0" w:hanging="0"/>
              <w:rPr/>
            </w:pPr>
            <w:r>
              <w:rPr/>
            </w:r>
          </w:p>
        </w:tc>
        <w:tc>
          <w:tcPr>
            <w:tcW w:w="95" w:type="dxa"/>
            <w:tcBorders/>
            <w:shd w:fill="auto" w:val="clear"/>
            <w:vAlign w:val="center"/>
          </w:tcPr>
          <w:p>
            <w:pPr>
              <w:pStyle w:val="TableContents"/>
              <w:spacing w:before="0" w:after="0"/>
              <w:ind w:left="0" w:right="0" w:hanging="0"/>
              <w:rPr>
                <w:spacing w:val="0"/>
              </w:rPr>
            </w:pPr>
            <w:r>
              <w:rPr>
                <w:spacing w:val="0"/>
              </w:rPr>
              <w:t>)</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283"/>
              <w:ind w:left="0" w:right="0" w:hanging="0"/>
              <w:jc w:val="right"/>
              <w:rPr/>
            </w:pPr>
            <w:r>
              <w:rPr/>
              <w:t>12,725</w:t>
            </w:r>
          </w:p>
        </w:tc>
        <w:tc>
          <w:tcPr>
            <w:tcW w:w="155" w:type="dxa"/>
            <w:tcBorders/>
            <w:shd w:fill="auto" w:val="clear"/>
            <w:vAlign w:val="center"/>
          </w:tcPr>
          <w:p>
            <w:pPr>
              <w:pStyle w:val="TableContents"/>
              <w:spacing w:before="0" w:after="283"/>
              <w:ind w:left="0" w:right="0" w:hanging="0"/>
              <w:rPr/>
            </w:pPr>
            <w:r>
              <w:rPr/>
              <w:t> </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283"/>
              <w:ind w:left="0" w:right="0" w:hanging="0"/>
              <w:jc w:val="right"/>
              <w:rPr/>
            </w:pPr>
            <w:r>
              <w:rPr/>
              <w:t>(163,628</w:t>
            </w:r>
          </w:p>
        </w:tc>
        <w:tc>
          <w:tcPr>
            <w:tcW w:w="170" w:type="dxa"/>
            <w:tcBorders/>
            <w:shd w:fill="auto"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283"/>
              <w:rPr/>
            </w:pPr>
            <w:r>
              <w:rPr/>
              <w:t> </w:t>
            </w:r>
          </w:p>
        </w:tc>
        <w:tc>
          <w:tcPr>
            <w:tcW w:w="1495" w:type="dxa"/>
            <w:gridSpan w:val="4"/>
            <w:tcBorders/>
            <w:shd w:fill="auto" w:val="clear"/>
            <w:vAlign w:val="center"/>
          </w:tcPr>
          <w:p>
            <w:pPr>
              <w:pStyle w:val="TableContents"/>
              <w:spacing w:before="0" w:after="283"/>
              <w:rPr/>
            </w:pPr>
            <w:r>
              <w:rPr/>
              <w:t> </w:t>
            </w:r>
          </w:p>
        </w:tc>
        <w:tc>
          <w:tcPr>
            <w:tcW w:w="1555" w:type="dxa"/>
            <w:gridSpan w:val="4"/>
            <w:tcBorders/>
            <w:shd w:fill="auto" w:val="clear"/>
            <w:vAlign w:val="center"/>
          </w:tcPr>
          <w:p>
            <w:pPr>
              <w:pStyle w:val="TableContents"/>
              <w:spacing w:before="0" w:after="283"/>
              <w:rPr/>
            </w:pPr>
            <w:r>
              <w:rPr/>
              <w:t> </w:t>
            </w:r>
          </w:p>
        </w:tc>
        <w:tc>
          <w:tcPr>
            <w:tcW w:w="1570" w:type="dxa"/>
            <w:gridSpan w:val="4"/>
            <w:tcBorders/>
            <w:shd w:fill="auto" w:val="clear"/>
            <w:vAlign w:val="center"/>
          </w:tcPr>
          <w:p>
            <w:pPr>
              <w:pStyle w:val="TableContents"/>
              <w:spacing w:before="0" w:after="283"/>
              <w:rPr/>
            </w:pPr>
            <w:r>
              <w:rPr/>
              <w:t> </w:t>
            </w:r>
          </w:p>
        </w:tc>
      </w:tr>
      <w:tr>
        <w:trPr/>
        <w:tc>
          <w:tcPr>
            <w:tcW w:w="558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Denominator – Basic earnings per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Weighted average number of ordinary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603,196,403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527,818,648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338,953,141</w:t>
            </w:r>
          </w:p>
        </w:tc>
        <w:tc>
          <w:tcPr>
            <w:tcW w:w="170" w:type="dxa"/>
            <w:tcBorders/>
            <w:shd w:fill="auto" w:val="clear"/>
            <w:vAlign w:val="center"/>
          </w:tcPr>
          <w:p>
            <w:pPr>
              <w:pStyle w:val="TableContents"/>
              <w:spacing w:before="0" w:after="283"/>
              <w:rPr/>
            </w:pPr>
            <w:r>
              <w:rPr/>
              <w:t> </w:t>
            </w:r>
          </w:p>
        </w:tc>
      </w:tr>
      <w:tr>
        <w:trPr/>
        <w:tc>
          <w:tcPr>
            <w:tcW w:w="5585" w:type="dxa"/>
            <w:tcBorders/>
            <w:shd w:fill="CCEEFF" w:val="clear"/>
            <w:vAlign w:val="center"/>
          </w:tcPr>
          <w:p>
            <w:pPr>
              <w:pStyle w:val="TableContents"/>
              <w:spacing w:before="0" w:after="0"/>
              <w:ind w:left="0" w:right="0" w:hanging="0"/>
              <w:rPr>
                <w:rFonts w:ascii="Times New Roman" w:hAnsi="Times New Roman"/>
                <w:sz w:val="24"/>
              </w:rPr>
            </w:pPr>
            <w:r>
              <w:rPr>
                <w:rFonts w:ascii="Times New Roman" w:hAnsi="Times New Roman"/>
                <w:sz w:val="24"/>
              </w:rPr>
              <w:t>(Loss)/profit per share – basic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(0.06</w:t>
            </w:r>
          </w:p>
          <w:p>
            <w:pPr>
              <w:pStyle w:val="TableContents"/>
              <w:spacing w:before="0" w:after="0"/>
              <w:ind w:left="0" w:right="0" w:hanging="0"/>
              <w:rPr/>
            </w:pPr>
            <w:r>
              <w:rPr/>
            </w:r>
          </w:p>
        </w:tc>
        <w:tc>
          <w:tcPr>
            <w:tcW w:w="95" w:type="dxa"/>
            <w:tcBorders/>
            <w:shd w:fill="CCEEFF" w:val="clear"/>
            <w:vAlign w:val="center"/>
          </w:tcPr>
          <w:p>
            <w:pPr>
              <w:pStyle w:val="TableContents"/>
              <w:spacing w:before="0" w:after="0"/>
              <w:rPr>
                <w:spacing w:val="0"/>
              </w:rPr>
            </w:pPr>
            <w:r>
              <w:rPr>
                <w:spacing w:val="0"/>
              </w:rPr>
              <w:t>)</w:t>
            </w:r>
          </w:p>
          <w:p>
            <w:pPr>
              <w:pStyle w:val="TableContents"/>
              <w:spacing w:before="0" w:after="0"/>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0.02</w:t>
            </w:r>
          </w:p>
        </w:tc>
        <w:tc>
          <w:tcPr>
            <w:tcW w:w="155"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(0.48</w:t>
            </w:r>
          </w:p>
        </w:tc>
        <w:tc>
          <w:tcPr>
            <w:tcW w:w="170" w:type="dxa"/>
            <w:tcBorders/>
            <w:shd w:fill="CCEEFF"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shd w:fill="auto" w:val="clear"/>
            <w:vAlign w:val="center"/>
          </w:tcPr>
          <w:p>
            <w:pPr>
              <w:pStyle w:val="TableContents"/>
              <w:spacing w:lineRule="atLeast" w:line="141" w:before="0" w:after="0"/>
              <w:rPr/>
            </w:pPr>
            <w:r>
              <w:rPr/>
              <w:t> </w:t>
            </w:r>
          </w:p>
        </w:tc>
        <w:tc>
          <w:tcPr>
            <w:tcW w:w="1220" w:type="dxa"/>
            <w:tcBorders/>
            <w:shd w:fill="auto" w:val="clear"/>
            <w:vAlign w:val="center"/>
          </w:tcPr>
          <w:p>
            <w:pPr>
              <w:pStyle w:val="TableContents"/>
              <w:spacing w:lineRule="atLeast" w:line="141" w:before="0" w:after="0"/>
              <w:rPr/>
            </w:pPr>
            <w:r>
              <w:rPr/>
              <w:t> </w:t>
            </w:r>
          </w:p>
        </w:tc>
        <w:tc>
          <w:tcPr>
            <w:tcW w:w="9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shd w:fill="auto" w:val="clear"/>
            <w:vAlign w:val="center"/>
          </w:tcPr>
          <w:p>
            <w:pPr>
              <w:pStyle w:val="TableContents"/>
              <w:spacing w:lineRule="atLeast" w:line="141" w:before="0" w:after="0"/>
              <w:rPr/>
            </w:pPr>
            <w:r>
              <w:rPr/>
              <w:t> </w:t>
            </w:r>
          </w:p>
        </w:tc>
        <w:tc>
          <w:tcPr>
            <w:tcW w:w="1220" w:type="dxa"/>
            <w:tcBorders/>
            <w:shd w:fill="auto" w:val="clear"/>
            <w:vAlign w:val="center"/>
          </w:tcPr>
          <w:p>
            <w:pPr>
              <w:pStyle w:val="TableContents"/>
              <w:spacing w:lineRule="atLeast" w:line="141" w:before="0" w:after="0"/>
              <w:rPr/>
            </w:pPr>
            <w:r>
              <w:rPr/>
              <w:t> </w:t>
            </w:r>
          </w:p>
        </w:tc>
        <w:tc>
          <w:tcPr>
            <w:tcW w:w="15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shd w:fill="auto" w:val="clear"/>
            <w:vAlign w:val="center"/>
          </w:tcPr>
          <w:p>
            <w:pPr>
              <w:pStyle w:val="TableContents"/>
              <w:spacing w:lineRule="atLeast" w:line="141" w:before="0" w:after="0"/>
              <w:rPr/>
            </w:pPr>
            <w:r>
              <w:rPr/>
              <w:t> </w:t>
            </w:r>
          </w:p>
        </w:tc>
        <w:tc>
          <w:tcPr>
            <w:tcW w:w="1220" w:type="dxa"/>
            <w:tcBorders/>
            <w:shd w:fill="auto" w:val="clear"/>
            <w:vAlign w:val="center"/>
          </w:tcPr>
          <w:p>
            <w:pPr>
              <w:pStyle w:val="TableContents"/>
              <w:spacing w:lineRule="atLeast" w:line="141" w:before="0" w:after="0"/>
              <w:rPr/>
            </w:pPr>
            <w:r>
              <w:rPr/>
              <w:t> </w:t>
            </w:r>
          </w:p>
        </w:tc>
        <w:tc>
          <w:tcPr>
            <w:tcW w:w="170" w:type="dxa"/>
            <w:tcBorders/>
            <w:shd w:fill="auto" w:val="clear"/>
            <w:vAlign w:val="center"/>
          </w:tcPr>
          <w:p>
            <w:pPr>
              <w:pStyle w:val="TableContents"/>
              <w:spacing w:lineRule="atLeast" w:line="141" w:before="0" w:after="0"/>
              <w:rPr/>
            </w:pPr>
            <w:r>
              <w:rPr/>
              <w:t> </w:t>
            </w:r>
          </w:p>
        </w:tc>
      </w:tr>
      <w:tr>
        <w:trPr/>
        <w:tc>
          <w:tcPr>
            <w:tcW w:w="558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Numerator – Diluted earnings per share (£’000s):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ind w:left="0" w:right="0" w:hanging="0"/>
              <w:rPr/>
            </w:pPr>
            <w:r>
              <w:rPr/>
              <w:t> </w:t>
            </w:r>
          </w:p>
        </w:tc>
      </w:tr>
      <w:tr>
        <w:trPr/>
        <w:tc>
          <w:tcPr>
            <w:tcW w:w="5585" w:type="dxa"/>
            <w:tcBorders/>
            <w:shd w:fill="CCEEFF" w:val="clear"/>
            <w:vAlign w:val="center"/>
          </w:tcPr>
          <w:p>
            <w:pPr>
              <w:pStyle w:val="TableContents"/>
              <w:spacing w:before="0" w:after="0"/>
              <w:rPr>
                <w:rFonts w:ascii="Times New Roman;serif" w:hAnsi="Times New Roman;serif"/>
                <w:spacing w:val="0"/>
                <w:sz w:val="24"/>
              </w:rPr>
            </w:pPr>
            <w:r>
              <w:rPr>
                <w:rFonts w:ascii="Times New Roman;serif" w:hAnsi="Times New Roman;serif"/>
                <w:spacing w:val="0"/>
                <w:sz w:val="24"/>
              </w:rPr>
              <w:t>(Loss)/profit</w:t>
            </w:r>
          </w:p>
          <w:p>
            <w:pPr>
              <w:pStyle w:val="TableContents"/>
              <w:spacing w:before="0" w:after="0"/>
              <w:rPr>
                <w:rFonts w:ascii="Times New Roman;serif" w:hAnsi="Times New Roman;serif"/>
                <w:spacing w:val="0"/>
                <w:sz w:val="24"/>
              </w:rPr>
            </w:pPr>
            <w:r>
              <w:rPr>
                <w:rFonts w:ascii="Times New Roman;serif" w:hAnsi="Times New Roman;serif"/>
                <w:spacing w:val="0"/>
                <w:sz w:val="24"/>
              </w:rPr>
              <w:t>attributable to equity holders of the parent</w:t>
            </w:r>
          </w:p>
          <w:p>
            <w:pPr>
              <w:pStyle w:val="TableContents"/>
              <w:spacing w:before="0" w:after="0"/>
              <w:ind w:left="0" w:right="0" w:hanging="0"/>
              <w:rPr>
                <w:rFonts w:ascii="Times New Roman" w:hAnsi="Times New Roman"/>
                <w:sz w:val="24"/>
              </w:rPr>
            </w:pPr>
            <w:r>
              <w:rPr>
                <w:rFonts w:ascii="Times New Roman" w:hAnsi="Times New Roman"/>
                <w:sz w:val="24"/>
              </w:rPr>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(34,196</w:t>
            </w:r>
          </w:p>
          <w:p>
            <w:pPr>
              <w:pStyle w:val="TableContents"/>
              <w:spacing w:before="0" w:after="0"/>
              <w:ind w:left="0" w:right="0" w:hanging="0"/>
              <w:rPr/>
            </w:pPr>
            <w:r>
              <w:rPr/>
            </w:r>
          </w:p>
        </w:tc>
        <w:tc>
          <w:tcPr>
            <w:tcW w:w="95" w:type="dxa"/>
            <w:tcBorders/>
            <w:shd w:fill="CCEEFF" w:val="clear"/>
            <w:vAlign w:val="center"/>
          </w:tcPr>
          <w:p>
            <w:pPr>
              <w:pStyle w:val="TableContents"/>
              <w:spacing w:before="0" w:after="0"/>
              <w:rPr>
                <w:spacing w:val="0"/>
              </w:rPr>
            </w:pPr>
            <w:r>
              <w:rPr>
                <w:spacing w:val="0"/>
              </w:rPr>
              <w:t>)</w:t>
            </w:r>
          </w:p>
          <w:p>
            <w:pPr>
              <w:pStyle w:val="TableContents"/>
              <w:spacing w:before="0" w:after="0"/>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12,725</w:t>
            </w:r>
          </w:p>
        </w:tc>
        <w:tc>
          <w:tcPr>
            <w:tcW w:w="155"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(163,628</w:t>
            </w:r>
          </w:p>
        </w:tc>
        <w:tc>
          <w:tcPr>
            <w:tcW w:w="170" w:type="dxa"/>
            <w:tcBorders/>
            <w:shd w:fill="CCEEFF"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Effect of dilutive ordinary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(38,523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ind w:left="0" w:right="0" w:hanging="0"/>
              <w:rPr/>
            </w:pPr>
            <w:r>
              <w:rPr/>
              <w:t> </w:t>
            </w:r>
          </w:p>
        </w:tc>
      </w:tr>
      <w:tr>
        <w:trPr/>
        <w:tc>
          <w:tcPr>
            <w:tcW w:w="5585" w:type="dxa"/>
            <w:tcBorders/>
            <w:shd w:fill="CCEEFF" w:val="clear"/>
            <w:vAlign w:val="center"/>
          </w:tcPr>
          <w:p>
            <w:pPr>
              <w:pStyle w:val="TableContents"/>
              <w:spacing w:before="0" w:after="0"/>
              <w:ind w:left="0" w:right="0" w:hanging="0"/>
              <w:rPr>
                <w:rFonts w:ascii="Times New Roman" w:hAnsi="Times New Roman"/>
                <w:sz w:val="24"/>
              </w:rPr>
            </w:pPr>
            <w:r>
              <w:rPr>
                <w:rFonts w:ascii="Times New Roman" w:hAnsi="Times New Roman"/>
                <w:sz w:val="24"/>
              </w:rPr>
              <w:t>Numerator – Diluted earnings per share</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(34,196</w:t>
            </w:r>
          </w:p>
          <w:p>
            <w:pPr>
              <w:pStyle w:val="TableContents"/>
              <w:spacing w:before="0" w:after="0"/>
              <w:ind w:left="0" w:right="0" w:hanging="0"/>
              <w:rPr/>
            </w:pPr>
            <w:r>
              <w:rPr/>
            </w:r>
          </w:p>
        </w:tc>
        <w:tc>
          <w:tcPr>
            <w:tcW w:w="95" w:type="dxa"/>
            <w:tcBorders/>
            <w:shd w:fill="CCEEFF" w:val="clear"/>
            <w:vAlign w:val="center"/>
          </w:tcPr>
          <w:p>
            <w:pPr>
              <w:pStyle w:val="TableContents"/>
              <w:spacing w:before="0" w:after="0"/>
              <w:ind w:left="0" w:right="0" w:hanging="0"/>
              <w:rPr>
                <w:spacing w:val="0"/>
              </w:rPr>
            </w:pPr>
            <w:r>
              <w:rPr>
                <w:spacing w:val="0"/>
              </w:rPr>
              <w:t>)</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(25,798</w:t>
            </w:r>
          </w:p>
        </w:tc>
        <w:tc>
          <w:tcPr>
            <w:tcW w:w="155"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220" w:type="dxa"/>
            <w:tcBorders/>
            <w:shd w:fill="CCEEFF" w:val="clear"/>
            <w:vAlign w:val="center"/>
          </w:tcPr>
          <w:p>
            <w:pPr>
              <w:pStyle w:val="TableContents"/>
              <w:spacing w:before="0" w:after="283"/>
              <w:ind w:left="0" w:right="0" w:hanging="0"/>
              <w:jc w:val="right"/>
              <w:rPr/>
            </w:pPr>
            <w:r>
              <w:rPr/>
              <w:t>(163,628</w:t>
            </w:r>
          </w:p>
        </w:tc>
        <w:tc>
          <w:tcPr>
            <w:tcW w:w="170" w:type="dxa"/>
            <w:tcBorders/>
            <w:shd w:fill="CCEEFF"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283"/>
              <w:rPr/>
            </w:pPr>
            <w:r>
              <w:rPr/>
              <w:t> </w:t>
            </w:r>
          </w:p>
        </w:tc>
        <w:tc>
          <w:tcPr>
            <w:tcW w:w="1495" w:type="dxa"/>
            <w:gridSpan w:val="4"/>
            <w:tcBorders/>
            <w:shd w:fill="auto" w:val="clear"/>
            <w:vAlign w:val="center"/>
          </w:tcPr>
          <w:p>
            <w:pPr>
              <w:pStyle w:val="TableContents"/>
              <w:spacing w:before="0" w:after="283"/>
              <w:rPr/>
            </w:pPr>
            <w:r>
              <w:rPr/>
              <w:t> </w:t>
            </w:r>
          </w:p>
        </w:tc>
        <w:tc>
          <w:tcPr>
            <w:tcW w:w="1555" w:type="dxa"/>
            <w:gridSpan w:val="4"/>
            <w:tcBorders/>
            <w:shd w:fill="auto" w:val="clear"/>
            <w:vAlign w:val="center"/>
          </w:tcPr>
          <w:p>
            <w:pPr>
              <w:pStyle w:val="TableContents"/>
              <w:spacing w:before="0" w:after="283"/>
              <w:rPr/>
            </w:pPr>
            <w:r>
              <w:rPr/>
              <w:t> </w:t>
            </w:r>
          </w:p>
        </w:tc>
        <w:tc>
          <w:tcPr>
            <w:tcW w:w="1570" w:type="dxa"/>
            <w:gridSpan w:val="4"/>
            <w:tcBorders/>
            <w:shd w:fill="auto"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Denominator – Diluted earnings per share: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58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Number of ordinary shares used for basic earnings per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603,196,403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527,818,648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338,953,141</w:t>
            </w:r>
          </w:p>
        </w:tc>
        <w:tc>
          <w:tcPr>
            <w:tcW w:w="170" w:type="dxa"/>
            <w:tcBorders/>
            <w:shd w:fill="CCEEFF"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Weighted average effect of dilutive ordinary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27,457,163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58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Weighted average number of diluted ordinary shares outstanding</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603,196,403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555,275,811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338,953,141</w:t>
            </w:r>
          </w:p>
        </w:tc>
        <w:tc>
          <w:tcPr>
            <w:tcW w:w="170" w:type="dxa"/>
            <w:tcBorders/>
            <w:shd w:fill="CCEEFF" w:val="clear"/>
            <w:vAlign w:val="center"/>
          </w:tcPr>
          <w:p>
            <w:pPr>
              <w:pStyle w:val="TableContents"/>
              <w:spacing w:before="0" w:after="283"/>
              <w:ind w:left="0" w:right="0" w:hanging="0"/>
              <w:rPr/>
            </w:pPr>
            <w:r>
              <w:rPr/>
              <w:t> </w:t>
            </w:r>
          </w:p>
        </w:tc>
      </w:tr>
      <w:tr>
        <w:trPr/>
        <w:tc>
          <w:tcPr>
            <w:tcW w:w="5585" w:type="dxa"/>
            <w:tcBorders/>
            <w:shd w:fill="auto" w:val="clear"/>
            <w:vAlign w:val="center"/>
          </w:tcPr>
          <w:p>
            <w:pPr>
              <w:pStyle w:val="TableContents"/>
              <w:spacing w:before="0" w:after="0"/>
              <w:ind w:left="0" w:right="0" w:hanging="0"/>
              <w:rPr>
                <w:rFonts w:ascii="Times New Roman" w:hAnsi="Times New Roman"/>
                <w:sz w:val="24"/>
              </w:rPr>
            </w:pPr>
            <w:r>
              <w:rPr>
                <w:rFonts w:ascii="Times New Roman" w:hAnsi="Times New Roman"/>
                <w:sz w:val="24"/>
              </w:rPr>
              <w:t>Loss per share – diluted (£)</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(0.06</w:t>
            </w:r>
          </w:p>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w:t>
            </w:r>
          </w:p>
          <w:p>
            <w:pPr>
              <w:pStyle w:val="TableContents"/>
              <w:spacing w:before="0" w:after="0"/>
              <w:ind w:left="0" w:right="0" w:hanging="0"/>
              <w:rPr/>
            </w:pPr>
            <w:r>
              <w:rPr/>
            </w:r>
          </w:p>
        </w:tc>
        <w:tc>
          <w:tcPr>
            <w:tcW w:w="95" w:type="dxa"/>
            <w:tcBorders/>
            <w:shd w:fill="auto" w:val="clear"/>
            <w:vAlign w:val="center"/>
          </w:tcPr>
          <w:p>
            <w:pPr>
              <w:pStyle w:val="TableContents"/>
              <w:spacing w:before="0" w:after="283"/>
              <w:ind w:left="0" w:right="0" w:hanging="0"/>
              <w:rPr/>
            </w:pPr>
            <w:r>
              <w:rPr/>
              <w:t> </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283"/>
              <w:ind w:left="0" w:right="0" w:hanging="0"/>
              <w:jc w:val="right"/>
              <w:rPr/>
            </w:pPr>
            <w:r>
              <w:rPr/>
              <w:t>(0.05</w:t>
            </w:r>
          </w:p>
        </w:tc>
        <w:tc>
          <w:tcPr>
            <w:tcW w:w="155" w:type="dxa"/>
            <w:tcBorders/>
            <w:shd w:fill="auto" w:val="clear"/>
            <w:vAlign w:val="center"/>
          </w:tcPr>
          <w:p>
            <w:pPr>
              <w:pStyle w:val="TableContents"/>
              <w:spacing w:before="0" w:after="283"/>
              <w:ind w:left="0" w:right="0" w:hanging="0"/>
              <w:rPr/>
            </w:pPr>
            <w:r>
              <w:rPr/>
              <w:t>) </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tcBorders/>
            <w:shd w:fill="auto" w:val="clear"/>
            <w:vAlign w:val="center"/>
          </w:tcPr>
          <w:p>
            <w:pPr>
              <w:pStyle w:val="TableContents"/>
              <w:spacing w:before="0" w:after="283"/>
              <w:ind w:left="0" w:right="0" w:hanging="0"/>
              <w:jc w:val="right"/>
              <w:rPr/>
            </w:pPr>
            <w:r>
              <w:rPr/>
              <w:t>(0.48</w:t>
            </w:r>
          </w:p>
        </w:tc>
        <w:tc>
          <w:tcPr>
            <w:tcW w:w="170" w:type="dxa"/>
            <w:tcBorders/>
            <w:shd w:fill="auto" w:val="clear"/>
            <w:vAlign w:val="center"/>
          </w:tcPr>
          <w:p>
            <w:pPr>
              <w:pStyle w:val="TableContents"/>
              <w:spacing w:before="0" w:after="283"/>
              <w:rPr/>
            </w:pPr>
            <w:r>
              <w:rPr/>
              <w:t>) </w:t>
            </w:r>
          </w:p>
        </w:tc>
      </w:tr>
    </w:tbl>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For the years ended December 31, 2022 and 2020, share options, convertible loan notes and warrants were anti-dilutive as they would have decreased the loss per share and were excluded from the calculation of diluted loss per share. Therefore, the weighted average shares outstanding used to calculate both the basic and diluted </w:t>
      </w:r>
    </w:p>
    <w:p>
      <w:pPr>
        <w:pStyle w:val="TextBody"/>
        <w:spacing w:before="26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loss </w:t>
      </w:r>
    </w:p>
    <w:p>
      <w:pPr>
        <w:pStyle w:val="TextBody"/>
        <w:spacing w:before="260" w:after="0"/>
        <w:jc w:val="left"/>
        <w:rPr>
          <w:rFonts w:ascii="Times New Roman" w:hAnsi="Times New Roman"/>
          <w:spacing w:val="0"/>
          <w:sz w:val="24"/>
          <w:highlight w:val="white"/>
        </w:rPr>
      </w:pPr>
      <w:r>
        <w:rPr>
          <w:rFonts w:ascii="Times New Roman" w:hAnsi="Times New Roman"/>
          <w:spacing w:val="0"/>
          <w:sz w:val="24"/>
          <w:highlight w:val="white"/>
        </w:rPr>
        <w:t xml:space="preserve">per share was the same. For the year ended December 31, 2021, the effect of dilutive ordinary shares, net of the current year tax charge, is related to Company’s outstanding warrants. </w:t>
      </w:r>
    </w:p>
    <w:p>
      <w:pPr>
        <w:pStyle w:val="TextBody"/>
        <w:spacing w:before="26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Share options and convertible loan notes were anti-dilutive for the same year. </w:t>
      </w:r>
    </w:p>
    <w:p>
      <w:pPr>
        <w:pStyle w:val="TextBody"/>
        <w:spacing w:before="260" w:after="0"/>
        <w:jc w:val="left"/>
        <w:rPr>
          <w:rFonts w:ascii="Times New Roman" w:hAnsi="Times New Roman"/>
          <w:b/>
          <w:sz w:val="24"/>
          <w:highlight w:val="white"/>
        </w:rPr>
      </w:pPr>
      <w:r>
        <w:rPr>
          <w:rFonts w:ascii="Times New Roman" w:hAnsi="Times New Roman"/>
          <w:b/>
          <w:sz w:val="24"/>
          <w:highlight w:val="white"/>
        </w:rPr>
        <w:t>12. Property, plant and equipment</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1955"/>
        <w:gridCol w:w="120"/>
        <w:gridCol w:w="109"/>
        <w:gridCol w:w="1156"/>
        <w:gridCol w:w="155"/>
        <w:gridCol w:w="60"/>
        <w:gridCol w:w="147"/>
        <w:gridCol w:w="1118"/>
        <w:gridCol w:w="155"/>
        <w:gridCol w:w="60"/>
        <w:gridCol w:w="170"/>
        <w:gridCol w:w="1290"/>
        <w:gridCol w:w="155"/>
        <w:gridCol w:w="60"/>
        <w:gridCol w:w="150"/>
        <w:gridCol w:w="950"/>
        <w:gridCol w:w="155"/>
        <w:gridCol w:w="60"/>
        <w:gridCol w:w="128"/>
        <w:gridCol w:w="972"/>
        <w:gridCol w:w="155"/>
        <w:gridCol w:w="60"/>
        <w:gridCol w:w="60"/>
        <w:gridCol w:w="635"/>
        <w:gridCol w:w="170"/>
      </w:tblGrid>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9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Right-of-use</w:t>
            </w:r>
          </w:p>
          <w:p>
            <w:pPr>
              <w:pStyle w:val="TableContents"/>
              <w:spacing w:before="0" w:after="0"/>
              <w:jc w:val="center"/>
              <w:rPr>
                <w:b/>
                <w:spacing w:val="0"/>
              </w:rPr>
            </w:pPr>
            <w:r>
              <w:rPr>
                <w:b/>
                <w:spacing w:val="0"/>
              </w:rPr>
              <w:br/>
              <w:t>asset</w:t>
              <w:br/>
              <w:t>(buildings)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Right-of-use</w:t>
            </w:r>
          </w:p>
          <w:p>
            <w:pPr>
              <w:pStyle w:val="TableContents"/>
              <w:spacing w:before="0" w:after="0"/>
              <w:jc w:val="center"/>
              <w:rPr>
                <w:b/>
                <w:spacing w:val="0"/>
              </w:rPr>
            </w:pPr>
            <w:r>
              <w:rPr>
                <w:b/>
                <w:spacing w:val="0"/>
              </w:rPr>
              <w:br/>
              <w:t>asset</w:t>
              <w:br/>
              <w:t>(equipment)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Leasehold</w:t>
              <w:br/>
              <w:t>improvements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Office</w:t>
              <w:br/>
              <w:t>equipment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IT</w:t>
              <w:br/>
              <w:t>equipment</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0"/>
              <w:rPr>
                <w:spacing w:val="0"/>
              </w:rPr>
            </w:pPr>
            <w:r>
              <w:rPr>
                <w:spacing w:val="0"/>
              </w:rPr>
              <w:t> </w:t>
            </w:r>
          </w:p>
        </w:tc>
      </w:tr>
      <w:tr>
        <w:trPr/>
        <w:tc>
          <w:tcPr>
            <w:tcW w:w="195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Cost of valuation</w:t>
            </w:r>
          </w:p>
        </w:tc>
        <w:tc>
          <w:tcPr>
            <w:tcW w:w="120" w:type="dxa"/>
            <w:tcBorders/>
            <w:shd w:fill="CCEEFF" w:val="clear"/>
            <w:vAlign w:val="center"/>
          </w:tcPr>
          <w:p>
            <w:pPr>
              <w:pStyle w:val="TableContents"/>
              <w:spacing w:before="0" w:after="0"/>
              <w:rPr>
                <w:spacing w:val="0"/>
              </w:rPr>
            </w:pPr>
            <w:r>
              <w:rPr>
                <w:spacing w:val="0"/>
              </w:rPr>
              <w:t>  </w:t>
            </w:r>
          </w:p>
        </w:tc>
        <w:tc>
          <w:tcPr>
            <w:tcW w:w="109" w:type="dxa"/>
            <w:tcBorders/>
            <w:shd w:fill="CCEEFF" w:val="clear"/>
            <w:vAlign w:val="center"/>
          </w:tcPr>
          <w:p>
            <w:pPr>
              <w:pStyle w:val="TableContents"/>
              <w:spacing w:before="0" w:after="283"/>
              <w:rPr>
                <w:sz w:val="4"/>
                <w:szCs w:val="4"/>
              </w:rPr>
            </w:pPr>
            <w:r>
              <w:rPr>
                <w:sz w:val="4"/>
                <w:szCs w:val="4"/>
              </w:rPr>
            </w:r>
          </w:p>
        </w:tc>
        <w:tc>
          <w:tcPr>
            <w:tcW w:w="1156"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7" w:type="dxa"/>
            <w:tcBorders/>
            <w:shd w:fill="CCEEFF" w:val="clear"/>
            <w:vAlign w:val="center"/>
          </w:tcPr>
          <w:p>
            <w:pPr>
              <w:pStyle w:val="TableContents"/>
              <w:spacing w:before="0" w:after="283"/>
              <w:rPr>
                <w:sz w:val="4"/>
                <w:szCs w:val="4"/>
              </w:rPr>
            </w:pPr>
            <w:r>
              <w:rPr>
                <w:sz w:val="4"/>
                <w:szCs w:val="4"/>
              </w:rPr>
            </w:r>
          </w:p>
        </w:tc>
        <w:tc>
          <w:tcPr>
            <w:tcW w:w="111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70" w:type="dxa"/>
            <w:tcBorders/>
            <w:shd w:fill="CCEEFF" w:val="clear"/>
            <w:vAlign w:val="center"/>
          </w:tcPr>
          <w:p>
            <w:pPr>
              <w:pStyle w:val="TableContents"/>
              <w:spacing w:before="0" w:after="283"/>
              <w:rPr>
                <w:sz w:val="4"/>
                <w:szCs w:val="4"/>
              </w:rPr>
            </w:pPr>
            <w:r>
              <w:rPr>
                <w:sz w:val="4"/>
                <w:szCs w:val="4"/>
              </w:rPr>
            </w:r>
          </w:p>
        </w:tc>
        <w:tc>
          <w:tcPr>
            <w:tcW w:w="129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50" w:type="dxa"/>
            <w:tcBorders/>
            <w:shd w:fill="CCEEFF" w:val="clear"/>
            <w:vAlign w:val="center"/>
          </w:tcPr>
          <w:p>
            <w:pPr>
              <w:pStyle w:val="TableContents"/>
              <w:spacing w:before="0" w:after="283"/>
              <w:rPr>
                <w:sz w:val="4"/>
                <w:szCs w:val="4"/>
              </w:rPr>
            </w:pPr>
            <w:r>
              <w:rPr>
                <w:sz w:val="4"/>
                <w:szCs w:val="4"/>
              </w:rPr>
            </w:r>
          </w:p>
        </w:tc>
        <w:tc>
          <w:tcPr>
            <w:tcW w:w="95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28" w:type="dxa"/>
            <w:tcBorders/>
            <w:shd w:fill="CCEEFF" w:val="clear"/>
            <w:vAlign w:val="center"/>
          </w:tcPr>
          <w:p>
            <w:pPr>
              <w:pStyle w:val="TableContents"/>
              <w:spacing w:before="0" w:after="283"/>
              <w:rPr>
                <w:sz w:val="4"/>
                <w:szCs w:val="4"/>
              </w:rPr>
            </w:pPr>
            <w:r>
              <w:rPr>
                <w:sz w:val="4"/>
                <w:szCs w:val="4"/>
              </w:rPr>
            </w:r>
          </w:p>
        </w:tc>
        <w:tc>
          <w:tcPr>
            <w:tcW w:w="972"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63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195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2022</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2,903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rPr>
            </w:pPr>
            <w:r>
              <w:rPr>
                <w:spacing w:val="0"/>
              </w:rPr>
              <w:t> </w:t>
            </w:r>
          </w:p>
        </w:tc>
        <w:tc>
          <w:tcPr>
            <w:tcW w:w="1118" w:type="dxa"/>
            <w:tcBorders/>
            <w:shd w:fill="auto" w:val="clear"/>
            <w:vAlign w:val="center"/>
          </w:tcPr>
          <w:p>
            <w:pPr>
              <w:pStyle w:val="TableContents"/>
              <w:spacing w:before="0" w:after="0"/>
              <w:jc w:val="right"/>
              <w:rPr>
                <w:b/>
                <w:spacing w:val="0"/>
              </w:rPr>
            </w:pPr>
            <w:r>
              <w:rPr>
                <w:b/>
                <w:spacing w:val="0"/>
              </w:rPr>
              <w:t>295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rPr>
            </w:pPr>
            <w:r>
              <w:rPr>
                <w:spacing w:val="0"/>
              </w:rPr>
              <w:t> </w:t>
            </w:r>
          </w:p>
        </w:tc>
        <w:tc>
          <w:tcPr>
            <w:tcW w:w="1290" w:type="dxa"/>
            <w:tcBorders/>
            <w:shd w:fill="auto" w:val="clear"/>
            <w:vAlign w:val="center"/>
          </w:tcPr>
          <w:p>
            <w:pPr>
              <w:pStyle w:val="TableContents"/>
              <w:spacing w:before="0" w:after="0"/>
              <w:jc w:val="right"/>
              <w:rPr>
                <w:b/>
                <w:spacing w:val="0"/>
              </w:rPr>
            </w:pPr>
            <w:r>
              <w:rPr>
                <w:b/>
                <w:spacing w:val="0"/>
              </w:rPr>
              <w:t>557</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173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spacing w:val="0"/>
              </w:rPr>
            </w:pPr>
            <w:r>
              <w:rPr>
                <w:spacing w:val="0"/>
              </w:rPr>
              <w:t> </w:t>
            </w:r>
          </w:p>
        </w:tc>
        <w:tc>
          <w:tcPr>
            <w:tcW w:w="972" w:type="dxa"/>
            <w:tcBorders/>
            <w:shd w:fill="auto" w:val="clear"/>
            <w:vAlign w:val="center"/>
          </w:tcPr>
          <w:p>
            <w:pPr>
              <w:pStyle w:val="TableContents"/>
              <w:spacing w:before="0" w:after="0"/>
              <w:jc w:val="right"/>
              <w:rPr>
                <w:b/>
                <w:spacing w:val="0"/>
              </w:rPr>
            </w:pPr>
            <w:r>
              <w:rPr>
                <w:b/>
                <w:spacing w:val="0"/>
              </w:rPr>
              <w:t>180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4,108</w:t>
            </w:r>
          </w:p>
        </w:tc>
        <w:tc>
          <w:tcPr>
            <w:tcW w:w="170" w:type="dxa"/>
            <w:tcBorders/>
            <w:shd w:fill="auto" w:val="clear"/>
            <w:vAlign w:val="center"/>
          </w:tcPr>
          <w:p>
            <w:pPr>
              <w:pStyle w:val="TableContents"/>
              <w:spacing w:before="0" w:after="0"/>
              <w:rPr>
                <w:spacing w:val="0"/>
              </w:rPr>
            </w:pPr>
            <w:r>
              <w:rPr>
                <w:spacing w:val="0"/>
              </w:rPr>
              <w:t> </w:t>
            </w:r>
          </w:p>
        </w:tc>
      </w:tr>
      <w:tr>
        <w:trPr/>
        <w:tc>
          <w:tcPr>
            <w:tcW w:w="1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Additions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jc w:val="right"/>
              <w:rPr/>
            </w:pPr>
            <w:r>
              <w:rPr/>
              <w:t>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10</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Disposals</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(451</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jc w:val="right"/>
              <w:rPr/>
            </w:pPr>
            <w:r>
              <w:rPr/>
              <w:t>(300</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(16</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right"/>
              <w:rPr/>
            </w:pPr>
            <w:r>
              <w:rPr/>
              <w:t>(10</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(777</w:t>
            </w:r>
          </w:p>
        </w:tc>
        <w:tc>
          <w:tcPr>
            <w:tcW w:w="170" w:type="dxa"/>
            <w:tcBorders/>
            <w:shd w:fill="auto" w:val="clear"/>
            <w:vAlign w:val="center"/>
          </w:tcPr>
          <w:p>
            <w:pPr>
              <w:pStyle w:val="TableContents"/>
              <w:spacing w:before="0" w:after="283"/>
              <w:rPr/>
            </w:pPr>
            <w:r>
              <w:rPr/>
              <w:t>)</w:t>
            </w:r>
          </w:p>
        </w:tc>
      </w:tr>
      <w:tr>
        <w:trPr/>
        <w:tc>
          <w:tcPr>
            <w:tcW w:w="1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Currency translation effects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jc w:val="right"/>
              <w:rPr/>
            </w:pPr>
            <w:r>
              <w:rPr/>
              <w:t>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18</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single" w:sz="2" w:space="1" w:color="000000"/>
              </w:rPr>
            </w:pPr>
            <w:r>
              <w:rPr>
                <w:bdr w:val="single" w:sz="2" w:space="1" w:color="000000"/>
              </w:rPr>
              <w:t> </w:t>
            </w:r>
          </w:p>
        </w:tc>
        <w:tc>
          <w:tcPr>
            <w:tcW w:w="111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single" w:sz="2" w:space="1" w:color="000000"/>
              </w:rPr>
            </w:pPr>
            <w:r>
              <w:rPr>
                <w:bdr w:val="single" w:sz="2" w:space="1" w:color="000000"/>
              </w:rPr>
              <w:t> </w:t>
            </w:r>
          </w:p>
        </w:tc>
        <w:tc>
          <w:tcPr>
            <w:tcW w:w="9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2,465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rPr>
            </w:pPr>
            <w:r>
              <w:rPr>
                <w:spacing w:val="0"/>
              </w:rPr>
              <w:t> </w:t>
            </w:r>
          </w:p>
        </w:tc>
        <w:tc>
          <w:tcPr>
            <w:tcW w:w="1118"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rPr>
            </w:pPr>
            <w:r>
              <w:rPr>
                <w:spacing w:val="0"/>
              </w:rPr>
              <w:t> </w:t>
            </w:r>
          </w:p>
        </w:tc>
        <w:tc>
          <w:tcPr>
            <w:tcW w:w="1290" w:type="dxa"/>
            <w:tcBorders/>
            <w:shd w:fill="auto" w:val="clear"/>
            <w:vAlign w:val="center"/>
          </w:tcPr>
          <w:p>
            <w:pPr>
              <w:pStyle w:val="TableContents"/>
              <w:spacing w:before="0" w:after="0"/>
              <w:jc w:val="right"/>
              <w:rPr>
                <w:b/>
                <w:spacing w:val="0"/>
              </w:rPr>
            </w:pPr>
            <w:r>
              <w:rPr>
                <w:b/>
                <w:spacing w:val="0"/>
              </w:rPr>
              <w:t>557</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164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spacing w:val="0"/>
              </w:rPr>
            </w:pPr>
            <w:r>
              <w:rPr>
                <w:spacing w:val="0"/>
              </w:rPr>
              <w:t> </w:t>
            </w:r>
          </w:p>
        </w:tc>
        <w:tc>
          <w:tcPr>
            <w:tcW w:w="972" w:type="dxa"/>
            <w:tcBorders/>
            <w:shd w:fill="auto" w:val="clear"/>
            <w:vAlign w:val="center"/>
          </w:tcPr>
          <w:p>
            <w:pPr>
              <w:pStyle w:val="TableContents"/>
              <w:spacing w:before="0" w:after="0"/>
              <w:jc w:val="right"/>
              <w:rPr>
                <w:b/>
                <w:spacing w:val="0"/>
              </w:rPr>
            </w:pPr>
            <w:r>
              <w:rPr>
                <w:b/>
                <w:spacing w:val="0"/>
              </w:rPr>
              <w:t>173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3,359</w:t>
            </w:r>
          </w:p>
        </w:tc>
        <w:tc>
          <w:tcPr>
            <w:tcW w:w="170" w:type="dxa"/>
            <w:tcBorders/>
            <w:shd w:fill="auto" w:val="clear"/>
            <w:vAlign w:val="center"/>
          </w:tcPr>
          <w:p>
            <w:pPr>
              <w:pStyle w:val="TableContents"/>
              <w:spacing w:before="0" w:after="0"/>
              <w:rPr>
                <w:spacing w:val="0"/>
              </w:rPr>
            </w:pPr>
            <w:r>
              <w:rPr>
                <w:spacing w:val="0"/>
              </w:rPr>
              <w:t> </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double" w:sz="6" w:space="1" w:color="000000"/>
              </w:rPr>
            </w:pPr>
            <w:r>
              <w:rPr>
                <w:bdr w:val="double" w:sz="6" w:space="1" w:color="000000"/>
              </w:rPr>
              <w:t> </w:t>
            </w:r>
          </w:p>
        </w:tc>
        <w:tc>
          <w:tcPr>
            <w:tcW w:w="115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double" w:sz="6" w:space="1" w:color="000000"/>
              </w:rPr>
            </w:pPr>
            <w:r>
              <w:rPr>
                <w:bdr w:val="double" w:sz="6" w:space="1" w:color="000000"/>
              </w:rPr>
              <w:t> </w:t>
            </w:r>
          </w:p>
        </w:tc>
        <w:tc>
          <w:tcPr>
            <w:tcW w:w="1118"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29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95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double" w:sz="6" w:space="1" w:color="000000"/>
              </w:rPr>
            </w:pPr>
            <w:r>
              <w:rPr>
                <w:bdr w:val="double" w:sz="6" w:space="1" w:color="000000"/>
              </w:rPr>
              <w:t> </w:t>
            </w:r>
          </w:p>
        </w:tc>
        <w:tc>
          <w:tcPr>
            <w:tcW w:w="97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340" w:type="dxa"/>
            <w:gridSpan w:val="4"/>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Depreciation</w:t>
            </w:r>
          </w:p>
        </w:tc>
        <w:tc>
          <w:tcPr>
            <w:tcW w:w="155"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2022</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(1,025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rPr>
            </w:pPr>
            <w:r>
              <w:rPr>
                <w:spacing w:val="0"/>
              </w:rPr>
              <w:t> </w:t>
            </w:r>
          </w:p>
        </w:tc>
        <w:tc>
          <w:tcPr>
            <w:tcW w:w="1118" w:type="dxa"/>
            <w:tcBorders/>
            <w:shd w:fill="auto" w:val="clear"/>
            <w:vAlign w:val="center"/>
          </w:tcPr>
          <w:p>
            <w:pPr>
              <w:pStyle w:val="TableContents"/>
              <w:spacing w:before="0" w:after="0"/>
              <w:jc w:val="right"/>
              <w:rPr>
                <w:b/>
                <w:spacing w:val="0"/>
              </w:rPr>
            </w:pPr>
            <w:r>
              <w:rPr>
                <w:b/>
                <w:spacing w:val="0"/>
              </w:rPr>
              <w:t>(231</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rPr>
            </w:pPr>
            <w:r>
              <w:rPr>
                <w:spacing w:val="0"/>
              </w:rPr>
              <w:t> </w:t>
            </w:r>
          </w:p>
        </w:tc>
        <w:tc>
          <w:tcPr>
            <w:tcW w:w="1290" w:type="dxa"/>
            <w:tcBorders/>
            <w:shd w:fill="auto" w:val="clear"/>
            <w:vAlign w:val="center"/>
          </w:tcPr>
          <w:p>
            <w:pPr>
              <w:pStyle w:val="TableContents"/>
              <w:spacing w:before="0" w:after="0"/>
              <w:jc w:val="right"/>
              <w:rPr>
                <w:b/>
                <w:spacing w:val="0"/>
              </w:rPr>
            </w:pPr>
            <w:r>
              <w:rPr>
                <w:b/>
                <w:spacing w:val="0"/>
              </w:rPr>
              <w:t>(124</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(69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spacing w:val="0"/>
              </w:rPr>
            </w:pPr>
            <w:r>
              <w:rPr>
                <w:spacing w:val="0"/>
              </w:rPr>
              <w:t> </w:t>
            </w:r>
          </w:p>
        </w:tc>
        <w:tc>
          <w:tcPr>
            <w:tcW w:w="972" w:type="dxa"/>
            <w:tcBorders/>
            <w:shd w:fill="auto" w:val="clear"/>
            <w:vAlign w:val="center"/>
          </w:tcPr>
          <w:p>
            <w:pPr>
              <w:pStyle w:val="TableContents"/>
              <w:spacing w:before="0" w:after="0"/>
              <w:jc w:val="right"/>
              <w:rPr>
                <w:b/>
                <w:spacing w:val="0"/>
              </w:rPr>
            </w:pPr>
            <w:r>
              <w:rPr>
                <w:b/>
                <w:spacing w:val="0"/>
              </w:rPr>
              <w:t>(129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(1,578</w:t>
            </w:r>
          </w:p>
        </w:tc>
        <w:tc>
          <w:tcPr>
            <w:tcW w:w="170" w:type="dxa"/>
            <w:tcBorders/>
            <w:shd w:fill="auto" w:val="clear"/>
            <w:vAlign w:val="center"/>
          </w:tcPr>
          <w:p>
            <w:pPr>
              <w:pStyle w:val="TableContents"/>
              <w:spacing w:before="0" w:after="0"/>
              <w:rPr>
                <w:b/>
                <w:spacing w:val="0"/>
              </w:rPr>
            </w:pPr>
            <w:r>
              <w:rPr>
                <w:b/>
                <w:spacing w:val="0"/>
              </w:rPr>
              <w:t>) </w:t>
            </w:r>
          </w:p>
        </w:tc>
      </w:tr>
      <w:tr>
        <w:trPr/>
        <w:tc>
          <w:tcPr>
            <w:tcW w:w="1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Disposals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451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jc w:val="right"/>
              <w:rPr/>
            </w:pPr>
            <w:r>
              <w:rPr/>
              <w:t>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jc w:val="right"/>
              <w:rPr/>
            </w:pPr>
            <w:r>
              <w:rPr/>
              <w:t>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777</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Depreciation for the year</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(514</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jc w:val="right"/>
              <w:rPr/>
            </w:pPr>
            <w:r>
              <w:rPr/>
              <w:t>(69</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jc w:val="right"/>
              <w:rPr/>
            </w:pPr>
            <w:r>
              <w:rPr/>
              <w:t>(95</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(23</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right"/>
              <w:rPr/>
            </w:pPr>
            <w:r>
              <w:rPr/>
              <w:t>(26</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(727</w:t>
            </w:r>
          </w:p>
        </w:tc>
        <w:tc>
          <w:tcPr>
            <w:tcW w:w="170" w:type="dxa"/>
            <w:tcBorders/>
            <w:shd w:fill="auto" w:val="clear"/>
            <w:vAlign w:val="center"/>
          </w:tcPr>
          <w:p>
            <w:pPr>
              <w:pStyle w:val="TableContents"/>
              <w:spacing w:before="0" w:after="283"/>
              <w:rPr/>
            </w:pPr>
            <w:r>
              <w:rPr/>
              <w:t>)</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single" w:sz="2" w:space="1" w:color="000000"/>
              </w:rPr>
            </w:pPr>
            <w:r>
              <w:rPr>
                <w:bdr w:val="single" w:sz="2" w:space="1" w:color="000000"/>
              </w:rPr>
              <w:t> </w:t>
            </w:r>
          </w:p>
        </w:tc>
        <w:tc>
          <w:tcPr>
            <w:tcW w:w="111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single" w:sz="2" w:space="1" w:color="000000"/>
              </w:rPr>
            </w:pPr>
            <w:r>
              <w:rPr>
                <w:bdr w:val="single" w:sz="2" w:space="1" w:color="000000"/>
              </w:rPr>
              <w:t> </w:t>
            </w:r>
          </w:p>
        </w:tc>
        <w:tc>
          <w:tcPr>
            <w:tcW w:w="9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95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0"/>
              <w:rPr>
                <w:spacing w:val="0"/>
              </w:rPr>
            </w:pPr>
            <w:r>
              <w:rPr>
                <w:spacing w:val="0"/>
              </w:rPr>
              <w:t> </w:t>
            </w:r>
          </w:p>
        </w:tc>
        <w:tc>
          <w:tcPr>
            <w:tcW w:w="1156" w:type="dxa"/>
            <w:tcBorders/>
            <w:shd w:fill="CCEEFF" w:val="clear"/>
            <w:vAlign w:val="center"/>
          </w:tcPr>
          <w:p>
            <w:pPr>
              <w:pStyle w:val="TableContents"/>
              <w:spacing w:before="0" w:after="0"/>
              <w:jc w:val="right"/>
              <w:rPr>
                <w:b/>
                <w:spacing w:val="0"/>
              </w:rPr>
            </w:pPr>
            <w:r>
              <w:rPr>
                <w:b/>
                <w:spacing w:val="0"/>
              </w:rPr>
              <w:t>(1,088</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0"/>
              <w:rPr>
                <w:spacing w:val="0"/>
              </w:rPr>
            </w:pPr>
            <w:r>
              <w:rPr>
                <w:spacing w:val="0"/>
              </w:rPr>
              <w:t> </w:t>
            </w:r>
          </w:p>
        </w:tc>
        <w:tc>
          <w:tcPr>
            <w:tcW w:w="1118"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0"/>
              <w:rPr>
                <w:spacing w:val="0"/>
              </w:rPr>
            </w:pPr>
            <w:r>
              <w:rPr>
                <w:spacing w:val="0"/>
              </w:rPr>
              <w:t> </w:t>
            </w:r>
          </w:p>
        </w:tc>
        <w:tc>
          <w:tcPr>
            <w:tcW w:w="1290" w:type="dxa"/>
            <w:tcBorders/>
            <w:shd w:fill="CCEEFF" w:val="clear"/>
            <w:vAlign w:val="center"/>
          </w:tcPr>
          <w:p>
            <w:pPr>
              <w:pStyle w:val="TableContents"/>
              <w:spacing w:before="0" w:after="0"/>
              <w:jc w:val="right"/>
              <w:rPr>
                <w:b/>
                <w:spacing w:val="0"/>
              </w:rPr>
            </w:pPr>
            <w:r>
              <w:rPr>
                <w:b/>
                <w:spacing w:val="0"/>
              </w:rPr>
              <w:t>(219</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950" w:type="dxa"/>
            <w:tcBorders/>
            <w:shd w:fill="CCEEFF" w:val="clear"/>
            <w:vAlign w:val="center"/>
          </w:tcPr>
          <w:p>
            <w:pPr>
              <w:pStyle w:val="TableContents"/>
              <w:spacing w:before="0" w:after="0"/>
              <w:jc w:val="right"/>
              <w:rPr>
                <w:b/>
                <w:spacing w:val="0"/>
              </w:rPr>
            </w:pPr>
            <w:r>
              <w:rPr>
                <w:b/>
                <w:spacing w:val="0"/>
              </w:rPr>
              <w:t>(76</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0"/>
              <w:rPr>
                <w:spacing w:val="0"/>
              </w:rPr>
            </w:pPr>
            <w:r>
              <w:rPr>
                <w:spacing w:val="0"/>
              </w:rPr>
              <w:t> </w:t>
            </w:r>
          </w:p>
        </w:tc>
        <w:tc>
          <w:tcPr>
            <w:tcW w:w="972" w:type="dxa"/>
            <w:tcBorders/>
            <w:shd w:fill="CCEEFF" w:val="clear"/>
            <w:vAlign w:val="center"/>
          </w:tcPr>
          <w:p>
            <w:pPr>
              <w:pStyle w:val="TableContents"/>
              <w:spacing w:before="0" w:after="0"/>
              <w:jc w:val="right"/>
              <w:rPr>
                <w:b/>
                <w:spacing w:val="0"/>
              </w:rPr>
            </w:pPr>
            <w:r>
              <w:rPr>
                <w:b/>
                <w:spacing w:val="0"/>
              </w:rPr>
              <w:t>(145</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(1,528</w:t>
            </w:r>
          </w:p>
        </w:tc>
        <w:tc>
          <w:tcPr>
            <w:tcW w:w="170" w:type="dxa"/>
            <w:tcBorders/>
            <w:shd w:fill="CCEEFF" w:val="clear"/>
            <w:vAlign w:val="center"/>
          </w:tcPr>
          <w:p>
            <w:pPr>
              <w:pStyle w:val="TableContents"/>
              <w:spacing w:before="0" w:after="283"/>
              <w:rPr/>
            </w:pPr>
            <w:r>
              <w:rPr/>
              <w:t>)</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double" w:sz="6" w:space="1" w:color="000000"/>
              </w:rPr>
            </w:pPr>
            <w:r>
              <w:rPr>
                <w:bdr w:val="double" w:sz="6" w:space="1" w:color="000000"/>
              </w:rPr>
              <w:t> </w:t>
            </w:r>
          </w:p>
        </w:tc>
        <w:tc>
          <w:tcPr>
            <w:tcW w:w="115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double" w:sz="6" w:space="1" w:color="000000"/>
              </w:rPr>
            </w:pPr>
            <w:r>
              <w:rPr>
                <w:bdr w:val="double" w:sz="6" w:space="1" w:color="000000"/>
              </w:rPr>
              <w:t> </w:t>
            </w:r>
          </w:p>
        </w:tc>
        <w:tc>
          <w:tcPr>
            <w:tcW w:w="1118"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29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95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double" w:sz="6" w:space="1" w:color="000000"/>
              </w:rPr>
            </w:pPr>
            <w:r>
              <w:rPr>
                <w:bdr w:val="double" w:sz="6" w:space="1" w:color="000000"/>
              </w:rPr>
              <w:t> </w:t>
            </w:r>
          </w:p>
        </w:tc>
        <w:tc>
          <w:tcPr>
            <w:tcW w:w="97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book value</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195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At January 1, 2022</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1,878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jc w:val="right"/>
              <w:rPr/>
            </w:pPr>
            <w:r>
              <w:rPr/>
              <w:t>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jc w:val="right"/>
              <w:rPr/>
            </w:pPr>
            <w:r>
              <w:rPr/>
              <w:t>433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104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jc w:val="right"/>
              <w:rPr/>
            </w:pPr>
            <w:r>
              <w:rPr/>
              <w:t>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2,530</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single" w:sz="2" w:space="1" w:color="000000"/>
              </w:rPr>
            </w:pPr>
            <w:r>
              <w:rPr>
                <w:bdr w:val="single" w:sz="2" w:space="1" w:color="000000"/>
              </w:rPr>
              <w:t> </w:t>
            </w:r>
          </w:p>
        </w:tc>
        <w:tc>
          <w:tcPr>
            <w:tcW w:w="111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single" w:sz="2" w:space="1" w:color="000000"/>
              </w:rPr>
            </w:pPr>
            <w:r>
              <w:rPr>
                <w:bdr w:val="single" w:sz="2" w:space="1" w:color="000000"/>
              </w:rPr>
              <w:t> </w:t>
            </w:r>
          </w:p>
        </w:tc>
        <w:tc>
          <w:tcPr>
            <w:tcW w:w="9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1,377</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rPr>
            </w:pPr>
            <w:r>
              <w:rPr>
                <w:spacing w:val="0"/>
              </w:rPr>
              <w:t> </w:t>
            </w:r>
          </w:p>
        </w:tc>
        <w:tc>
          <w:tcPr>
            <w:tcW w:w="1118"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rPr>
            </w:pPr>
            <w:r>
              <w:rPr>
                <w:spacing w:val="0"/>
              </w:rPr>
              <w:t> </w:t>
            </w:r>
          </w:p>
        </w:tc>
        <w:tc>
          <w:tcPr>
            <w:tcW w:w="1290" w:type="dxa"/>
            <w:tcBorders/>
            <w:shd w:fill="auto" w:val="clear"/>
            <w:vAlign w:val="center"/>
          </w:tcPr>
          <w:p>
            <w:pPr>
              <w:pStyle w:val="TableContents"/>
              <w:spacing w:before="0" w:after="0"/>
              <w:jc w:val="right"/>
              <w:rPr>
                <w:b/>
                <w:spacing w:val="0"/>
              </w:rPr>
            </w:pPr>
            <w:r>
              <w:rPr>
                <w:b/>
                <w:spacing w:val="0"/>
              </w:rPr>
              <w:t>338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88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spacing w:val="0"/>
              </w:rPr>
            </w:pPr>
            <w:r>
              <w:rPr>
                <w:spacing w:val="0"/>
              </w:rPr>
              <w:t> </w:t>
            </w:r>
          </w:p>
        </w:tc>
        <w:tc>
          <w:tcPr>
            <w:tcW w:w="972" w:type="dxa"/>
            <w:tcBorders/>
            <w:shd w:fill="auto" w:val="clear"/>
            <w:vAlign w:val="center"/>
          </w:tcPr>
          <w:p>
            <w:pPr>
              <w:pStyle w:val="TableContents"/>
              <w:spacing w:before="0" w:after="0"/>
              <w:jc w:val="right"/>
              <w:rPr>
                <w:b/>
                <w:spacing w:val="0"/>
              </w:rPr>
            </w:pPr>
            <w:r>
              <w:rPr>
                <w:b/>
                <w:spacing w:val="0"/>
              </w:rPr>
              <w:t>28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1,831</w:t>
            </w:r>
          </w:p>
        </w:tc>
        <w:tc>
          <w:tcPr>
            <w:tcW w:w="170" w:type="dxa"/>
            <w:tcBorders/>
            <w:shd w:fill="auto" w:val="clear"/>
            <w:vAlign w:val="center"/>
          </w:tcPr>
          <w:p>
            <w:pPr>
              <w:pStyle w:val="TableContents"/>
              <w:spacing w:before="0" w:after="0"/>
              <w:rPr>
                <w:spacing w:val="0"/>
              </w:rPr>
            </w:pPr>
            <w:r>
              <w:rPr>
                <w:spacing w:val="0"/>
              </w:rPr>
              <w:t> </w:t>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bdr w:val="double" w:sz="6" w:space="1" w:color="000000"/>
              </w:rPr>
            </w:pPr>
            <w:r>
              <w:rPr>
                <w:bdr w:val="double" w:sz="6" w:space="1" w:color="000000"/>
              </w:rPr>
              <w:t> </w:t>
            </w:r>
          </w:p>
        </w:tc>
        <w:tc>
          <w:tcPr>
            <w:tcW w:w="115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dr w:val="double" w:sz="6" w:space="1" w:color="000000"/>
              </w:rPr>
            </w:pPr>
            <w:r>
              <w:rPr>
                <w:bdr w:val="double" w:sz="6" w:space="1" w:color="000000"/>
              </w:rPr>
              <w:t> </w:t>
            </w:r>
          </w:p>
        </w:tc>
        <w:tc>
          <w:tcPr>
            <w:tcW w:w="1118"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29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95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0"/>
              <w:rPr>
                <w:bdr w:val="double" w:sz="6" w:space="1" w:color="000000"/>
              </w:rPr>
            </w:pPr>
            <w:r>
              <w:rPr>
                <w:bdr w:val="double" w:sz="6" w:space="1" w:color="000000"/>
              </w:rPr>
              <w:t> </w:t>
            </w:r>
          </w:p>
        </w:tc>
        <w:tc>
          <w:tcPr>
            <w:tcW w:w="97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100"/>
        <w:gridCol w:w="120"/>
        <w:gridCol w:w="122"/>
        <w:gridCol w:w="1143"/>
        <w:gridCol w:w="155"/>
        <w:gridCol w:w="60"/>
        <w:gridCol w:w="122"/>
        <w:gridCol w:w="1143"/>
        <w:gridCol w:w="155"/>
        <w:gridCol w:w="60"/>
        <w:gridCol w:w="199"/>
        <w:gridCol w:w="1261"/>
        <w:gridCol w:w="60"/>
        <w:gridCol w:w="120"/>
        <w:gridCol w:w="150"/>
        <w:gridCol w:w="950"/>
        <w:gridCol w:w="155"/>
        <w:gridCol w:w="60"/>
        <w:gridCol w:w="150"/>
        <w:gridCol w:w="950"/>
        <w:gridCol w:w="60"/>
        <w:gridCol w:w="120"/>
        <w:gridCol w:w="60"/>
        <w:gridCol w:w="560"/>
        <w:gridCol w:w="170"/>
      </w:tblGrid>
      <w:tr>
        <w:trPr/>
        <w:tc>
          <w:tcPr>
            <w:tcW w:w="2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1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Right-of-use</w:t>
            </w:r>
          </w:p>
          <w:p>
            <w:pPr>
              <w:pStyle w:val="TableContents"/>
              <w:spacing w:before="0" w:after="0"/>
              <w:jc w:val="center"/>
              <w:rPr>
                <w:b/>
                <w:spacing w:val="0"/>
              </w:rPr>
            </w:pPr>
            <w:r>
              <w:rPr>
                <w:b/>
                <w:spacing w:val="0"/>
              </w:rPr>
              <w:br/>
              <w:t>asset</w:t>
              <w:br/>
              <w:t>(buildings)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Right-of-use</w:t>
            </w:r>
          </w:p>
          <w:p>
            <w:pPr>
              <w:pStyle w:val="TableContents"/>
              <w:spacing w:before="0" w:after="0"/>
              <w:jc w:val="center"/>
              <w:rPr>
                <w:b/>
                <w:spacing w:val="0"/>
              </w:rPr>
            </w:pPr>
            <w:r>
              <w:rPr>
                <w:b/>
                <w:spacing w:val="0"/>
              </w:rPr>
              <w:br/>
              <w:t>asset</w:t>
              <w:br/>
              <w:t>(equipment)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Leasehold</w:t>
              <w:br/>
              <w:t>improvements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Office</w:t>
              <w:br/>
              <w:t>equipment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IT</w:t>
              <w:br/>
              <w:t>equipment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21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Cost of valuation</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10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2021</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spacing w:val="0"/>
              </w:rPr>
            </w:pPr>
            <w:r>
              <w:rPr>
                <w:spacing w:val="0"/>
              </w:rPr>
              <w:t> </w:t>
            </w:r>
          </w:p>
        </w:tc>
        <w:tc>
          <w:tcPr>
            <w:tcW w:w="1143" w:type="dxa"/>
            <w:tcBorders/>
            <w:shd w:fill="auto" w:val="clear"/>
            <w:vAlign w:val="center"/>
          </w:tcPr>
          <w:p>
            <w:pPr>
              <w:pStyle w:val="TableContents"/>
              <w:spacing w:before="0" w:after="0"/>
              <w:jc w:val="right"/>
              <w:rPr>
                <w:b/>
                <w:spacing w:val="0"/>
              </w:rPr>
            </w:pPr>
            <w:r>
              <w:rPr>
                <w:b/>
                <w:spacing w:val="0"/>
              </w:rPr>
              <w:t>1,848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spacing w:val="0"/>
              </w:rPr>
            </w:pPr>
            <w:r>
              <w:rPr>
                <w:spacing w:val="0"/>
              </w:rPr>
              <w:t> </w:t>
            </w:r>
          </w:p>
        </w:tc>
        <w:tc>
          <w:tcPr>
            <w:tcW w:w="1143" w:type="dxa"/>
            <w:tcBorders/>
            <w:shd w:fill="auto" w:val="clear"/>
            <w:vAlign w:val="center"/>
          </w:tcPr>
          <w:p>
            <w:pPr>
              <w:pStyle w:val="TableContents"/>
              <w:spacing w:before="0" w:after="0"/>
              <w:jc w:val="right"/>
              <w:rPr>
                <w:b/>
                <w:spacing w:val="0"/>
              </w:rPr>
            </w:pPr>
            <w:r>
              <w:rPr>
                <w:b/>
                <w:spacing w:val="0"/>
              </w:rPr>
              <w:t>1,169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rPr>
            </w:pPr>
            <w:r>
              <w:rPr>
                <w:spacing w:val="0"/>
              </w:rPr>
              <w:t> </w:t>
            </w:r>
          </w:p>
        </w:tc>
        <w:tc>
          <w:tcPr>
            <w:tcW w:w="1261" w:type="dxa"/>
            <w:tcBorders/>
            <w:shd w:fill="auto" w:val="clear"/>
            <w:vAlign w:val="center"/>
          </w:tcPr>
          <w:p>
            <w:pPr>
              <w:pStyle w:val="TableContents"/>
              <w:spacing w:before="0" w:after="0"/>
              <w:jc w:val="right"/>
              <w:rPr>
                <w:b/>
                <w:spacing w:val="0"/>
              </w:rPr>
            </w:pPr>
            <w:r>
              <w:rPr>
                <w:b/>
                <w:spacing w:val="0"/>
              </w:rPr>
              <w:t>164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71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132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b/>
                <w:spacing w:val="0"/>
              </w:rPr>
            </w:pPr>
            <w:r>
              <w:rPr>
                <w:b/>
                <w:spacing w:val="0"/>
              </w:rPr>
              <w:t>3,384</w:t>
            </w:r>
          </w:p>
        </w:tc>
        <w:tc>
          <w:tcPr>
            <w:tcW w:w="170" w:type="dxa"/>
            <w:tcBorders/>
            <w:shd w:fill="auto" w:val="clear"/>
            <w:vAlign w:val="center"/>
          </w:tcPr>
          <w:p>
            <w:pPr>
              <w:pStyle w:val="TableContents"/>
              <w:spacing w:before="0" w:after="0"/>
              <w:rPr>
                <w:spacing w:val="0"/>
              </w:rPr>
            </w:pPr>
            <w:r>
              <w:rPr>
                <w:spacing w:val="0"/>
              </w:rPr>
              <w:t> </w:t>
            </w:r>
          </w:p>
        </w:tc>
      </w:tr>
      <w:tr>
        <w:trPr/>
        <w:tc>
          <w:tcPr>
            <w:tcW w:w="21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Additions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jc w:val="right"/>
              <w:rPr/>
            </w:pPr>
            <w:r>
              <w:rPr/>
              <w:t>923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393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109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1,473</w:t>
            </w:r>
          </w:p>
        </w:tc>
        <w:tc>
          <w:tcPr>
            <w:tcW w:w="170" w:type="dxa"/>
            <w:tcBorders/>
            <w:shd w:fill="CCEEFF" w:val="clear"/>
            <w:vAlign w:val="center"/>
          </w:tcPr>
          <w:p>
            <w:pPr>
              <w:pStyle w:val="TableContents"/>
              <w:spacing w:before="0" w:after="283"/>
              <w:rPr/>
            </w:pPr>
            <w:r>
              <w:rPr/>
              <w:t> </w:t>
            </w:r>
          </w:p>
        </w:tc>
      </w:tr>
      <w:tr>
        <w:trPr/>
        <w:tc>
          <w:tcPr>
            <w:tcW w:w="21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Lease modification</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43" w:type="dxa"/>
            <w:tcBorders/>
            <w:shd w:fill="auto" w:val="clear"/>
            <w:vAlign w:val="center"/>
          </w:tcPr>
          <w:p>
            <w:pPr>
              <w:pStyle w:val="TableContents"/>
              <w:spacing w:before="0" w:after="283"/>
              <w:jc w:val="right"/>
              <w:rPr/>
            </w:pPr>
            <w:r>
              <w:rPr/>
              <w:t>133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43" w:type="dxa"/>
            <w:tcBorders/>
            <w:shd w:fill="auto" w:val="clear"/>
            <w:vAlign w:val="center"/>
          </w:tcPr>
          <w:p>
            <w:pPr>
              <w:pStyle w:val="TableContents"/>
              <w:spacing w:before="0" w:after="283"/>
              <w:jc w:val="right"/>
              <w:rPr/>
            </w:pPr>
            <w:r>
              <w:rPr/>
              <w:t>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163</w:t>
            </w:r>
          </w:p>
        </w:tc>
        <w:tc>
          <w:tcPr>
            <w:tcW w:w="170" w:type="dxa"/>
            <w:tcBorders/>
            <w:shd w:fill="auto" w:val="clear"/>
            <w:vAlign w:val="center"/>
          </w:tcPr>
          <w:p>
            <w:pPr>
              <w:pStyle w:val="TableContents"/>
              <w:spacing w:before="0" w:after="283"/>
              <w:rPr/>
            </w:pPr>
            <w:r>
              <w:rPr/>
              <w:t> </w:t>
            </w:r>
          </w:p>
        </w:tc>
      </w:tr>
      <w:tr>
        <w:trPr/>
        <w:tc>
          <w:tcPr>
            <w:tcW w:w="21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Disposals</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43" w:type="dxa"/>
            <w:tcBorders/>
            <w:shd w:fill="CCEEFF" w:val="clear"/>
            <w:vAlign w:val="center"/>
          </w:tcPr>
          <w:p>
            <w:pPr>
              <w:pStyle w:val="TableContents"/>
              <w:spacing w:before="0" w:after="283"/>
              <w:jc w:val="right"/>
              <w:rPr/>
            </w:pPr>
            <w:r>
              <w:rPr/>
              <w:t>(868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(875</w:t>
            </w:r>
          </w:p>
        </w:tc>
        <w:tc>
          <w:tcPr>
            <w:tcW w:w="170" w:type="dxa"/>
            <w:tcBorders/>
            <w:shd w:fill="CCEEFF" w:val="clear"/>
            <w:vAlign w:val="center"/>
          </w:tcPr>
          <w:p>
            <w:pPr>
              <w:pStyle w:val="TableContents"/>
              <w:spacing w:before="0" w:after="283"/>
              <w:rPr/>
            </w:pPr>
            <w:r>
              <w:rPr/>
              <w:t>) </w:t>
            </w:r>
          </w:p>
        </w:tc>
      </w:tr>
      <w:tr>
        <w:trPr/>
        <w:tc>
          <w:tcPr>
            <w:tcW w:w="21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Currency translation effects</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43"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43" w:type="dxa"/>
            <w:tcBorders/>
            <w:shd w:fill="auto" w:val="clear"/>
            <w:vAlign w:val="center"/>
          </w:tcPr>
          <w:p>
            <w:pPr>
              <w:pStyle w:val="TableContents"/>
              <w:spacing w:before="0" w:after="283"/>
              <w:jc w:val="right"/>
              <w:rPr/>
            </w:pPr>
            <w:r>
              <w:rPr/>
              <w:t>(36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(37</w:t>
            </w:r>
          </w:p>
        </w:tc>
        <w:tc>
          <w:tcPr>
            <w:tcW w:w="170" w:type="dxa"/>
            <w:tcBorders/>
            <w:shd w:fill="auto" w:val="clear"/>
            <w:vAlign w:val="center"/>
          </w:tcPr>
          <w:p>
            <w:pPr>
              <w:pStyle w:val="TableContents"/>
              <w:spacing w:before="0" w:after="283"/>
              <w:rPr/>
            </w:pPr>
            <w:r>
              <w:rPr/>
              <w:t>) </w:t>
            </w:r>
          </w:p>
        </w:tc>
      </w:tr>
      <w:tr>
        <w:trPr/>
        <w:tc>
          <w:tcPr>
            <w:tcW w:w="21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bdr w:val="single" w:sz="2" w:space="1" w:color="000000"/>
              </w:rPr>
            </w:pPr>
            <w:r>
              <w:rPr>
                <w:bdr w:val="single" w:sz="2" w:space="1" w:color="000000"/>
              </w:rPr>
              <w:t> </w:t>
            </w:r>
          </w:p>
        </w:tc>
        <w:tc>
          <w:tcPr>
            <w:tcW w:w="114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bdr w:val="single" w:sz="2" w:space="1" w:color="000000"/>
              </w:rPr>
            </w:pPr>
            <w:r>
              <w:rPr>
                <w:bdr w:val="single" w:sz="2" w:space="1" w:color="000000"/>
              </w:rPr>
              <w:t> </w:t>
            </w:r>
          </w:p>
        </w:tc>
        <w:tc>
          <w:tcPr>
            <w:tcW w:w="114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10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0"/>
              <w:rPr>
                <w:spacing w:val="0"/>
              </w:rPr>
            </w:pPr>
            <w:r>
              <w:rPr>
                <w:spacing w:val="0"/>
              </w:rPr>
              <w:t> </w:t>
            </w:r>
          </w:p>
        </w:tc>
        <w:tc>
          <w:tcPr>
            <w:tcW w:w="1143" w:type="dxa"/>
            <w:tcBorders/>
            <w:shd w:fill="CCEEFF" w:val="clear"/>
            <w:vAlign w:val="center"/>
          </w:tcPr>
          <w:p>
            <w:pPr>
              <w:pStyle w:val="TableContents"/>
              <w:spacing w:before="0" w:after="0"/>
              <w:jc w:val="right"/>
              <w:rPr>
                <w:b/>
                <w:spacing w:val="0"/>
              </w:rPr>
            </w:pPr>
            <w:r>
              <w:rPr>
                <w:b/>
                <w:spacing w:val="0"/>
              </w:rPr>
              <w:t>2,903</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0"/>
              <w:rPr>
                <w:spacing w:val="0"/>
              </w:rPr>
            </w:pPr>
            <w:r>
              <w:rPr>
                <w:spacing w:val="0"/>
              </w:rPr>
              <w:t> </w:t>
            </w:r>
          </w:p>
        </w:tc>
        <w:tc>
          <w:tcPr>
            <w:tcW w:w="1143" w:type="dxa"/>
            <w:tcBorders/>
            <w:shd w:fill="CCEEFF" w:val="clear"/>
            <w:vAlign w:val="center"/>
          </w:tcPr>
          <w:p>
            <w:pPr>
              <w:pStyle w:val="TableContents"/>
              <w:spacing w:before="0" w:after="0"/>
              <w:jc w:val="right"/>
              <w:rPr>
                <w:b/>
                <w:spacing w:val="0"/>
              </w:rPr>
            </w:pPr>
            <w:r>
              <w:rPr>
                <w:b/>
                <w:spacing w:val="0"/>
              </w:rPr>
              <w:t>295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0"/>
              <w:rPr>
                <w:spacing w:val="0"/>
              </w:rPr>
            </w:pPr>
            <w:r>
              <w:rPr>
                <w:spacing w:val="0"/>
              </w:rPr>
              <w:t> </w:t>
            </w:r>
          </w:p>
        </w:tc>
        <w:tc>
          <w:tcPr>
            <w:tcW w:w="1261" w:type="dxa"/>
            <w:tcBorders/>
            <w:shd w:fill="CCEEFF" w:val="clear"/>
            <w:vAlign w:val="center"/>
          </w:tcPr>
          <w:p>
            <w:pPr>
              <w:pStyle w:val="TableContents"/>
              <w:spacing w:before="0" w:after="0"/>
              <w:jc w:val="right"/>
              <w:rPr>
                <w:b/>
                <w:spacing w:val="0"/>
              </w:rPr>
            </w:pPr>
            <w:r>
              <w:rPr>
                <w:b/>
                <w:spacing w:val="0"/>
              </w:rPr>
              <w:t>557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950" w:type="dxa"/>
            <w:tcBorders/>
            <w:shd w:fill="CCEEFF" w:val="clear"/>
            <w:vAlign w:val="center"/>
          </w:tcPr>
          <w:p>
            <w:pPr>
              <w:pStyle w:val="TableContents"/>
              <w:spacing w:before="0" w:after="0"/>
              <w:jc w:val="right"/>
              <w:rPr>
                <w:b/>
                <w:spacing w:val="0"/>
              </w:rPr>
            </w:pPr>
            <w:r>
              <w:rPr>
                <w:b/>
                <w:spacing w:val="0"/>
              </w:rPr>
              <w:t>173</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950" w:type="dxa"/>
            <w:tcBorders/>
            <w:shd w:fill="CCEEFF" w:val="clear"/>
            <w:vAlign w:val="center"/>
          </w:tcPr>
          <w:p>
            <w:pPr>
              <w:pStyle w:val="TableContents"/>
              <w:spacing w:before="0" w:after="0"/>
              <w:jc w:val="right"/>
              <w:rPr>
                <w:b/>
                <w:spacing w:val="0"/>
              </w:rPr>
            </w:pPr>
            <w:r>
              <w:rPr>
                <w:b/>
                <w:spacing w:val="0"/>
              </w:rPr>
              <w:t>180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b/>
                <w:spacing w:val="0"/>
              </w:rPr>
            </w:pPr>
            <w:r>
              <w:rPr>
                <w:b/>
                <w:spacing w:val="0"/>
              </w:rPr>
              <w:t>4,108</w:t>
            </w:r>
          </w:p>
        </w:tc>
        <w:tc>
          <w:tcPr>
            <w:tcW w:w="170" w:type="dxa"/>
            <w:tcBorders/>
            <w:shd w:fill="CCEEFF" w:val="clear"/>
            <w:vAlign w:val="center"/>
          </w:tcPr>
          <w:p>
            <w:pPr>
              <w:pStyle w:val="TableContents"/>
              <w:spacing w:before="0" w:after="0"/>
              <w:rPr>
                <w:spacing w:val="0"/>
              </w:rPr>
            </w:pPr>
            <w:r>
              <w:rPr>
                <w:spacing w:val="0"/>
              </w:rPr>
              <w:t> </w:t>
            </w:r>
          </w:p>
        </w:tc>
      </w:tr>
      <w:tr>
        <w:trPr/>
        <w:tc>
          <w:tcPr>
            <w:tcW w:w="21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bdr w:val="double" w:sz="6" w:space="1" w:color="000000"/>
              </w:rPr>
            </w:pPr>
            <w:r>
              <w:rPr>
                <w:bdr w:val="double" w:sz="6" w:space="1" w:color="000000"/>
              </w:rPr>
              <w:t> </w:t>
            </w:r>
          </w:p>
        </w:tc>
        <w:tc>
          <w:tcPr>
            <w:tcW w:w="1143"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0"/>
              <w:rPr>
                <w:bdr w:val="double" w:sz="6" w:space="1" w:color="000000"/>
              </w:rPr>
            </w:pPr>
            <w:r>
              <w:rPr>
                <w:bdr w:val="double" w:sz="6" w:space="1" w:color="000000"/>
              </w:rPr>
              <w:t> </w:t>
            </w:r>
          </w:p>
        </w:tc>
        <w:tc>
          <w:tcPr>
            <w:tcW w:w="1143"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bdr w:val="double" w:sz="6" w:space="1" w:color="000000"/>
              </w:rPr>
            </w:pPr>
            <w:r>
              <w:rPr>
                <w:bdr w:val="double" w:sz="6" w:space="1" w:color="000000"/>
              </w:rPr>
              <w:t> </w:t>
            </w:r>
          </w:p>
        </w:tc>
        <w:tc>
          <w:tcPr>
            <w:tcW w:w="126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95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95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tbl>
      <w:tblPr>
        <w:tblW w:w="7310" w:type="dxa"/>
        <w:jc w:val="left"/>
        <w:tblInd w:w="0" w:type="dxa"/>
        <w:tblCellMar>
          <w:top w:w="0" w:type="dxa"/>
          <w:left w:w="0" w:type="dxa"/>
          <w:bottom w:w="0" w:type="dxa"/>
          <w:right w:w="0" w:type="dxa"/>
        </w:tblCellMar>
      </w:tblPr>
      <w:tblGrid>
        <w:gridCol w:w="2390"/>
        <w:gridCol w:w="120"/>
        <w:gridCol w:w="60"/>
        <w:gridCol w:w="635"/>
        <w:gridCol w:w="155"/>
        <w:gridCol w:w="60"/>
        <w:gridCol w:w="60"/>
        <w:gridCol w:w="635"/>
        <w:gridCol w:w="155"/>
        <w:gridCol w:w="60"/>
        <w:gridCol w:w="60"/>
        <w:gridCol w:w="455"/>
        <w:gridCol w:w="155"/>
        <w:gridCol w:w="60"/>
        <w:gridCol w:w="60"/>
        <w:gridCol w:w="380"/>
        <w:gridCol w:w="155"/>
        <w:gridCol w:w="60"/>
        <w:gridCol w:w="60"/>
        <w:gridCol w:w="455"/>
        <w:gridCol w:w="155"/>
        <w:gridCol w:w="60"/>
        <w:gridCol w:w="60"/>
        <w:gridCol w:w="635"/>
        <w:gridCol w:w="170"/>
      </w:tblGrid>
      <w:tr>
        <w:trPr/>
        <w:tc>
          <w:tcPr>
            <w:tcW w:w="2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3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Depreciation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(531</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(1,023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455" w:type="dxa"/>
            <w:tcBorders/>
            <w:shd w:fill="auto" w:val="clear"/>
            <w:vAlign w:val="center"/>
          </w:tcPr>
          <w:p>
            <w:pPr>
              <w:pStyle w:val="TableContents"/>
              <w:spacing w:before="0" w:after="0"/>
              <w:jc w:val="right"/>
              <w:rPr>
                <w:b/>
                <w:spacing w:val="0"/>
              </w:rPr>
            </w:pPr>
            <w:r>
              <w:rPr>
                <w:b/>
                <w:spacing w:val="0"/>
              </w:rPr>
              <w:t>(85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80" w:type="dxa"/>
            <w:tcBorders/>
            <w:shd w:fill="auto" w:val="clear"/>
            <w:vAlign w:val="center"/>
          </w:tcPr>
          <w:p>
            <w:pPr>
              <w:pStyle w:val="TableContents"/>
              <w:spacing w:before="0" w:after="0"/>
              <w:jc w:val="right"/>
              <w:rPr>
                <w:b/>
                <w:spacing w:val="0"/>
              </w:rPr>
            </w:pPr>
            <w:r>
              <w:rPr>
                <w:b/>
                <w:spacing w:val="0"/>
              </w:rPr>
              <w:t>(65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455" w:type="dxa"/>
            <w:tcBorders/>
            <w:shd w:fill="auto" w:val="clear"/>
            <w:vAlign w:val="center"/>
          </w:tcPr>
          <w:p>
            <w:pPr>
              <w:pStyle w:val="TableContents"/>
              <w:spacing w:before="0" w:after="0"/>
              <w:jc w:val="right"/>
              <w:rPr>
                <w:b/>
                <w:spacing w:val="0"/>
              </w:rPr>
            </w:pPr>
            <w:r>
              <w:rPr>
                <w:b/>
                <w:spacing w:val="0"/>
              </w:rPr>
              <w:t>(107</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(1,811</w:t>
            </w:r>
          </w:p>
        </w:tc>
        <w:tc>
          <w:tcPr>
            <w:tcW w:w="170" w:type="dxa"/>
            <w:tcBorders/>
            <w:shd w:fill="auto" w:val="clear"/>
            <w:vAlign w:val="center"/>
          </w:tcPr>
          <w:p>
            <w:pPr>
              <w:pStyle w:val="TableContents"/>
              <w:spacing w:before="0" w:after="0"/>
              <w:rPr>
                <w:b/>
                <w:spacing w:val="0"/>
              </w:rPr>
            </w:pPr>
            <w:r>
              <w:rPr>
                <w:b/>
                <w:spacing w:val="0"/>
              </w:rPr>
              <w:t>) </w:t>
            </w:r>
          </w:p>
        </w:tc>
      </w:tr>
      <w:tr>
        <w:trPr/>
        <w:tc>
          <w:tcPr>
            <w:tcW w:w="23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Disposals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868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874</w:t>
            </w:r>
          </w:p>
        </w:tc>
        <w:tc>
          <w:tcPr>
            <w:tcW w:w="170" w:type="dxa"/>
            <w:tcBorders/>
            <w:shd w:fill="CCEEFF"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Depreciation for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(642</w:t>
            </w:r>
          </w:p>
        </w:tc>
        <w:tc>
          <w:tcPr>
            <w:tcW w:w="170"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4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3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4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(1,025</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(231</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455" w:type="dxa"/>
            <w:tcBorders/>
            <w:shd w:fill="CCEEFF" w:val="clear"/>
            <w:vAlign w:val="center"/>
          </w:tcPr>
          <w:p>
            <w:pPr>
              <w:pStyle w:val="TableContents"/>
              <w:spacing w:before="0" w:after="0"/>
              <w:jc w:val="right"/>
              <w:rPr>
                <w:b/>
                <w:spacing w:val="0"/>
              </w:rPr>
            </w:pPr>
            <w:r>
              <w:rPr>
                <w:b/>
                <w:spacing w:val="0"/>
              </w:rPr>
              <w:t>(124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380" w:type="dxa"/>
            <w:tcBorders/>
            <w:shd w:fill="CCEEFF" w:val="clear"/>
            <w:vAlign w:val="center"/>
          </w:tcPr>
          <w:p>
            <w:pPr>
              <w:pStyle w:val="TableContents"/>
              <w:spacing w:before="0" w:after="0"/>
              <w:jc w:val="right"/>
              <w:rPr>
                <w:b/>
                <w:spacing w:val="0"/>
              </w:rPr>
            </w:pPr>
            <w:r>
              <w:rPr>
                <w:b/>
                <w:spacing w:val="0"/>
              </w:rPr>
              <w:t>(69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455" w:type="dxa"/>
            <w:tcBorders/>
            <w:shd w:fill="CCEEFF" w:val="clear"/>
            <w:vAlign w:val="center"/>
          </w:tcPr>
          <w:p>
            <w:pPr>
              <w:pStyle w:val="TableContents"/>
              <w:spacing w:before="0" w:after="0"/>
              <w:jc w:val="right"/>
              <w:rPr>
                <w:b/>
                <w:spacing w:val="0"/>
              </w:rPr>
            </w:pPr>
            <w:r>
              <w:rPr>
                <w:b/>
                <w:spacing w:val="0"/>
              </w:rPr>
              <w:t>(129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(1,578</w:t>
            </w:r>
          </w:p>
        </w:tc>
        <w:tc>
          <w:tcPr>
            <w:tcW w:w="170" w:type="dxa"/>
            <w:tcBorders/>
            <w:shd w:fill="CCEEFF" w:val="clear"/>
            <w:vAlign w:val="center"/>
          </w:tcPr>
          <w:p>
            <w:pPr>
              <w:pStyle w:val="TableContents"/>
              <w:spacing w:before="0" w:after="0"/>
              <w:rPr>
                <w:b/>
                <w:spacing w:val="0"/>
              </w:rPr>
            </w:pPr>
            <w:r>
              <w:rPr>
                <w:b/>
                <w:spacing w:val="0"/>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4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3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4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book value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At January 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1,573</w:t>
            </w:r>
          </w:p>
        </w:tc>
        <w:tc>
          <w:tcPr>
            <w:tcW w:w="170" w:type="dxa"/>
            <w:tcBorders/>
            <w:shd w:fill="CCEEFF"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4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3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4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1,878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64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455" w:type="dxa"/>
            <w:tcBorders/>
            <w:shd w:fill="auto" w:val="clear"/>
            <w:vAlign w:val="center"/>
          </w:tcPr>
          <w:p>
            <w:pPr>
              <w:pStyle w:val="TableContents"/>
              <w:spacing w:before="0" w:after="0"/>
              <w:jc w:val="right"/>
              <w:rPr>
                <w:b/>
                <w:spacing w:val="0"/>
              </w:rPr>
            </w:pPr>
            <w:r>
              <w:rPr>
                <w:b/>
                <w:spacing w:val="0"/>
              </w:rPr>
              <w:t>433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80" w:type="dxa"/>
            <w:tcBorders/>
            <w:shd w:fill="auto" w:val="clear"/>
            <w:vAlign w:val="center"/>
          </w:tcPr>
          <w:p>
            <w:pPr>
              <w:pStyle w:val="TableContents"/>
              <w:spacing w:before="0" w:after="0"/>
              <w:jc w:val="right"/>
              <w:rPr>
                <w:b/>
                <w:spacing w:val="0"/>
              </w:rPr>
            </w:pPr>
            <w:r>
              <w:rPr>
                <w:b/>
                <w:spacing w:val="0"/>
              </w:rPr>
              <w:t>104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455" w:type="dxa"/>
            <w:tcBorders/>
            <w:shd w:fill="auto" w:val="clear"/>
            <w:vAlign w:val="center"/>
          </w:tcPr>
          <w:p>
            <w:pPr>
              <w:pStyle w:val="TableContents"/>
              <w:spacing w:before="0" w:after="0"/>
              <w:jc w:val="right"/>
              <w:rPr>
                <w:b/>
                <w:spacing w:val="0"/>
              </w:rPr>
            </w:pPr>
            <w:r>
              <w:rPr>
                <w:b/>
                <w:spacing w:val="0"/>
              </w:rPr>
              <w:t>51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2,530</w:t>
            </w:r>
          </w:p>
        </w:tc>
        <w:tc>
          <w:tcPr>
            <w:tcW w:w="170" w:type="dxa"/>
            <w:tcBorders/>
            <w:shd w:fill="auto" w:val="clear"/>
            <w:vAlign w:val="center"/>
          </w:tcPr>
          <w:p>
            <w:pPr>
              <w:pStyle w:val="TableContents"/>
              <w:spacing w:before="0" w:after="0"/>
              <w:rPr>
                <w:spacing w:val="0"/>
              </w:rPr>
            </w:pPr>
            <w:r>
              <w:rPr>
                <w:spacing w:val="0"/>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4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3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4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 August 2022, the Company’s lease for office space in Redwood City, California expired, and certain equipment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was </w:t>
      </w:r>
    </w:p>
    <w:p>
      <w:pPr>
        <w:pStyle w:val="TextBody"/>
        <w:spacing w:before="240" w:after="0"/>
        <w:jc w:val="left"/>
        <w:rPr>
          <w:rFonts w:ascii="Times New Roman" w:hAnsi="Times New Roman"/>
          <w:sz w:val="24"/>
          <w:highlight w:val="white"/>
        </w:rPr>
      </w:pPr>
      <w:r>
        <w:rPr>
          <w:rFonts w:ascii="Times New Roman" w:hAnsi="Times New Roman"/>
          <w:sz w:val="24"/>
          <w:highlight w:val="white"/>
        </w:rPr>
        <w:t>disposed</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 June 2021, the Company entered into a new lease agreement for additional office space in London, UK. The Company also extended the lease term of the existing office space, which resulted in the modification of the right-of-use asset.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Company leases office space and equipment for use in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administrative and </w:t>
      </w:r>
    </w:p>
    <w:p>
      <w:pPr>
        <w:pStyle w:val="TextBody"/>
        <w:spacing w:before="240" w:after="0"/>
        <w:jc w:val="left"/>
        <w:rPr>
          <w:rFonts w:ascii="Times New Roman" w:hAnsi="Times New Roman"/>
          <w:sz w:val="24"/>
          <w:highlight w:val="white"/>
        </w:rPr>
      </w:pPr>
      <w:r>
        <w:rPr>
          <w:rFonts w:ascii="Times New Roman" w:hAnsi="Times New Roman"/>
          <w:sz w:val="24"/>
          <w:highlight w:val="white"/>
        </w:rPr>
        <w:t>research and development activities. In the year-ended December 31, 2022, the Company made lease payments of £0.9 million (2021: £0.7 million). The maturity of lease liabilities as of December 31, 2022 are as follows:</w:t>
      </w:r>
    </w:p>
    <w:p>
      <w:pPr>
        <w:pStyle w:val="TextBody"/>
        <w:spacing w:before="0" w:after="0"/>
        <w:ind w:left="0" w:right="0" w:hanging="0"/>
        <w:jc w:val="left"/>
        <w:rPr>
          <w:spacing w:val="0"/>
          <w:highlight w:val="white"/>
        </w:rPr>
      </w:pPr>
      <w:r>
        <w:rPr>
          <w:spacing w:val="0"/>
          <w:highlight w:val="white"/>
        </w:rPr>
        <w:t> </w:t>
      </w:r>
    </w:p>
    <w:tbl>
      <w:tblPr>
        <w:tblW w:w="7500" w:type="dxa"/>
        <w:jc w:val="left"/>
        <w:tblInd w:w="0" w:type="dxa"/>
        <w:tblCellMar>
          <w:top w:w="0" w:type="dxa"/>
          <w:left w:w="0" w:type="dxa"/>
          <w:bottom w:w="0" w:type="dxa"/>
          <w:right w:w="0" w:type="dxa"/>
        </w:tblCellMar>
      </w:tblPr>
      <w:tblGrid>
        <w:gridCol w:w="2525"/>
        <w:gridCol w:w="120"/>
        <w:gridCol w:w="123"/>
        <w:gridCol w:w="782"/>
        <w:gridCol w:w="60"/>
        <w:gridCol w:w="120"/>
        <w:gridCol w:w="86"/>
        <w:gridCol w:w="804"/>
        <w:gridCol w:w="60"/>
        <w:gridCol w:w="120"/>
        <w:gridCol w:w="121"/>
        <w:gridCol w:w="769"/>
        <w:gridCol w:w="60"/>
        <w:gridCol w:w="120"/>
        <w:gridCol w:w="96"/>
        <w:gridCol w:w="614"/>
        <w:gridCol w:w="60"/>
        <w:gridCol w:w="120"/>
        <w:gridCol w:w="64"/>
        <w:gridCol w:w="601"/>
        <w:gridCol w:w="75"/>
      </w:tblGrid>
      <w:tr>
        <w:trPr/>
        <w:tc>
          <w:tcPr>
            <w:tcW w:w="25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05" w:type="dxa"/>
            <w:gridSpan w:val="2"/>
            <w:tcBorders/>
            <w:shd w:fill="auto" w:val="clear"/>
            <w:vAlign w:val="center"/>
          </w:tcPr>
          <w:p>
            <w:pPr>
              <w:pStyle w:val="TableContents"/>
              <w:spacing w:before="0" w:after="0"/>
              <w:jc w:val="center"/>
              <w:rPr>
                <w:b/>
                <w:spacing w:val="0"/>
              </w:rPr>
            </w:pPr>
            <w:r>
              <w:rPr>
                <w:b/>
                <w:spacing w:val="0"/>
              </w:rPr>
              <w:t>Within 1</w:t>
            </w:r>
          </w:p>
          <w:p>
            <w:pPr>
              <w:pStyle w:val="TableContents"/>
              <w:spacing w:before="0" w:after="0"/>
              <w:jc w:val="center"/>
              <w:rPr/>
            </w:pPr>
            <w:r>
              <w:rPr/>
            </w:r>
          </w:p>
          <w:p>
            <w:pPr>
              <w:pStyle w:val="TableContents"/>
              <w:spacing w:before="0" w:after="0"/>
              <w:jc w:val="center"/>
              <w:rPr>
                <w:b/>
                <w:spacing w:val="0"/>
              </w:rPr>
            </w:pPr>
            <w:r>
              <w:rPr>
                <w:b/>
                <w:spacing w:val="0"/>
              </w:rPr>
              <w:t>year</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0" w:type="dxa"/>
            <w:gridSpan w:val="2"/>
            <w:tcBorders/>
            <w:shd w:fill="auto" w:val="clear"/>
            <w:vAlign w:val="center"/>
          </w:tcPr>
          <w:p>
            <w:pPr>
              <w:pStyle w:val="TableContents"/>
              <w:spacing w:before="0" w:after="0"/>
              <w:jc w:val="center"/>
              <w:rPr>
                <w:b/>
                <w:spacing w:val="0"/>
              </w:rPr>
            </w:pPr>
            <w:r>
              <w:rPr>
                <w:b/>
                <w:spacing w:val="0"/>
              </w:rPr>
              <w:t>Between</w:t>
            </w:r>
          </w:p>
          <w:p>
            <w:pPr>
              <w:pStyle w:val="TableContents"/>
              <w:spacing w:before="0" w:after="0"/>
              <w:jc w:val="center"/>
              <w:rPr/>
            </w:pPr>
            <w:r>
              <w:rPr/>
            </w:r>
          </w:p>
          <w:p>
            <w:pPr>
              <w:pStyle w:val="TableContents"/>
              <w:spacing w:before="0" w:after="0"/>
              <w:jc w:val="center"/>
              <w:rPr>
                <w:b/>
                <w:spacing w:val="0"/>
              </w:rPr>
            </w:pPr>
            <w:r>
              <w:rPr>
                <w:b/>
                <w:spacing w:val="0"/>
              </w:rPr>
              <w:t>1 and 3</w:t>
            </w:r>
          </w:p>
          <w:p>
            <w:pPr>
              <w:pStyle w:val="TableContents"/>
              <w:spacing w:before="0" w:after="0"/>
              <w:jc w:val="center"/>
              <w:rPr/>
            </w:pPr>
            <w:r>
              <w:rPr/>
            </w:r>
          </w:p>
          <w:p>
            <w:pPr>
              <w:pStyle w:val="TableContents"/>
              <w:spacing w:before="0" w:after="0"/>
              <w:jc w:val="center"/>
              <w:rPr>
                <w:b/>
                <w:spacing w:val="0"/>
              </w:rPr>
            </w:pPr>
            <w:r>
              <w:rPr>
                <w:b/>
                <w:spacing w:val="0"/>
              </w:rPr>
              <w:t>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0" w:type="dxa"/>
            <w:gridSpan w:val="2"/>
            <w:tcBorders/>
            <w:shd w:fill="auto" w:val="clear"/>
            <w:vAlign w:val="center"/>
          </w:tcPr>
          <w:p>
            <w:pPr>
              <w:pStyle w:val="TableContents"/>
              <w:spacing w:before="0" w:after="0"/>
              <w:jc w:val="center"/>
              <w:rPr>
                <w:b/>
                <w:spacing w:val="0"/>
              </w:rPr>
            </w:pPr>
            <w:r>
              <w:rPr>
                <w:b/>
                <w:spacing w:val="0"/>
              </w:rPr>
              <w:t>Between</w:t>
              <w:br/>
              <w:t>3 and 5</w:t>
              <w:br/>
              <w:t>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10" w:type="dxa"/>
            <w:gridSpan w:val="2"/>
            <w:tcBorders/>
            <w:shd w:fill="auto" w:val="clear"/>
            <w:vAlign w:val="center"/>
          </w:tcPr>
          <w:p>
            <w:pPr>
              <w:pStyle w:val="TableContents"/>
              <w:spacing w:before="0" w:after="0"/>
              <w:jc w:val="center"/>
              <w:rPr>
                <w:b/>
                <w:spacing w:val="0"/>
              </w:rPr>
            </w:pPr>
            <w:r>
              <w:rPr>
                <w:b/>
                <w:spacing w:val="0"/>
              </w:rPr>
              <w:t>Over 5</w:t>
              <w:br/>
              <w:t>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0"/>
              <w:rPr>
                <w:spacing w:val="0"/>
              </w:rPr>
            </w:pPr>
            <w:r>
              <w:rPr>
                <w:spacing w:val="0"/>
              </w:rPr>
              <w:t> </w:t>
            </w:r>
          </w:p>
        </w:tc>
      </w:tr>
      <w:tr>
        <w:trPr/>
        <w:tc>
          <w:tcPr>
            <w:tcW w:w="25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0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1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252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Maturity of lease liabilities</w:t>
            </w:r>
          </w:p>
        </w:tc>
        <w:tc>
          <w:tcPr>
            <w:tcW w:w="12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466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1,072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769" w:type="dxa"/>
            <w:tcBorders/>
            <w:shd w:fill="CCEEFF" w:val="clear"/>
            <w:vAlign w:val="center"/>
          </w:tcPr>
          <w:p>
            <w:pPr>
              <w:pStyle w:val="TableContents"/>
              <w:spacing w:before="0" w:after="283"/>
              <w:jc w:val="right"/>
              <w:rPr/>
            </w:pPr>
            <w:r>
              <w:rPr/>
              <w:t>150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rPr>
            </w:pPr>
            <w:r>
              <w:rPr>
                <w:b/>
                <w:spacing w:val="0"/>
              </w:rPr>
              <w:t>1,688</w:t>
            </w:r>
          </w:p>
        </w:tc>
        <w:tc>
          <w:tcPr>
            <w:tcW w:w="75" w:type="dxa"/>
            <w:tcBorders/>
            <w:shd w:fill="CCEEFF" w:val="clear"/>
            <w:vAlign w:val="center"/>
          </w:tcPr>
          <w:p>
            <w:pPr>
              <w:pStyle w:val="TableContents"/>
              <w:spacing w:before="0" w:after="0"/>
              <w:rPr>
                <w:spacing w:val="0"/>
              </w:rPr>
            </w:pPr>
            <w:r>
              <w:rPr>
                <w:spacing w:val="0"/>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Further details on the movements within lease liability are included in Note 23</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360" w:after="0"/>
        <w:jc w:val="left"/>
        <w:rPr>
          <w:rFonts w:ascii="Times New Roman" w:hAnsi="Times New Roman"/>
          <w:b/>
          <w:sz w:val="24"/>
          <w:highlight w:val="white"/>
        </w:rPr>
      </w:pPr>
      <w:r>
        <w:rPr>
          <w:rFonts w:ascii="Times New Roman" w:hAnsi="Times New Roman"/>
          <w:b/>
          <w:sz w:val="24"/>
          <w:highlight w:val="white"/>
        </w:rPr>
        <w:t xml:space="preserve">13. Intangible assets </w:t>
      </w:r>
    </w:p>
    <w:p>
      <w:pPr>
        <w:pStyle w:val="TextBody"/>
        <w:spacing w:before="0" w:after="0"/>
        <w:jc w:val="left"/>
        <w:rPr>
          <w:highlight w:val="white"/>
        </w:rPr>
      </w:pPr>
      <w:r>
        <w:rPr>
          <w:highlight w:val="white"/>
        </w:rPr>
        <w:t> </w:t>
      </w:r>
    </w:p>
    <w:tbl>
      <w:tblPr>
        <w:tblW w:w="4320" w:type="dxa"/>
        <w:jc w:val="left"/>
        <w:tblInd w:w="0" w:type="dxa"/>
        <w:tblCellMar>
          <w:top w:w="0" w:type="dxa"/>
          <w:left w:w="0" w:type="dxa"/>
          <w:bottom w:w="0" w:type="dxa"/>
          <w:right w:w="0" w:type="dxa"/>
        </w:tblCellMar>
      </w:tblPr>
      <w:tblGrid>
        <w:gridCol w:w="2720"/>
        <w:gridCol w:w="120"/>
        <w:gridCol w:w="106"/>
        <w:gridCol w:w="1204"/>
        <w:gridCol w:w="170"/>
      </w:tblGrid>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Acquired</w:t>
              <w:br/>
              <w:t>development</w:t>
              <w:br/>
              <w:t>programs</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Cost</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20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2021</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spacing w:val="0"/>
              </w:rPr>
            </w:pPr>
            <w:r>
              <w:rPr>
                <w:spacing w:val="0"/>
              </w:rPr>
              <w:t> </w:t>
            </w:r>
          </w:p>
        </w:tc>
        <w:tc>
          <w:tcPr>
            <w:tcW w:w="1204" w:type="dxa"/>
            <w:tcBorders/>
            <w:shd w:fill="auto" w:val="clear"/>
            <w:vAlign w:val="center"/>
          </w:tcPr>
          <w:p>
            <w:pPr>
              <w:pStyle w:val="TableContents"/>
              <w:spacing w:before="0" w:after="0"/>
              <w:jc w:val="right"/>
              <w:rPr>
                <w:b/>
                <w:spacing w:val="0"/>
              </w:rPr>
            </w:pPr>
            <w:r>
              <w:rPr>
                <w:b/>
                <w:spacing w:val="0"/>
              </w:rPr>
              <w:t>33,005</w:t>
            </w:r>
          </w:p>
        </w:tc>
        <w:tc>
          <w:tcPr>
            <w:tcW w:w="170" w:type="dxa"/>
            <w:tcBorders/>
            <w:shd w:fill="auto"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0"/>
              <w:rPr>
                <w:spacing w:val="0"/>
              </w:rPr>
            </w:pPr>
            <w:r>
              <w:rPr>
                <w:spacing w:val="0"/>
              </w:rPr>
              <w:t> </w:t>
            </w:r>
          </w:p>
        </w:tc>
        <w:tc>
          <w:tcPr>
            <w:tcW w:w="1204" w:type="dxa"/>
            <w:tcBorders/>
            <w:shd w:fill="CCEEFF" w:val="clear"/>
            <w:vAlign w:val="center"/>
          </w:tcPr>
          <w:p>
            <w:pPr>
              <w:pStyle w:val="TableContents"/>
              <w:spacing w:before="0" w:after="0"/>
              <w:jc w:val="right"/>
              <w:rPr>
                <w:b/>
                <w:spacing w:val="0"/>
              </w:rPr>
            </w:pPr>
            <w:r>
              <w:rPr>
                <w:b/>
                <w:spacing w:val="0"/>
              </w:rPr>
              <w:t>33,005</w:t>
            </w:r>
          </w:p>
        </w:tc>
        <w:tc>
          <w:tcPr>
            <w:tcW w:w="170" w:type="dxa"/>
            <w:tcBorders/>
            <w:shd w:fill="CCEEFF"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spacing w:val="0"/>
              </w:rPr>
            </w:pPr>
            <w:r>
              <w:rPr>
                <w:spacing w:val="0"/>
              </w:rPr>
              <w:t> </w:t>
            </w:r>
          </w:p>
        </w:tc>
        <w:tc>
          <w:tcPr>
            <w:tcW w:w="1204" w:type="dxa"/>
            <w:tcBorders/>
            <w:shd w:fill="auto" w:val="clear"/>
            <w:vAlign w:val="center"/>
          </w:tcPr>
          <w:p>
            <w:pPr>
              <w:pStyle w:val="TableContents"/>
              <w:spacing w:before="0" w:after="0"/>
              <w:jc w:val="right"/>
              <w:rPr>
                <w:b/>
                <w:spacing w:val="0"/>
              </w:rPr>
            </w:pPr>
            <w:r>
              <w:rPr>
                <w:b/>
                <w:spacing w:val="0"/>
              </w:rPr>
              <w:t>33,005</w:t>
            </w:r>
          </w:p>
        </w:tc>
        <w:tc>
          <w:tcPr>
            <w:tcW w:w="170" w:type="dxa"/>
            <w:tcBorders/>
            <w:shd w:fill="auto"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Revisions to estimated value</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20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January 1, 2021</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spacing w:val="0"/>
              </w:rPr>
            </w:pPr>
            <w:r>
              <w:rPr>
                <w:spacing w:val="0"/>
              </w:rPr>
              <w:t> </w:t>
            </w:r>
          </w:p>
        </w:tc>
        <w:tc>
          <w:tcPr>
            <w:tcW w:w="1204" w:type="dxa"/>
            <w:tcBorders/>
            <w:shd w:fill="auto" w:val="clear"/>
            <w:vAlign w:val="center"/>
          </w:tcPr>
          <w:p>
            <w:pPr>
              <w:pStyle w:val="TableContents"/>
              <w:spacing w:before="0" w:after="0"/>
              <w:jc w:val="right"/>
              <w:rPr>
                <w:b/>
                <w:spacing w:val="0"/>
              </w:rPr>
            </w:pPr>
            <w:r>
              <w:rPr>
                <w:b/>
                <w:spacing w:val="0"/>
              </w:rPr>
              <w:t>(1,357</w:t>
            </w:r>
          </w:p>
        </w:tc>
        <w:tc>
          <w:tcPr>
            <w:tcW w:w="170" w:type="dxa"/>
            <w:tcBorders/>
            <w:shd w:fill="auto" w:val="clear"/>
            <w:vAlign w:val="center"/>
          </w:tcPr>
          <w:p>
            <w:pPr>
              <w:pStyle w:val="TableContents"/>
              <w:spacing w:before="0" w:after="0"/>
              <w:rPr>
                <w:b/>
                <w:spacing w:val="0"/>
              </w:rPr>
            </w:pPr>
            <w:r>
              <w:rPr>
                <w:b/>
                <w:spacing w:val="0"/>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Revision to estimated value</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204" w:type="dxa"/>
            <w:tcBorders/>
            <w:shd w:fill="CCEEFF" w:val="clear"/>
            <w:vAlign w:val="center"/>
          </w:tcPr>
          <w:p>
            <w:pPr>
              <w:pStyle w:val="TableContents"/>
              <w:spacing w:before="0" w:after="283"/>
              <w:jc w:val="right"/>
              <w:rPr/>
            </w:pPr>
            <w:r>
              <w:rPr/>
              <w:t>2,373</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Out-license</w:t>
            </w:r>
          </w:p>
          <w:p>
            <w:pPr>
              <w:pStyle w:val="TableContents"/>
              <w:spacing w:before="0" w:after="0"/>
              <w:rPr>
                <w:rFonts w:ascii="Times New Roman" w:hAnsi="Times New Roman"/>
                <w:sz w:val="24"/>
              </w:rPr>
            </w:pPr>
            <w:r>
              <w:rPr>
                <w:rFonts w:ascii="Times New Roman" w:hAnsi="Times New Roman"/>
                <w:sz w:val="24"/>
              </w:rPr>
              <w:t>of intangible asset</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jc w:val="right"/>
              <w:rPr/>
            </w:pPr>
            <w:r>
              <w:rPr/>
              <w:t>(9,457</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0"/>
              <w:rPr>
                <w:spacing w:val="0"/>
              </w:rPr>
            </w:pPr>
            <w:r>
              <w:rPr>
                <w:spacing w:val="0"/>
              </w:rPr>
              <w:t> </w:t>
            </w:r>
          </w:p>
        </w:tc>
        <w:tc>
          <w:tcPr>
            <w:tcW w:w="1204" w:type="dxa"/>
            <w:tcBorders/>
            <w:shd w:fill="CCEEFF" w:val="clear"/>
            <w:vAlign w:val="center"/>
          </w:tcPr>
          <w:p>
            <w:pPr>
              <w:pStyle w:val="TableContents"/>
              <w:spacing w:before="0" w:after="0"/>
              <w:jc w:val="right"/>
              <w:rPr>
                <w:b/>
                <w:spacing w:val="0"/>
              </w:rPr>
            </w:pPr>
            <w:r>
              <w:rPr>
                <w:b/>
                <w:spacing w:val="0"/>
              </w:rPr>
              <w:t>(8,441</w:t>
            </w:r>
          </w:p>
        </w:tc>
        <w:tc>
          <w:tcPr>
            <w:tcW w:w="170" w:type="dxa"/>
            <w:tcBorders/>
            <w:shd w:fill="CCEEFF" w:val="clear"/>
            <w:vAlign w:val="center"/>
          </w:tcPr>
          <w:p>
            <w:pPr>
              <w:pStyle w:val="TableContents"/>
              <w:spacing w:before="0" w:after="0"/>
              <w:rPr>
                <w:b/>
                <w:spacing w:val="0"/>
              </w:rPr>
            </w:pPr>
            <w:r>
              <w:rPr>
                <w:b/>
                <w:spacing w:val="0"/>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double" w:sz="6" w:space="1" w:color="000000"/>
              </w:rPr>
            </w:pPr>
            <w:r>
              <w:rPr>
                <w:bdr w:val="double" w:sz="6" w:space="1" w:color="000000"/>
              </w:rPr>
              <w:t> </w:t>
            </w:r>
          </w:p>
        </w:tc>
        <w:tc>
          <w:tcPr>
            <w:tcW w:w="120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Revision to estimated value</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jc w:val="right"/>
              <w:rPr/>
            </w:pPr>
            <w:r>
              <w:rPr/>
              <w:t>(448</w:t>
            </w:r>
          </w:p>
        </w:tc>
        <w:tc>
          <w:tcPr>
            <w:tcW w:w="170" w:type="dxa"/>
            <w:tcBorders/>
            <w:shd w:fill="auto" w:val="clear"/>
            <w:vAlign w:val="center"/>
          </w:tcPr>
          <w:p>
            <w:pPr>
              <w:pStyle w:val="TableContents"/>
              <w:spacing w:before="0" w:after="283"/>
              <w:rPr/>
            </w:pPr>
            <w:r>
              <w:rPr/>
              <w:t>)</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0"/>
              <w:rPr>
                <w:spacing w:val="0"/>
              </w:rPr>
            </w:pPr>
            <w:r>
              <w:rPr>
                <w:spacing w:val="0"/>
              </w:rPr>
              <w:t> </w:t>
            </w:r>
          </w:p>
        </w:tc>
        <w:tc>
          <w:tcPr>
            <w:tcW w:w="1204" w:type="dxa"/>
            <w:tcBorders/>
            <w:shd w:fill="CCEEFF" w:val="clear"/>
            <w:vAlign w:val="center"/>
          </w:tcPr>
          <w:p>
            <w:pPr>
              <w:pStyle w:val="TableContents"/>
              <w:spacing w:before="0" w:after="0"/>
              <w:jc w:val="right"/>
              <w:rPr>
                <w:b/>
                <w:spacing w:val="0"/>
              </w:rPr>
            </w:pPr>
            <w:r>
              <w:rPr>
                <w:b/>
                <w:spacing w:val="0"/>
              </w:rPr>
              <w:t>(8,889</w:t>
            </w:r>
          </w:p>
        </w:tc>
        <w:tc>
          <w:tcPr>
            <w:tcW w:w="170" w:type="dxa"/>
            <w:tcBorders/>
            <w:shd w:fill="CCEEFF" w:val="clear"/>
            <w:vAlign w:val="center"/>
          </w:tcPr>
          <w:p>
            <w:pPr>
              <w:pStyle w:val="TableContents"/>
              <w:spacing w:before="0" w:after="283"/>
              <w:rPr/>
            </w:pPr>
            <w:r>
              <w:rPr/>
              <w:t>)</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double" w:sz="6" w:space="1" w:color="000000"/>
              </w:rPr>
            </w:pPr>
            <w:r>
              <w:rPr>
                <w:bdr w:val="double" w:sz="6" w:space="1" w:color="000000"/>
              </w:rPr>
              <w:t> </w:t>
            </w:r>
          </w:p>
        </w:tc>
        <w:tc>
          <w:tcPr>
            <w:tcW w:w="120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Net book value</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At December 31, 2021</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204" w:type="dxa"/>
            <w:tcBorders/>
            <w:shd w:fill="CCEEFF" w:val="clear"/>
            <w:vAlign w:val="center"/>
          </w:tcPr>
          <w:p>
            <w:pPr>
              <w:pStyle w:val="TableContents"/>
              <w:spacing w:before="0" w:after="283"/>
              <w:jc w:val="right"/>
              <w:rPr/>
            </w:pPr>
            <w:r>
              <w:rPr/>
              <w:t>24,564</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spacing w:val="0"/>
              </w:rPr>
            </w:pPr>
            <w:r>
              <w:rPr>
                <w:spacing w:val="0"/>
              </w:rPr>
              <w:t> </w:t>
            </w:r>
          </w:p>
        </w:tc>
        <w:tc>
          <w:tcPr>
            <w:tcW w:w="1204" w:type="dxa"/>
            <w:tcBorders/>
            <w:shd w:fill="auto" w:val="clear"/>
            <w:vAlign w:val="center"/>
          </w:tcPr>
          <w:p>
            <w:pPr>
              <w:pStyle w:val="TableContents"/>
              <w:spacing w:before="0" w:after="0"/>
              <w:jc w:val="right"/>
              <w:rPr>
                <w:b/>
                <w:spacing w:val="0"/>
              </w:rPr>
            </w:pPr>
            <w:r>
              <w:rPr>
                <w:b/>
                <w:spacing w:val="0"/>
              </w:rPr>
              <w:t>24,116</w:t>
            </w:r>
          </w:p>
        </w:tc>
        <w:tc>
          <w:tcPr>
            <w:tcW w:w="170" w:type="dxa"/>
            <w:tcBorders/>
            <w:shd w:fill="auto"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double" w:sz="6" w:space="1" w:color="000000"/>
              </w:rPr>
            </w:pPr>
            <w:r>
              <w:rPr>
                <w:bdr w:val="double" w:sz="6" w:space="1" w:color="000000"/>
              </w:rPr>
              <w:t> </w:t>
            </w:r>
          </w:p>
        </w:tc>
        <w:tc>
          <w:tcPr>
            <w:tcW w:w="120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The Company’s strategy is to acquire and develop clinical-stage development programs for the treatment of rare diseases.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On January 25, 2021, the Company’s license and collaboration agreement with Ultragenyx for the development and commercialization of setrusumab for OI became effective. Under the terms of the agreement, the Company received an upfront payment of £36.5 million ($50 million). Additionally, the Company will be eligible to receive up to $254 million in future milestones and royalties. The license and collaboration agreement grants Ultragenyx an exclusive license to develop and commercialize setrusumab in the US and rest of the world, excluding Europe where the Company retains commercial rights. As a result, intangible assets with a carrying value of £9.5 million were derecognized and recorded within “Cost of revenue” in the Company’s consolidated statement of comprehensive income/(loss).</w:t>
      </w:r>
    </w:p>
    <w:p>
      <w:pPr>
        <w:pStyle w:val="TextBody"/>
        <w:spacing w:before="0" w:after="0"/>
        <w:jc w:val="left"/>
        <w:rPr>
          <w:highlight w:val="white"/>
        </w:rPr>
      </w:pPr>
      <w:r>
        <w:rPr>
          <w:highlight w:val="white"/>
        </w:rPr>
        <w:t> </w:t>
      </w:r>
    </w:p>
    <w:p>
      <w:pPr>
        <w:pStyle w:val="TextBody"/>
        <w:spacing w:before="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Refer to Note 3 for additional information. </w:t>
      </w:r>
    </w:p>
    <w:p>
      <w:pPr>
        <w:pStyle w:val="TextBody"/>
        <w:spacing w:before="240" w:after="0"/>
        <w:jc w:val="left"/>
        <w:rPr>
          <w:rFonts w:ascii="Times New Roman" w:hAnsi="Times New Roman"/>
          <w:sz w:val="24"/>
          <w:highlight w:val="white"/>
        </w:rPr>
      </w:pPr>
      <w:r>
        <w:rPr>
          <w:rFonts w:ascii="Times New Roman" w:hAnsi="Times New Roman"/>
          <w:sz w:val="24"/>
          <w:highlight w:val="white"/>
        </w:rPr>
        <w:t>In October 2017, the Company acquired the exclusive license for alvelestat and included the option to acquire certain assets from AstraZeneca AB (“AstraZeneca”). On that date the fair value of alvelestat was measured at £7.2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million, which consisted of upfront cash and equity payments as well as deferred cash and equity consideration. The provision for deferred cash consideration is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re-measured</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to fair value at each balance sheet date and recognized as an increase to, or reduction of, the intangible asset. During the year, the provision for deferred cash consideration has decreased by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£0.4 million (2021: increase of £2.4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million) due to changes in estimated timelines and the probability of contractual milestones being achieved. Refer to Note 18 and Note 24 for additional information.</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During the year the Company did not revise the value of any other intangible assets. As the intangible assets remain under development, no amortization charge has been recognized (2021: £nil). </w:t>
      </w:r>
    </w:p>
    <w:p>
      <w:pPr>
        <w:pStyle w:val="TextBody"/>
        <w:spacing w:before="260" w:after="0"/>
        <w:jc w:val="left"/>
        <w:rPr>
          <w:rFonts w:ascii="Times New Roman" w:hAnsi="Times New Roman"/>
          <w:b/>
          <w:sz w:val="24"/>
          <w:highlight w:val="white"/>
        </w:rPr>
      </w:pPr>
      <w:r>
        <w:rPr>
          <w:rFonts w:ascii="Times New Roman" w:hAnsi="Times New Roman"/>
          <w:b/>
          <w:sz w:val="24"/>
          <w:highlight w:val="white"/>
        </w:rPr>
        <w:t xml:space="preserve">14. Impairment testing of acquired development programs not yet available for use </w:t>
      </w:r>
    </w:p>
    <w:p>
      <w:pPr>
        <w:pStyle w:val="TextBody"/>
        <w:spacing w:before="120" w:after="0"/>
        <w:jc w:val="left"/>
        <w:rPr>
          <w:rFonts w:ascii="Times New Roman" w:hAnsi="Times New Roman"/>
          <w:sz w:val="24"/>
          <w:highlight w:val="white"/>
        </w:rPr>
      </w:pPr>
      <w:r>
        <w:rPr>
          <w:rFonts w:ascii="Times New Roman" w:hAnsi="Times New Roman"/>
          <w:sz w:val="24"/>
          <w:highlight w:val="white"/>
        </w:rPr>
        <w:t>Acquired development programs not yet available for use are assessed annually for impairment. The carrying amount of acquired development programs is as follows:</w:t>
      </w:r>
    </w:p>
    <w:p>
      <w:pPr>
        <w:pStyle w:val="TextBody"/>
        <w:spacing w:before="0" w:after="0"/>
        <w:ind w:left="0" w:right="0" w:hanging="0"/>
        <w:jc w:val="left"/>
        <w:rPr>
          <w:spacing w:val="0"/>
          <w:highlight w:val="white"/>
        </w:rPr>
      </w:pPr>
      <w:r>
        <w:rPr>
          <w:spacing w:val="0"/>
          <w:highlight w:val="white"/>
        </w:rPr>
        <w:t> </w:t>
      </w:r>
    </w:p>
    <w:tbl>
      <w:tblPr>
        <w:tblW w:w="3255" w:type="dxa"/>
        <w:jc w:val="left"/>
        <w:tblInd w:w="0" w:type="dxa"/>
        <w:tblCellMar>
          <w:top w:w="0" w:type="dxa"/>
          <w:left w:w="0" w:type="dxa"/>
          <w:bottom w:w="0" w:type="dxa"/>
          <w:right w:w="0" w:type="dxa"/>
        </w:tblCellMar>
      </w:tblPr>
      <w:tblGrid>
        <w:gridCol w:w="1400"/>
        <w:gridCol w:w="120"/>
        <w:gridCol w:w="60"/>
        <w:gridCol w:w="680"/>
        <w:gridCol w:w="60"/>
        <w:gridCol w:w="120"/>
        <w:gridCol w:w="60"/>
        <w:gridCol w:w="680"/>
        <w:gridCol w:w="75"/>
      </w:tblGrid>
      <w:tr>
        <w:trPr/>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CCEEFF" w:val="clear"/>
            <w:vAlign w:val="center"/>
          </w:tcPr>
          <w:p>
            <w:pPr>
              <w:pStyle w:val="TableContents"/>
              <w:spacing w:before="0" w:after="0"/>
              <w:rPr>
                <w:rFonts w:ascii="Times New Roman;serif" w:hAnsi="Times New Roman;serif"/>
                <w:spacing w:val="0"/>
                <w:sz w:val="24"/>
              </w:rPr>
            </w:pPr>
            <w:r>
              <w:rPr>
                <w:rFonts w:ascii="Times New Roman;serif" w:hAnsi="Times New Roman;serif"/>
                <w:spacing w:val="0"/>
                <w:sz w:val="24"/>
              </w:rPr>
              <w:t>BPS-804</w:t>
            </w:r>
          </w:p>
          <w:p>
            <w:pPr>
              <w:pStyle w:val="TableContents"/>
              <w:spacing w:before="0" w:after="0"/>
              <w:rPr>
                <w:rFonts w:ascii="Times New Roman;serif" w:hAnsi="Times New Roman;serif"/>
                <w:spacing w:val="0"/>
                <w:sz w:val="24"/>
              </w:rPr>
            </w:pPr>
            <w:r>
              <w:rPr>
                <w:rFonts w:ascii="Times New Roman;serif" w:hAnsi="Times New Roman;serif"/>
                <w:spacing w:val="0"/>
                <w:sz w:val="24"/>
              </w:rPr>
              <w:t>/UX143</w:t>
            </w:r>
          </w:p>
          <w:p>
            <w:pPr>
              <w:pStyle w:val="TableContents"/>
              <w:spacing w:before="0" w:after="0"/>
              <w:rPr>
                <w:rFonts w:ascii="Times New Roman;serif" w:hAnsi="Times New Roman;serif"/>
                <w:spacing w:val="0"/>
                <w:sz w:val="24"/>
              </w:rPr>
            </w:pPr>
            <w:r>
              <w:rPr>
                <w:rFonts w:ascii="Times New Roman;serif" w:hAnsi="Times New Roman;serif"/>
                <w:spacing w:val="0"/>
                <w:sz w:val="24"/>
              </w:rPr>
              <w:t>(setrusumab)</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2,159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2,159</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MPH-966</w:t>
            </w:r>
          </w:p>
          <w:p>
            <w:pPr>
              <w:pStyle w:val="TableContents"/>
              <w:spacing w:before="0" w:after="0"/>
              <w:rPr>
                <w:rFonts w:ascii="Times New Roman" w:hAnsi="Times New Roman"/>
                <w:sz w:val="24"/>
              </w:rPr>
            </w:pPr>
            <w:r>
              <w:rPr>
                <w:rFonts w:ascii="Times New Roman" w:hAnsi="Times New Roman"/>
                <w:sz w:val="24"/>
              </w:rPr>
              <w:t>(alvelestat)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8,208</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BGS-649</w:t>
            </w:r>
          </w:p>
          <w:p>
            <w:pPr>
              <w:pStyle w:val="TableContents"/>
              <w:spacing w:before="0" w:after="0"/>
              <w:rPr>
                <w:rFonts w:ascii="Times New Roman" w:hAnsi="Times New Roman"/>
                <w:sz w:val="24"/>
              </w:rPr>
            </w:pPr>
            <w:r>
              <w:rPr>
                <w:rFonts w:ascii="Times New Roman" w:hAnsi="Times New Roman"/>
                <w:sz w:val="24"/>
              </w:rPr>
              <w:t>(leflutrozole)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9,886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9,886</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BCT-197</w:t>
            </w:r>
          </w:p>
          <w:p>
            <w:pPr>
              <w:pStyle w:val="TableContents"/>
              <w:spacing w:before="0" w:after="0"/>
              <w:rPr>
                <w:rFonts w:ascii="Times New Roman" w:hAnsi="Times New Roman"/>
                <w:sz w:val="24"/>
              </w:rPr>
            </w:pPr>
            <w:r>
              <w:rPr>
                <w:rFonts w:ascii="Times New Roman" w:hAnsi="Times New Roman"/>
                <w:sz w:val="24"/>
              </w:rPr>
              <w:t>(acumapimod)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4,311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4,311</w:t>
            </w:r>
          </w:p>
        </w:tc>
        <w:tc>
          <w:tcPr>
            <w:tcW w:w="7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24,116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24,564</w:t>
            </w:r>
          </w:p>
        </w:tc>
        <w:tc>
          <w:tcPr>
            <w:tcW w:w="75" w:type="dxa"/>
            <w:tcBorders/>
            <w:shd w:fill="CCEEFF" w:val="clear"/>
            <w:vAlign w:val="center"/>
          </w:tcPr>
          <w:p>
            <w:pPr>
              <w:pStyle w:val="TableContents"/>
              <w:spacing w:before="0" w:after="0"/>
              <w:rPr>
                <w:spacing w:val="0"/>
              </w:rPr>
            </w:pPr>
            <w:r>
              <w:rPr>
                <w:spacing w:val="0"/>
              </w:rPr>
              <w:t> </w:t>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The Company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for the year ended December 31, 202</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2</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 Management believes that the likelihood of a materially different outcome using different assumptions is remote.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F-29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The acquired development programs are assets which are not used in commercialized products. These assets have not yet begun to be amortized but have been tested for impairment by assessing their value in use. Value in use calculations for each program are utilized to calculate the recoverable amount. The calculations use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pre-tax</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cash flow projections covering the period through product development to commercial sales up to the later of loss of patent protection or market exclusivity, which extend beyond five years from the balance sheet date. Approved products are assumed to be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out-licensed</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such that the Company receives upfront payments, milestone receipts and royalties on commercial sales; therefore, the Company does not incur any costs of commercialization after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out-licensing</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except when such terms are agreed.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Key assumptions for the value in use calculations are described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Development costs to obtain regulatory approval – costs are estimated net of any contributions expected from collaborative arrangements with future partners. Management have developed cost estimates based on their previous experience and in conjunction with the expertise of their clinical development partners;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Launch dates of products – these reflect management’s expected date of launch for products based on the timeline of development programs required to obtain regulatory approval. The assumptions are based on management’s and clinical development partners’ prior experience;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Probability of successful development – management estimates probabilities of success for each phase of development based on industry averages and knowledge of specific programs;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Out-licensing</w:t>
            </w:r>
          </w:p>
          <w:p>
            <w:pPr>
              <w:pStyle w:val="TableContents"/>
              <w:spacing w:before="0" w:after="0"/>
              <w:jc w:val="left"/>
              <w:rPr>
                <w:rFonts w:ascii="Times New Roman" w:hAnsi="Times New Roman"/>
                <w:sz w:val="24"/>
              </w:rPr>
            </w:pPr>
            <w:r>
              <w:rPr>
                <w:rFonts w:ascii="Times New Roman" w:hAnsi="Times New Roman"/>
                <w:sz w:val="24"/>
              </w:rPr>
              <w:t xml:space="preserve">signature fees, milestones and royalty rates on sales – management estimates these amounts based on prior experience and access to values from similar transactions in the industry, which are collated and accessible from specialist third-party sources;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Sales projections – these are based on management’s internal projections using external market data and market research commissioned by the Company;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Profit margins and other operational expenses – these are based on the Company’s internal projections of current product manufacturing costings, with input from manufacturing partners where applicable, and estimates of operating costs based on management’s prior industry experience;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Cash flow projections – for all assets, cash flows are assessed over an industry-standard asset life of 20 years; and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ind w:left="0" w:right="0" w:hanging="0"/>
              <w:jc w:val="left"/>
              <w:rPr>
                <w:rFonts w:ascii="Times New Roman" w:hAnsi="Times New Roman"/>
                <w:spacing w:val="0"/>
                <w:sz w:val="24"/>
              </w:rPr>
            </w:pPr>
            <w:r>
              <w:rPr>
                <w:rFonts w:ascii="Times New Roman" w:hAnsi="Times New Roman"/>
                <w:spacing w:val="0"/>
                <w:sz w:val="24"/>
              </w:rPr>
              <w:t xml:space="preserve">Discount rates – the discount rate is estimated on a pre-tax basis reflecting the estimated cost of capital of the </w:t>
            </w:r>
          </w:p>
          <w:p>
            <w:pPr>
              <w:pStyle w:val="TableContents"/>
              <w:spacing w:before="0" w:after="0"/>
              <w:jc w:val="left"/>
              <w:rPr>
                <w:rFonts w:ascii="Times New Roman" w:hAnsi="Times New Roman"/>
                <w:sz w:val="24"/>
              </w:rPr>
            </w:pPr>
            <w:r>
              <w:rPr>
                <w:rFonts w:ascii="Times New Roman" w:hAnsi="Times New Roman"/>
                <w:sz w:val="24"/>
              </w:rPr>
            </w:r>
          </w:p>
          <w:p>
            <w:pPr>
              <w:pStyle w:val="TableContents"/>
              <w:spacing w:before="0" w:after="0"/>
              <w:ind w:left="0" w:right="0" w:hanging="0"/>
              <w:jc w:val="left"/>
              <w:rPr>
                <w:rFonts w:ascii="Times New Roman" w:hAnsi="Times New Roman"/>
                <w:spacing w:val="0"/>
                <w:sz w:val="24"/>
              </w:rPr>
            </w:pPr>
            <w:r>
              <w:rPr>
                <w:rFonts w:ascii="Times New Roman" w:hAnsi="Times New Roman"/>
                <w:spacing w:val="0"/>
                <w:sz w:val="24"/>
              </w:rPr>
              <w:t xml:space="preserve">Company and is applied consistently across each of the acquired development programs. The cost of capital </w:t>
            </w:r>
          </w:p>
          <w:p>
            <w:pPr>
              <w:pStyle w:val="TableContents"/>
              <w:spacing w:before="0" w:after="0"/>
              <w:jc w:val="left"/>
              <w:rPr>
                <w:rFonts w:ascii="Times New Roman" w:hAnsi="Times New Roman"/>
                <w:sz w:val="24"/>
              </w:rPr>
            </w:pPr>
            <w:r>
              <w:rPr>
                <w:rFonts w:ascii="Times New Roman" w:hAnsi="Times New Roman"/>
                <w:sz w:val="24"/>
              </w:rPr>
            </w:r>
          </w:p>
          <w:p>
            <w:pPr>
              <w:pStyle w:val="TableContents"/>
              <w:spacing w:before="0" w:after="0"/>
              <w:ind w:left="0" w:right="0" w:hanging="0"/>
              <w:jc w:val="left"/>
              <w:rPr>
                <w:rFonts w:ascii="Times New Roman" w:hAnsi="Times New Roman"/>
                <w:spacing w:val="0"/>
                <w:sz w:val="24"/>
              </w:rPr>
            </w:pPr>
            <w:r>
              <w:rPr>
                <w:rFonts w:ascii="Times New Roman" w:hAnsi="Times New Roman"/>
                <w:spacing w:val="0"/>
                <w:sz w:val="24"/>
              </w:rPr>
              <w:t>was determined to be </w:t>
            </w:r>
          </w:p>
          <w:p>
            <w:pPr>
              <w:pStyle w:val="TableContents"/>
              <w:spacing w:before="0" w:after="0"/>
              <w:jc w:val="left"/>
              <w:rPr>
                <w:rFonts w:ascii="Times New Roman" w:hAnsi="Times New Roman"/>
                <w:sz w:val="24"/>
              </w:rPr>
            </w:pPr>
            <w:r>
              <w:rPr>
                <w:rFonts w:ascii="Times New Roman" w:hAnsi="Times New Roman"/>
                <w:sz w:val="24"/>
              </w:rPr>
              <w:t xml:space="preserve">15.0% (2021: 12.0%).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Where an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out-licensing</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agreement has been reached with a third party, known and observable inputs replace management assumptions if available.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At this stage of product development, the key sensitivity for all development programs is the probability of successful completion of clinical trials in order to obtain regulatory approval necessary for commercial sales. Therefore, full impairment of a development program is expected should such clinical trials be unsuccessful. </w:t>
      </w:r>
    </w:p>
    <w:p>
      <w:pPr>
        <w:pStyle w:val="TextBody"/>
        <w:spacing w:before="360" w:after="0"/>
        <w:jc w:val="left"/>
        <w:rPr>
          <w:rFonts w:ascii="Times New Roman" w:hAnsi="Times New Roman"/>
          <w:b/>
          <w:sz w:val="24"/>
          <w:highlight w:val="white"/>
        </w:rPr>
      </w:pPr>
      <w:r>
        <w:rPr>
          <w:rFonts w:ascii="Times New Roman" w:hAnsi="Times New Roman"/>
          <w:b/>
          <w:sz w:val="24"/>
          <w:highlight w:val="white"/>
        </w:rPr>
        <w:t>15. Other receivables</w:t>
      </w:r>
    </w:p>
    <w:p>
      <w:pPr>
        <w:pStyle w:val="TextBody"/>
        <w:spacing w:before="0" w:after="0"/>
        <w:ind w:left="0" w:right="0" w:hanging="0"/>
        <w:jc w:val="left"/>
        <w:rPr>
          <w:spacing w:val="0"/>
          <w:highlight w:val="white"/>
        </w:rPr>
      </w:pPr>
      <w:r>
        <w:rPr>
          <w:spacing w:val="0"/>
          <w:highlight w:val="white"/>
        </w:rPr>
        <w:t> </w:t>
      </w:r>
    </w:p>
    <w:tbl>
      <w:tblPr>
        <w:tblW w:w="3471" w:type="dxa"/>
        <w:jc w:val="left"/>
        <w:tblInd w:w="0" w:type="dxa"/>
        <w:tblCellMar>
          <w:top w:w="0" w:type="dxa"/>
          <w:left w:w="0" w:type="dxa"/>
          <w:bottom w:w="0" w:type="dxa"/>
          <w:right w:w="0" w:type="dxa"/>
        </w:tblCellMar>
      </w:tblPr>
      <w:tblGrid>
        <w:gridCol w:w="1700"/>
        <w:gridCol w:w="120"/>
        <w:gridCol w:w="89"/>
        <w:gridCol w:w="576"/>
        <w:gridCol w:w="67"/>
        <w:gridCol w:w="136"/>
        <w:gridCol w:w="67"/>
        <w:gridCol w:w="641"/>
        <w:gridCol w:w="7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76"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17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7" w:type="dxa"/>
            <w:tcBorders/>
            <w:shd w:fill="auto" w:val="clear"/>
            <w:vAlign w:val="center"/>
          </w:tcPr>
          <w:p>
            <w:pPr>
              <w:pStyle w:val="TableContents"/>
              <w:spacing w:before="0" w:after="0"/>
              <w:rPr>
                <w:spacing w:val="0"/>
              </w:rPr>
            </w:pPr>
            <w:r>
              <w:rPr>
                <w:spacing w:val="0"/>
              </w:rPr>
              <w:t> </w:t>
            </w:r>
          </w:p>
        </w:tc>
        <w:tc>
          <w:tcPr>
            <w:tcW w:w="136" w:type="dxa"/>
            <w:tcBorders/>
            <w:shd w:fill="auto" w:val="clear"/>
            <w:vAlign w:val="center"/>
          </w:tcPr>
          <w:p>
            <w:pPr>
              <w:pStyle w:val="TableContents"/>
              <w:spacing w:before="0" w:after="0"/>
              <w:rPr>
                <w:spacing w:val="0"/>
              </w:rPr>
            </w:pPr>
            <w:r>
              <w:rPr>
                <w:spacing w:val="0"/>
              </w:rPr>
              <w:t>  </w:t>
            </w:r>
          </w:p>
        </w:tc>
        <w:tc>
          <w:tcPr>
            <w:tcW w:w="708"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17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7" w:type="dxa"/>
            <w:tcBorders/>
            <w:shd w:fill="auto" w:val="clear"/>
            <w:vAlign w:val="center"/>
          </w:tcPr>
          <w:p>
            <w:pPr>
              <w:pStyle w:val="TableContents"/>
              <w:spacing w:before="0" w:after="0"/>
              <w:rPr>
                <w:spacing w:val="0"/>
              </w:rPr>
            </w:pPr>
            <w:r>
              <w:rPr>
                <w:spacing w:val="0"/>
              </w:rPr>
              <w:t> </w:t>
            </w:r>
          </w:p>
        </w:tc>
        <w:tc>
          <w:tcPr>
            <w:tcW w:w="136" w:type="dxa"/>
            <w:tcBorders/>
            <w:shd w:fill="auto" w:val="clear"/>
            <w:vAlign w:val="center"/>
          </w:tcPr>
          <w:p>
            <w:pPr>
              <w:pStyle w:val="TableContents"/>
              <w:spacing w:before="0" w:after="0"/>
              <w:rPr>
                <w:spacing w:val="0"/>
              </w:rPr>
            </w:pPr>
            <w:r>
              <w:rPr>
                <w:spacing w:val="0"/>
              </w:rPr>
              <w:t>  </w:t>
            </w:r>
          </w:p>
        </w:tc>
        <w:tc>
          <w:tcPr>
            <w:tcW w:w="708"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17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Lease deposits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right"/>
              <w:rPr/>
            </w:pPr>
            <w:r>
              <w:rPr/>
              <w:t>293</w:t>
            </w:r>
          </w:p>
        </w:tc>
        <w:tc>
          <w:tcPr>
            <w:tcW w:w="67"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641" w:type="dxa"/>
            <w:tcBorders/>
            <w:shd w:fill="CCEEFF" w:val="clear"/>
            <w:vAlign w:val="center"/>
          </w:tcPr>
          <w:p>
            <w:pPr>
              <w:pStyle w:val="TableContents"/>
              <w:spacing w:before="0" w:after="283"/>
              <w:jc w:val="right"/>
              <w:rPr/>
            </w:pPr>
            <w:r>
              <w:rPr/>
              <w:t>408</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VAT recoverable</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right"/>
              <w:rPr/>
            </w:pPr>
            <w:r>
              <w:rPr/>
              <w:t>362</w:t>
            </w:r>
          </w:p>
        </w:tc>
        <w:tc>
          <w:tcPr>
            <w:tcW w:w="67"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641" w:type="dxa"/>
            <w:tcBorders/>
            <w:shd w:fill="auto" w:val="clear"/>
            <w:vAlign w:val="center"/>
          </w:tcPr>
          <w:p>
            <w:pPr>
              <w:pStyle w:val="TableContents"/>
              <w:spacing w:before="0" w:after="283"/>
              <w:jc w:val="right"/>
              <w:rPr/>
            </w:pPr>
            <w:r>
              <w:rPr/>
              <w:t>387</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right"/>
              <w:rPr/>
            </w:pPr>
            <w:r>
              <w:rPr/>
              <w:t>107</w:t>
            </w:r>
          </w:p>
        </w:tc>
        <w:tc>
          <w:tcPr>
            <w:tcW w:w="67"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641" w:type="dxa"/>
            <w:tcBorders/>
            <w:shd w:fill="CCEEFF" w:val="clear"/>
            <w:vAlign w:val="center"/>
          </w:tcPr>
          <w:p>
            <w:pPr>
              <w:pStyle w:val="TableContents"/>
              <w:spacing w:before="0" w:after="283"/>
              <w:jc w:val="right"/>
              <w:rPr/>
            </w:pPr>
            <w:r>
              <w:rPr/>
              <w:t>624</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576"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64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576" w:type="dxa"/>
            <w:tcBorders/>
            <w:shd w:fill="auto" w:val="clear"/>
            <w:vAlign w:val="center"/>
          </w:tcPr>
          <w:p>
            <w:pPr>
              <w:pStyle w:val="TableContents"/>
              <w:spacing w:before="0" w:after="0"/>
              <w:jc w:val="right"/>
              <w:rPr>
                <w:b/>
                <w:spacing w:val="0"/>
              </w:rPr>
            </w:pPr>
            <w:r>
              <w:rPr>
                <w:b/>
                <w:spacing w:val="0"/>
              </w:rPr>
              <w:t>762</w:t>
            </w:r>
          </w:p>
        </w:tc>
        <w:tc>
          <w:tcPr>
            <w:tcW w:w="67" w:type="dxa"/>
            <w:tcBorders/>
            <w:shd w:fill="auto" w:val="clear"/>
            <w:vAlign w:val="center"/>
          </w:tcPr>
          <w:p>
            <w:pPr>
              <w:pStyle w:val="TableContents"/>
              <w:spacing w:before="0" w:after="0"/>
              <w:rPr>
                <w:spacing w:val="0"/>
              </w:rPr>
            </w:pPr>
            <w:r>
              <w:rPr>
                <w:spacing w:val="0"/>
              </w:rPr>
              <w:t> </w:t>
            </w:r>
          </w:p>
        </w:tc>
        <w:tc>
          <w:tcPr>
            <w:tcW w:w="13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spacing w:val="0"/>
              </w:rPr>
            </w:pPr>
            <w:r>
              <w:rPr>
                <w:spacing w:val="0"/>
              </w:rPr>
              <w:t> </w:t>
            </w:r>
          </w:p>
        </w:tc>
        <w:tc>
          <w:tcPr>
            <w:tcW w:w="641" w:type="dxa"/>
            <w:tcBorders/>
            <w:shd w:fill="auto" w:val="clear"/>
            <w:vAlign w:val="center"/>
          </w:tcPr>
          <w:p>
            <w:pPr>
              <w:pStyle w:val="TableContents"/>
              <w:spacing w:before="0" w:after="0"/>
              <w:jc w:val="right"/>
              <w:rPr>
                <w:b/>
                <w:spacing w:val="0"/>
              </w:rPr>
            </w:pPr>
            <w:r>
              <w:rPr>
                <w:b/>
                <w:spacing w:val="0"/>
              </w:rPr>
              <w:t>1,419</w:t>
            </w:r>
          </w:p>
        </w:tc>
        <w:tc>
          <w:tcPr>
            <w:tcW w:w="75" w:type="dxa"/>
            <w:tcBorders/>
            <w:shd w:fill="auto" w:val="clear"/>
            <w:vAlign w:val="center"/>
          </w:tcPr>
          <w:p>
            <w:pPr>
              <w:pStyle w:val="TableContents"/>
              <w:spacing w:before="0" w:after="0"/>
              <w:rPr>
                <w:spacing w:val="0"/>
              </w:rPr>
            </w:pPr>
            <w:r>
              <w:rPr>
                <w:spacing w:val="0"/>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double" w:sz="6" w:space="1" w:color="000000"/>
              </w:rPr>
            </w:pPr>
            <w:r>
              <w:rPr>
                <w:bdr w:val="double" w:sz="6" w:space="1" w:color="000000"/>
              </w:rPr>
              <w:t> </w:t>
            </w:r>
          </w:p>
        </w:tc>
        <w:tc>
          <w:tcPr>
            <w:tcW w:w="576" w:type="dxa"/>
            <w:tcBorders/>
            <w:shd w:fill="auto" w:val="clear"/>
            <w:vAlign w:val="center"/>
          </w:tcPr>
          <w:p>
            <w:pPr>
              <w:pStyle w:val="TableContents"/>
              <w:spacing w:before="0" w:after="0"/>
              <w:rPr>
                <w:bdr w:val="double" w:sz="6" w:space="1" w:color="000000"/>
              </w:rPr>
            </w:pPr>
            <w:r>
              <w:rPr>
                <w:bdr w:val="double" w:sz="6" w:space="1" w:color="000000"/>
              </w:rPr>
              <w:t> </w:t>
            </w:r>
          </w:p>
        </w:tc>
        <w:tc>
          <w:tcPr>
            <w:tcW w:w="67"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double" w:sz="6" w:space="1" w:color="000000"/>
              </w:rPr>
            </w:pPr>
            <w:r>
              <w:rPr>
                <w:bdr w:val="double" w:sz="6" w:space="1" w:color="000000"/>
              </w:rPr>
              <w:t> </w:t>
            </w:r>
          </w:p>
        </w:tc>
        <w:tc>
          <w:tcPr>
            <w:tcW w:w="64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4"/>
          <w:highlight w:val="white"/>
        </w:rPr>
      </w:pPr>
      <w:r>
        <w:rPr>
          <w:rFonts w:ascii="Times New Roman" w:hAnsi="Times New Roman"/>
          <w:b/>
          <w:sz w:val="24"/>
          <w:highlight w:val="white"/>
        </w:rPr>
        <w:t>16. Cash and short-term deposits</w:t>
      </w:r>
    </w:p>
    <w:p>
      <w:pPr>
        <w:pStyle w:val="TextBody"/>
        <w:spacing w:before="0" w:after="0"/>
        <w:ind w:left="0" w:right="0" w:hanging="0"/>
        <w:jc w:val="left"/>
        <w:rPr>
          <w:spacing w:val="0"/>
          <w:highlight w:val="white"/>
        </w:rPr>
      </w:pPr>
      <w:r>
        <w:rPr>
          <w:spacing w:val="0"/>
          <w:highlight w:val="white"/>
        </w:rPr>
        <w:t> </w:t>
      </w:r>
    </w:p>
    <w:tbl>
      <w:tblPr>
        <w:tblW w:w="3720" w:type="dxa"/>
        <w:jc w:val="left"/>
        <w:tblInd w:w="0" w:type="dxa"/>
        <w:tblCellMar>
          <w:top w:w="0" w:type="dxa"/>
          <w:left w:w="0" w:type="dxa"/>
          <w:bottom w:w="0" w:type="dxa"/>
          <w:right w:w="0" w:type="dxa"/>
        </w:tblCellMar>
      </w:tblPr>
      <w:tblGrid>
        <w:gridCol w:w="1865"/>
        <w:gridCol w:w="120"/>
        <w:gridCol w:w="60"/>
        <w:gridCol w:w="680"/>
        <w:gridCol w:w="60"/>
        <w:gridCol w:w="120"/>
        <w:gridCol w:w="60"/>
        <w:gridCol w:w="680"/>
        <w:gridCol w:w="75"/>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18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18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18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Cash</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5,230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93,727</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Short-term deposits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51,104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569</w:t>
            </w:r>
          </w:p>
        </w:tc>
        <w:tc>
          <w:tcPr>
            <w:tcW w:w="75"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56,334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94,296</w:t>
            </w:r>
          </w:p>
        </w:tc>
        <w:tc>
          <w:tcPr>
            <w:tcW w:w="75" w:type="dxa"/>
            <w:tcBorders/>
            <w:shd w:fill="CCEEFF" w:val="clear"/>
            <w:vAlign w:val="center"/>
          </w:tcPr>
          <w:p>
            <w:pPr>
              <w:pStyle w:val="TableContents"/>
              <w:spacing w:before="0" w:after="0"/>
              <w:rPr>
                <w:spacing w:val="0"/>
              </w:rPr>
            </w:pPr>
            <w:r>
              <w:rPr>
                <w:spacing w:val="0"/>
              </w:rPr>
              <w:t> </w:t>
            </w:r>
          </w:p>
        </w:tc>
      </w:tr>
      <w:tr>
        <w:trPr/>
        <w:tc>
          <w:tcPr>
            <w:tcW w:w="18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Short-term deposits are available immediately or within 90 days and earn interest at the respective short-term deposit rates. </w:t>
      </w:r>
    </w:p>
    <w:p>
      <w:pPr>
        <w:pStyle w:val="TextBody"/>
        <w:spacing w:before="360" w:after="0"/>
        <w:jc w:val="left"/>
        <w:rPr>
          <w:rFonts w:ascii="Times New Roman" w:hAnsi="Times New Roman"/>
          <w:b/>
          <w:sz w:val="24"/>
          <w:highlight w:val="white"/>
        </w:rPr>
      </w:pPr>
      <w:r>
        <w:rPr>
          <w:rFonts w:ascii="Times New Roman" w:hAnsi="Times New Roman"/>
          <w:b/>
          <w:sz w:val="24"/>
          <w:highlight w:val="white"/>
        </w:rPr>
        <w:t>17. Trade and other payables</w:t>
      </w:r>
    </w:p>
    <w:p>
      <w:pPr>
        <w:pStyle w:val="TextBody"/>
        <w:spacing w:before="0" w:after="0"/>
        <w:ind w:left="0" w:right="0" w:hanging="0"/>
        <w:jc w:val="left"/>
        <w:rPr>
          <w:spacing w:val="0"/>
          <w:highlight w:val="white"/>
        </w:rPr>
      </w:pPr>
      <w:r>
        <w:rPr>
          <w:spacing w:val="0"/>
          <w:highlight w:val="white"/>
        </w:rPr>
        <w:t> </w:t>
      </w:r>
    </w:p>
    <w:tbl>
      <w:tblPr>
        <w:tblW w:w="4605" w:type="dxa"/>
        <w:jc w:val="left"/>
        <w:tblInd w:w="0" w:type="dxa"/>
        <w:tblCellMar>
          <w:top w:w="0" w:type="dxa"/>
          <w:left w:w="0" w:type="dxa"/>
          <w:bottom w:w="0" w:type="dxa"/>
          <w:right w:w="0" w:type="dxa"/>
        </w:tblCellMar>
      </w:tblPr>
      <w:tblGrid>
        <w:gridCol w:w="2900"/>
        <w:gridCol w:w="120"/>
        <w:gridCol w:w="64"/>
        <w:gridCol w:w="601"/>
        <w:gridCol w:w="60"/>
        <w:gridCol w:w="120"/>
        <w:gridCol w:w="64"/>
        <w:gridCol w:w="601"/>
        <w:gridCol w:w="75"/>
      </w:tblGrid>
      <w:tr>
        <w:trPr/>
        <w:tc>
          <w:tcPr>
            <w:tcW w:w="29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1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Trade payables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2,886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2,285</w:t>
            </w:r>
          </w:p>
        </w:tc>
        <w:tc>
          <w:tcPr>
            <w:tcW w:w="75" w:type="dxa"/>
            <w:tcBorders/>
            <w:shd w:fill="CCEEFF"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Social security and other taxes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190</w:t>
            </w:r>
          </w:p>
        </w:tc>
        <w:tc>
          <w:tcPr>
            <w:tcW w:w="75" w:type="dxa"/>
            <w:tcBorders/>
            <w:shd w:fill="auto"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payables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24</w:t>
            </w:r>
          </w:p>
        </w:tc>
        <w:tc>
          <w:tcPr>
            <w:tcW w:w="75" w:type="dxa"/>
            <w:tcBorders/>
            <w:shd w:fill="CCEEFF"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3,078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2,499</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Trade and other payables are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non-interest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bearing and have an average term of one month.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b/>
          <w:sz w:val="24"/>
          <w:highlight w:val="white"/>
        </w:rPr>
      </w:pPr>
      <w:r>
        <w:rPr>
          <w:rFonts w:ascii="Times New Roman" w:hAnsi="Times New Roman"/>
          <w:b/>
          <w:sz w:val="24"/>
          <w:highlight w:val="white"/>
        </w:rPr>
        <w:t>18. Provisions</w:t>
      </w:r>
    </w:p>
    <w:p>
      <w:pPr>
        <w:pStyle w:val="TextBody"/>
        <w:spacing w:before="0" w:after="0"/>
        <w:ind w:left="0" w:right="0" w:hanging="0"/>
        <w:jc w:val="left"/>
        <w:rPr>
          <w:spacing w:val="0"/>
          <w:highlight w:val="white"/>
        </w:rPr>
      </w:pPr>
      <w:r>
        <w:rPr>
          <w:spacing w:val="0"/>
          <w:highlight w:val="white"/>
        </w:rPr>
        <w:t> </w:t>
      </w:r>
    </w:p>
    <w:tbl>
      <w:tblPr>
        <w:tblW w:w="6585" w:type="dxa"/>
        <w:jc w:val="left"/>
        <w:tblInd w:w="0" w:type="dxa"/>
        <w:tblCellMar>
          <w:top w:w="0" w:type="dxa"/>
          <w:left w:w="0" w:type="dxa"/>
          <w:bottom w:w="0" w:type="dxa"/>
          <w:right w:w="0" w:type="dxa"/>
        </w:tblCellMar>
      </w:tblPr>
      <w:tblGrid>
        <w:gridCol w:w="4880"/>
        <w:gridCol w:w="120"/>
        <w:gridCol w:w="64"/>
        <w:gridCol w:w="601"/>
        <w:gridCol w:w="60"/>
        <w:gridCol w:w="120"/>
        <w:gridCol w:w="64"/>
        <w:gridCol w:w="601"/>
        <w:gridCol w:w="75"/>
      </w:tblGrid>
      <w:tr>
        <w:trPr/>
        <w:tc>
          <w:tcPr>
            <w:tcW w:w="4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1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8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48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488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Social security contribution on vested share options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Provision for deferred cash consideration</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4,634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4,123</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Restructuring</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179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4,822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4,123</w:t>
            </w:r>
          </w:p>
        </w:tc>
        <w:tc>
          <w:tcPr>
            <w:tcW w:w="75" w:type="dxa"/>
            <w:tcBorders/>
            <w:shd w:fill="auto" w:val="clear"/>
            <w:vAlign w:val="center"/>
          </w:tcPr>
          <w:p>
            <w:pPr>
              <w:pStyle w:val="TableContents"/>
              <w:spacing w:before="0" w:after="0"/>
              <w:rPr>
                <w:spacing w:val="0"/>
              </w:rPr>
            </w:pPr>
            <w:r>
              <w:rPr>
                <w:spacing w:val="0"/>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Current</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4,822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2,803</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Non-current</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1,320</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tbl>
      <w:tblPr>
        <w:tblW w:w="8100" w:type="dxa"/>
        <w:jc w:val="left"/>
        <w:tblInd w:w="0" w:type="dxa"/>
        <w:tblCellMar>
          <w:top w:w="0" w:type="dxa"/>
          <w:left w:w="0" w:type="dxa"/>
          <w:bottom w:w="0" w:type="dxa"/>
          <w:right w:w="0" w:type="dxa"/>
        </w:tblCellMar>
      </w:tblPr>
      <w:tblGrid>
        <w:gridCol w:w="2465"/>
        <w:gridCol w:w="120"/>
        <w:gridCol w:w="240"/>
        <w:gridCol w:w="1820"/>
        <w:gridCol w:w="155"/>
        <w:gridCol w:w="120"/>
        <w:gridCol w:w="139"/>
        <w:gridCol w:w="1306"/>
        <w:gridCol w:w="95"/>
        <w:gridCol w:w="120"/>
        <w:gridCol w:w="197"/>
        <w:gridCol w:w="1248"/>
        <w:gridCol w:w="75"/>
      </w:tblGrid>
      <w:tr>
        <w:trPr/>
        <w:tc>
          <w:tcPr>
            <w:tcW w:w="24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Social security</w:t>
              <w:br/>
              <w:t>contribution on</w:t>
              <w:br/>
              <w:t>vested share options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 cash</w:t>
              <w:br/>
              <w:t>consideration</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Restructuring</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January 1, 2021</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0"/>
              <w:rPr>
                <w:spacing w:val="0"/>
              </w:rPr>
            </w:pPr>
            <w:r>
              <w:rPr>
                <w:spacing w:val="0"/>
              </w:rPr>
              <w:t> </w:t>
            </w:r>
          </w:p>
        </w:tc>
        <w:tc>
          <w:tcPr>
            <w:tcW w:w="1820" w:type="dxa"/>
            <w:tcBorders/>
            <w:shd w:fill="CCEEFF" w:val="clear"/>
            <w:vAlign w:val="center"/>
          </w:tcPr>
          <w:p>
            <w:pPr>
              <w:pStyle w:val="TableContents"/>
              <w:spacing w:before="0" w:after="0"/>
              <w:jc w:val="right"/>
              <w:rPr>
                <w:b/>
                <w:spacing w:val="0"/>
              </w:rPr>
            </w:pPr>
            <w:r>
              <w:rPr>
                <w:b/>
                <w:spacing w:val="0"/>
              </w:rPr>
              <w:t>109</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0"/>
              <w:rPr>
                <w:spacing w:val="0"/>
              </w:rPr>
            </w:pPr>
            <w:r>
              <w:rPr>
                <w:spacing w:val="0"/>
              </w:rPr>
              <w:t> </w:t>
            </w:r>
          </w:p>
        </w:tc>
        <w:tc>
          <w:tcPr>
            <w:tcW w:w="1306" w:type="dxa"/>
            <w:tcBorders/>
            <w:shd w:fill="CCEEFF" w:val="clear"/>
            <w:vAlign w:val="center"/>
          </w:tcPr>
          <w:p>
            <w:pPr>
              <w:pStyle w:val="TableContents"/>
              <w:spacing w:before="0" w:after="0"/>
              <w:jc w:val="right"/>
              <w:rPr>
                <w:b/>
                <w:spacing w:val="0"/>
              </w:rPr>
            </w:pPr>
            <w:r>
              <w:rPr>
                <w:b/>
                <w:spacing w:val="0"/>
              </w:rPr>
              <w:t>1,525</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0"/>
              <w:rPr>
                <w:spacing w:val="0"/>
              </w:rPr>
            </w:pPr>
            <w:r>
              <w:rPr>
                <w:spacing w:val="0"/>
              </w:rPr>
              <w:t> </w:t>
            </w:r>
          </w:p>
        </w:tc>
        <w:tc>
          <w:tcPr>
            <w:tcW w:w="1248" w:type="dxa"/>
            <w:tcBorders/>
            <w:shd w:fill="CCEEFF" w:val="clear"/>
            <w:vAlign w:val="center"/>
          </w:tcPr>
          <w:p>
            <w:pPr>
              <w:pStyle w:val="TableContents"/>
              <w:spacing w:before="0" w:after="0"/>
              <w:jc w:val="right"/>
              <w:rPr>
                <w:spacing w:val="0"/>
              </w:rPr>
            </w:pPr>
            <w:r>
              <w:rPr>
                <w:spacing w:val="0"/>
              </w:rPr>
              <w:t>—  </w:t>
            </w:r>
          </w:p>
        </w:tc>
        <w:tc>
          <w:tcPr>
            <w:tcW w:w="75" w:type="dxa"/>
            <w:tcBorders/>
            <w:shd w:fill="CCEEFF" w:val="clear"/>
            <w:vAlign w:val="center"/>
          </w:tcPr>
          <w:p>
            <w:pPr>
              <w:pStyle w:val="TableContents"/>
              <w:spacing w:before="0" w:after="0"/>
              <w:rPr>
                <w:spacing w:val="0"/>
              </w:rPr>
            </w:pPr>
            <w:r>
              <w:rPr>
                <w:spacing w:val="0"/>
              </w:rPr>
              <w:t> </w:t>
            </w:r>
          </w:p>
        </w:tc>
      </w:tr>
      <w:tr>
        <w:trPr/>
        <w:tc>
          <w:tcPr>
            <w:tcW w:w="24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Arising/(released) during </w:t>
              <w:br/>
              <w:t>the year, net</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jc w:val="right"/>
              <w:rPr/>
            </w:pPr>
            <w:r>
              <w:rPr/>
              <w:t>(109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 xml:space="preserve">Increase in provision due </w:t>
              <w:br/>
              <w:t xml:space="preserve">to the unwinding of </w:t>
              <w:br/>
              <w:t xml:space="preserve">the time value of </w:t>
              <w:br/>
              <w:t>money</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8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306" w:type="dxa"/>
            <w:tcBorders/>
            <w:shd w:fill="CCEEFF" w:val="clear"/>
            <w:vAlign w:val="center"/>
          </w:tcPr>
          <w:p>
            <w:pPr>
              <w:pStyle w:val="TableContents"/>
              <w:spacing w:before="0" w:after="283"/>
              <w:jc w:val="right"/>
              <w:rPr/>
            </w:pPr>
            <w:r>
              <w:rPr/>
              <w:t>225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24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Increase in provision due </w:t>
              <w:br/>
              <w:t xml:space="preserve">to a change in </w:t>
              <w:br/>
              <w:t xml:space="preserve">estimates relating to </w:t>
              <w:br/>
              <w:t xml:space="preserve">timelines and </w:t>
              <w:br/>
              <w:t xml:space="preserve">probabilities of </w:t>
              <w:br/>
              <w:t xml:space="preserve">contractual milestones </w:t>
              <w:br/>
              <w:t xml:space="preserve">being achieved </w:t>
              <w:br/>
              <w:t xml:space="preserve">(revision to intangible </w:t>
              <w:br/>
              <w:t>asset, see Note 13)</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jc w:val="right"/>
              <w:rPr/>
            </w:pPr>
            <w:r>
              <w:rPr/>
              <w:t>2,373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rPr>
                <w:bdr w:val="single" w:sz="2" w:space="1" w:color="000000"/>
              </w:rPr>
            </w:pPr>
            <w:r>
              <w:rPr>
                <w:bdr w:val="single" w:sz="2" w:space="1" w:color="000000"/>
              </w:rPr>
              <w:t> </w:t>
            </w:r>
          </w:p>
        </w:tc>
        <w:tc>
          <w:tcPr>
            <w:tcW w:w="18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0"/>
              <w:rPr>
                <w:bdr w:val="single" w:sz="2" w:space="1" w:color="000000"/>
              </w:rPr>
            </w:pPr>
            <w:r>
              <w:rPr>
                <w:bdr w:val="single" w:sz="2" w:space="1" w:color="000000"/>
              </w:rPr>
              <w:t> </w:t>
            </w:r>
          </w:p>
        </w:tc>
        <w:tc>
          <w:tcPr>
            <w:tcW w:w="1306"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single" w:sz="2" w:space="1" w:color="000000"/>
              </w:rPr>
            </w:pPr>
            <w:r>
              <w:rPr>
                <w:bdr w:val="single" w:sz="2" w:space="1" w:color="000000"/>
              </w:rPr>
              <w:t> </w:t>
            </w:r>
          </w:p>
        </w:tc>
        <w:tc>
          <w:tcPr>
            <w:tcW w:w="1248"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0"/>
              <w:rPr>
                <w:spacing w:val="0"/>
              </w:rPr>
            </w:pPr>
            <w:r>
              <w:rPr>
                <w:spacing w:val="0"/>
              </w:rPr>
              <w:t> </w:t>
            </w:r>
          </w:p>
        </w:tc>
        <w:tc>
          <w:tcPr>
            <w:tcW w:w="1820"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0"/>
              <w:rPr>
                <w:spacing w:val="0"/>
              </w:rPr>
            </w:pPr>
            <w:r>
              <w:rPr>
                <w:spacing w:val="0"/>
              </w:rPr>
              <w:t> </w:t>
            </w:r>
          </w:p>
        </w:tc>
        <w:tc>
          <w:tcPr>
            <w:tcW w:w="1306" w:type="dxa"/>
            <w:tcBorders/>
            <w:shd w:fill="CCEEFF" w:val="clear"/>
            <w:vAlign w:val="center"/>
          </w:tcPr>
          <w:p>
            <w:pPr>
              <w:pStyle w:val="TableContents"/>
              <w:spacing w:before="0" w:after="0"/>
              <w:jc w:val="right"/>
              <w:rPr>
                <w:b/>
                <w:spacing w:val="0"/>
              </w:rPr>
            </w:pPr>
            <w:r>
              <w:rPr>
                <w:b/>
                <w:spacing w:val="0"/>
              </w:rPr>
              <w:t>4,123</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0"/>
              <w:rPr>
                <w:spacing w:val="0"/>
              </w:rPr>
            </w:pPr>
            <w:r>
              <w:rPr>
                <w:spacing w:val="0"/>
              </w:rPr>
              <w:t> </w:t>
            </w:r>
          </w:p>
        </w:tc>
        <w:tc>
          <w:tcPr>
            <w:tcW w:w="1248" w:type="dxa"/>
            <w:tcBorders/>
            <w:shd w:fill="CCEEFF" w:val="clear"/>
            <w:vAlign w:val="center"/>
          </w:tcPr>
          <w:p>
            <w:pPr>
              <w:pStyle w:val="TableContents"/>
              <w:spacing w:before="0" w:after="0"/>
              <w:jc w:val="right"/>
              <w:rPr>
                <w:spacing w:val="0"/>
              </w:rPr>
            </w:pPr>
            <w:r>
              <w:rPr>
                <w:spacing w:val="0"/>
              </w:rPr>
              <w:t>—  </w:t>
            </w:r>
          </w:p>
        </w:tc>
        <w:tc>
          <w:tcPr>
            <w:tcW w:w="75" w:type="dxa"/>
            <w:tcBorders/>
            <w:shd w:fill="CCEEFF" w:val="clear"/>
            <w:vAlign w:val="center"/>
          </w:tcPr>
          <w:p>
            <w:pPr>
              <w:pStyle w:val="TableContents"/>
              <w:spacing w:before="0" w:after="0"/>
              <w:rPr>
                <w:spacing w:val="0"/>
              </w:rPr>
            </w:pPr>
            <w:r>
              <w:rPr>
                <w:spacing w:val="0"/>
              </w:rPr>
              <w:t> </w:t>
            </w:r>
          </w:p>
        </w:tc>
      </w:tr>
      <w:tr>
        <w:trPr/>
        <w:tc>
          <w:tcPr>
            <w:tcW w:w="2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rPr>
                <w:bdr w:val="double" w:sz="6" w:space="1" w:color="000000"/>
              </w:rPr>
            </w:pPr>
            <w:r>
              <w:rPr>
                <w:bdr w:val="double" w:sz="6" w:space="1" w:color="000000"/>
              </w:rPr>
              <w:t> </w:t>
            </w:r>
          </w:p>
        </w:tc>
        <w:tc>
          <w:tcPr>
            <w:tcW w:w="18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0"/>
              <w:rPr>
                <w:bdr w:val="double" w:sz="6" w:space="1" w:color="000000"/>
              </w:rPr>
            </w:pPr>
            <w:r>
              <w:rPr>
                <w:bdr w:val="double" w:sz="6" w:space="1" w:color="000000"/>
              </w:rPr>
              <w:t> </w:t>
            </w:r>
          </w:p>
        </w:tc>
        <w:tc>
          <w:tcPr>
            <w:tcW w:w="1306"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double" w:sz="6" w:space="1" w:color="000000"/>
              </w:rPr>
            </w:pPr>
            <w:r>
              <w:rPr>
                <w:bdr w:val="double" w:sz="6" w:space="1" w:color="000000"/>
              </w:rPr>
              <w:t> </w:t>
            </w:r>
          </w:p>
        </w:tc>
        <w:tc>
          <w:tcPr>
            <w:tcW w:w="1248"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Arising/(released) during </w:t>
              <w:br/>
              <w:t>the year, net</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jc w:val="right"/>
              <w:rPr/>
            </w:pPr>
            <w:r>
              <w:rPr/>
              <w:t>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jc w:val="right"/>
              <w:rPr/>
            </w:pPr>
            <w:r>
              <w:rPr/>
              <w:t>179</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 xml:space="preserve">Increase in provision due </w:t>
              <w:br/>
              <w:t xml:space="preserve">to the unwinding of </w:t>
              <w:br/>
              <w:t xml:space="preserve">the time value of </w:t>
              <w:br/>
              <w:t>money</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8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306" w:type="dxa"/>
            <w:tcBorders/>
            <w:shd w:fill="CCEEFF" w:val="clear"/>
            <w:vAlign w:val="center"/>
          </w:tcPr>
          <w:p>
            <w:pPr>
              <w:pStyle w:val="TableContents"/>
              <w:spacing w:before="0" w:after="283"/>
              <w:jc w:val="right"/>
              <w:rPr/>
            </w:pPr>
            <w:r>
              <w:rPr/>
              <w:t>451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24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Increase in provision due </w:t>
              <w:br/>
              <w:t xml:space="preserve">to changes in foreign </w:t>
              <w:br/>
              <w:t>exchange rates</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jc w:val="right"/>
              <w:rPr/>
            </w:pPr>
            <w:r>
              <w:rPr/>
              <w:t>508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0"/>
              <w:rPr>
                <w:rFonts w:ascii="Times New Roman;serif" w:hAnsi="Times New Roman;serif"/>
                <w:spacing w:val="0"/>
                <w:sz w:val="24"/>
              </w:rPr>
            </w:pPr>
            <w:r>
              <w:rPr>
                <w:rFonts w:ascii="Times New Roman;serif" w:hAnsi="Times New Roman;serif"/>
                <w:spacing w:val="0"/>
                <w:sz w:val="24"/>
              </w:rPr>
              <w:t>Decrease</w:t>
            </w:r>
          </w:p>
          <w:p>
            <w:pPr>
              <w:pStyle w:val="TableContents"/>
              <w:spacing w:before="0" w:after="0"/>
              <w:rPr>
                <w:rFonts w:ascii="Times New Roman" w:hAnsi="Times New Roman"/>
                <w:sz w:val="24"/>
              </w:rPr>
            </w:pPr>
            <w:r>
              <w:rPr>
                <w:rFonts w:ascii="Times New Roman" w:hAnsi="Times New Roman"/>
                <w:sz w:val="24"/>
              </w:rPr>
              <w:t xml:space="preserve">in provision </w:t>
              <w:br/>
              <w:t>due</w:t>
            </w:r>
          </w:p>
          <w:p>
            <w:pPr>
              <w:pStyle w:val="TableContents"/>
              <w:spacing w:before="0" w:after="0"/>
              <w:rPr/>
            </w:pPr>
            <w:r>
              <w:rPr/>
              <w:t> </w:t>
            </w:r>
          </w:p>
          <w:p>
            <w:pPr>
              <w:pStyle w:val="TableContents"/>
              <w:spacing w:before="0" w:after="0"/>
              <w:rPr>
                <w:rFonts w:ascii="Times New Roman" w:hAnsi="Times New Roman"/>
                <w:sz w:val="24"/>
              </w:rPr>
            </w:pPr>
            <w:r>
              <w:rPr>
                <w:rFonts w:ascii="Times New Roman" w:hAnsi="Times New Roman"/>
                <w:sz w:val="24"/>
              </w:rPr>
              <w:t>to a change</w:t>
            </w:r>
          </w:p>
          <w:p>
            <w:pPr>
              <w:pStyle w:val="TableContents"/>
              <w:spacing w:before="0" w:after="0"/>
              <w:rPr/>
            </w:pPr>
            <w:r>
              <w:rPr/>
              <w:t> </w:t>
            </w:r>
          </w:p>
          <w:p>
            <w:pPr>
              <w:pStyle w:val="TableContents"/>
              <w:spacing w:before="0" w:after="0"/>
              <w:rPr>
                <w:rFonts w:ascii="Times New Roman" w:hAnsi="Times New Roman"/>
                <w:sz w:val="24"/>
              </w:rPr>
            </w:pPr>
            <w:r>
              <w:rPr>
                <w:rFonts w:ascii="Times New Roman" w:hAnsi="Times New Roman"/>
                <w:sz w:val="24"/>
              </w:rPr>
              <w:t xml:space="preserve">in </w:t>
              <w:br/>
              <w:t xml:space="preserve">estimates relating to </w:t>
              <w:br/>
              <w:t xml:space="preserve">timeline and </w:t>
              <w:br/>
              <w:t xml:space="preserve">probabilities of </w:t>
              <w:br/>
              <w:t xml:space="preserve">contractual milestones </w:t>
              <w:br/>
              <w:t xml:space="preserve">being achieved </w:t>
              <w:br/>
              <w:t xml:space="preserve">(revision to intangible </w:t>
              <w:br/>
              <w:t>asset, see Note 13)</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8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306" w:type="dxa"/>
            <w:tcBorders/>
            <w:shd w:fill="CCEEFF" w:val="clear"/>
            <w:vAlign w:val="center"/>
          </w:tcPr>
          <w:p>
            <w:pPr>
              <w:pStyle w:val="TableContents"/>
              <w:spacing w:before="0" w:after="283"/>
              <w:jc w:val="right"/>
              <w:rPr/>
            </w:pPr>
            <w:r>
              <w:rPr/>
              <w:t>(448</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24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rPr>
                <w:bdr w:val="single" w:sz="2" w:space="1" w:color="000000"/>
              </w:rPr>
            </w:pPr>
            <w:r>
              <w:rPr>
                <w:bdr w:val="single" w:sz="2" w:space="1" w:color="000000"/>
              </w:rPr>
              <w:t> </w:t>
            </w:r>
          </w:p>
        </w:tc>
        <w:tc>
          <w:tcPr>
            <w:tcW w:w="18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0"/>
              <w:rPr>
                <w:bdr w:val="single" w:sz="2" w:space="1" w:color="000000"/>
              </w:rPr>
            </w:pPr>
            <w:r>
              <w:rPr>
                <w:bdr w:val="single" w:sz="2" w:space="1" w:color="000000"/>
              </w:rPr>
              <w:t> </w:t>
            </w:r>
          </w:p>
        </w:tc>
        <w:tc>
          <w:tcPr>
            <w:tcW w:w="1306"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single" w:sz="2" w:space="1" w:color="000000"/>
              </w:rPr>
            </w:pPr>
            <w:r>
              <w:rPr>
                <w:bdr w:val="single" w:sz="2" w:space="1" w:color="000000"/>
              </w:rPr>
              <w:t> </w:t>
            </w:r>
          </w:p>
        </w:tc>
        <w:tc>
          <w:tcPr>
            <w:tcW w:w="1248"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rPr>
                <w:spacing w:val="0"/>
              </w:rPr>
            </w:pPr>
            <w:r>
              <w:rPr>
                <w:spacing w:val="0"/>
              </w:rPr>
              <w:t> </w:t>
            </w:r>
          </w:p>
        </w:tc>
        <w:tc>
          <w:tcPr>
            <w:tcW w:w="1820" w:type="dxa"/>
            <w:tcBorders/>
            <w:shd w:fill="auto" w:val="clear"/>
            <w:vAlign w:val="center"/>
          </w:tcPr>
          <w:p>
            <w:pPr>
              <w:pStyle w:val="TableContents"/>
              <w:spacing w:before="0" w:after="0"/>
              <w:jc w:val="right"/>
              <w:rPr>
                <w:b/>
                <w:spacing w:val="0"/>
              </w:rPr>
            </w:pPr>
            <w:r>
              <w:rPr>
                <w:b/>
                <w:spacing w:val="0"/>
              </w:rPr>
              <w:t>9</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0"/>
              <w:rPr>
                <w:spacing w:val="0"/>
              </w:rPr>
            </w:pPr>
            <w:r>
              <w:rPr>
                <w:spacing w:val="0"/>
              </w:rPr>
              <w:t> </w:t>
            </w:r>
          </w:p>
        </w:tc>
        <w:tc>
          <w:tcPr>
            <w:tcW w:w="1306" w:type="dxa"/>
            <w:tcBorders/>
            <w:shd w:fill="auto" w:val="clear"/>
            <w:vAlign w:val="center"/>
          </w:tcPr>
          <w:p>
            <w:pPr>
              <w:pStyle w:val="TableContents"/>
              <w:spacing w:before="0" w:after="0"/>
              <w:jc w:val="right"/>
              <w:rPr>
                <w:b/>
                <w:spacing w:val="0"/>
              </w:rPr>
            </w:pPr>
            <w:r>
              <w:rPr>
                <w:b/>
                <w:spacing w:val="0"/>
              </w:rPr>
              <w:t>4,634</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spacing w:val="0"/>
              </w:rPr>
            </w:pPr>
            <w:r>
              <w:rPr>
                <w:spacing w:val="0"/>
              </w:rPr>
              <w:t> </w:t>
            </w:r>
          </w:p>
        </w:tc>
        <w:tc>
          <w:tcPr>
            <w:tcW w:w="1248" w:type="dxa"/>
            <w:tcBorders/>
            <w:shd w:fill="auto" w:val="clear"/>
            <w:vAlign w:val="center"/>
          </w:tcPr>
          <w:p>
            <w:pPr>
              <w:pStyle w:val="TableContents"/>
              <w:spacing w:before="0" w:after="0"/>
              <w:jc w:val="right"/>
              <w:rPr>
                <w:b/>
                <w:spacing w:val="0"/>
              </w:rPr>
            </w:pPr>
            <w:r>
              <w:rPr>
                <w:b/>
                <w:spacing w:val="0"/>
              </w:rPr>
              <w:t>179</w:t>
            </w:r>
          </w:p>
        </w:tc>
        <w:tc>
          <w:tcPr>
            <w:tcW w:w="75" w:type="dxa"/>
            <w:tcBorders/>
            <w:shd w:fill="auto" w:val="clear"/>
            <w:vAlign w:val="center"/>
          </w:tcPr>
          <w:p>
            <w:pPr>
              <w:pStyle w:val="TableContents"/>
              <w:spacing w:before="0" w:after="0"/>
              <w:rPr>
                <w:spacing w:val="0"/>
              </w:rPr>
            </w:pPr>
            <w:r>
              <w:rPr>
                <w:spacing w:val="0"/>
              </w:rPr>
              <w:t> </w:t>
            </w:r>
          </w:p>
        </w:tc>
      </w:tr>
      <w:tr>
        <w:trPr/>
        <w:tc>
          <w:tcPr>
            <w:tcW w:w="2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rPr>
                <w:bdr w:val="double" w:sz="6" w:space="1" w:color="000000"/>
              </w:rPr>
            </w:pPr>
            <w:r>
              <w:rPr>
                <w:bdr w:val="double" w:sz="6" w:space="1" w:color="000000"/>
              </w:rPr>
              <w:t> </w:t>
            </w:r>
          </w:p>
        </w:tc>
        <w:tc>
          <w:tcPr>
            <w:tcW w:w="18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0"/>
              <w:rPr>
                <w:bdr w:val="double" w:sz="6" w:space="1" w:color="000000"/>
              </w:rPr>
            </w:pPr>
            <w:r>
              <w:rPr>
                <w:bdr w:val="double" w:sz="6" w:space="1" w:color="000000"/>
              </w:rPr>
              <w:t> </w:t>
            </w:r>
          </w:p>
        </w:tc>
        <w:tc>
          <w:tcPr>
            <w:tcW w:w="1306"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double" w:sz="6" w:space="1" w:color="000000"/>
              </w:rPr>
            </w:pPr>
            <w:r>
              <w:rPr>
                <w:bdr w:val="double" w:sz="6" w:space="1" w:color="000000"/>
              </w:rPr>
              <w:t> </w:t>
            </w:r>
          </w:p>
        </w:tc>
        <w:tc>
          <w:tcPr>
            <w:tcW w:w="1248"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The provision for social security contributions on share options is calculated based on the number of vested options outstanding at the reporting date that are expected to be exercised. The provision is based on the estimated taxable gain arising on exercise of the share options, using the best estimate of the market price at the balance sheet date</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deferred cash consideration is the estimate of the quantifiable but not certain future cash payment obligations due to AstraZeneca for the acquisition of certain assets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(see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Note 13). This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F-32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sz w:val="24"/>
          <w:highlight w:val="white"/>
        </w:rPr>
      </w:pPr>
      <w:r>
        <w:rPr>
          <w:rFonts w:ascii="Times New Roman" w:hAnsi="Times New Roman"/>
          <w:sz w:val="24"/>
          <w:highlight w:val="white"/>
        </w:rPr>
        <w:t xml:space="preserve">provision is calculated as the risk-adjusted net present value of future cash payments to be made by the Company. The payments are dependent on reaching certain milestones based on the commencement and outcome of clinical trials. The likelihood of achieving such milestones is reviewed at the balance sheet date and increased or decreased as appropriate. </w:t>
      </w:r>
    </w:p>
    <w:p>
      <w:pPr>
        <w:pStyle w:val="TextBody"/>
        <w:spacing w:before="240" w:after="0"/>
        <w:jc w:val="left"/>
        <w:rPr>
          <w:rFonts w:ascii="Times New Roman" w:hAnsi="Times New Roman"/>
          <w:sz w:val="24"/>
          <w:highlight w:val="white"/>
        </w:rPr>
      </w:pPr>
      <w:r>
        <w:rPr>
          <w:rFonts w:ascii="Times New Roman" w:hAnsi="Times New Roman"/>
          <w:sz w:val="24"/>
          <w:highlight w:val="white"/>
        </w:rPr>
        <w:t>In October 2022, the Company announced an updated operating plan, including a targeted reduction in the employee base of up to 40</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 and a significant reduction in other costs. In connection with the implementation of the operating plan, restructuring costs primarily relating to employee severance and other termination benefits of £0.2 million were paid during the year and as of December 31, 2022, the remaining provision is £0.2 million.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19. Private placement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On June 3, 2020, the Company completed a £56 million private placement transaction which comprised of the issuance of 89,144,630 ordinary shares of £0.003 each at a price of £0.174 per share for total proceeds of £15.5 million, and the issue of Tranche 1 convertible loan notes (the “Loan Notes”) for total proceeds of £40.5 million. The investors also received conditional warrants to subscribe for an additional 161,048,366 ordinary shares (the “Warrants”).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terms of the Loan Notes and Warrants, and, in particular, their ability to be converted into ordinary shares was conditional on the passing of certain resolutions (the “Resolutions”) at a subsequent general meeting of shareholders held on June 30, 2020. At that date, the Resolutions were passed, and the Loan Notes became convertible into ordinary shares. </w:t>
      </w:r>
    </w:p>
    <w:p>
      <w:pPr>
        <w:pStyle w:val="TextBody"/>
        <w:spacing w:before="360" w:after="0"/>
        <w:ind w:left="0" w:right="0" w:hanging="0"/>
        <w:jc w:val="left"/>
        <w:rPr>
          <w:rFonts w:ascii="Times New Roman" w:hAnsi="Times New Roman"/>
          <w:spacing w:val="0"/>
          <w:sz w:val="24"/>
          <w:highlight w:val="white"/>
          <w:u w:val="single"/>
        </w:rPr>
      </w:pPr>
      <w:r>
        <w:rPr>
          <w:rFonts w:ascii="Times New Roman" w:hAnsi="Times New Roman"/>
          <w:spacing w:val="0"/>
          <w:sz w:val="24"/>
          <w:highlight w:val="white"/>
          <w:u w:val="single"/>
        </w:rPr>
        <w:t xml:space="preserve">Loan Notes </w:t>
      </w:r>
    </w:p>
    <w:p>
      <w:pPr>
        <w:pStyle w:val="TextBody"/>
        <w:spacing w:before="120" w:after="0"/>
        <w:jc w:val="left"/>
        <w:rPr>
          <w:rFonts w:ascii="Times New Roman" w:hAnsi="Times New Roman"/>
          <w:sz w:val="24"/>
          <w:highlight w:val="white"/>
        </w:rPr>
      </w:pPr>
      <w:r>
        <w:rPr>
          <w:rFonts w:ascii="Times New Roman" w:hAnsi="Times New Roman"/>
          <w:sz w:val="24"/>
          <w:highlight w:val="white"/>
        </w:rPr>
        <w:t>The Loan Notes bear interest at a rate of 6% per annum and have an initial maturity date of June</w:t>
      </w:r>
    </w:p>
    <w:p>
      <w:pPr>
        <w:pStyle w:val="TextBody"/>
        <w:spacing w:before="120" w:after="0"/>
        <w:jc w:val="left"/>
        <w:rPr>
          <w:spacing w:val="0"/>
          <w:highlight w:val="white"/>
        </w:rPr>
      </w:pPr>
      <w:r>
        <w:rPr>
          <w:spacing w:val="0"/>
          <w:highlight w:val="white"/>
        </w:rPr>
        <w:t> </w:t>
      </w:r>
      <w:r>
        <w:rPr>
          <w:rFonts w:ascii="Times New Roman" w:hAnsi="Times New Roman"/>
          <w:spacing w:val="0"/>
          <w:sz w:val="24"/>
          <w:highlight w:val="white"/>
        </w:rPr>
        <w:t>30,</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2023. The Loan Notes are convertible into ordinary shares at the discretion of the holder and, if not converted by the initial maturity date, may be extended for an additional seven years, but will cease to bear interest from any extension date. The Loan Notes were initially recognized at their fair value of £38.6 million (debt host instrument in the amount of £26.7 million and the embedded derivative in the amount of £11.9 million, before transaction costs).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Loan Notes in an aggregate principal amount of £40.5 million were issued on June 3, 2020 and became convertible upon the passing of the Resolutions. As a result, on June 30, 2020, Loan Notes in an aggregate principal amount of £21.8 million, together with accrued interest, were automatically converted into 125,061,475 ordinary shares, and Loan Notes in an aggregate principal amount of £18.9 million remained outstanding as of December 31, 2020. See Note 21.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During the year ended December 31, 2022, the Company issued and allotted 40,020,280 ordinary shares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(2021: 40,397,976 ordinary shares) </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at a price of £0.174 per share on conversion of Loan Notes. As of December 31, 2022, Loan Notes in an aggregate principal amount of £6.2 million (2021: </w:t>
      </w:r>
    </w:p>
    <w:p>
      <w:pPr>
        <w:pStyle w:val="TextBody"/>
        <w:spacing w:before="240" w:after="0"/>
        <w:jc w:val="left"/>
        <w:rPr>
          <w:rFonts w:ascii="Times New Roman" w:hAnsi="Times New Roman"/>
          <w:sz w:val="24"/>
          <w:highlight w:val="white"/>
        </w:rPr>
      </w:pPr>
      <w:r>
        <w:rPr>
          <w:rFonts w:ascii="Times New Roman" w:hAnsi="Times New Roman"/>
          <w:sz w:val="24"/>
          <w:highlight w:val="white"/>
        </w:rPr>
        <w:t>£12.4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million) remain outstanding. </w:t>
      </w:r>
    </w:p>
    <w:p>
      <w:pPr>
        <w:pStyle w:val="TextBody"/>
        <w:spacing w:before="360" w:after="0"/>
        <w:ind w:left="0" w:right="0" w:hanging="0"/>
        <w:jc w:val="left"/>
        <w:rPr>
          <w:rFonts w:ascii="Times New Roman" w:hAnsi="Times New Roman"/>
          <w:spacing w:val="0"/>
          <w:sz w:val="24"/>
          <w:highlight w:val="white"/>
          <w:u w:val="single"/>
        </w:rPr>
      </w:pPr>
      <w:r>
        <w:rPr>
          <w:rFonts w:ascii="Times New Roman" w:hAnsi="Times New Roman"/>
          <w:spacing w:val="0"/>
          <w:sz w:val="24"/>
          <w:highlight w:val="white"/>
          <w:u w:val="single"/>
        </w:rPr>
        <w:t xml:space="preserve">Warrants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Participants in the private placement transaction received conditional warrants to subscribe for further ordinary shares in an aggregate number equal to 50 percent of both the ordinary shares purchased and the ordinary shares issuable upon conversion of the Loan Notes. A total of 161,048,366 Warrants were issued. The fair value of the warrants at inception was £4.1 million.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Warrants have an exercise price of £0.348 per share and are exercisable at any time until their expiry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o</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n June 30, 2023. The Warrants can be exercised for cash or on a cashless basis at the discretion of the warrant holder. Certain Warrants outstanding at the expiry date may be converted into Tranche 2 Notes, with an expiry date of up to seven years from conversion, and do not bear interest. See Note 20.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The Loan Notes and the Warrants were recognized as separate financial instruments. Transaction costs directly attributable to the private placement transaction were apportioned across the ordinary shares, Loan Notes and Warrants.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20. Warrant liability </w:t>
      </w:r>
    </w:p>
    <w:p>
      <w:pPr>
        <w:pStyle w:val="TextBody"/>
        <w:spacing w:before="0" w:after="0"/>
        <w:jc w:val="left"/>
        <w:rPr>
          <w:highlight w:val="white"/>
        </w:rPr>
      </w:pPr>
      <w:r>
        <w:rPr>
          <w:highlight w:val="white"/>
        </w:rPr>
        <w:t> </w:t>
      </w:r>
    </w:p>
    <w:tbl>
      <w:tblPr>
        <w:tblW w:w="5305" w:type="dxa"/>
        <w:jc w:val="left"/>
        <w:tblInd w:w="0" w:type="dxa"/>
        <w:tblCellMar>
          <w:top w:w="0" w:type="dxa"/>
          <w:left w:w="0" w:type="dxa"/>
          <w:bottom w:w="0" w:type="dxa"/>
          <w:right w:w="0" w:type="dxa"/>
        </w:tblCellMar>
      </w:tblPr>
      <w:tblGrid>
        <w:gridCol w:w="3290"/>
        <w:gridCol w:w="120"/>
        <w:gridCol w:w="60"/>
        <w:gridCol w:w="635"/>
        <w:gridCol w:w="95"/>
        <w:gridCol w:w="120"/>
        <w:gridCol w:w="60"/>
        <w:gridCol w:w="755"/>
        <w:gridCol w:w="170"/>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17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0"/>
              <w:jc w:val="center"/>
              <w:rPr>
                <w:b/>
                <w:spacing w:val="0"/>
              </w:rPr>
            </w:pPr>
            <w:r>
              <w:rPr>
                <w:b/>
                <w:spacing w:val="0"/>
              </w:rPr>
              <w:t>£’000s</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At January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8,336</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50,775</w:t>
            </w:r>
          </w:p>
        </w:tc>
        <w:tc>
          <w:tcPr>
            <w:tcW w:w="170" w:type="dxa"/>
            <w:tcBorders/>
            <w:shd w:fill="CCEEFF" w:val="clear"/>
            <w:vAlign w:val="center"/>
          </w:tcPr>
          <w:p>
            <w:pPr>
              <w:pStyle w:val="TableContents"/>
              <w:spacing w:before="0" w:after="0"/>
              <w:rPr>
                <w:spacing w:val="0"/>
              </w:rPr>
            </w:pPr>
            <w:r>
              <w:rPr>
                <w:spacing w:val="0"/>
              </w:rPr>
              <w:t> </w:t>
            </w:r>
          </w:p>
        </w:tc>
      </w:tr>
      <w:tr>
        <w:trPr/>
        <w:tc>
          <w:tcPr>
            <w:tcW w:w="32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Settled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(2,400</w:t>
            </w:r>
          </w:p>
        </w:tc>
        <w:tc>
          <w:tcPr>
            <w:tcW w:w="170"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Fair value changes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(7,805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(40,039</w:t>
            </w:r>
          </w:p>
        </w:tc>
        <w:tc>
          <w:tcPr>
            <w:tcW w:w="17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35" w:type="dxa"/>
            <w:tcBorders/>
            <w:shd w:fill="CCEEFF" w:val="clear"/>
            <w:vAlign w:val="center"/>
          </w:tcPr>
          <w:p>
            <w:pPr>
              <w:pStyle w:val="TableContents"/>
              <w:spacing w:before="0" w:after="0"/>
              <w:jc w:val="right"/>
              <w:rPr>
                <w:b/>
                <w:spacing w:val="0"/>
              </w:rPr>
            </w:pPr>
            <w:r>
              <w:rPr>
                <w:b/>
                <w:spacing w:val="0"/>
              </w:rPr>
              <w:t>531</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8,336</w:t>
            </w:r>
          </w:p>
        </w:tc>
        <w:tc>
          <w:tcPr>
            <w:tcW w:w="170" w:type="dxa"/>
            <w:tcBorders/>
            <w:shd w:fill="CCEEFF" w:val="clear"/>
            <w:vAlign w:val="center"/>
          </w:tcPr>
          <w:p>
            <w:pPr>
              <w:pStyle w:val="TableContents"/>
              <w:spacing w:before="0" w:after="0"/>
              <w:rPr>
                <w:spacing w:val="0"/>
              </w:rPr>
            </w:pPr>
            <w:r>
              <w:rPr>
                <w:spacing w:val="0"/>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The change in fair value of the warrant liability represents an unrealized gain in the years ended December 31, 2022 and 2021.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Warrants – private placement </w:t>
      </w:r>
    </w:p>
    <w:p>
      <w:pPr>
        <w:pStyle w:val="TextBody"/>
        <w:spacing w:before="120" w:after="0"/>
        <w:jc w:val="left"/>
        <w:rPr>
          <w:rFonts w:ascii="Times New Roman" w:hAnsi="Times New Roman"/>
          <w:sz w:val="24"/>
          <w:highlight w:val="white"/>
        </w:rPr>
      </w:pPr>
      <w:r>
        <w:rPr>
          <w:rFonts w:ascii="Times New Roman" w:hAnsi="Times New Roman"/>
          <w:sz w:val="24"/>
          <w:highlight w:val="white"/>
        </w:rPr>
        <w:t>As a part of the private placement transaction on June 3, 2020, the participating investors received conditional warrants entitling them to subscribe for an aggregate of 161,048,366 ordinary shares in the Company. The warrants were conditional on certain Resolutions being passed at the Company’s general meeting on June 30, 2020. On the passing of the Resolutions, the warrants entitled the investors to subscribe for ordinary shares at an exercise price of £0.348 per warrant and are exercisable until June</w:t>
      </w:r>
    </w:p>
    <w:p>
      <w:pPr>
        <w:pStyle w:val="TextBody"/>
        <w:spacing w:before="120" w:after="0"/>
        <w:jc w:val="left"/>
        <w:rPr>
          <w:spacing w:val="0"/>
          <w:highlight w:val="white"/>
        </w:rPr>
      </w:pPr>
      <w:r>
        <w:rPr>
          <w:spacing w:val="0"/>
          <w:highlight w:val="white"/>
        </w:rPr>
        <w:t> </w:t>
      </w:r>
      <w:r>
        <w:rPr>
          <w:rFonts w:ascii="Times New Roman" w:hAnsi="Times New Roman"/>
          <w:spacing w:val="0"/>
          <w:sz w:val="24"/>
          <w:highlight w:val="white"/>
        </w:rPr>
        <w:t>30,</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2023. The warrants are classified as liabilities as the Company does not have an unconditional right to avoid redeeming the instruments for cash. The fair value of the warrant liability was £0.4 million as of December 31, 2022 (£8.0 million as of December 31, 2021). The change in the fair value of £7.6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million was recognized as a gain in the consolidated statement of comprehensive (loss)/income. During the year-ended December 31, 2022,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no warrants were exercised (2021: 15,414,626). Refer to Note 22 for details of the warrant exercises.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Warrants – bank loan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As of December 31, 2022 and 2021, the former lenders of the Company have warrants outstanding to purchase a total of 1,243,908 ordinary shares at an exercise price of £2.95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per share exercisable until August 2027 and a total of</w:t>
      </w:r>
    </w:p>
    <w:p>
      <w:pPr>
        <w:pStyle w:val="TextBody"/>
        <w:spacing w:before="120" w:after="0"/>
        <w:jc w:val="left"/>
        <w:rPr>
          <w:highlight w:val="white"/>
        </w:rPr>
      </w:pPr>
      <w:r>
        <w:rPr>
          <w:highlight w:val="white"/>
        </w:rPr>
        <w:t> </w:t>
      </w:r>
      <w:r>
        <w:rPr>
          <w:rFonts w:ascii="Times New Roman" w:hAnsi="Times New Roman"/>
          <w:sz w:val="24"/>
          <w:highlight w:val="white"/>
        </w:rPr>
        <w:t xml:space="preserve">1,243,908 </w:t>
      </w:r>
    </w:p>
    <w:p>
      <w:pPr>
        <w:pStyle w:val="TextBody"/>
        <w:spacing w:before="12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ordinary shares at an exercise price of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$0.4144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per share exercisable until October 2028. </w:t>
      </w:r>
    </w:p>
    <w:p>
      <w:pPr>
        <w:pStyle w:val="TextBody"/>
        <w:spacing w:before="120" w:after="0"/>
        <w:jc w:val="left"/>
        <w:rPr>
          <w:rFonts w:ascii="Times New Roman" w:hAnsi="Times New Roman"/>
          <w:sz w:val="24"/>
          <w:highlight w:val="white"/>
        </w:rPr>
      </w:pPr>
      <w:r>
        <w:rPr>
          <w:rFonts w:ascii="Times New Roman" w:hAnsi="Times New Roman"/>
          <w:sz w:val="24"/>
          <w:highlight w:val="white"/>
        </w:rPr>
        <w:t>At December 31, 2022, the fair value of these warrants were £0.1 million (2021: £0.3 million). There were no warrants exercised during the year ended December 31, 2022</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(2021: nil).</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Total outstanding warrants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At December 31, 2022, a total of 147,431,351 warrants are outstanding (2021: 147,431,351). The warrants outstanding are equivalent to 24% of the issued ordinary share capital of the Company (2021: 25%).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following table lists the weighted average inputs to the models used for the fair value of warrants: </w:t>
      </w:r>
    </w:p>
    <w:p>
      <w:pPr>
        <w:pStyle w:val="TextBody"/>
        <w:spacing w:before="0" w:after="0"/>
        <w:jc w:val="left"/>
        <w:rPr>
          <w:highlight w:val="white"/>
        </w:rPr>
      </w:pPr>
      <w:r>
        <w:rPr>
          <w:highlight w:val="white"/>
        </w:rPr>
        <w:t> </w:t>
      </w:r>
    </w:p>
    <w:tbl>
      <w:tblPr>
        <w:tblW w:w="6375" w:type="dxa"/>
        <w:jc w:val="left"/>
        <w:tblInd w:w="0" w:type="dxa"/>
        <w:tblCellMar>
          <w:top w:w="0" w:type="dxa"/>
          <w:left w:w="0" w:type="dxa"/>
          <w:bottom w:w="0" w:type="dxa"/>
          <w:right w:w="0" w:type="dxa"/>
        </w:tblCellMar>
      </w:tblPr>
      <w:tblGrid>
        <w:gridCol w:w="3110"/>
        <w:gridCol w:w="120"/>
        <w:gridCol w:w="60"/>
        <w:gridCol w:w="1385"/>
        <w:gridCol w:w="60"/>
        <w:gridCol w:w="120"/>
        <w:gridCol w:w="60"/>
        <w:gridCol w:w="1385"/>
        <w:gridCol w:w="75"/>
      </w:tblGrid>
      <w:tr>
        <w:trPr/>
        <w:tc>
          <w:tcPr>
            <w:tcW w:w="3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283"/>
              <w:rPr/>
            </w:pPr>
            <w:r>
              <w:rPr/>
              <w:t> </w:t>
            </w:r>
          </w:p>
        </w:tc>
      </w:tr>
      <w:tr>
        <w:trPr/>
        <w:tc>
          <w:tcPr>
            <w:tcW w:w="3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1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volatility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283"/>
              <w:jc w:val="right"/>
              <w:rPr/>
            </w:pPr>
            <w:r>
              <w:rPr/>
              <w:t>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283"/>
              <w:jc w:val="right"/>
              <w:rPr/>
            </w:pPr>
            <w:r>
              <w:rPr/>
              <w:t>75</w:t>
            </w:r>
          </w:p>
        </w:tc>
        <w:tc>
          <w:tcPr>
            <w:tcW w:w="75" w:type="dxa"/>
            <w:tcBorders/>
            <w:shd w:fill="CCEEFF" w:val="clear"/>
            <w:vAlign w:val="center"/>
          </w:tcPr>
          <w:p>
            <w:pPr>
              <w:pStyle w:val="TableContents"/>
              <w:spacing w:before="0" w:after="283"/>
              <w:rPr/>
            </w:pPr>
            <w:r>
              <w:rPr/>
              <w:t> </w:t>
            </w:r>
          </w:p>
        </w:tc>
      </w:tr>
      <w:tr>
        <w:trPr/>
        <w:tc>
          <w:tcPr>
            <w:tcW w:w="311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Risk-free interest rate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3.99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0.9</w:t>
            </w:r>
          </w:p>
        </w:tc>
        <w:tc>
          <w:tcPr>
            <w:tcW w:w="75" w:type="dxa"/>
            <w:tcBorders/>
            <w:shd w:fill="auto" w:val="clear"/>
            <w:vAlign w:val="center"/>
          </w:tcPr>
          <w:p>
            <w:pPr>
              <w:pStyle w:val="TableContents"/>
              <w:spacing w:before="0" w:after="283"/>
              <w:rPr/>
            </w:pPr>
            <w:r>
              <w:rPr/>
              <w:t> </w:t>
            </w:r>
          </w:p>
        </w:tc>
      </w:tr>
      <w:tr>
        <w:trPr/>
        <w:tc>
          <w:tcPr>
            <w:tcW w:w="31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life of warrants (years)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283"/>
              <w:jc w:val="right"/>
              <w:rPr/>
            </w:pPr>
            <w:r>
              <w:rPr/>
              <w:t>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283"/>
              <w:jc w:val="right"/>
              <w:rPr/>
            </w:pPr>
            <w:r>
              <w:rPr/>
              <w:t>1.5</w:t>
            </w:r>
          </w:p>
        </w:tc>
        <w:tc>
          <w:tcPr>
            <w:tcW w:w="75" w:type="dxa"/>
            <w:tcBorders/>
            <w:shd w:fill="CCEEFF" w:val="clear"/>
            <w:vAlign w:val="center"/>
          </w:tcPr>
          <w:p>
            <w:pPr>
              <w:pStyle w:val="TableContents"/>
              <w:spacing w:before="0" w:after="283"/>
              <w:rPr/>
            </w:pPr>
            <w:r>
              <w:rPr/>
              <w:t> </w:t>
            </w:r>
          </w:p>
        </w:tc>
      </w:tr>
      <w:tr>
        <w:trPr/>
        <w:tc>
          <w:tcPr>
            <w:tcW w:w="311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Market price of ADS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0.75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1.60</w:t>
            </w:r>
          </w:p>
        </w:tc>
        <w:tc>
          <w:tcPr>
            <w:tcW w:w="75" w:type="dxa"/>
            <w:tcBorders/>
            <w:shd w:fill="auto" w:val="clear"/>
            <w:vAlign w:val="center"/>
          </w:tcPr>
          <w:p>
            <w:pPr>
              <w:pStyle w:val="TableContents"/>
              <w:spacing w:before="0" w:after="283"/>
              <w:rPr/>
            </w:pPr>
            <w:r>
              <w:rPr/>
              <w:t> </w:t>
            </w:r>
          </w:p>
        </w:tc>
      </w:tr>
      <w:tr>
        <w:trPr/>
        <w:tc>
          <w:tcPr>
            <w:tcW w:w="31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Model used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0"/>
              <w:jc w:val="right"/>
              <w:rPr>
                <w:spacing w:val="0"/>
              </w:rPr>
            </w:pPr>
            <w:r>
              <w:rPr>
                <w:spacing w:val="0"/>
              </w:rPr>
              <w:t>Black-Scholes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0"/>
              <w:jc w:val="right"/>
              <w:rPr>
                <w:spacing w:val="0"/>
              </w:rPr>
            </w:pPr>
            <w:r>
              <w:rPr>
                <w:spacing w:val="0"/>
              </w:rPr>
              <w:t>Black-Scholes</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b/>
          <w:sz w:val="24"/>
          <w:highlight w:val="white"/>
        </w:rPr>
      </w:pPr>
      <w:r>
        <w:rPr>
          <w:rFonts w:ascii="Times New Roman" w:hAnsi="Times New Roman"/>
          <w:b/>
          <w:sz w:val="24"/>
          <w:highlight w:val="white"/>
        </w:rPr>
        <w:t>21. Convertible loan notes</w:t>
      </w:r>
    </w:p>
    <w:p>
      <w:pPr>
        <w:pStyle w:val="TextBody"/>
        <w:spacing w:before="0" w:after="0"/>
        <w:ind w:left="0" w:right="0" w:hanging="0"/>
        <w:jc w:val="left"/>
        <w:rPr>
          <w:spacing w:val="0"/>
          <w:highlight w:val="white"/>
        </w:rPr>
      </w:pPr>
      <w:r>
        <w:rPr>
          <w:spacing w:val="0"/>
          <w:highlight w:val="white"/>
        </w:rPr>
        <w:t> </w:t>
      </w:r>
    </w:p>
    <w:tbl>
      <w:tblPr>
        <w:tblW w:w="4905" w:type="dxa"/>
        <w:jc w:val="left"/>
        <w:tblInd w:w="0" w:type="dxa"/>
        <w:tblCellMar>
          <w:top w:w="0" w:type="dxa"/>
          <w:left w:w="0" w:type="dxa"/>
          <w:bottom w:w="0" w:type="dxa"/>
          <w:right w:w="0" w:type="dxa"/>
        </w:tblCellMar>
      </w:tblPr>
      <w:tblGrid>
        <w:gridCol w:w="3050"/>
        <w:gridCol w:w="120"/>
        <w:gridCol w:w="60"/>
        <w:gridCol w:w="680"/>
        <w:gridCol w:w="60"/>
        <w:gridCol w:w="120"/>
        <w:gridCol w:w="60"/>
        <w:gridCol w:w="680"/>
        <w:gridCol w:w="75"/>
      </w:tblGrid>
      <w:tr>
        <w:trPr/>
        <w:tc>
          <w:tcPr>
            <w:tcW w:w="3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3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305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Novartis Loan Note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4,449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3,771</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Loan Notes – private placement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6,636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10,613</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11,085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14,384</w:t>
            </w:r>
          </w:p>
        </w:tc>
        <w:tc>
          <w:tcPr>
            <w:tcW w:w="75" w:type="dxa"/>
            <w:tcBorders/>
            <w:shd w:fill="CCEEFF" w:val="clear"/>
            <w:vAlign w:val="center"/>
          </w:tcPr>
          <w:p>
            <w:pPr>
              <w:pStyle w:val="TableContents"/>
              <w:spacing w:before="0" w:after="0"/>
              <w:rPr>
                <w:spacing w:val="0"/>
              </w:rPr>
            </w:pPr>
            <w:r>
              <w:rPr>
                <w:spacing w:val="0"/>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Current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11,085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Non-current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14,384</w:t>
            </w:r>
          </w:p>
        </w:tc>
        <w:tc>
          <w:tcPr>
            <w:tcW w:w="75" w:type="dxa"/>
            <w:tcBorders/>
            <w:shd w:fill="CCEEFF"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Novartis Loan Note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On February 10, 2020, the Company entered into a convertible equity financing with Novartis Pharma (AG) (“Novartis”) under which Novartis purchased a £3.8 million convertible loan note (the “Novartis Loan Note”). </w:t>
      </w:r>
    </w:p>
    <w:p>
      <w:pPr>
        <w:pStyle w:val="TextBody"/>
        <w:spacing w:before="240" w:after="0"/>
        <w:jc w:val="left"/>
        <w:rPr>
          <w:rFonts w:ascii="Times New Roman" w:hAnsi="Times New Roman"/>
          <w:sz w:val="24"/>
          <w:highlight w:val="white"/>
        </w:rPr>
      </w:pPr>
      <w:r>
        <w:rPr>
          <w:rFonts w:ascii="Times New Roman" w:hAnsi="Times New Roman"/>
          <w:sz w:val="24"/>
          <w:highlight w:val="white"/>
        </w:rPr>
        <w:t>The Novartis Loan Note is convertible at the discretion of the holder, at a fixed price of £0.265 per ordinary share and bears an interest rate of 6% per annum with a maturity date of February</w:t>
      </w:r>
    </w:p>
    <w:p>
      <w:pPr>
        <w:pStyle w:val="TextBody"/>
        <w:spacing w:before="240" w:after="0"/>
        <w:jc w:val="left"/>
        <w:rPr>
          <w:spacing w:val="0"/>
          <w:highlight w:val="white"/>
        </w:rPr>
      </w:pPr>
      <w:r>
        <w:rPr>
          <w:spacing w:val="0"/>
          <w:highlight w:val="white"/>
        </w:rPr>
        <w:t> </w:t>
      </w:r>
      <w:r>
        <w:rPr>
          <w:rFonts w:ascii="Times New Roman" w:hAnsi="Times New Roman"/>
          <w:spacing w:val="0"/>
          <w:sz w:val="24"/>
          <w:highlight w:val="white"/>
        </w:rPr>
        <w:t>10,</w:t>
      </w:r>
    </w:p>
    <w:p>
      <w:pPr>
        <w:pStyle w:val="TextBody"/>
        <w:spacing w:before="240" w:after="0"/>
        <w:jc w:val="left"/>
        <w:rPr>
          <w:rFonts w:ascii="Times New Roman" w:hAnsi="Times New Roman"/>
          <w:sz w:val="24"/>
          <w:highlight w:val="white"/>
        </w:rPr>
      </w:pPr>
      <w:r>
        <w:rPr>
          <w:rFonts w:ascii="Times New Roman" w:hAnsi="Times New Roman"/>
          <w:sz w:val="24"/>
          <w:highlight w:val="white"/>
        </w:rPr>
        <w:t>2023. In connection with the Novartis Loan Note, the Company issued 1,449,614 warrants which are exercisable until February 2025 at an exercise price of £0.265.</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Refer to Note 28 for additional information. </w:t>
      </w:r>
    </w:p>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Loan Notes – private placement </w:t>
      </w:r>
    </w:p>
    <w:p>
      <w:pPr>
        <w:pStyle w:val="TextBody"/>
        <w:spacing w:before="120" w:after="0"/>
        <w:jc w:val="left"/>
        <w:rPr>
          <w:rFonts w:ascii="Times New Roman" w:hAnsi="Times New Roman"/>
          <w:sz w:val="24"/>
          <w:highlight w:val="white"/>
        </w:rPr>
      </w:pPr>
      <w:r>
        <w:rPr>
          <w:rFonts w:ascii="Times New Roman" w:hAnsi="Times New Roman"/>
          <w:sz w:val="24"/>
          <w:highlight w:val="white"/>
        </w:rPr>
        <w:t>The initial issuance of Loan Notes in an aggregate principal amount of £40.5 million were issued on June 3, 2020 and formed part of the private placement transaction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see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Note 19) were classified as a financial liability on initial recognition.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Non-closely</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related embedded derivatives relating to the conversion feature, term-extension and change of control features were bifurcated and accounted for at FVTPL, with the debt host contract being measured at amortized cost. </w:t>
      </w:r>
    </w:p>
    <w:p>
      <w:pPr>
        <w:pStyle w:val="TextBody"/>
        <w:spacing w:before="240" w:after="0"/>
        <w:jc w:val="left"/>
        <w:rPr>
          <w:rFonts w:ascii="Times New Roman" w:hAnsi="Times New Roman"/>
          <w:sz w:val="24"/>
          <w:highlight w:val="white"/>
        </w:rPr>
      </w:pPr>
      <w:r>
        <w:rPr>
          <w:rFonts w:ascii="Times New Roman" w:hAnsi="Times New Roman"/>
          <w:sz w:val="24"/>
          <w:highlight w:val="white"/>
        </w:rPr>
        <w:t>The fair value of the embedded derivative liability was £11.9 million on initial recognition and the fair value of the liability component was £24.4 million (net of transaction costs). In 2020, between initial recognition and the passing of the Resolutions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see </w:t>
      </w:r>
    </w:p>
    <w:p>
      <w:pPr>
        <w:pStyle w:val="TextBody"/>
        <w:spacing w:before="240" w:after="0"/>
        <w:jc w:val="left"/>
        <w:rPr>
          <w:rFonts w:ascii="Times New Roman" w:hAnsi="Times New Roman"/>
          <w:sz w:val="24"/>
          <w:highlight w:val="white"/>
        </w:rPr>
      </w:pPr>
      <w:r>
        <w:rPr>
          <w:rFonts w:ascii="Times New Roman" w:hAnsi="Times New Roman"/>
          <w:sz w:val="24"/>
          <w:highlight w:val="white"/>
        </w:rPr>
        <w:t>Note 19), changes in the fair value of the embedded derivative totaling £63.2 million were recognized as an expense in the consolidated statement of comprehensive</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(loss)/i</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n</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come.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Loan Notes were not convertible until certain Resolutions were passed at the Company’s general meeting on June 30, 2020, following which Loan Notes in an aggregate principal amount of £21.7 million (together with accrued interest) were automatically converted into 125,061,475 ordinary shares. Accordingly, a reduction in interest bearing loans of £13.3 million together with the derecognition of the embedded derivative relating to the conversion feature of £41.6 million was recognized; no gain or loss was recognized on conversion. The remaining portion of the embedded derivative relating to the conversion feature attributable to the Loan Notes outstanding of £33.5 million was reclassified to equity to reflect the effective change in the terms of the feature following the passing of the Resolutions.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movements in the carrying value of the liability component of the Loan Notes is included in the table below. Refer to Note 22 for details of Loan Notes converted to equity.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NOTES TO THE CONSOLIDATED FINANCIAL STATEMENTS (CONTINUED)</w:t>
      </w:r>
    </w:p>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16"/>
        </w:rPr>
      </w:pPr>
      <w:r>
        <w:rPr>
          <w:sz w:val="16"/>
        </w:rPr>
      </w:r>
    </w:p>
    <w:tbl>
      <w:tblPr>
        <w:tblW w:w="3835" w:type="dxa"/>
        <w:jc w:val="left"/>
        <w:tblInd w:w="0" w:type="dxa"/>
        <w:tblCellMar>
          <w:top w:w="0" w:type="dxa"/>
          <w:left w:w="0" w:type="dxa"/>
          <w:bottom w:w="0" w:type="dxa"/>
          <w:right w:w="0" w:type="dxa"/>
        </w:tblCellMar>
      </w:tblPr>
      <w:tblGrid>
        <w:gridCol w:w="1910"/>
        <w:gridCol w:w="120"/>
        <w:gridCol w:w="60"/>
        <w:gridCol w:w="680"/>
        <w:gridCol w:w="95"/>
        <w:gridCol w:w="120"/>
        <w:gridCol w:w="60"/>
        <w:gridCol w:w="680"/>
        <w:gridCol w:w="110"/>
      </w:tblGrid>
      <w:tr>
        <w:trPr/>
        <w:tc>
          <w:tcPr>
            <w:tcW w:w="1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95" w:type="dxa"/>
            <w:gridSpan w:val="6"/>
            <w:tcBorders/>
            <w:shd w:fill="auto" w:val="clear"/>
            <w:vAlign w:val="center"/>
          </w:tcPr>
          <w:p>
            <w:pPr>
              <w:pStyle w:val="TableContents"/>
              <w:spacing w:before="0" w:after="0"/>
              <w:jc w:val="center"/>
              <w:rPr>
                <w:b/>
                <w:spacing w:val="0"/>
              </w:rPr>
            </w:pPr>
            <w:r>
              <w:rPr>
                <w:b/>
                <w:spacing w:val="0"/>
              </w:rPr>
              <w:t>December 31,</w:t>
            </w:r>
          </w:p>
        </w:tc>
        <w:tc>
          <w:tcPr>
            <w:tcW w:w="110" w:type="dxa"/>
            <w:tcBorders/>
            <w:shd w:fill="auto" w:val="clear"/>
            <w:vAlign w:val="center"/>
          </w:tcPr>
          <w:p>
            <w:pPr>
              <w:pStyle w:val="TableContents"/>
              <w:spacing w:before="0" w:after="0"/>
              <w:rPr>
                <w:spacing w:val="0"/>
              </w:rPr>
            </w:pPr>
            <w:r>
              <w:rPr>
                <w:spacing w:val="0"/>
              </w:rPr>
              <w:t> </w:t>
            </w:r>
          </w:p>
        </w:tc>
      </w:tr>
      <w:tr>
        <w:trPr/>
        <w:tc>
          <w:tcPr>
            <w:tcW w:w="19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2021</w:t>
            </w:r>
          </w:p>
        </w:tc>
        <w:tc>
          <w:tcPr>
            <w:tcW w:w="110" w:type="dxa"/>
            <w:tcBorders/>
            <w:shd w:fill="auto" w:val="clear"/>
            <w:vAlign w:val="center"/>
          </w:tcPr>
          <w:p>
            <w:pPr>
              <w:pStyle w:val="TableContents"/>
              <w:spacing w:before="0" w:after="0"/>
              <w:rPr>
                <w:spacing w:val="0"/>
              </w:rPr>
            </w:pPr>
            <w:r>
              <w:rPr>
                <w:spacing w:val="0"/>
              </w:rPr>
              <w:t> </w:t>
            </w:r>
          </w:p>
        </w:tc>
      </w:tr>
      <w:tr>
        <w:trPr/>
        <w:tc>
          <w:tcPr>
            <w:tcW w:w="19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110" w:type="dxa"/>
            <w:tcBorders/>
            <w:shd w:fill="auto" w:val="clear"/>
            <w:vAlign w:val="center"/>
          </w:tcPr>
          <w:p>
            <w:pPr>
              <w:pStyle w:val="TableContents"/>
              <w:spacing w:before="0" w:after="0"/>
              <w:rPr>
                <w:spacing w:val="0"/>
              </w:rPr>
            </w:pPr>
            <w:r>
              <w:rPr>
                <w:spacing w:val="0"/>
              </w:rPr>
              <w:t> </w:t>
            </w:r>
          </w:p>
        </w:tc>
      </w:tr>
      <w:tr>
        <w:trPr/>
        <w:tc>
          <w:tcPr>
            <w:tcW w:w="1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January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10,613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12,946</w:t>
            </w:r>
          </w:p>
        </w:tc>
        <w:tc>
          <w:tcPr>
            <w:tcW w:w="110" w:type="dxa"/>
            <w:tcBorders/>
            <w:shd w:fill="CCEEFF"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Interest charge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1,981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2,974</w:t>
            </w:r>
          </w:p>
        </w:tc>
        <w:tc>
          <w:tcPr>
            <w:tcW w:w="110" w:type="dxa"/>
            <w:tcBorders/>
            <w:shd w:fill="CCEEFF"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Converted to equity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(5,958</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(5,307</w:t>
            </w:r>
          </w:p>
        </w:tc>
        <w:tc>
          <w:tcPr>
            <w:tcW w:w="110" w:type="dxa"/>
            <w:tcBorders/>
            <w:shd w:fill="auto" w:val="clear"/>
            <w:vAlign w:val="center"/>
          </w:tcPr>
          <w:p>
            <w:pPr>
              <w:pStyle w:val="TableContents"/>
              <w:spacing w:before="0" w:after="0"/>
              <w:rPr/>
            </w:pPr>
            <w:r>
              <w:rPr/>
              <w:t>)</w:t>
            </w:r>
          </w:p>
          <w:p>
            <w:pPr>
              <w:pStyle w:val="TableContents"/>
              <w:spacing w:before="0" w:after="0"/>
              <w:rPr/>
            </w:pPr>
            <w:r>
              <w:rPr/>
              <w:t> </w:t>
            </w:r>
          </w:p>
        </w:tc>
      </w:tr>
      <w:tr>
        <w:trPr/>
        <w:tc>
          <w:tcPr>
            <w:tcW w:w="19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December 31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6,636</w:t>
            </w:r>
          </w:p>
        </w:tc>
        <w:tc>
          <w:tcPr>
            <w:tcW w:w="9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10,613</w:t>
            </w:r>
          </w:p>
        </w:tc>
        <w:tc>
          <w:tcPr>
            <w:tcW w:w="110" w:type="dxa"/>
            <w:tcBorders/>
            <w:shd w:fill="CCEEFF" w:val="clear"/>
            <w:vAlign w:val="center"/>
          </w:tcPr>
          <w:p>
            <w:pPr>
              <w:pStyle w:val="TableContents"/>
              <w:spacing w:before="0" w:after="0"/>
              <w:rPr>
                <w:spacing w:val="0"/>
              </w:rPr>
            </w:pPr>
            <w:r>
              <w:rPr>
                <w:spacing w:val="0"/>
              </w:rPr>
              <w:t> </w:t>
            </w:r>
          </w:p>
        </w:tc>
      </w:tr>
      <w:tr>
        <w:trPr/>
        <w:tc>
          <w:tcPr>
            <w:tcW w:w="19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22. Issued capital and reserves </w:t>
      </w:r>
    </w:p>
    <w:p>
      <w:pPr>
        <w:pStyle w:val="TextBody"/>
        <w:spacing w:before="0" w:after="0"/>
        <w:jc w:val="left"/>
        <w:rPr>
          <w:highlight w:val="white"/>
        </w:rPr>
      </w:pPr>
      <w:r>
        <w:rPr>
          <w:highlight w:val="white"/>
        </w:rPr>
        <w:t> </w:t>
      </w:r>
    </w:p>
    <w:tbl>
      <w:tblPr>
        <w:tblW w:w="8065" w:type="dxa"/>
        <w:jc w:val="left"/>
        <w:tblInd w:w="0" w:type="dxa"/>
        <w:tblCellMar>
          <w:top w:w="0" w:type="dxa"/>
          <w:left w:w="0" w:type="dxa"/>
          <w:bottom w:w="0" w:type="dxa"/>
          <w:right w:w="0" w:type="dxa"/>
        </w:tblCellMar>
      </w:tblPr>
      <w:tblGrid>
        <w:gridCol w:w="3875"/>
        <w:gridCol w:w="120"/>
        <w:gridCol w:w="60"/>
        <w:gridCol w:w="1220"/>
        <w:gridCol w:w="60"/>
        <w:gridCol w:w="120"/>
        <w:gridCol w:w="126"/>
        <w:gridCol w:w="1184"/>
        <w:gridCol w:w="60"/>
        <w:gridCol w:w="120"/>
        <w:gridCol w:w="66"/>
        <w:gridCol w:w="884"/>
        <w:gridCol w:w="170"/>
      </w:tblGrid>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Ordinary</w:t>
              <w:b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Ordinary</w:t>
              <w:br/>
              <w:t>share capital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w:t>
              <w:br/>
              <w:t>premium</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Number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As at January 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b/>
                <w:spacing w:val="0"/>
              </w:rPr>
            </w:pPr>
            <w:r>
              <w:rPr>
                <w:b/>
                <w:spacing w:val="0"/>
              </w:rPr>
              <w:t>97,959,622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1184" w:type="dxa"/>
            <w:tcBorders/>
            <w:shd w:fill="CCEEFF" w:val="clear"/>
            <w:vAlign w:val="center"/>
          </w:tcPr>
          <w:p>
            <w:pPr>
              <w:pStyle w:val="TableContents"/>
              <w:spacing w:before="0" w:after="0"/>
              <w:jc w:val="right"/>
              <w:rPr>
                <w:b/>
                <w:spacing w:val="0"/>
              </w:rPr>
            </w:pPr>
            <w:r>
              <w:rPr>
                <w:b/>
                <w:spacing w:val="0"/>
              </w:rPr>
              <w:t>294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0"/>
              <w:rPr>
                <w:spacing w:val="0"/>
              </w:rPr>
            </w:pPr>
            <w:r>
              <w:rPr>
                <w:spacing w:val="0"/>
              </w:rPr>
              <w:t> </w:t>
            </w:r>
          </w:p>
        </w:tc>
        <w:tc>
          <w:tcPr>
            <w:tcW w:w="884" w:type="dxa"/>
            <w:tcBorders/>
            <w:shd w:fill="CCEEFF" w:val="clear"/>
            <w:vAlign w:val="center"/>
          </w:tcPr>
          <w:p>
            <w:pPr>
              <w:pStyle w:val="TableContents"/>
              <w:spacing w:before="0" w:after="0"/>
              <w:jc w:val="right"/>
              <w:rPr>
                <w:b/>
                <w:spacing w:val="0"/>
              </w:rPr>
            </w:pPr>
            <w:r>
              <w:rPr>
                <w:b/>
                <w:spacing w:val="0"/>
              </w:rPr>
              <w:t>121,684</w:t>
            </w:r>
          </w:p>
        </w:tc>
        <w:tc>
          <w:tcPr>
            <w:tcW w:w="170" w:type="dxa"/>
            <w:tcBorders/>
            <w:shd w:fill="CCEEFF"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18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single" w:sz="2" w:space="1" w:color="000000"/>
              </w:rPr>
            </w:pPr>
            <w:r>
              <w:rPr>
                <w:bdr w:val="single" w:sz="2" w:space="1" w:color="000000"/>
              </w:rPr>
              <w:t> </w:t>
            </w:r>
          </w:p>
        </w:tc>
        <w:tc>
          <w:tcPr>
            <w:tcW w:w="88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 on February 11,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14,295,520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184" w:type="dxa"/>
            <w:tcBorders/>
            <w:shd w:fill="auto" w:val="clear"/>
            <w:vAlign w:val="center"/>
          </w:tcPr>
          <w:p>
            <w:pPr>
              <w:pStyle w:val="TableContents"/>
              <w:spacing w:before="0" w:after="283"/>
              <w:jc w:val="right"/>
              <w:rPr/>
            </w:pPr>
            <w:r>
              <w:rPr/>
              <w:t>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jc w:val="right"/>
              <w:rPr/>
            </w:pPr>
            <w:r>
              <w:rPr/>
              <w:t>2,511</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Issued on February 20,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12,252,715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184"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pPr>
            <w:r>
              <w:rPr/>
              <w:t>2,267</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 on June 4,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89,144,630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184" w:type="dxa"/>
            <w:tcBorders/>
            <w:shd w:fill="auto" w:val="clear"/>
            <w:vAlign w:val="center"/>
          </w:tcPr>
          <w:p>
            <w:pPr>
              <w:pStyle w:val="TableContents"/>
              <w:spacing w:before="0" w:after="283"/>
              <w:jc w:val="right"/>
              <w:rPr/>
            </w:pPr>
            <w:r>
              <w:rPr/>
              <w:t>267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jc w:val="right"/>
              <w:rPr/>
            </w:pPr>
            <w:r>
              <w:rPr/>
              <w:t>15,244</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Issued on June 30,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125,061,475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184" w:type="dxa"/>
            <w:tcBorders/>
            <w:shd w:fill="CCEEFF" w:val="clear"/>
            <w:vAlign w:val="center"/>
          </w:tcPr>
          <w:p>
            <w:pPr>
              <w:pStyle w:val="TableContents"/>
              <w:spacing w:before="0" w:after="283"/>
              <w:jc w:val="right"/>
              <w:rPr/>
            </w:pPr>
            <w:r>
              <w:rPr/>
              <w:t>375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pPr>
            <w:r>
              <w:rPr/>
              <w:t>21,386</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 on December 23,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239,179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184"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Transaction costs for issued share capital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1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pPr>
            <w:r>
              <w:rPr/>
              <w:t>(1,307</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18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single" w:sz="2" w:space="1" w:color="000000"/>
              </w:rPr>
            </w:pPr>
            <w:r>
              <w:rPr>
                <w:bdr w:val="single" w:sz="2" w:space="1" w:color="000000"/>
              </w:rPr>
              <w:t> </w:t>
            </w:r>
          </w:p>
        </w:tc>
        <w:tc>
          <w:tcPr>
            <w:tcW w:w="88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As at December 31,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220" w:type="dxa"/>
            <w:tcBorders/>
            <w:shd w:fill="auto" w:val="clear"/>
            <w:vAlign w:val="center"/>
          </w:tcPr>
          <w:p>
            <w:pPr>
              <w:pStyle w:val="TableContents"/>
              <w:spacing w:before="0" w:after="0"/>
              <w:jc w:val="right"/>
              <w:rPr>
                <w:b/>
                <w:spacing w:val="0"/>
              </w:rPr>
            </w:pPr>
            <w:r>
              <w:rPr>
                <w:b/>
                <w:spacing w:val="0"/>
              </w:rPr>
              <w:t>338,953,141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spacing w:val="0"/>
              </w:rPr>
            </w:pPr>
            <w:r>
              <w:rPr>
                <w:spacing w:val="0"/>
              </w:rPr>
              <w:t> </w:t>
            </w:r>
          </w:p>
        </w:tc>
        <w:tc>
          <w:tcPr>
            <w:tcW w:w="1184" w:type="dxa"/>
            <w:tcBorders/>
            <w:shd w:fill="auto" w:val="clear"/>
            <w:vAlign w:val="center"/>
          </w:tcPr>
          <w:p>
            <w:pPr>
              <w:pStyle w:val="TableContents"/>
              <w:spacing w:before="0" w:after="0"/>
              <w:jc w:val="right"/>
              <w:rPr>
                <w:b/>
                <w:spacing w:val="0"/>
              </w:rPr>
            </w:pPr>
            <w:r>
              <w:rPr>
                <w:b/>
                <w:spacing w:val="0"/>
              </w:rPr>
              <w:t>1,017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rPr>
            </w:pPr>
            <w:r>
              <w:rPr>
                <w:spacing w:val="0"/>
              </w:rPr>
              <w:t> </w:t>
            </w:r>
          </w:p>
        </w:tc>
        <w:tc>
          <w:tcPr>
            <w:tcW w:w="884" w:type="dxa"/>
            <w:tcBorders/>
            <w:shd w:fill="auto" w:val="clear"/>
            <w:vAlign w:val="center"/>
          </w:tcPr>
          <w:p>
            <w:pPr>
              <w:pStyle w:val="TableContents"/>
              <w:spacing w:before="0" w:after="0"/>
              <w:jc w:val="right"/>
              <w:rPr>
                <w:b/>
                <w:spacing w:val="0"/>
              </w:rPr>
            </w:pPr>
            <w:r>
              <w:rPr>
                <w:b/>
                <w:spacing w:val="0"/>
              </w:rPr>
              <w:t>161,785</w:t>
            </w:r>
          </w:p>
        </w:tc>
        <w:tc>
          <w:tcPr>
            <w:tcW w:w="170" w:type="dxa"/>
            <w:tcBorders/>
            <w:shd w:fill="auto"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double" w:sz="6" w:space="1" w:color="000000"/>
              </w:rPr>
            </w:pPr>
            <w:r>
              <w:rPr>
                <w:bdr w:val="double" w:sz="6" w:space="1" w:color="000000"/>
              </w:rPr>
              <w:t> </w:t>
            </w:r>
          </w:p>
        </w:tc>
        <w:tc>
          <w:tcPr>
            <w:tcW w:w="1184"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double" w:sz="6" w:space="1" w:color="000000"/>
              </w:rPr>
            </w:pPr>
            <w:r>
              <w:rPr>
                <w:bdr w:val="double" w:sz="6" w:space="1" w:color="000000"/>
              </w:rPr>
              <w:t> </w:t>
            </w:r>
          </w:p>
        </w:tc>
        <w:tc>
          <w:tcPr>
            <w:tcW w:w="88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Issued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245,955,098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184" w:type="dxa"/>
            <w:tcBorders/>
            <w:shd w:fill="CCEEFF" w:val="clear"/>
            <w:vAlign w:val="center"/>
          </w:tcPr>
          <w:p>
            <w:pPr>
              <w:pStyle w:val="TableContents"/>
              <w:spacing w:before="0" w:after="283"/>
              <w:jc w:val="right"/>
              <w:rPr/>
            </w:pPr>
            <w:r>
              <w:rPr/>
              <w:t>738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pPr>
            <w:r>
              <w:rPr/>
              <w:t>85,909</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Transaction costs for issued share capital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18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jc w:val="right"/>
              <w:rPr/>
            </w:pPr>
            <w:r>
              <w:rPr/>
              <w:t>(234</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18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single" w:sz="2" w:space="1" w:color="000000"/>
              </w:rPr>
            </w:pPr>
            <w:r>
              <w:rPr>
                <w:bdr w:val="single" w:sz="2" w:space="1" w:color="000000"/>
              </w:rPr>
              <w:t> </w:t>
            </w:r>
          </w:p>
        </w:tc>
        <w:tc>
          <w:tcPr>
            <w:tcW w:w="88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As at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b/>
                <w:spacing w:val="0"/>
              </w:rPr>
            </w:pPr>
            <w:r>
              <w:rPr>
                <w:b/>
                <w:spacing w:val="0"/>
              </w:rPr>
              <w:t>584,908,239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1184" w:type="dxa"/>
            <w:tcBorders/>
            <w:shd w:fill="CCEEFF" w:val="clear"/>
            <w:vAlign w:val="center"/>
          </w:tcPr>
          <w:p>
            <w:pPr>
              <w:pStyle w:val="TableContents"/>
              <w:spacing w:before="0" w:after="0"/>
              <w:jc w:val="right"/>
              <w:rPr>
                <w:b/>
                <w:spacing w:val="0"/>
              </w:rPr>
            </w:pPr>
            <w:r>
              <w:rPr>
                <w:b/>
                <w:spacing w:val="0"/>
              </w:rPr>
              <w:t>1,755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0"/>
              <w:rPr>
                <w:spacing w:val="0"/>
              </w:rPr>
            </w:pPr>
            <w:r>
              <w:rPr>
                <w:spacing w:val="0"/>
              </w:rPr>
              <w:t> </w:t>
            </w:r>
          </w:p>
        </w:tc>
        <w:tc>
          <w:tcPr>
            <w:tcW w:w="884" w:type="dxa"/>
            <w:tcBorders/>
            <w:shd w:fill="CCEEFF" w:val="clear"/>
            <w:vAlign w:val="center"/>
          </w:tcPr>
          <w:p>
            <w:pPr>
              <w:pStyle w:val="TableContents"/>
              <w:spacing w:before="0" w:after="0"/>
              <w:jc w:val="right"/>
              <w:rPr>
                <w:b/>
                <w:spacing w:val="0"/>
              </w:rPr>
            </w:pPr>
            <w:r>
              <w:rPr>
                <w:b/>
                <w:spacing w:val="0"/>
              </w:rPr>
              <w:t>247,460</w:t>
            </w:r>
          </w:p>
        </w:tc>
        <w:tc>
          <w:tcPr>
            <w:tcW w:w="170" w:type="dxa"/>
            <w:tcBorders/>
            <w:shd w:fill="CCEEFF"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double" w:sz="6" w:space="1" w:color="000000"/>
              </w:rPr>
            </w:pPr>
            <w:r>
              <w:rPr>
                <w:bdr w:val="double" w:sz="6" w:space="1" w:color="000000"/>
              </w:rPr>
              <w:t> </w:t>
            </w:r>
          </w:p>
        </w:tc>
        <w:tc>
          <w:tcPr>
            <w:tcW w:w="1184"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double" w:sz="6" w:space="1" w:color="000000"/>
              </w:rPr>
            </w:pPr>
            <w:r>
              <w:rPr>
                <w:bdr w:val="double" w:sz="6" w:space="1" w:color="000000"/>
              </w:rPr>
              <w:t> </w:t>
            </w:r>
          </w:p>
        </w:tc>
        <w:tc>
          <w:tcPr>
            <w:tcW w:w="88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Issued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40,020,280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184" w:type="dxa"/>
            <w:tcBorders/>
            <w:shd w:fill="auto" w:val="clear"/>
            <w:vAlign w:val="center"/>
          </w:tcPr>
          <w:p>
            <w:pPr>
              <w:pStyle w:val="TableContents"/>
              <w:spacing w:before="0" w:after="283"/>
              <w:jc w:val="right"/>
              <w:rPr/>
            </w:pPr>
            <w:r>
              <w:rPr/>
              <w:t>120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jc w:val="right"/>
              <w:rPr/>
            </w:pPr>
            <w:r>
              <w:rPr/>
              <w:t>6,843</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18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bdr w:val="single" w:sz="2" w:space="1" w:color="000000"/>
              </w:rPr>
            </w:pPr>
            <w:r>
              <w:rPr>
                <w:bdr w:val="single" w:sz="2" w:space="1" w:color="000000"/>
              </w:rPr>
              <w:t> </w:t>
            </w:r>
          </w:p>
        </w:tc>
        <w:tc>
          <w:tcPr>
            <w:tcW w:w="88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As at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b/>
                <w:spacing w:val="0"/>
              </w:rPr>
            </w:pPr>
            <w:r>
              <w:rPr>
                <w:b/>
                <w:spacing w:val="0"/>
              </w:rPr>
              <w:t>624,928,519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1184" w:type="dxa"/>
            <w:tcBorders/>
            <w:shd w:fill="CCEEFF" w:val="clear"/>
            <w:vAlign w:val="center"/>
          </w:tcPr>
          <w:p>
            <w:pPr>
              <w:pStyle w:val="TableContents"/>
              <w:spacing w:before="0" w:after="0"/>
              <w:jc w:val="right"/>
              <w:rPr>
                <w:b/>
                <w:spacing w:val="0"/>
              </w:rPr>
            </w:pPr>
            <w:r>
              <w:rPr>
                <w:b/>
                <w:spacing w:val="0"/>
              </w:rPr>
              <w:t>1,875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0"/>
              <w:rPr>
                <w:spacing w:val="0"/>
              </w:rPr>
            </w:pPr>
            <w:r>
              <w:rPr>
                <w:spacing w:val="0"/>
              </w:rPr>
              <w:t> </w:t>
            </w:r>
          </w:p>
        </w:tc>
        <w:tc>
          <w:tcPr>
            <w:tcW w:w="884" w:type="dxa"/>
            <w:tcBorders/>
            <w:shd w:fill="CCEEFF" w:val="clear"/>
            <w:vAlign w:val="center"/>
          </w:tcPr>
          <w:p>
            <w:pPr>
              <w:pStyle w:val="TableContents"/>
              <w:spacing w:before="0" w:after="0"/>
              <w:jc w:val="right"/>
              <w:rPr>
                <w:b/>
                <w:spacing w:val="0"/>
              </w:rPr>
            </w:pPr>
            <w:r>
              <w:rPr>
                <w:b/>
                <w:spacing w:val="0"/>
              </w:rPr>
              <w:t>254,303</w:t>
            </w:r>
          </w:p>
        </w:tc>
        <w:tc>
          <w:tcPr>
            <w:tcW w:w="170" w:type="dxa"/>
            <w:tcBorders/>
            <w:shd w:fill="CCEEFF" w:val="clear"/>
            <w:vAlign w:val="center"/>
          </w:tcPr>
          <w:p>
            <w:pPr>
              <w:pStyle w:val="TableContents"/>
              <w:spacing w:before="0" w:after="0"/>
              <w:rPr>
                <w:spacing w:val="0"/>
              </w:rPr>
            </w:pPr>
            <w:r>
              <w:rPr>
                <w:spacing w:val="0"/>
              </w:rPr>
              <w:t> </w:t>
            </w:r>
          </w:p>
        </w:tc>
      </w:tr>
      <w:tr>
        <w:trPr/>
        <w:tc>
          <w:tcPr>
            <w:tcW w:w="387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122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0"/>
              <w:rPr>
                <w:bdr w:val="double" w:sz="6" w:space="1" w:color="000000"/>
              </w:rPr>
            </w:pPr>
            <w:r>
              <w:rPr>
                <w:bdr w:val="double" w:sz="6" w:space="1" w:color="000000"/>
              </w:rPr>
              <w:t> </w:t>
            </w:r>
          </w:p>
        </w:tc>
        <w:tc>
          <w:tcPr>
            <w:tcW w:w="1184" w:type="dxa"/>
            <w:tcBorders/>
            <w:shd w:fill="FFFFFF" w:val="clear"/>
            <w:vAlign w:val="center"/>
          </w:tcPr>
          <w:p>
            <w:pPr>
              <w:pStyle w:val="TableContents"/>
              <w:spacing w:before="0" w:after="0"/>
              <w:rPr>
                <w:bdr w:val="double" w:sz="6" w:space="1" w:color="000000"/>
              </w:rPr>
            </w:pPr>
            <w:r>
              <w:rPr>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0"/>
              <w:rPr>
                <w:bdr w:val="double" w:sz="6" w:space="1" w:color="000000"/>
              </w:rPr>
            </w:pPr>
            <w:r>
              <w:rPr>
                <w:bdr w:val="double" w:sz="6" w:space="1" w:color="000000"/>
              </w:rPr>
              <w:t> </w:t>
            </w:r>
          </w:p>
        </w:tc>
        <w:tc>
          <w:tcPr>
            <w:tcW w:w="884" w:type="dxa"/>
            <w:tcBorders/>
            <w:shd w:fill="FFFFFF" w:val="clear"/>
            <w:vAlign w:val="center"/>
          </w:tcPr>
          <w:p>
            <w:pPr>
              <w:pStyle w:val="TableContents"/>
              <w:spacing w:before="0" w:after="0"/>
              <w:rPr>
                <w:bdr w:val="double" w:sz="6" w:space="1" w:color="000000"/>
              </w:rPr>
            </w:pPr>
            <w:r>
              <w:rPr>
                <w:bdr w:val="double" w:sz="6" w:space="1" w:color="000000"/>
              </w:rPr>
              <w:t> </w:t>
            </w:r>
          </w:p>
        </w:tc>
        <w:tc>
          <w:tcPr>
            <w:tcW w:w="170" w:type="dxa"/>
            <w:tcBorders/>
            <w:shd w:fill="FFFFFF"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Since January 1, 2020, the following alterations to the Company’s share capital have been made. For each share issuance, ordinary shares of £0.003 in nominal value in the capital of the Company were issued.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February 11, 2020, the Company issued and allotted 11,432,925 ordinary shares at a price of £0.20 per share to Aspire Capital Fund, LLC (“Aspire Capital”). Gross cash received was £2.3 million. Aspire Capital has also committed to subscribe for up to an additional $25 million of ordinary shares exchangeable for ADSs from time to time during a </w:t>
            </w:r>
          </w:p>
          <w:p>
            <w:pPr>
              <w:pStyle w:val="TableContents"/>
              <w:spacing w:before="0" w:after="0"/>
              <w:jc w:val="left"/>
              <w:rPr>
                <w:rFonts w:ascii="Times New Roman" w:hAnsi="Times New Roman"/>
                <w:spacing w:val="0"/>
                <w:sz w:val="24"/>
              </w:rPr>
            </w:pPr>
            <w:r>
              <w:rPr>
                <w:rFonts w:ascii="Times New Roman" w:hAnsi="Times New Roman"/>
                <w:spacing w:val="0"/>
                <w:sz w:val="24"/>
              </w:rPr>
              <w:t>30-month</w:t>
            </w:r>
          </w:p>
          <w:p>
            <w:pPr>
              <w:pStyle w:val="TableContents"/>
              <w:spacing w:before="0" w:after="0"/>
              <w:jc w:val="left"/>
              <w:rPr>
                <w:rFonts w:ascii="Times New Roman" w:hAnsi="Times New Roman"/>
                <w:sz w:val="24"/>
              </w:rPr>
            </w:pPr>
            <w:r>
              <w:rPr>
                <w:rFonts w:ascii="Times New Roman" w:hAnsi="Times New Roman"/>
                <w:sz w:val="24"/>
              </w:rPr>
              <w:t xml:space="preserve">period at the Company’s request. In consideration for this, the Company paid Aspire Capital a commission satisfied through a </w:t>
            </w:r>
          </w:p>
          <w:p>
            <w:pPr>
              <w:pStyle w:val="TableContents"/>
              <w:spacing w:before="0" w:after="0"/>
              <w:jc w:val="left"/>
              <w:rPr>
                <w:rFonts w:ascii="Times New Roman" w:hAnsi="Times New Roman"/>
                <w:spacing w:val="0"/>
                <w:sz w:val="24"/>
              </w:rPr>
            </w:pPr>
            <w:r>
              <w:rPr>
                <w:rFonts w:ascii="Times New Roman" w:hAnsi="Times New Roman"/>
                <w:spacing w:val="0"/>
                <w:sz w:val="24"/>
              </w:rPr>
              <w:t>non-cash</w:t>
            </w:r>
          </w:p>
          <w:p>
            <w:pPr>
              <w:pStyle w:val="TableContents"/>
              <w:spacing w:before="0" w:after="0"/>
              <w:jc w:val="left"/>
              <w:rPr>
                <w:rFonts w:ascii="Times New Roman" w:hAnsi="Times New Roman"/>
                <w:sz w:val="24"/>
              </w:rPr>
            </w:pPr>
            <w:r>
              <w:rPr>
                <w:rFonts w:ascii="Times New Roman" w:hAnsi="Times New Roman"/>
                <w:sz w:val="24"/>
              </w:rPr>
              <w:t xml:space="preserve">transaction wholly by the issue of a further 2,862,595 of the Company’s ordinary shares (equivalent to 572,519 ADSs) at a price of £0.08. </w:t>
            </w:r>
          </w:p>
        </w:tc>
      </w:tr>
    </w:tbl>
    <w:p>
      <w:pPr>
        <w:pStyle w:val="TextBody"/>
        <w:spacing w:before="0" w:after="0"/>
        <w:jc w:val="left"/>
        <w:rPr>
          <w:highlight w:val="white"/>
        </w:rPr>
      </w:pPr>
      <w:r>
        <w:rPr>
          <w:highlight w:val="white"/>
        </w:rPr>
        <w:t> </w:t>
      </w:r>
    </w:p>
    <w:tbl>
      <w:tblPr>
        <w:tblW w:w="5650" w:type="dxa"/>
        <w:jc w:val="left"/>
        <w:tblInd w:w="0" w:type="dxa"/>
        <w:tblCellMar>
          <w:top w:w="0" w:type="dxa"/>
          <w:left w:w="0" w:type="dxa"/>
          <w:bottom w:w="0" w:type="dxa"/>
          <w:right w:w="0" w:type="dxa"/>
        </w:tblCellMar>
      </w:tblPr>
      <w:tblGrid>
        <w:gridCol w:w="75"/>
        <w:gridCol w:w="110"/>
        <w:gridCol w:w="60"/>
        <w:gridCol w:w="5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February 20, 2020,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12,252,715</w:t>
            </w:r>
          </w:p>
          <w:p>
            <w:pPr>
              <w:pStyle w:val="TableContents"/>
              <w:spacing w:before="0" w:after="0"/>
              <w:jc w:val="left"/>
              <w:rPr>
                <w:rFonts w:ascii="Times New Roman" w:hAnsi="Times New Roman"/>
                <w:sz w:val="24"/>
              </w:rPr>
            </w:pPr>
            <w:r>
              <w:rPr>
                <w:rFonts w:ascii="Times New Roman" w:hAnsi="Times New Roman"/>
                <w:sz w:val="24"/>
              </w:rPr>
              <w:t>ordinary shares 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0.19</w:t>
            </w:r>
          </w:p>
          <w:p>
            <w:pPr>
              <w:pStyle w:val="TableContents"/>
              <w:spacing w:before="0" w:after="0"/>
              <w:jc w:val="left"/>
              <w:rPr>
                <w:rFonts w:ascii="Times New Roman" w:hAnsi="Times New Roman"/>
                <w:sz w:val="24"/>
              </w:rPr>
            </w:pPr>
            <w:r>
              <w:rPr>
                <w:rFonts w:ascii="Times New Roman" w:hAnsi="Times New Roman"/>
                <w:sz w:val="24"/>
              </w:rPr>
              <w:t>per share. Gross cash received was £</w:t>
            </w:r>
          </w:p>
          <w:p>
            <w:pPr>
              <w:pStyle w:val="TableContents"/>
              <w:spacing w:before="0" w:after="0"/>
              <w:jc w:val="left"/>
              <w:rPr>
                <w:rFonts w:ascii="Times New Roman" w:hAnsi="Times New Roman"/>
                <w:spacing w:val="0"/>
                <w:sz w:val="24"/>
              </w:rPr>
            </w:pPr>
            <w:r>
              <w:rPr>
                <w:rFonts w:ascii="Times New Roman" w:hAnsi="Times New Roman"/>
                <w:spacing w:val="0"/>
                <w:sz w:val="24"/>
              </w:rPr>
              <w:t>2.3</w:t>
            </w:r>
          </w:p>
          <w:p>
            <w:pPr>
              <w:pStyle w:val="TableContents"/>
              <w:spacing w:before="0" w:after="0"/>
              <w:jc w:val="left"/>
              <w:rPr/>
            </w:pPr>
            <w:r>
              <w:rPr/>
              <w:t> </w:t>
            </w:r>
            <w:r>
              <w:rPr>
                <w:rFonts w:ascii="Times New Roman" w:hAnsi="Times New Roman"/>
                <w:sz w:val="24"/>
              </w:rPr>
              <w:t xml:space="preserve">million;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June 4, 2020,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89,144,630</w:t>
            </w:r>
          </w:p>
          <w:p>
            <w:pPr>
              <w:pStyle w:val="TableContents"/>
              <w:spacing w:before="0" w:after="0"/>
              <w:jc w:val="left"/>
              <w:rPr>
                <w:rFonts w:ascii="Times New Roman" w:hAnsi="Times New Roman"/>
                <w:sz w:val="24"/>
              </w:rPr>
            </w:pPr>
            <w:r>
              <w:rPr>
                <w:rFonts w:ascii="Times New Roman" w:hAnsi="Times New Roman"/>
                <w:sz w:val="24"/>
              </w:rPr>
              <w:t>ordinary shares 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0.174</w:t>
            </w:r>
          </w:p>
          <w:p>
            <w:pPr>
              <w:pStyle w:val="TableContents"/>
              <w:spacing w:before="0" w:after="0"/>
              <w:jc w:val="left"/>
              <w:rPr>
                <w:rFonts w:ascii="Times New Roman" w:hAnsi="Times New Roman"/>
                <w:sz w:val="24"/>
              </w:rPr>
            </w:pPr>
            <w:r>
              <w:rPr>
                <w:rFonts w:ascii="Times New Roman" w:hAnsi="Times New Roman"/>
                <w:sz w:val="24"/>
              </w:rPr>
              <w:t>per share to investors. Gross cash received was £</w:t>
            </w:r>
          </w:p>
          <w:p>
            <w:pPr>
              <w:pStyle w:val="TableContents"/>
              <w:spacing w:before="0" w:after="0"/>
              <w:jc w:val="left"/>
              <w:rPr>
                <w:rFonts w:ascii="Times New Roman" w:hAnsi="Times New Roman"/>
                <w:spacing w:val="0"/>
                <w:sz w:val="24"/>
              </w:rPr>
            </w:pPr>
            <w:r>
              <w:rPr>
                <w:rFonts w:ascii="Times New Roman" w:hAnsi="Times New Roman"/>
                <w:spacing w:val="0"/>
                <w:sz w:val="24"/>
              </w:rPr>
              <w:t>15.5</w:t>
            </w:r>
          </w:p>
          <w:p>
            <w:pPr>
              <w:pStyle w:val="TableContents"/>
              <w:spacing w:before="0" w:after="0"/>
              <w:jc w:val="left"/>
              <w:rPr/>
            </w:pPr>
            <w:r>
              <w:rPr/>
              <w:t> </w:t>
            </w:r>
            <w:r>
              <w:rPr>
                <w:rFonts w:ascii="Times New Roman" w:hAnsi="Times New Roman"/>
                <w:sz w:val="24"/>
              </w:rPr>
              <w:t>million. The ordinary shares were in substance issued at a discount to the gross cash received. The fair value of the consideration of the ordinary shares was determined to be £</w:t>
            </w:r>
          </w:p>
          <w:p>
            <w:pPr>
              <w:pStyle w:val="TableContents"/>
              <w:spacing w:before="0" w:after="0"/>
              <w:jc w:val="left"/>
              <w:rPr>
                <w:rFonts w:ascii="Times New Roman" w:hAnsi="Times New Roman"/>
                <w:spacing w:val="0"/>
                <w:sz w:val="24"/>
              </w:rPr>
            </w:pPr>
            <w:r>
              <w:rPr>
                <w:rFonts w:ascii="Times New Roman" w:hAnsi="Times New Roman"/>
                <w:spacing w:val="0"/>
                <w:sz w:val="24"/>
              </w:rPr>
              <w:t>13.4</w:t>
            </w:r>
          </w:p>
          <w:p>
            <w:pPr>
              <w:pStyle w:val="TableContents"/>
              <w:spacing w:before="0" w:after="0"/>
              <w:jc w:val="left"/>
              <w:rPr/>
            </w:pPr>
            <w:r>
              <w:rPr/>
              <w:t> </w:t>
            </w:r>
            <w:r>
              <w:rPr>
                <w:rFonts w:ascii="Times New Roman" w:hAnsi="Times New Roman"/>
                <w:sz w:val="24"/>
              </w:rPr>
              <w:t>million and therefore the ordinary shares were in substance issued at a discount of £</w:t>
            </w:r>
          </w:p>
          <w:p>
            <w:pPr>
              <w:pStyle w:val="TableContents"/>
              <w:spacing w:before="0" w:after="0"/>
              <w:jc w:val="left"/>
              <w:rPr>
                <w:rFonts w:ascii="Times New Roman" w:hAnsi="Times New Roman"/>
                <w:spacing w:val="0"/>
                <w:sz w:val="24"/>
              </w:rPr>
            </w:pPr>
            <w:r>
              <w:rPr>
                <w:rFonts w:ascii="Times New Roman" w:hAnsi="Times New Roman"/>
                <w:spacing w:val="0"/>
                <w:sz w:val="24"/>
              </w:rPr>
              <w:t>2.1</w:t>
            </w:r>
          </w:p>
          <w:p>
            <w:pPr>
              <w:pStyle w:val="TableContents"/>
              <w:spacing w:before="0" w:after="0"/>
              <w:jc w:val="left"/>
              <w:rPr/>
            </w:pPr>
            <w:r>
              <w:rPr/>
              <w:t> </w:t>
            </w:r>
            <w:r>
              <w:rPr>
                <w:rFonts w:ascii="Times New Roman" w:hAnsi="Times New Roman"/>
                <w:sz w:val="24"/>
              </w:rPr>
              <w:t xml:space="preserve">million, which was recorded as a reduction to other reserves (other reserves represent amounts that relate to changes to the Company’s paid up equity and which are not capital reserves) in the consolidated statement of changes in equity. The incremental directly attributable transaction costs in relation to the issue of the ordinary shares were included within share premium; </w:t>
            </w:r>
          </w:p>
        </w:tc>
      </w:tr>
    </w:tbl>
    <w:p>
      <w:pPr>
        <w:pStyle w:val="TextBody"/>
        <w:spacing w:before="0" w:after="0"/>
        <w:jc w:val="left"/>
        <w:rPr>
          <w:highlight w:val="white"/>
        </w:rPr>
      </w:pPr>
      <w:r>
        <w:rPr>
          <w:highlight w:val="white"/>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June 30, 2020,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125,061,475</w:t>
            </w:r>
          </w:p>
          <w:p>
            <w:pPr>
              <w:pStyle w:val="TableContents"/>
              <w:spacing w:before="0" w:after="0"/>
              <w:jc w:val="left"/>
              <w:rPr>
                <w:rFonts w:ascii="Times New Roman" w:hAnsi="Times New Roman"/>
                <w:sz w:val="24"/>
              </w:rPr>
            </w:pPr>
            <w:r>
              <w:rPr>
                <w:rFonts w:ascii="Times New Roman" w:hAnsi="Times New Roman"/>
                <w:sz w:val="24"/>
              </w:rPr>
              <w:t>ordinary shares 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0.174</w:t>
            </w:r>
          </w:p>
          <w:p>
            <w:pPr>
              <w:pStyle w:val="TableContents"/>
              <w:spacing w:before="0" w:after="0"/>
              <w:jc w:val="left"/>
              <w:rPr>
                <w:rFonts w:ascii="Times New Roman" w:hAnsi="Times New Roman"/>
                <w:sz w:val="24"/>
              </w:rPr>
            </w:pPr>
            <w:r>
              <w:rPr>
                <w:rFonts w:ascii="Times New Roman" w:hAnsi="Times New Roman"/>
                <w:sz w:val="24"/>
              </w:rPr>
              <w:t>per share to investors on conversion of the Loan Notes. The legal proceeds were £</w:t>
            </w:r>
          </w:p>
          <w:p>
            <w:pPr>
              <w:pStyle w:val="TableContents"/>
              <w:spacing w:before="0" w:after="0"/>
              <w:jc w:val="left"/>
              <w:rPr>
                <w:rFonts w:ascii="Times New Roman" w:hAnsi="Times New Roman"/>
                <w:spacing w:val="0"/>
                <w:sz w:val="24"/>
              </w:rPr>
            </w:pPr>
            <w:r>
              <w:rPr>
                <w:rFonts w:ascii="Times New Roman" w:hAnsi="Times New Roman"/>
                <w:spacing w:val="0"/>
                <w:sz w:val="24"/>
              </w:rPr>
              <w:t>21.8</w:t>
            </w:r>
          </w:p>
          <w:p>
            <w:pPr>
              <w:pStyle w:val="TableContents"/>
              <w:spacing w:before="0" w:after="0"/>
              <w:jc w:val="left"/>
              <w:rPr/>
            </w:pPr>
            <w:r>
              <w:rPr/>
              <w:t> </w:t>
            </w:r>
            <w:r>
              <w:rPr>
                <w:rFonts w:ascii="Times New Roman" w:hAnsi="Times New Roman"/>
                <w:sz w:val="24"/>
              </w:rPr>
              <w:t xml:space="preserve">million;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December 23, 2020, </w:t>
            </w:r>
          </w:p>
          <w:p>
            <w:pPr>
              <w:pStyle w:val="TableContents"/>
              <w:spacing w:before="0" w:after="0"/>
              <w:jc w:val="left"/>
              <w:rPr>
                <w:rFonts w:ascii="Times New Roman" w:hAnsi="Times New Roman"/>
                <w:spacing w:val="0"/>
                <w:sz w:val="24"/>
              </w:rPr>
            </w:pPr>
            <w:r>
              <w:rPr>
                <w:rFonts w:ascii="Times New Roman" w:hAnsi="Times New Roman"/>
                <w:spacing w:val="0"/>
                <w:sz w:val="24"/>
              </w:rPr>
              <w:t>690,205</w:t>
            </w:r>
          </w:p>
          <w:p>
            <w:pPr>
              <w:pStyle w:val="TableContents"/>
              <w:spacing w:before="0" w:after="0"/>
              <w:jc w:val="left"/>
              <w:rPr>
                <w:rFonts w:ascii="Times New Roman" w:hAnsi="Times New Roman"/>
                <w:sz w:val="24"/>
              </w:rPr>
            </w:pPr>
            <w:r>
              <w:rPr>
                <w:rFonts w:ascii="Times New Roman" w:hAnsi="Times New Roman"/>
                <w:sz w:val="24"/>
              </w:rPr>
              <w:t xml:space="preserve">Warrants (equivalent to </w:t>
            </w:r>
          </w:p>
          <w:p>
            <w:pPr>
              <w:pStyle w:val="TableContents"/>
              <w:spacing w:before="0" w:after="0"/>
              <w:jc w:val="left"/>
              <w:rPr>
                <w:rFonts w:ascii="Times New Roman" w:hAnsi="Times New Roman"/>
                <w:spacing w:val="0"/>
                <w:sz w:val="24"/>
              </w:rPr>
            </w:pPr>
            <w:r>
              <w:rPr>
                <w:rFonts w:ascii="Times New Roman" w:hAnsi="Times New Roman"/>
                <w:spacing w:val="0"/>
                <w:sz w:val="24"/>
              </w:rPr>
              <w:t>138,041</w:t>
            </w:r>
          </w:p>
          <w:p>
            <w:pPr>
              <w:pStyle w:val="TableContents"/>
              <w:spacing w:before="0" w:after="0"/>
              <w:jc w:val="left"/>
              <w:rPr>
                <w:rFonts w:ascii="Times New Roman" w:hAnsi="Times New Roman"/>
                <w:sz w:val="24"/>
              </w:rPr>
            </w:pPr>
            <w:r>
              <w:rPr>
                <w:rFonts w:ascii="Times New Roman" w:hAnsi="Times New Roman"/>
                <w:sz w:val="24"/>
              </w:rPr>
              <w:t xml:space="preserve">ADSs) were exercised. This transaction was completed by way of a cashless exercise resulting in </w:t>
            </w:r>
          </w:p>
          <w:p>
            <w:pPr>
              <w:pStyle w:val="TableContents"/>
              <w:spacing w:before="0" w:after="0"/>
              <w:jc w:val="left"/>
              <w:rPr>
                <w:rFonts w:ascii="Times New Roman" w:hAnsi="Times New Roman"/>
                <w:spacing w:val="0"/>
                <w:sz w:val="24"/>
              </w:rPr>
            </w:pPr>
            <w:r>
              <w:rPr>
                <w:rFonts w:ascii="Times New Roman" w:hAnsi="Times New Roman"/>
                <w:spacing w:val="0"/>
                <w:sz w:val="24"/>
              </w:rPr>
              <w:t>47,835</w:t>
            </w:r>
          </w:p>
          <w:p>
            <w:pPr>
              <w:pStyle w:val="TableContents"/>
              <w:spacing w:before="0" w:after="0"/>
              <w:jc w:val="left"/>
              <w:rPr>
                <w:rFonts w:ascii="Times New Roman" w:hAnsi="Times New Roman"/>
                <w:sz w:val="24"/>
              </w:rPr>
            </w:pPr>
            <w:r>
              <w:rPr>
                <w:rFonts w:ascii="Times New Roman" w:hAnsi="Times New Roman"/>
                <w:sz w:val="24"/>
              </w:rPr>
              <w:t>ADSs being issued at the aggregate nominal value of the ordinary shares underlying the ADSs issued, in place of the exercise price of £</w:t>
            </w:r>
          </w:p>
          <w:p>
            <w:pPr>
              <w:pStyle w:val="TableContents"/>
              <w:spacing w:before="0" w:after="0"/>
              <w:jc w:val="left"/>
              <w:rPr>
                <w:rFonts w:ascii="Times New Roman" w:hAnsi="Times New Roman"/>
                <w:spacing w:val="0"/>
                <w:sz w:val="24"/>
              </w:rPr>
            </w:pPr>
            <w:r>
              <w:rPr>
                <w:rFonts w:ascii="Times New Roman" w:hAnsi="Times New Roman"/>
                <w:spacing w:val="0"/>
                <w:sz w:val="24"/>
              </w:rPr>
              <w:t>0.348</w:t>
            </w:r>
          </w:p>
          <w:p>
            <w:pPr>
              <w:pStyle w:val="TableContents"/>
              <w:spacing w:before="0" w:after="0"/>
              <w:jc w:val="left"/>
              <w:rPr>
                <w:rFonts w:ascii="Times New Roman" w:hAnsi="Times New Roman"/>
                <w:sz w:val="24"/>
              </w:rPr>
            </w:pPr>
            <w:r>
              <w:rPr>
                <w:rFonts w:ascii="Times New Roman" w:hAnsi="Times New Roman"/>
                <w:sz w:val="24"/>
              </w:rPr>
              <w:t xml:space="preserve">per ordinary share. </w:t>
            </w:r>
          </w:p>
        </w:tc>
      </w:tr>
    </w:tbl>
    <w:p>
      <w:pPr>
        <w:pStyle w:val="TextBody"/>
        <w:spacing w:before="0" w:after="0"/>
        <w:jc w:val="left"/>
        <w:rPr>
          <w:highlight w:val="white"/>
        </w:rPr>
      </w:pPr>
      <w:r>
        <w:rPr>
          <w:highlight w:val="white"/>
        </w:rPr>
        <w:t> </w:t>
      </w:r>
    </w:p>
    <w:tbl>
      <w:tblPr>
        <w:tblW w:w="8080" w:type="dxa"/>
        <w:jc w:val="left"/>
        <w:tblInd w:w="0" w:type="dxa"/>
        <w:tblCellMar>
          <w:top w:w="0" w:type="dxa"/>
          <w:left w:w="0" w:type="dxa"/>
          <w:bottom w:w="0" w:type="dxa"/>
          <w:right w:w="0" w:type="dxa"/>
        </w:tblCellMar>
      </w:tblPr>
      <w:tblGrid>
        <w:gridCol w:w="75"/>
        <w:gridCol w:w="110"/>
        <w:gridCol w:w="60"/>
        <w:gridCol w:w="7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35"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February 12, 2021,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198,375,000</w:t>
            </w:r>
          </w:p>
          <w:p>
            <w:pPr>
              <w:pStyle w:val="TableContents"/>
              <w:spacing w:before="0" w:after="0"/>
              <w:jc w:val="left"/>
              <w:rPr>
                <w:rFonts w:ascii="Times New Roman" w:hAnsi="Times New Roman"/>
                <w:sz w:val="24"/>
              </w:rPr>
            </w:pPr>
            <w:r>
              <w:rPr>
                <w:rFonts w:ascii="Times New Roman" w:hAnsi="Times New Roman"/>
                <w:sz w:val="24"/>
              </w:rPr>
              <w:t>ordinary shares of the Company with a nominal value of £</w:t>
            </w:r>
          </w:p>
          <w:p>
            <w:pPr>
              <w:pStyle w:val="TableContents"/>
              <w:spacing w:before="0" w:after="0"/>
              <w:jc w:val="left"/>
              <w:rPr>
                <w:rFonts w:ascii="Times New Roman" w:hAnsi="Times New Roman"/>
                <w:spacing w:val="0"/>
                <w:sz w:val="24"/>
              </w:rPr>
            </w:pPr>
            <w:r>
              <w:rPr>
                <w:rFonts w:ascii="Times New Roman" w:hAnsi="Times New Roman"/>
                <w:spacing w:val="0"/>
                <w:sz w:val="24"/>
              </w:rPr>
              <w:t>0.003</w:t>
            </w:r>
          </w:p>
          <w:p>
            <w:pPr>
              <w:pStyle w:val="TableContents"/>
              <w:spacing w:before="0" w:after="0"/>
              <w:jc w:val="left"/>
              <w:rPr>
                <w:rFonts w:ascii="Times New Roman" w:hAnsi="Times New Roman"/>
                <w:sz w:val="24"/>
              </w:rPr>
            </w:pPr>
            <w:r>
              <w:rPr>
                <w:rFonts w:ascii="Times New Roman" w:hAnsi="Times New Roman"/>
                <w:sz w:val="24"/>
              </w:rPr>
              <w:t>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0.395</w:t>
            </w:r>
          </w:p>
          <w:p>
            <w:pPr>
              <w:pStyle w:val="TableContents"/>
              <w:spacing w:before="0" w:after="0"/>
              <w:jc w:val="left"/>
              <w:rPr>
                <w:rFonts w:ascii="Times New Roman" w:hAnsi="Times New Roman"/>
                <w:sz w:val="24"/>
              </w:rPr>
            </w:pPr>
            <w:r>
              <w:rPr>
                <w:rFonts w:ascii="Times New Roman" w:hAnsi="Times New Roman"/>
                <w:sz w:val="24"/>
              </w:rPr>
              <w:t xml:space="preserve">per share, equivalent to </w:t>
            </w:r>
          </w:p>
          <w:p>
            <w:pPr>
              <w:pStyle w:val="TableContents"/>
              <w:spacing w:before="0" w:after="0"/>
              <w:jc w:val="left"/>
              <w:rPr>
                <w:rFonts w:ascii="Times New Roman" w:hAnsi="Times New Roman"/>
                <w:spacing w:val="0"/>
                <w:sz w:val="24"/>
              </w:rPr>
            </w:pPr>
            <w:r>
              <w:rPr>
                <w:rFonts w:ascii="Times New Roman" w:hAnsi="Times New Roman"/>
                <w:spacing w:val="0"/>
                <w:sz w:val="24"/>
              </w:rPr>
              <w:t>39,675,000</w:t>
            </w:r>
          </w:p>
          <w:p>
            <w:pPr>
              <w:pStyle w:val="TableContents"/>
              <w:spacing w:before="0" w:after="0"/>
              <w:jc w:val="left"/>
              <w:rPr>
                <w:rFonts w:ascii="Times New Roman" w:hAnsi="Times New Roman"/>
                <w:sz w:val="24"/>
              </w:rPr>
            </w:pPr>
            <w:r>
              <w:rPr>
                <w:rFonts w:ascii="Times New Roman" w:hAnsi="Times New Roman"/>
                <w:sz w:val="24"/>
              </w:rPr>
              <w:t>ADS 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2.726</w:t>
            </w:r>
          </w:p>
          <w:p>
            <w:pPr>
              <w:pStyle w:val="TableContents"/>
              <w:spacing w:before="0" w:after="0"/>
              <w:jc w:val="left"/>
              <w:rPr>
                <w:rFonts w:ascii="Times New Roman" w:hAnsi="Times New Roman"/>
                <w:sz w:val="24"/>
              </w:rPr>
            </w:pPr>
            <w:r>
              <w:rPr>
                <w:rFonts w:ascii="Times New Roman" w:hAnsi="Times New Roman"/>
                <w:sz w:val="24"/>
              </w:rPr>
              <w:t>per ADS, after underwriting discounts and commissions, resulting in proceeds of £</w:t>
            </w:r>
          </w:p>
          <w:p>
            <w:pPr>
              <w:pStyle w:val="TableContents"/>
              <w:spacing w:before="0" w:after="0"/>
              <w:jc w:val="left"/>
              <w:rPr>
                <w:rFonts w:ascii="Times New Roman" w:hAnsi="Times New Roman"/>
                <w:spacing w:val="0"/>
                <w:sz w:val="24"/>
              </w:rPr>
            </w:pPr>
            <w:r>
              <w:rPr>
                <w:rFonts w:ascii="Times New Roman" w:hAnsi="Times New Roman"/>
                <w:spacing w:val="0"/>
                <w:sz w:val="24"/>
              </w:rPr>
              <w:t>78.4</w:t>
            </w:r>
          </w:p>
          <w:p>
            <w:pPr>
              <w:pStyle w:val="TableContents"/>
              <w:spacing w:before="0" w:after="0"/>
              <w:jc w:val="left"/>
              <w:rPr/>
            </w:pPr>
            <w:r>
              <w:rPr/>
              <w:t> </w:t>
            </w:r>
            <w:r>
              <w:rPr>
                <w:rFonts w:ascii="Times New Roman" w:hAnsi="Times New Roman"/>
                <w:sz w:val="24"/>
              </w:rPr>
              <w:t>million. Transaction costs incurred for the issuance of share capital was £</w:t>
            </w:r>
          </w:p>
          <w:p>
            <w:pPr>
              <w:pStyle w:val="TableContents"/>
              <w:spacing w:before="0" w:after="0"/>
              <w:jc w:val="left"/>
              <w:rPr>
                <w:rFonts w:ascii="Times New Roman" w:hAnsi="Times New Roman"/>
                <w:spacing w:val="0"/>
                <w:sz w:val="24"/>
              </w:rPr>
            </w:pPr>
            <w:r>
              <w:rPr>
                <w:rFonts w:ascii="Times New Roman" w:hAnsi="Times New Roman"/>
                <w:spacing w:val="0"/>
                <w:sz w:val="24"/>
              </w:rPr>
              <w:t>0.2</w:t>
            </w:r>
          </w:p>
          <w:p>
            <w:pPr>
              <w:pStyle w:val="TableContents"/>
              <w:spacing w:before="0" w:after="0"/>
              <w:jc w:val="left"/>
              <w:rPr/>
            </w:pPr>
            <w:r>
              <w:rPr/>
              <w:t> </w:t>
            </w:r>
            <w:r>
              <w:rPr>
                <w:rFonts w:ascii="Times New Roman" w:hAnsi="Times New Roman"/>
                <w:sz w:val="24"/>
              </w:rPr>
              <w:t xml:space="preserve">million.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During the year ended December 31, 2021, </w:t>
            </w:r>
          </w:p>
          <w:p>
            <w:pPr>
              <w:pStyle w:val="TableContents"/>
              <w:spacing w:before="0" w:after="0"/>
              <w:jc w:val="left"/>
              <w:rPr>
                <w:rFonts w:ascii="Times New Roman" w:hAnsi="Times New Roman"/>
                <w:spacing w:val="0"/>
                <w:sz w:val="24"/>
              </w:rPr>
            </w:pPr>
            <w:r>
              <w:rPr>
                <w:rFonts w:ascii="Times New Roman" w:hAnsi="Times New Roman"/>
                <w:spacing w:val="0"/>
                <w:sz w:val="24"/>
              </w:rPr>
              <w:t>14,954,491</w:t>
            </w:r>
          </w:p>
          <w:p>
            <w:pPr>
              <w:pStyle w:val="TableContents"/>
              <w:spacing w:before="0" w:after="0"/>
              <w:jc w:val="left"/>
              <w:rPr>
                <w:rFonts w:ascii="Times New Roman" w:hAnsi="Times New Roman"/>
                <w:sz w:val="24"/>
              </w:rPr>
            </w:pPr>
            <w:r>
              <w:rPr>
                <w:rFonts w:ascii="Times New Roman" w:hAnsi="Times New Roman"/>
                <w:sz w:val="24"/>
              </w:rPr>
              <w:t xml:space="preserve">warrants (equivalent to </w:t>
            </w:r>
          </w:p>
          <w:p>
            <w:pPr>
              <w:pStyle w:val="TableContents"/>
              <w:spacing w:before="0" w:after="0"/>
              <w:jc w:val="left"/>
              <w:rPr>
                <w:rFonts w:ascii="Times New Roman" w:hAnsi="Times New Roman"/>
                <w:spacing w:val="0"/>
                <w:sz w:val="24"/>
              </w:rPr>
            </w:pPr>
            <w:r>
              <w:rPr>
                <w:rFonts w:ascii="Times New Roman" w:hAnsi="Times New Roman"/>
                <w:spacing w:val="0"/>
                <w:sz w:val="24"/>
              </w:rPr>
              <w:t>2,990,898</w:t>
            </w:r>
          </w:p>
          <w:p>
            <w:pPr>
              <w:pStyle w:val="TableContents"/>
              <w:spacing w:before="0" w:after="0"/>
              <w:jc w:val="left"/>
              <w:rPr>
                <w:rFonts w:ascii="Times New Roman" w:hAnsi="Times New Roman"/>
                <w:sz w:val="24"/>
              </w:rPr>
            </w:pPr>
            <w:r>
              <w:rPr>
                <w:rFonts w:ascii="Times New Roman" w:hAnsi="Times New Roman"/>
                <w:sz w:val="24"/>
              </w:rPr>
              <w:t xml:space="preserve">ADSs) were exercised by way of a cashless exercise resulting in </w:t>
            </w:r>
          </w:p>
          <w:p>
            <w:pPr>
              <w:pStyle w:val="TableContents"/>
              <w:spacing w:before="0" w:after="0"/>
              <w:jc w:val="left"/>
              <w:rPr>
                <w:rFonts w:ascii="Times New Roman" w:hAnsi="Times New Roman"/>
                <w:spacing w:val="0"/>
                <w:sz w:val="24"/>
              </w:rPr>
            </w:pPr>
            <w:r>
              <w:rPr>
                <w:rFonts w:ascii="Times New Roman" w:hAnsi="Times New Roman"/>
                <w:spacing w:val="0"/>
                <w:sz w:val="24"/>
              </w:rPr>
              <w:t>4,621,147</w:t>
            </w:r>
          </w:p>
          <w:p>
            <w:pPr>
              <w:pStyle w:val="TableContents"/>
              <w:spacing w:before="0" w:after="0"/>
              <w:jc w:val="left"/>
              <w:rPr>
                <w:rFonts w:ascii="Times New Roman" w:hAnsi="Times New Roman"/>
                <w:sz w:val="24"/>
              </w:rPr>
            </w:pPr>
            <w:r>
              <w:rPr>
                <w:rFonts w:ascii="Times New Roman" w:hAnsi="Times New Roman"/>
                <w:sz w:val="24"/>
              </w:rPr>
              <w:t>ordinary shares (</w:t>
            </w:r>
          </w:p>
          <w:p>
            <w:pPr>
              <w:pStyle w:val="TableContents"/>
              <w:spacing w:before="0" w:after="0"/>
              <w:jc w:val="left"/>
              <w:rPr>
                <w:rFonts w:ascii="Times New Roman" w:hAnsi="Times New Roman"/>
                <w:spacing w:val="0"/>
                <w:sz w:val="24"/>
              </w:rPr>
            </w:pPr>
            <w:r>
              <w:rPr>
                <w:rFonts w:ascii="Times New Roman" w:hAnsi="Times New Roman"/>
                <w:spacing w:val="0"/>
                <w:sz w:val="24"/>
              </w:rPr>
              <w:t>924,229</w:t>
            </w:r>
          </w:p>
          <w:p>
            <w:pPr>
              <w:pStyle w:val="TableContents"/>
              <w:spacing w:before="0" w:after="0"/>
              <w:jc w:val="left"/>
              <w:rPr>
                <w:rFonts w:ascii="Times New Roman" w:hAnsi="Times New Roman"/>
                <w:sz w:val="24"/>
              </w:rPr>
            </w:pPr>
            <w:r>
              <w:rPr>
                <w:rFonts w:ascii="Times New Roman" w:hAnsi="Times New Roman"/>
                <w:sz w:val="24"/>
              </w:rPr>
              <w:t>ADSs) being issued at the aggregate nominal value of the ordinary shares underlying the ADSs issued, in place of the exercise price of £</w:t>
            </w:r>
          </w:p>
          <w:p>
            <w:pPr>
              <w:pStyle w:val="TableContents"/>
              <w:spacing w:before="0" w:after="0"/>
              <w:jc w:val="left"/>
              <w:rPr>
                <w:rFonts w:ascii="Times New Roman" w:hAnsi="Times New Roman"/>
                <w:spacing w:val="0"/>
                <w:sz w:val="24"/>
              </w:rPr>
            </w:pPr>
            <w:r>
              <w:rPr>
                <w:rFonts w:ascii="Times New Roman" w:hAnsi="Times New Roman"/>
                <w:spacing w:val="0"/>
                <w:sz w:val="24"/>
              </w:rPr>
              <w:t>0.348</w:t>
            </w:r>
          </w:p>
          <w:p>
            <w:pPr>
              <w:pStyle w:val="TableContents"/>
              <w:spacing w:before="0" w:after="0"/>
              <w:jc w:val="left"/>
              <w:rPr>
                <w:rFonts w:ascii="Times New Roman" w:hAnsi="Times New Roman"/>
                <w:sz w:val="24"/>
              </w:rPr>
            </w:pPr>
            <w:r>
              <w:rPr>
                <w:rFonts w:ascii="Times New Roman" w:hAnsi="Times New Roman"/>
                <w:sz w:val="24"/>
              </w:rPr>
              <w:t xml:space="preserve">per ordinary share. A further </w:t>
            </w:r>
          </w:p>
          <w:p>
            <w:pPr>
              <w:pStyle w:val="TableContents"/>
              <w:spacing w:before="0" w:after="0"/>
              <w:jc w:val="left"/>
              <w:rPr>
                <w:rFonts w:ascii="Times New Roman" w:hAnsi="Times New Roman"/>
                <w:spacing w:val="0"/>
                <w:sz w:val="24"/>
              </w:rPr>
            </w:pPr>
            <w:r>
              <w:rPr>
                <w:rFonts w:ascii="Times New Roman" w:hAnsi="Times New Roman"/>
                <w:spacing w:val="0"/>
                <w:sz w:val="24"/>
              </w:rPr>
              <w:t>460,135</w:t>
            </w:r>
          </w:p>
          <w:p>
            <w:pPr>
              <w:pStyle w:val="TableContents"/>
              <w:spacing w:before="0" w:after="0"/>
              <w:jc w:val="left"/>
              <w:rPr>
                <w:rFonts w:ascii="Times New Roman" w:hAnsi="Times New Roman"/>
                <w:sz w:val="24"/>
              </w:rPr>
            </w:pPr>
            <w:r>
              <w:rPr>
                <w:rFonts w:ascii="Times New Roman" w:hAnsi="Times New Roman"/>
                <w:sz w:val="24"/>
              </w:rPr>
              <w:t xml:space="preserve">warrants (equivalent to </w:t>
            </w:r>
          </w:p>
          <w:p>
            <w:pPr>
              <w:pStyle w:val="TableContents"/>
              <w:spacing w:before="0" w:after="0"/>
              <w:jc w:val="left"/>
              <w:rPr>
                <w:rFonts w:ascii="Times New Roman" w:hAnsi="Times New Roman"/>
                <w:spacing w:val="0"/>
                <w:sz w:val="24"/>
              </w:rPr>
            </w:pPr>
            <w:r>
              <w:rPr>
                <w:rFonts w:ascii="Times New Roman" w:hAnsi="Times New Roman"/>
                <w:spacing w:val="0"/>
                <w:sz w:val="24"/>
              </w:rPr>
              <w:t>92,027</w:t>
            </w:r>
          </w:p>
          <w:p>
            <w:pPr>
              <w:pStyle w:val="TableContents"/>
              <w:spacing w:before="0" w:after="0"/>
              <w:jc w:val="left"/>
              <w:rPr>
                <w:rFonts w:ascii="Times New Roman" w:hAnsi="Times New Roman"/>
                <w:sz w:val="24"/>
              </w:rPr>
            </w:pPr>
            <w:r>
              <w:rPr>
                <w:rFonts w:ascii="Times New Roman" w:hAnsi="Times New Roman"/>
                <w:sz w:val="24"/>
              </w:rPr>
              <w:t>ADSs) were exercised on a cash basis at the exercise price of £</w:t>
            </w:r>
          </w:p>
          <w:p>
            <w:pPr>
              <w:pStyle w:val="TableContents"/>
              <w:spacing w:before="0" w:after="0"/>
              <w:jc w:val="left"/>
              <w:rPr>
                <w:rFonts w:ascii="Times New Roman" w:hAnsi="Times New Roman"/>
                <w:spacing w:val="0"/>
                <w:sz w:val="24"/>
              </w:rPr>
            </w:pPr>
            <w:r>
              <w:rPr>
                <w:rFonts w:ascii="Times New Roman" w:hAnsi="Times New Roman"/>
                <w:spacing w:val="0"/>
                <w:sz w:val="24"/>
              </w:rPr>
              <w:t>0.348</w:t>
            </w:r>
          </w:p>
          <w:p>
            <w:pPr>
              <w:pStyle w:val="TableContents"/>
              <w:spacing w:before="0" w:after="0"/>
              <w:jc w:val="left"/>
              <w:rPr>
                <w:rFonts w:ascii="Times New Roman" w:hAnsi="Times New Roman"/>
                <w:sz w:val="24"/>
              </w:rPr>
            </w:pPr>
            <w:r>
              <w:rPr>
                <w:rFonts w:ascii="Times New Roman" w:hAnsi="Times New Roman"/>
                <w:sz w:val="24"/>
              </w:rPr>
              <w:t>, which resulted in aggregate proceeds of £</w:t>
            </w:r>
          </w:p>
          <w:p>
            <w:pPr>
              <w:pStyle w:val="TableContents"/>
              <w:spacing w:before="0" w:after="0"/>
              <w:jc w:val="left"/>
              <w:rPr>
                <w:rFonts w:ascii="Times New Roman" w:hAnsi="Times New Roman"/>
                <w:spacing w:val="0"/>
                <w:sz w:val="24"/>
              </w:rPr>
            </w:pPr>
            <w:r>
              <w:rPr>
                <w:rFonts w:ascii="Times New Roman" w:hAnsi="Times New Roman"/>
                <w:spacing w:val="0"/>
                <w:sz w:val="24"/>
              </w:rPr>
              <w:t>0.2</w:t>
            </w:r>
          </w:p>
          <w:p>
            <w:pPr>
              <w:pStyle w:val="TableContents"/>
              <w:spacing w:before="0" w:after="0"/>
              <w:jc w:val="left"/>
              <w:rPr/>
            </w:pPr>
            <w:r>
              <w:rPr/>
              <w:t> </w:t>
            </w:r>
            <w:r>
              <w:rPr>
                <w:rFonts w:ascii="Times New Roman" w:hAnsi="Times New Roman"/>
                <w:sz w:val="24"/>
              </w:rPr>
              <w:t xml:space="preserve">million.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On May 4, 2021,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2,100,840</w:t>
            </w:r>
          </w:p>
          <w:p>
            <w:pPr>
              <w:pStyle w:val="TableContents"/>
              <w:spacing w:before="0" w:after="0"/>
              <w:jc w:val="left"/>
              <w:rPr>
                <w:rFonts w:ascii="Times New Roman" w:hAnsi="Times New Roman"/>
                <w:sz w:val="24"/>
              </w:rPr>
            </w:pPr>
            <w:r>
              <w:rPr>
                <w:rFonts w:ascii="Times New Roman" w:hAnsi="Times New Roman"/>
                <w:sz w:val="24"/>
              </w:rPr>
              <w:t>ordinary shares of £</w:t>
            </w:r>
          </w:p>
          <w:p>
            <w:pPr>
              <w:pStyle w:val="TableContents"/>
              <w:spacing w:before="0" w:after="0"/>
              <w:jc w:val="left"/>
              <w:rPr>
                <w:rFonts w:ascii="Times New Roman" w:hAnsi="Times New Roman"/>
                <w:spacing w:val="0"/>
                <w:sz w:val="24"/>
              </w:rPr>
            </w:pPr>
            <w:r>
              <w:rPr>
                <w:rFonts w:ascii="Times New Roman" w:hAnsi="Times New Roman"/>
                <w:spacing w:val="0"/>
                <w:sz w:val="24"/>
              </w:rPr>
              <w:t>0.003</w:t>
            </w:r>
          </w:p>
          <w:p>
            <w:pPr>
              <w:pStyle w:val="TableContents"/>
              <w:spacing w:before="0" w:after="0"/>
              <w:jc w:val="left"/>
              <w:rPr>
                <w:rFonts w:ascii="Times New Roman" w:hAnsi="Times New Roman"/>
                <w:sz w:val="24"/>
              </w:rPr>
            </w:pPr>
            <w:r>
              <w:rPr>
                <w:rFonts w:ascii="Times New Roman" w:hAnsi="Times New Roman"/>
                <w:sz w:val="24"/>
              </w:rPr>
              <w:t>in nominal value in the capital of the Company at a price of £</w:t>
            </w:r>
          </w:p>
          <w:p>
            <w:pPr>
              <w:pStyle w:val="TableContents"/>
              <w:spacing w:before="0" w:after="0"/>
              <w:jc w:val="left"/>
              <w:rPr>
                <w:rFonts w:ascii="Times New Roman" w:hAnsi="Times New Roman"/>
                <w:spacing w:val="0"/>
                <w:sz w:val="24"/>
              </w:rPr>
            </w:pPr>
            <w:r>
              <w:rPr>
                <w:rFonts w:ascii="Times New Roman" w:hAnsi="Times New Roman"/>
                <w:spacing w:val="0"/>
                <w:sz w:val="24"/>
              </w:rPr>
              <w:t>0.517</w:t>
            </w:r>
          </w:p>
          <w:p>
            <w:pPr>
              <w:pStyle w:val="TableContents"/>
              <w:spacing w:before="0" w:after="0"/>
              <w:jc w:val="left"/>
              <w:rPr>
                <w:rFonts w:ascii="Times New Roman" w:hAnsi="Times New Roman"/>
                <w:sz w:val="24"/>
              </w:rPr>
            </w:pPr>
            <w:r>
              <w:rPr>
                <w:rFonts w:ascii="Times New Roman" w:hAnsi="Times New Roman"/>
                <w:sz w:val="24"/>
              </w:rPr>
              <w:t xml:space="preserve">per share to Cancer Focus Fund, as part of a </w:t>
            </w:r>
          </w:p>
          <w:p>
            <w:pPr>
              <w:pStyle w:val="TableContents"/>
              <w:spacing w:before="0" w:after="0"/>
              <w:jc w:val="left"/>
              <w:rPr>
                <w:rFonts w:ascii="Times New Roman" w:hAnsi="Times New Roman"/>
                <w:spacing w:val="0"/>
                <w:sz w:val="24"/>
              </w:rPr>
            </w:pPr>
            <w:r>
              <w:rPr>
                <w:rFonts w:ascii="Times New Roman" w:hAnsi="Times New Roman"/>
                <w:spacing w:val="0"/>
                <w:sz w:val="24"/>
              </w:rPr>
              <w:t>non-cash,</w:t>
            </w:r>
          </w:p>
          <w:p>
            <w:pPr>
              <w:pStyle w:val="TableContents"/>
              <w:spacing w:before="0" w:after="0"/>
              <w:jc w:val="left"/>
              <w:rPr>
                <w:rFonts w:ascii="Times New Roman" w:hAnsi="Times New Roman"/>
                <w:sz w:val="24"/>
              </w:rPr>
            </w:pPr>
            <w:r>
              <w:rPr>
                <w:rFonts w:ascii="Times New Roman" w:hAnsi="Times New Roman"/>
                <w:sz w:val="24"/>
              </w:rPr>
              <w:t>equity- settled transaction where the Company entered into partnership with Cancer Focus Fund for a Phase 1b/2 study of etigilimab in Clear Cell Ovarian Cancer to be conducted at The University of Texas MD Anderson Cancer Center. The study will be financed by Cancer Focus Fund, in exchange for upfront consideration of $</w:t>
            </w:r>
          </w:p>
          <w:p>
            <w:pPr>
              <w:pStyle w:val="TableContents"/>
              <w:spacing w:before="0" w:after="0"/>
              <w:jc w:val="left"/>
              <w:rPr>
                <w:rFonts w:ascii="Times New Roman" w:hAnsi="Times New Roman"/>
                <w:spacing w:val="0"/>
                <w:sz w:val="24"/>
              </w:rPr>
            </w:pPr>
            <w:r>
              <w:rPr>
                <w:rFonts w:ascii="Times New Roman" w:hAnsi="Times New Roman"/>
                <w:spacing w:val="0"/>
                <w:sz w:val="24"/>
              </w:rPr>
              <w:t>1.5</w:t>
            </w:r>
          </w:p>
          <w:p>
            <w:pPr>
              <w:pStyle w:val="TableContents"/>
              <w:spacing w:before="0" w:after="0"/>
              <w:jc w:val="left"/>
              <w:rPr/>
            </w:pPr>
            <w:r>
              <w:rPr/>
              <w:t> </w:t>
            </w:r>
            <w:r>
              <w:rPr>
                <w:rFonts w:ascii="Times New Roman" w:hAnsi="Times New Roman"/>
                <w:sz w:val="24"/>
              </w:rPr>
              <w:t>million (£</w:t>
            </w:r>
          </w:p>
          <w:p>
            <w:pPr>
              <w:pStyle w:val="TableContents"/>
              <w:spacing w:before="0" w:after="0"/>
              <w:jc w:val="left"/>
              <w:rPr>
                <w:rFonts w:ascii="Times New Roman" w:hAnsi="Times New Roman"/>
                <w:spacing w:val="0"/>
                <w:sz w:val="24"/>
              </w:rPr>
            </w:pPr>
            <w:r>
              <w:rPr>
                <w:rFonts w:ascii="Times New Roman" w:hAnsi="Times New Roman"/>
                <w:spacing w:val="0"/>
                <w:sz w:val="24"/>
              </w:rPr>
              <w:t>1.09</w:t>
            </w:r>
          </w:p>
          <w:p>
            <w:pPr>
              <w:pStyle w:val="TableContents"/>
              <w:spacing w:before="0" w:after="0"/>
              <w:jc w:val="left"/>
              <w:rPr>
                <w:rFonts w:ascii="Times New Roman" w:hAnsi="Times New Roman"/>
                <w:sz w:val="24"/>
              </w:rPr>
            </w:pPr>
            <w:r>
              <w:rPr>
                <w:rFonts w:ascii="Times New Roman" w:hAnsi="Times New Roman"/>
                <w:sz w:val="24"/>
              </w:rPr>
              <w:t>million) of the Company’s ordinary shares and additional payments based on the achievement of certain milestones. The Company initially recognized a prepayment of £</w:t>
            </w:r>
          </w:p>
          <w:p>
            <w:pPr>
              <w:pStyle w:val="TableContents"/>
              <w:spacing w:before="0" w:after="0"/>
              <w:jc w:val="left"/>
              <w:rPr>
                <w:rFonts w:ascii="Times New Roman" w:hAnsi="Times New Roman"/>
                <w:spacing w:val="0"/>
                <w:sz w:val="24"/>
              </w:rPr>
            </w:pPr>
            <w:r>
              <w:rPr>
                <w:rFonts w:ascii="Times New Roman" w:hAnsi="Times New Roman"/>
                <w:spacing w:val="0"/>
                <w:sz w:val="24"/>
              </w:rPr>
              <w:t>1.09</w:t>
            </w:r>
          </w:p>
          <w:p>
            <w:pPr>
              <w:pStyle w:val="TableContents"/>
              <w:spacing w:before="0" w:after="0"/>
              <w:jc w:val="left"/>
              <w:rPr/>
            </w:pPr>
            <w:r>
              <w:rPr/>
              <w:t> </w:t>
            </w:r>
            <w:r>
              <w:rPr>
                <w:rFonts w:ascii="Times New Roman" w:hAnsi="Times New Roman"/>
                <w:sz w:val="24"/>
              </w:rPr>
              <w:t>million with reference to fair value of the ordinary shares granted, of which £</w:t>
            </w:r>
          </w:p>
          <w:p>
            <w:pPr>
              <w:pStyle w:val="TableContents"/>
              <w:spacing w:before="0" w:after="0"/>
              <w:jc w:val="left"/>
              <w:rPr>
                <w:rFonts w:ascii="Times New Roman" w:hAnsi="Times New Roman"/>
                <w:spacing w:val="0"/>
                <w:sz w:val="24"/>
              </w:rPr>
            </w:pPr>
            <w:r>
              <w:rPr>
                <w:rFonts w:ascii="Times New Roman" w:hAnsi="Times New Roman"/>
                <w:spacing w:val="0"/>
                <w:sz w:val="24"/>
              </w:rPr>
              <w:t>0.2</w:t>
            </w:r>
          </w:p>
          <w:p>
            <w:pPr>
              <w:pStyle w:val="TableContents"/>
              <w:spacing w:before="0" w:after="0"/>
              <w:jc w:val="left"/>
              <w:rPr/>
            </w:pPr>
            <w:r>
              <w:rPr/>
              <w:t> </w:t>
            </w:r>
            <w:r>
              <w:rPr>
                <w:rFonts w:ascii="Times New Roman" w:hAnsi="Times New Roman"/>
                <w:sz w:val="24"/>
              </w:rPr>
              <w:t xml:space="preserve">million was subsequently recorded in the consolidated statement of comprehensive income/(loss) during the year ended December 31, 2021. </w:t>
            </w:r>
          </w:p>
        </w:tc>
      </w:tr>
    </w:tbl>
    <w:p>
      <w:pPr>
        <w:pStyle w:val="TextBody"/>
        <w:spacing w:before="0" w:after="0"/>
        <w:jc w:val="left"/>
        <w:rPr>
          <w:highlight w:val="white"/>
        </w:rPr>
      </w:pPr>
      <w:r>
        <w:rPr>
          <w:highlight w:val="white"/>
        </w:rPr>
        <w:t> </w:t>
      </w:r>
    </w:p>
    <w:tbl>
      <w:tblPr>
        <w:tblW w:w="7585" w:type="dxa"/>
        <w:jc w:val="left"/>
        <w:tblInd w:w="0" w:type="dxa"/>
        <w:tblCellMar>
          <w:top w:w="0" w:type="dxa"/>
          <w:left w:w="0" w:type="dxa"/>
          <w:bottom w:w="0" w:type="dxa"/>
          <w:right w:w="0" w:type="dxa"/>
        </w:tblCellMar>
      </w:tblPr>
      <w:tblGrid>
        <w:gridCol w:w="75"/>
        <w:gridCol w:w="110"/>
        <w:gridCol w:w="60"/>
        <w:gridCol w:w="7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During the year ended December 31, 2021,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40,397,976</w:t>
            </w:r>
          </w:p>
          <w:p>
            <w:pPr>
              <w:pStyle w:val="TableContents"/>
              <w:spacing w:before="0" w:after="0"/>
              <w:jc w:val="left"/>
              <w:rPr>
                <w:rFonts w:ascii="Times New Roman" w:hAnsi="Times New Roman"/>
                <w:sz w:val="24"/>
              </w:rPr>
            </w:pPr>
            <w:r>
              <w:rPr>
                <w:rFonts w:ascii="Times New Roman" w:hAnsi="Times New Roman"/>
                <w:sz w:val="24"/>
              </w:rPr>
              <w:t>ordinary shares of £</w:t>
            </w:r>
          </w:p>
          <w:p>
            <w:pPr>
              <w:pStyle w:val="TableContents"/>
              <w:spacing w:before="0" w:after="0"/>
              <w:jc w:val="left"/>
              <w:rPr>
                <w:rFonts w:ascii="Times New Roman" w:hAnsi="Times New Roman"/>
                <w:spacing w:val="0"/>
                <w:sz w:val="24"/>
              </w:rPr>
            </w:pPr>
            <w:r>
              <w:rPr>
                <w:rFonts w:ascii="Times New Roman" w:hAnsi="Times New Roman"/>
                <w:spacing w:val="0"/>
                <w:sz w:val="24"/>
              </w:rPr>
              <w:t>0.003</w:t>
            </w:r>
          </w:p>
          <w:p>
            <w:pPr>
              <w:pStyle w:val="TableContents"/>
              <w:spacing w:before="0" w:after="0"/>
              <w:jc w:val="left"/>
              <w:rPr>
                <w:rFonts w:ascii="Times New Roman" w:hAnsi="Times New Roman"/>
                <w:sz w:val="24"/>
              </w:rPr>
            </w:pPr>
            <w:r>
              <w:rPr>
                <w:rFonts w:ascii="Times New Roman" w:hAnsi="Times New Roman"/>
                <w:sz w:val="24"/>
              </w:rPr>
              <w:t>in nominal value in the capital of the Company at an exercise price of £</w:t>
            </w:r>
          </w:p>
          <w:p>
            <w:pPr>
              <w:pStyle w:val="TableContents"/>
              <w:spacing w:before="0" w:after="0"/>
              <w:jc w:val="left"/>
              <w:rPr>
                <w:rFonts w:ascii="Times New Roman" w:hAnsi="Times New Roman"/>
                <w:spacing w:val="0"/>
                <w:sz w:val="24"/>
              </w:rPr>
            </w:pPr>
            <w:r>
              <w:rPr>
                <w:rFonts w:ascii="Times New Roman" w:hAnsi="Times New Roman"/>
                <w:spacing w:val="0"/>
                <w:sz w:val="24"/>
              </w:rPr>
              <w:t>0.174</w:t>
            </w:r>
          </w:p>
          <w:p>
            <w:pPr>
              <w:pStyle w:val="TableContents"/>
              <w:spacing w:before="0" w:after="0"/>
              <w:jc w:val="left"/>
              <w:rPr>
                <w:rFonts w:ascii="Times New Roman" w:hAnsi="Times New Roman"/>
                <w:sz w:val="24"/>
              </w:rPr>
            </w:pPr>
            <w:r>
              <w:rPr>
                <w:rFonts w:ascii="Times New Roman" w:hAnsi="Times New Roman"/>
                <w:sz w:val="24"/>
              </w:rPr>
              <w:t xml:space="preserve">per share on </w:t>
            </w:r>
          </w:p>
          <w:p>
            <w:pPr>
              <w:pStyle w:val="TableContents"/>
              <w:spacing w:before="0" w:after="0"/>
              <w:jc w:val="left"/>
              <w:rPr>
                <w:rFonts w:ascii="Times New Roman" w:hAnsi="Times New Roman"/>
                <w:spacing w:val="0"/>
                <w:sz w:val="24"/>
              </w:rPr>
            </w:pPr>
            <w:r>
              <w:rPr>
                <w:rFonts w:ascii="Times New Roman" w:hAnsi="Times New Roman"/>
                <w:spacing w:val="0"/>
                <w:sz w:val="24"/>
              </w:rPr>
              <w:t>non-cash</w:t>
            </w:r>
          </w:p>
          <w:p>
            <w:pPr>
              <w:pStyle w:val="TableContents"/>
              <w:spacing w:before="0" w:after="0"/>
              <w:jc w:val="left"/>
              <w:rPr>
                <w:rFonts w:ascii="Times New Roman" w:hAnsi="Times New Roman"/>
                <w:sz w:val="24"/>
              </w:rPr>
            </w:pPr>
            <w:r>
              <w:rPr>
                <w:rFonts w:ascii="Times New Roman" w:hAnsi="Times New Roman"/>
                <w:sz w:val="24"/>
              </w:rPr>
              <w:t xml:space="preserve">conversion of Loan Notes. </w:t>
            </w:r>
          </w:p>
        </w:tc>
      </w:tr>
    </w:tbl>
    <w:p>
      <w:pPr>
        <w:pStyle w:val="TextBody"/>
        <w:spacing w:before="0" w:after="0"/>
        <w:jc w:val="left"/>
        <w:rPr>
          <w:highlight w:val="white"/>
        </w:rPr>
      </w:pPr>
      <w:r>
        <w:rPr>
          <w:highlight w:val="white"/>
        </w:rPr>
        <w:t> </w:t>
      </w:r>
    </w:p>
    <w:tbl>
      <w:tblPr>
        <w:tblW w:w="7585" w:type="dxa"/>
        <w:jc w:val="left"/>
        <w:tblInd w:w="0" w:type="dxa"/>
        <w:tblCellMar>
          <w:top w:w="0" w:type="dxa"/>
          <w:left w:w="0" w:type="dxa"/>
          <w:bottom w:w="0" w:type="dxa"/>
          <w:right w:w="0" w:type="dxa"/>
        </w:tblCellMar>
      </w:tblPr>
      <w:tblGrid>
        <w:gridCol w:w="75"/>
        <w:gridCol w:w="110"/>
        <w:gridCol w:w="60"/>
        <w:gridCol w:w="7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0"/>
              <w:jc w:val="left"/>
              <w:rPr>
                <w:rFonts w:ascii="Times New Roman" w:hAnsi="Times New Roman"/>
                <w:sz w:val="24"/>
              </w:rPr>
            </w:pPr>
            <w:r>
              <w:rPr>
                <w:rFonts w:ascii="Times New Roman" w:hAnsi="Times New Roman"/>
                <w:sz w:val="24"/>
              </w:rPr>
              <w:t xml:space="preserve">During the year ended December 31, 2022, the Company issued and allotted </w:t>
            </w:r>
          </w:p>
          <w:p>
            <w:pPr>
              <w:pStyle w:val="TableContents"/>
              <w:spacing w:before="0" w:after="0"/>
              <w:jc w:val="left"/>
              <w:rPr>
                <w:rFonts w:ascii="Times New Roman" w:hAnsi="Times New Roman"/>
                <w:spacing w:val="0"/>
                <w:sz w:val="24"/>
              </w:rPr>
            </w:pPr>
            <w:r>
              <w:rPr>
                <w:rFonts w:ascii="Times New Roman" w:hAnsi="Times New Roman"/>
                <w:spacing w:val="0"/>
                <w:sz w:val="24"/>
              </w:rPr>
              <w:t>40,020,280</w:t>
            </w:r>
          </w:p>
          <w:p>
            <w:pPr>
              <w:pStyle w:val="TableContents"/>
              <w:spacing w:before="0" w:after="0"/>
              <w:jc w:val="left"/>
              <w:rPr>
                <w:rFonts w:ascii="Times New Roman" w:hAnsi="Times New Roman"/>
                <w:sz w:val="24"/>
              </w:rPr>
            </w:pPr>
            <w:r>
              <w:rPr>
                <w:rFonts w:ascii="Times New Roman" w:hAnsi="Times New Roman"/>
                <w:sz w:val="24"/>
              </w:rPr>
              <w:t>ordinary shares of £</w:t>
            </w:r>
          </w:p>
          <w:p>
            <w:pPr>
              <w:pStyle w:val="TableContents"/>
              <w:spacing w:before="0" w:after="0"/>
              <w:jc w:val="left"/>
              <w:rPr>
                <w:rFonts w:ascii="Times New Roman" w:hAnsi="Times New Roman"/>
                <w:spacing w:val="0"/>
                <w:sz w:val="24"/>
              </w:rPr>
            </w:pPr>
            <w:r>
              <w:rPr>
                <w:rFonts w:ascii="Times New Roman" w:hAnsi="Times New Roman"/>
                <w:spacing w:val="0"/>
                <w:sz w:val="24"/>
              </w:rPr>
              <w:t>0.003</w:t>
            </w:r>
          </w:p>
          <w:p>
            <w:pPr>
              <w:pStyle w:val="TableContents"/>
              <w:spacing w:before="0" w:after="0"/>
              <w:jc w:val="left"/>
              <w:rPr>
                <w:rFonts w:ascii="Times New Roman" w:hAnsi="Times New Roman"/>
                <w:sz w:val="24"/>
              </w:rPr>
            </w:pPr>
            <w:r>
              <w:rPr>
                <w:rFonts w:ascii="Times New Roman" w:hAnsi="Times New Roman"/>
                <w:sz w:val="24"/>
              </w:rPr>
              <w:t>in nominal value in the capital of the Company at an exercise price of £</w:t>
            </w:r>
          </w:p>
          <w:p>
            <w:pPr>
              <w:pStyle w:val="TableContents"/>
              <w:spacing w:before="0" w:after="0"/>
              <w:jc w:val="left"/>
              <w:rPr>
                <w:rFonts w:ascii="Times New Roman" w:hAnsi="Times New Roman"/>
                <w:spacing w:val="0"/>
                <w:sz w:val="24"/>
              </w:rPr>
            </w:pPr>
            <w:r>
              <w:rPr>
                <w:rFonts w:ascii="Times New Roman" w:hAnsi="Times New Roman"/>
                <w:spacing w:val="0"/>
                <w:sz w:val="24"/>
              </w:rPr>
              <w:t>0.174</w:t>
            </w:r>
          </w:p>
          <w:p>
            <w:pPr>
              <w:pStyle w:val="TableContents"/>
              <w:spacing w:before="0" w:after="0"/>
              <w:jc w:val="left"/>
              <w:rPr>
                <w:rFonts w:ascii="Times New Roman" w:hAnsi="Times New Roman"/>
                <w:sz w:val="24"/>
              </w:rPr>
            </w:pPr>
            <w:r>
              <w:rPr>
                <w:rFonts w:ascii="Times New Roman" w:hAnsi="Times New Roman"/>
                <w:sz w:val="24"/>
              </w:rPr>
              <w:t xml:space="preserve">per share on </w:t>
            </w:r>
          </w:p>
          <w:p>
            <w:pPr>
              <w:pStyle w:val="TableContents"/>
              <w:spacing w:before="0" w:after="0"/>
              <w:jc w:val="left"/>
              <w:rPr>
                <w:rFonts w:ascii="Times New Roman" w:hAnsi="Times New Roman"/>
                <w:spacing w:val="0"/>
                <w:sz w:val="24"/>
              </w:rPr>
            </w:pPr>
            <w:r>
              <w:rPr>
                <w:rFonts w:ascii="Times New Roman" w:hAnsi="Times New Roman"/>
                <w:spacing w:val="0"/>
                <w:sz w:val="24"/>
              </w:rPr>
              <w:t>non-cash</w:t>
            </w:r>
          </w:p>
          <w:p>
            <w:pPr>
              <w:pStyle w:val="TableContents"/>
              <w:spacing w:before="0" w:after="0"/>
              <w:jc w:val="left"/>
              <w:rPr>
                <w:rFonts w:ascii="Times New Roman" w:hAnsi="Times New Roman"/>
                <w:sz w:val="24"/>
              </w:rPr>
            </w:pPr>
            <w:r>
              <w:rPr>
                <w:rFonts w:ascii="Times New Roman" w:hAnsi="Times New Roman"/>
                <w:sz w:val="24"/>
              </w:rPr>
              <w:t xml:space="preserve">conversion of Loan Notes.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Other capital reserves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365"/>
        <w:gridCol w:w="120"/>
        <w:gridCol w:w="80"/>
        <w:gridCol w:w="915"/>
        <w:gridCol w:w="155"/>
        <w:gridCol w:w="60"/>
        <w:gridCol w:w="92"/>
        <w:gridCol w:w="1053"/>
        <w:gridCol w:w="155"/>
        <w:gridCol w:w="60"/>
        <w:gridCol w:w="129"/>
        <w:gridCol w:w="821"/>
        <w:gridCol w:w="60"/>
        <w:gridCol w:w="120"/>
        <w:gridCol w:w="63"/>
        <w:gridCol w:w="722"/>
        <w:gridCol w:w="60"/>
        <w:gridCol w:w="120"/>
        <w:gridCol w:w="68"/>
        <w:gridCol w:w="777"/>
        <w:gridCol w:w="60"/>
        <w:gridCol w:w="120"/>
        <w:gridCol w:w="60"/>
        <w:gridCol w:w="800"/>
        <w:gridCol w:w="170"/>
      </w:tblGrid>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w:t>
              <w:br/>
              <w:t>based</w:t>
              <w:br/>
              <w:t>payments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Equity</w:t>
              <w:br/>
              <w:t>component</w:t>
              <w:br/>
              <w:t>of</w:t>
              <w:br/>
              <w:t>convertible</w:t>
              <w:br/>
              <w:t>loan notes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w:t>
              <w:br/>
              <w:t>warrants</w:t>
              <w:br/>
              <w:t>issued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Merger</w:t>
              <w:br/>
              <w:t>reserve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w:t>
              <w:br/>
              <w:t>reserves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January 1, 2020</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0"/>
              <w:rPr>
                <w:spacing w:val="0"/>
              </w:rPr>
            </w:pPr>
            <w:r>
              <w:rPr>
                <w:spacing w:val="0"/>
              </w:rPr>
              <w:t> </w:t>
            </w:r>
          </w:p>
        </w:tc>
        <w:tc>
          <w:tcPr>
            <w:tcW w:w="915" w:type="dxa"/>
            <w:tcBorders/>
            <w:shd w:fill="CCEEFF" w:val="clear"/>
            <w:vAlign w:val="center"/>
          </w:tcPr>
          <w:p>
            <w:pPr>
              <w:pStyle w:val="TableContents"/>
              <w:spacing w:before="0" w:after="0"/>
              <w:jc w:val="right"/>
              <w:rPr>
                <w:b/>
                <w:spacing w:val="0"/>
              </w:rPr>
            </w:pPr>
            <w:r>
              <w:rPr>
                <w:b/>
                <w:spacing w:val="0"/>
              </w:rPr>
              <w:t>18,285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0"/>
              <w:rPr>
                <w:spacing w:val="0"/>
              </w:rPr>
            </w:pPr>
            <w:r>
              <w:rPr>
                <w:spacing w:val="0"/>
              </w:rPr>
              <w:t> </w:t>
            </w:r>
          </w:p>
        </w:tc>
        <w:tc>
          <w:tcPr>
            <w:tcW w:w="1053"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0"/>
              <w:rPr>
                <w:spacing w:val="0"/>
              </w:rPr>
            </w:pPr>
            <w:r>
              <w:rPr>
                <w:spacing w:val="0"/>
              </w:rPr>
              <w:t> </w:t>
            </w:r>
          </w:p>
        </w:tc>
        <w:tc>
          <w:tcPr>
            <w:tcW w:w="821" w:type="dxa"/>
            <w:tcBorders/>
            <w:shd w:fill="CCEEFF" w:val="clear"/>
            <w:vAlign w:val="center"/>
          </w:tcPr>
          <w:p>
            <w:pPr>
              <w:pStyle w:val="TableContents"/>
              <w:spacing w:before="0" w:after="0"/>
              <w:jc w:val="right"/>
              <w:rPr>
                <w:b/>
                <w:spacing w:val="0"/>
              </w:rPr>
            </w:pPr>
            <w:r>
              <w:rPr>
                <w:b/>
                <w:spacing w:val="0"/>
              </w:rPr>
              <w:t>44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722" w:type="dxa"/>
            <w:tcBorders/>
            <w:shd w:fill="CCEEFF" w:val="clear"/>
            <w:vAlign w:val="center"/>
          </w:tcPr>
          <w:p>
            <w:pPr>
              <w:pStyle w:val="TableContents"/>
              <w:spacing w:before="0" w:after="0"/>
              <w:jc w:val="right"/>
              <w:rPr>
                <w:b/>
                <w:spacing w:val="0"/>
              </w:rPr>
            </w:pPr>
            <w:r>
              <w:rPr>
                <w:b/>
                <w:spacing w:val="0"/>
              </w:rPr>
              <w:t>40,818</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spacing w:val="0"/>
              </w:rPr>
            </w:pPr>
            <w:r>
              <w:rPr>
                <w:spacing w:val="0"/>
              </w:rPr>
              <w:t> </w:t>
            </w:r>
          </w:p>
        </w:tc>
        <w:tc>
          <w:tcPr>
            <w:tcW w:w="777"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59,147</w:t>
            </w:r>
          </w:p>
        </w:tc>
        <w:tc>
          <w:tcPr>
            <w:tcW w:w="170" w:type="dxa"/>
            <w:tcBorders/>
            <w:shd w:fill="CCEEFF" w:val="clear"/>
            <w:vAlign w:val="center"/>
          </w:tcPr>
          <w:p>
            <w:pPr>
              <w:pStyle w:val="TableContents"/>
              <w:spacing w:before="0" w:after="0"/>
              <w:rPr>
                <w:spacing w:val="0"/>
              </w:rPr>
            </w:pPr>
            <w:r>
              <w:rPr>
                <w:spacing w:val="0"/>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bdr w:val="single" w:sz="2" w:space="1" w:color="000000"/>
              </w:rPr>
            </w:pPr>
            <w:r>
              <w:rPr>
                <w:bdr w:val="single" w:sz="2" w:space="1" w:color="000000"/>
              </w:rPr>
              <w:t> </w:t>
            </w:r>
          </w:p>
        </w:tc>
        <w:tc>
          <w:tcPr>
            <w:tcW w:w="9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05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bdr w:val="single" w:sz="2" w:space="1" w:color="000000"/>
              </w:rPr>
            </w:pPr>
            <w:r>
              <w:rPr>
                <w:bdr w:val="single" w:sz="2" w:space="1" w:color="000000"/>
              </w:rPr>
              <w:t> </w:t>
            </w:r>
          </w:p>
        </w:tc>
        <w:tc>
          <w:tcPr>
            <w:tcW w:w="82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77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Share-based payments expense during the year</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1,558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1,558</w:t>
            </w:r>
          </w:p>
        </w:tc>
        <w:tc>
          <w:tcPr>
            <w:tcW w:w="170"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Novartis convertible loan note instrument and warrants</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1,084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1,084</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Conversion of Loan Notes</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jc w:val="right"/>
              <w:rPr/>
            </w:pPr>
            <w:r>
              <w:rPr/>
              <w:t>33,104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33,104</w:t>
            </w:r>
          </w:p>
        </w:tc>
        <w:tc>
          <w:tcPr>
            <w:tcW w:w="170"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Reclassification of the embedded derivative</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33,481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33,481</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bdr w:val="single" w:sz="2" w:space="1" w:color="000000"/>
              </w:rPr>
            </w:pPr>
            <w:r>
              <w:rPr>
                <w:bdr w:val="single" w:sz="2" w:space="1" w:color="000000"/>
              </w:rPr>
              <w:t> </w:t>
            </w:r>
          </w:p>
        </w:tc>
        <w:tc>
          <w:tcPr>
            <w:tcW w:w="9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05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bdr w:val="single" w:sz="2" w:space="1" w:color="000000"/>
              </w:rPr>
            </w:pPr>
            <w:r>
              <w:rPr>
                <w:bdr w:val="single" w:sz="2" w:space="1" w:color="000000"/>
              </w:rPr>
              <w:t> </w:t>
            </w:r>
          </w:p>
        </w:tc>
        <w:tc>
          <w:tcPr>
            <w:tcW w:w="82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77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2020</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spacing w:val="0"/>
              </w:rPr>
            </w:pPr>
            <w:r>
              <w:rPr>
                <w:spacing w:val="0"/>
              </w:rPr>
              <w:t> </w:t>
            </w:r>
          </w:p>
        </w:tc>
        <w:tc>
          <w:tcPr>
            <w:tcW w:w="915" w:type="dxa"/>
            <w:tcBorders/>
            <w:shd w:fill="auto" w:val="clear"/>
            <w:vAlign w:val="center"/>
          </w:tcPr>
          <w:p>
            <w:pPr>
              <w:pStyle w:val="TableContents"/>
              <w:spacing w:before="0" w:after="0"/>
              <w:jc w:val="right"/>
              <w:rPr>
                <w:b/>
                <w:spacing w:val="0"/>
              </w:rPr>
            </w:pPr>
            <w:r>
              <w:rPr>
                <w:b/>
                <w:spacing w:val="0"/>
              </w:rPr>
              <w:t>19,843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spacing w:val="0"/>
              </w:rPr>
            </w:pPr>
            <w:r>
              <w:rPr>
                <w:spacing w:val="0"/>
              </w:rPr>
              <w:t> </w:t>
            </w:r>
          </w:p>
        </w:tc>
        <w:tc>
          <w:tcPr>
            <w:tcW w:w="1053" w:type="dxa"/>
            <w:tcBorders/>
            <w:shd w:fill="auto" w:val="clear"/>
            <w:vAlign w:val="center"/>
          </w:tcPr>
          <w:p>
            <w:pPr>
              <w:pStyle w:val="TableContents"/>
              <w:spacing w:before="0" w:after="0"/>
              <w:jc w:val="right"/>
              <w:rPr>
                <w:b/>
                <w:spacing w:val="0"/>
              </w:rPr>
            </w:pPr>
            <w:r>
              <w:rPr>
                <w:b/>
                <w:spacing w:val="0"/>
              </w:rPr>
              <w:t>34,565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spacing w:val="0"/>
              </w:rPr>
            </w:pPr>
            <w:r>
              <w:rPr>
                <w:spacing w:val="0"/>
              </w:rPr>
              <w:t> </w:t>
            </w:r>
          </w:p>
        </w:tc>
        <w:tc>
          <w:tcPr>
            <w:tcW w:w="821" w:type="dxa"/>
            <w:tcBorders/>
            <w:shd w:fill="auto" w:val="clear"/>
            <w:vAlign w:val="center"/>
          </w:tcPr>
          <w:p>
            <w:pPr>
              <w:pStyle w:val="TableContents"/>
              <w:spacing w:before="0" w:after="0"/>
              <w:jc w:val="right"/>
              <w:rPr>
                <w:b/>
                <w:spacing w:val="0"/>
              </w:rPr>
            </w:pPr>
            <w:r>
              <w:rPr>
                <w:b/>
                <w:spacing w:val="0"/>
              </w:rPr>
              <w:t>44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rPr>
            </w:pPr>
            <w:r>
              <w:rPr>
                <w:spacing w:val="0"/>
              </w:rPr>
              <w:t> </w:t>
            </w:r>
          </w:p>
        </w:tc>
        <w:tc>
          <w:tcPr>
            <w:tcW w:w="722" w:type="dxa"/>
            <w:tcBorders/>
            <w:shd w:fill="auto" w:val="clear"/>
            <w:vAlign w:val="center"/>
          </w:tcPr>
          <w:p>
            <w:pPr>
              <w:pStyle w:val="TableContents"/>
              <w:spacing w:before="0" w:after="0"/>
              <w:jc w:val="right"/>
              <w:rPr>
                <w:b/>
                <w:spacing w:val="0"/>
              </w:rPr>
            </w:pPr>
            <w:r>
              <w:rPr>
                <w:b/>
                <w:spacing w:val="0"/>
              </w:rPr>
              <w:t>40,818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spacing w:val="0"/>
              </w:rPr>
            </w:pPr>
            <w:r>
              <w:rPr>
                <w:spacing w:val="0"/>
              </w:rPr>
              <w:t> </w:t>
            </w:r>
          </w:p>
        </w:tc>
        <w:tc>
          <w:tcPr>
            <w:tcW w:w="777" w:type="dxa"/>
            <w:tcBorders/>
            <w:shd w:fill="auto" w:val="clear"/>
            <w:vAlign w:val="center"/>
          </w:tcPr>
          <w:p>
            <w:pPr>
              <w:pStyle w:val="TableContents"/>
              <w:spacing w:before="0" w:after="0"/>
              <w:jc w:val="right"/>
              <w:rPr>
                <w:b/>
                <w:spacing w:val="0"/>
              </w:rPr>
            </w:pPr>
            <w:r>
              <w:rPr>
                <w:b/>
                <w:spacing w:val="0"/>
              </w:rPr>
              <w:t>33,104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128,374</w:t>
            </w:r>
          </w:p>
        </w:tc>
        <w:tc>
          <w:tcPr>
            <w:tcW w:w="170" w:type="dxa"/>
            <w:tcBorders/>
            <w:shd w:fill="auto" w:val="clear"/>
            <w:vAlign w:val="center"/>
          </w:tcPr>
          <w:p>
            <w:pPr>
              <w:pStyle w:val="TableContents"/>
              <w:spacing w:before="0" w:after="0"/>
              <w:rPr>
                <w:spacing w:val="0"/>
              </w:rPr>
            </w:pPr>
            <w:r>
              <w:rPr>
                <w:spacing w:val="0"/>
              </w:rPr>
              <w:t> </w:t>
            </w:r>
          </w:p>
        </w:tc>
      </w:tr>
      <w:tr>
        <w:trPr/>
        <w:tc>
          <w:tcPr>
            <w:tcW w:w="3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0"/>
              <w:rPr>
                <w:bdr w:val="double" w:sz="6" w:space="1" w:color="000000"/>
              </w:rPr>
            </w:pPr>
            <w:r>
              <w:rPr>
                <w:bdr w:val="double" w:sz="6" w:space="1" w:color="000000"/>
              </w:rPr>
              <w:t> </w:t>
            </w:r>
          </w:p>
        </w:tc>
        <w:tc>
          <w:tcPr>
            <w:tcW w:w="915" w:type="dxa"/>
            <w:tcBorders/>
            <w:shd w:fill="CCEEFF" w:val="clear"/>
            <w:vAlign w:val="center"/>
          </w:tcPr>
          <w:p>
            <w:pPr>
              <w:pStyle w:val="TableContents"/>
              <w:spacing w:before="0" w:after="0"/>
              <w:rPr>
                <w:bdr w:val="double" w:sz="6" w:space="1" w:color="000000"/>
              </w:rPr>
            </w:pPr>
            <w:r>
              <w:rPr>
                <w:bdr w:val="double" w:sz="6"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0"/>
              <w:rPr>
                <w:bdr w:val="double" w:sz="6" w:space="1" w:color="000000"/>
              </w:rPr>
            </w:pPr>
            <w:r>
              <w:rPr>
                <w:bdr w:val="double" w:sz="6" w:space="1" w:color="000000"/>
              </w:rPr>
              <w:t> </w:t>
            </w:r>
          </w:p>
        </w:tc>
        <w:tc>
          <w:tcPr>
            <w:tcW w:w="1053" w:type="dxa"/>
            <w:tcBorders/>
            <w:shd w:fill="CCEEFF" w:val="clear"/>
            <w:vAlign w:val="center"/>
          </w:tcPr>
          <w:p>
            <w:pPr>
              <w:pStyle w:val="TableContents"/>
              <w:spacing w:before="0" w:after="0"/>
              <w:rPr>
                <w:bdr w:val="double" w:sz="6" w:space="1" w:color="000000"/>
              </w:rPr>
            </w:pPr>
            <w:r>
              <w:rPr>
                <w:bdr w:val="double" w:sz="6"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0"/>
              <w:rPr>
                <w:bdr w:val="double" w:sz="6" w:space="1" w:color="000000"/>
              </w:rPr>
            </w:pPr>
            <w:r>
              <w:rPr>
                <w:bdr w:val="double" w:sz="6" w:space="1" w:color="000000"/>
              </w:rPr>
              <w:t> </w:t>
            </w:r>
          </w:p>
        </w:tc>
        <w:tc>
          <w:tcPr>
            <w:tcW w:w="821"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bdr w:val="double" w:sz="6" w:space="1" w:color="000000"/>
              </w:rPr>
            </w:pPr>
            <w:r>
              <w:rPr>
                <w:bdr w:val="double" w:sz="6" w:space="1" w:color="000000"/>
              </w:rPr>
              <w:t> </w:t>
            </w:r>
          </w:p>
        </w:tc>
        <w:tc>
          <w:tcPr>
            <w:tcW w:w="722"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bdr w:val="double" w:sz="6" w:space="1" w:color="000000"/>
              </w:rPr>
            </w:pPr>
            <w:r>
              <w:rPr>
                <w:bdr w:val="double" w:sz="6" w:space="1" w:color="000000"/>
              </w:rPr>
              <w:t> </w:t>
            </w:r>
          </w:p>
        </w:tc>
        <w:tc>
          <w:tcPr>
            <w:tcW w:w="777"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bdr w:val="double" w:sz="6" w:space="1" w:color="000000"/>
              </w:rPr>
            </w:pPr>
            <w:r>
              <w:rPr>
                <w:bdr w:val="double" w:sz="6" w:space="1" w:color="000000"/>
              </w:rPr>
              <w:t> </w:t>
            </w:r>
          </w:p>
        </w:tc>
        <w:tc>
          <w:tcPr>
            <w:tcW w:w="800" w:type="dxa"/>
            <w:tcBorders/>
            <w:shd w:fill="CCEEFF" w:val="clear"/>
            <w:vAlign w:val="center"/>
          </w:tcPr>
          <w:p>
            <w:pPr>
              <w:pStyle w:val="TableContents"/>
              <w:spacing w:before="0" w:after="0"/>
              <w:rPr>
                <w:bdr w:val="double" w:sz="6" w:space="1" w:color="000000"/>
              </w:rPr>
            </w:pPr>
            <w:r>
              <w:rPr>
                <w:bdr w:val="double" w:sz="6" w:space="1" w:color="000000"/>
              </w:rPr>
              <w:t> </w:t>
            </w:r>
          </w:p>
        </w:tc>
        <w:tc>
          <w:tcPr>
            <w:tcW w:w="170" w:type="dxa"/>
            <w:tcBorders/>
            <w:shd w:fill="CCEEFF"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Share-based payments expense during the year</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3,302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3,302</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Share options exercised</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(119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(119</w:t>
            </w:r>
          </w:p>
        </w:tc>
        <w:tc>
          <w:tcPr>
            <w:tcW w:w="170"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Conversion of Loan Notes</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(1,722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(1,722</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bdr w:val="single" w:sz="2" w:space="1" w:color="000000"/>
              </w:rPr>
            </w:pPr>
            <w:r>
              <w:rPr>
                <w:bdr w:val="single" w:sz="2" w:space="1" w:color="000000"/>
              </w:rPr>
              <w:t> </w:t>
            </w:r>
          </w:p>
        </w:tc>
        <w:tc>
          <w:tcPr>
            <w:tcW w:w="9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05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bdr w:val="single" w:sz="2" w:space="1" w:color="000000"/>
              </w:rPr>
            </w:pPr>
            <w:r>
              <w:rPr>
                <w:bdr w:val="single" w:sz="2" w:space="1" w:color="000000"/>
              </w:rPr>
              <w:t> </w:t>
            </w:r>
          </w:p>
        </w:tc>
        <w:tc>
          <w:tcPr>
            <w:tcW w:w="82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77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At December 31, 2021</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spacing w:val="0"/>
              </w:rPr>
            </w:pPr>
            <w:r>
              <w:rPr>
                <w:spacing w:val="0"/>
              </w:rPr>
              <w:t> </w:t>
            </w:r>
          </w:p>
        </w:tc>
        <w:tc>
          <w:tcPr>
            <w:tcW w:w="915" w:type="dxa"/>
            <w:tcBorders/>
            <w:shd w:fill="auto" w:val="clear"/>
            <w:vAlign w:val="center"/>
          </w:tcPr>
          <w:p>
            <w:pPr>
              <w:pStyle w:val="TableContents"/>
              <w:spacing w:before="0" w:after="0"/>
              <w:jc w:val="right"/>
              <w:rPr>
                <w:b/>
                <w:spacing w:val="0"/>
              </w:rPr>
            </w:pPr>
            <w:r>
              <w:rPr>
                <w:b/>
                <w:spacing w:val="0"/>
              </w:rPr>
              <w:t>23,026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spacing w:val="0"/>
              </w:rPr>
            </w:pPr>
            <w:r>
              <w:rPr>
                <w:spacing w:val="0"/>
              </w:rPr>
              <w:t> </w:t>
            </w:r>
          </w:p>
        </w:tc>
        <w:tc>
          <w:tcPr>
            <w:tcW w:w="1053" w:type="dxa"/>
            <w:tcBorders/>
            <w:shd w:fill="auto" w:val="clear"/>
            <w:vAlign w:val="center"/>
          </w:tcPr>
          <w:p>
            <w:pPr>
              <w:pStyle w:val="TableContents"/>
              <w:spacing w:before="0" w:after="0"/>
              <w:jc w:val="right"/>
              <w:rPr>
                <w:b/>
                <w:spacing w:val="0"/>
              </w:rPr>
            </w:pPr>
            <w:r>
              <w:rPr>
                <w:b/>
                <w:spacing w:val="0"/>
              </w:rPr>
              <w:t>32,843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spacing w:val="0"/>
              </w:rPr>
            </w:pPr>
            <w:r>
              <w:rPr>
                <w:spacing w:val="0"/>
              </w:rPr>
              <w:t> </w:t>
            </w:r>
          </w:p>
        </w:tc>
        <w:tc>
          <w:tcPr>
            <w:tcW w:w="821" w:type="dxa"/>
            <w:tcBorders/>
            <w:shd w:fill="auto" w:val="clear"/>
            <w:vAlign w:val="center"/>
          </w:tcPr>
          <w:p>
            <w:pPr>
              <w:pStyle w:val="TableContents"/>
              <w:spacing w:before="0" w:after="0"/>
              <w:jc w:val="right"/>
              <w:rPr>
                <w:b/>
                <w:spacing w:val="0"/>
              </w:rPr>
            </w:pPr>
            <w:r>
              <w:rPr>
                <w:b/>
                <w:spacing w:val="0"/>
              </w:rPr>
              <w:t>44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rPr>
            </w:pPr>
            <w:r>
              <w:rPr>
                <w:spacing w:val="0"/>
              </w:rPr>
              <w:t> </w:t>
            </w:r>
          </w:p>
        </w:tc>
        <w:tc>
          <w:tcPr>
            <w:tcW w:w="722" w:type="dxa"/>
            <w:tcBorders/>
            <w:shd w:fill="auto" w:val="clear"/>
            <w:vAlign w:val="center"/>
          </w:tcPr>
          <w:p>
            <w:pPr>
              <w:pStyle w:val="TableContents"/>
              <w:spacing w:before="0" w:after="0"/>
              <w:jc w:val="right"/>
              <w:rPr>
                <w:b/>
                <w:spacing w:val="0"/>
              </w:rPr>
            </w:pPr>
            <w:r>
              <w:rPr>
                <w:b/>
                <w:spacing w:val="0"/>
              </w:rPr>
              <w:t>40,818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spacing w:val="0"/>
              </w:rPr>
            </w:pPr>
            <w:r>
              <w:rPr>
                <w:spacing w:val="0"/>
              </w:rPr>
              <w:t> </w:t>
            </w:r>
          </w:p>
        </w:tc>
        <w:tc>
          <w:tcPr>
            <w:tcW w:w="777" w:type="dxa"/>
            <w:tcBorders/>
            <w:shd w:fill="auto" w:val="clear"/>
            <w:vAlign w:val="center"/>
          </w:tcPr>
          <w:p>
            <w:pPr>
              <w:pStyle w:val="TableContents"/>
              <w:spacing w:before="0" w:after="0"/>
              <w:jc w:val="right"/>
              <w:rPr>
                <w:b/>
                <w:spacing w:val="0"/>
              </w:rPr>
            </w:pPr>
            <w:r>
              <w:rPr>
                <w:b/>
                <w:spacing w:val="0"/>
              </w:rPr>
              <w:t>33,104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129,835</w:t>
            </w:r>
          </w:p>
        </w:tc>
        <w:tc>
          <w:tcPr>
            <w:tcW w:w="170" w:type="dxa"/>
            <w:tcBorders/>
            <w:shd w:fill="auto" w:val="clear"/>
            <w:vAlign w:val="center"/>
          </w:tcPr>
          <w:p>
            <w:pPr>
              <w:pStyle w:val="TableContents"/>
              <w:spacing w:before="0" w:after="0"/>
              <w:rPr>
                <w:spacing w:val="0"/>
              </w:rPr>
            </w:pPr>
            <w:r>
              <w:rPr>
                <w:spacing w:val="0"/>
              </w:rPr>
              <w:t> </w:t>
            </w:r>
          </w:p>
        </w:tc>
      </w:tr>
      <w:tr>
        <w:trPr/>
        <w:tc>
          <w:tcPr>
            <w:tcW w:w="3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0"/>
              <w:rPr>
                <w:bdr w:val="double" w:sz="6" w:space="1" w:color="000000"/>
              </w:rPr>
            </w:pPr>
            <w:r>
              <w:rPr>
                <w:bdr w:val="double" w:sz="6" w:space="1" w:color="000000"/>
              </w:rPr>
              <w:t> </w:t>
            </w:r>
          </w:p>
        </w:tc>
        <w:tc>
          <w:tcPr>
            <w:tcW w:w="915" w:type="dxa"/>
            <w:tcBorders/>
            <w:shd w:fill="CCEEFF" w:val="clear"/>
            <w:vAlign w:val="center"/>
          </w:tcPr>
          <w:p>
            <w:pPr>
              <w:pStyle w:val="TableContents"/>
              <w:spacing w:before="0" w:after="0"/>
              <w:rPr>
                <w:bdr w:val="double" w:sz="6" w:space="1" w:color="000000"/>
              </w:rPr>
            </w:pPr>
            <w:r>
              <w:rPr>
                <w:bdr w:val="double" w:sz="6"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0"/>
              <w:rPr>
                <w:bdr w:val="double" w:sz="6" w:space="1" w:color="000000"/>
              </w:rPr>
            </w:pPr>
            <w:r>
              <w:rPr>
                <w:bdr w:val="double" w:sz="6" w:space="1" w:color="000000"/>
              </w:rPr>
              <w:t> </w:t>
            </w:r>
          </w:p>
        </w:tc>
        <w:tc>
          <w:tcPr>
            <w:tcW w:w="1053" w:type="dxa"/>
            <w:tcBorders/>
            <w:shd w:fill="CCEEFF" w:val="clear"/>
            <w:vAlign w:val="center"/>
          </w:tcPr>
          <w:p>
            <w:pPr>
              <w:pStyle w:val="TableContents"/>
              <w:spacing w:before="0" w:after="0"/>
              <w:rPr>
                <w:bdr w:val="double" w:sz="6" w:space="1" w:color="000000"/>
              </w:rPr>
            </w:pPr>
            <w:r>
              <w:rPr>
                <w:bdr w:val="double" w:sz="6"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0"/>
              <w:rPr>
                <w:bdr w:val="double" w:sz="6" w:space="1" w:color="000000"/>
              </w:rPr>
            </w:pPr>
            <w:r>
              <w:rPr>
                <w:bdr w:val="double" w:sz="6" w:space="1" w:color="000000"/>
              </w:rPr>
              <w:t> </w:t>
            </w:r>
          </w:p>
        </w:tc>
        <w:tc>
          <w:tcPr>
            <w:tcW w:w="821"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bdr w:val="double" w:sz="6" w:space="1" w:color="000000"/>
              </w:rPr>
            </w:pPr>
            <w:r>
              <w:rPr>
                <w:bdr w:val="double" w:sz="6" w:space="1" w:color="000000"/>
              </w:rPr>
              <w:t> </w:t>
            </w:r>
          </w:p>
        </w:tc>
        <w:tc>
          <w:tcPr>
            <w:tcW w:w="722"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bdr w:val="double" w:sz="6" w:space="1" w:color="000000"/>
              </w:rPr>
            </w:pPr>
            <w:r>
              <w:rPr>
                <w:bdr w:val="double" w:sz="6" w:space="1" w:color="000000"/>
              </w:rPr>
              <w:t> </w:t>
            </w:r>
          </w:p>
        </w:tc>
        <w:tc>
          <w:tcPr>
            <w:tcW w:w="777" w:type="dxa"/>
            <w:tcBorders/>
            <w:shd w:fill="CCEEFF" w:val="clear"/>
            <w:vAlign w:val="center"/>
          </w:tcPr>
          <w:p>
            <w:pPr>
              <w:pStyle w:val="TableContents"/>
              <w:spacing w:before="0" w:after="0"/>
              <w:rPr>
                <w:bdr w:val="double" w:sz="6" w:space="1" w:color="000000"/>
              </w:rPr>
            </w:pPr>
            <w:r>
              <w:rPr>
                <w:bdr w:val="double" w:sz="6"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bdr w:val="double" w:sz="6" w:space="1" w:color="000000"/>
              </w:rPr>
            </w:pPr>
            <w:r>
              <w:rPr>
                <w:bdr w:val="double" w:sz="6" w:space="1" w:color="000000"/>
              </w:rPr>
              <w:t> </w:t>
            </w:r>
          </w:p>
        </w:tc>
        <w:tc>
          <w:tcPr>
            <w:tcW w:w="800" w:type="dxa"/>
            <w:tcBorders/>
            <w:shd w:fill="CCEEFF" w:val="clear"/>
            <w:vAlign w:val="center"/>
          </w:tcPr>
          <w:p>
            <w:pPr>
              <w:pStyle w:val="TableContents"/>
              <w:spacing w:before="0" w:after="0"/>
              <w:rPr>
                <w:bdr w:val="double" w:sz="6" w:space="1" w:color="000000"/>
              </w:rPr>
            </w:pPr>
            <w:r>
              <w:rPr>
                <w:bdr w:val="double" w:sz="6" w:space="1" w:color="000000"/>
              </w:rPr>
              <w:t> </w:t>
            </w:r>
          </w:p>
        </w:tc>
        <w:tc>
          <w:tcPr>
            <w:tcW w:w="170" w:type="dxa"/>
            <w:tcBorders/>
            <w:shd w:fill="CCEEFF"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Share-based payments expense during the year</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3,862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3,862</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Share options exercised</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(82</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(82</w:t>
            </w:r>
          </w:p>
        </w:tc>
        <w:tc>
          <w:tcPr>
            <w:tcW w:w="170" w:type="dxa"/>
            <w:tcBorders/>
            <w:shd w:fill="auto" w:val="clear"/>
            <w:vAlign w:val="center"/>
          </w:tcPr>
          <w:p>
            <w:pPr>
              <w:pStyle w:val="TableContents"/>
              <w:spacing w:before="0" w:after="283"/>
              <w:rPr/>
            </w:pPr>
            <w:r>
              <w:rPr/>
              <w:t>)</w:t>
            </w:r>
          </w:p>
        </w:tc>
      </w:tr>
      <w:tr>
        <w:trPr/>
        <w:tc>
          <w:tcPr>
            <w:tcW w:w="33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Issuance of warrants</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70</w:t>
            </w:r>
          </w:p>
        </w:tc>
        <w:tc>
          <w:tcPr>
            <w:tcW w:w="170"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Conversion of Loan Notes</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(1,005</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(1,005</w:t>
            </w:r>
          </w:p>
        </w:tc>
        <w:tc>
          <w:tcPr>
            <w:tcW w:w="170" w:type="dxa"/>
            <w:tcBorders/>
            <w:shd w:fill="auto" w:val="clear"/>
            <w:vAlign w:val="center"/>
          </w:tcPr>
          <w:p>
            <w:pPr>
              <w:pStyle w:val="TableContents"/>
              <w:spacing w:before="0" w:after="283"/>
              <w:rPr/>
            </w:pPr>
            <w:r>
              <w:rPr/>
              <w:t>)</w:t>
            </w:r>
          </w:p>
        </w:tc>
      </w:tr>
      <w:tr>
        <w:trPr/>
        <w:tc>
          <w:tcPr>
            <w:tcW w:w="3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0"/>
              <w:rPr>
                <w:bdr w:val="single" w:sz="2" w:space="1" w:color="000000"/>
              </w:rPr>
            </w:pPr>
            <w:r>
              <w:rPr>
                <w:bdr w:val="single" w:sz="2" w:space="1" w:color="000000"/>
              </w:rPr>
              <w:t> </w:t>
            </w:r>
          </w:p>
        </w:tc>
        <w:tc>
          <w:tcPr>
            <w:tcW w:w="915" w:type="dxa"/>
            <w:tcBorders/>
            <w:shd w:fill="CCEEFF" w:val="clear"/>
            <w:vAlign w:val="center"/>
          </w:tcPr>
          <w:p>
            <w:pPr>
              <w:pStyle w:val="TableContents"/>
              <w:spacing w:before="0" w:after="0"/>
              <w:rPr>
                <w:bdr w:val="single" w:sz="2" w:space="1" w:color="000000"/>
              </w:rPr>
            </w:pPr>
            <w:r>
              <w:rPr>
                <w:bdr w:val="single" w:sz="2"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0"/>
              <w:rPr>
                <w:bdr w:val="single" w:sz="2" w:space="1" w:color="000000"/>
              </w:rPr>
            </w:pPr>
            <w:r>
              <w:rPr>
                <w:bdr w:val="single" w:sz="2" w:space="1" w:color="000000"/>
              </w:rPr>
              <w:t> </w:t>
            </w:r>
          </w:p>
        </w:tc>
        <w:tc>
          <w:tcPr>
            <w:tcW w:w="105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0"/>
              <w:rPr>
                <w:bdr w:val="single" w:sz="2" w:space="1" w:color="000000"/>
              </w:rPr>
            </w:pPr>
            <w:r>
              <w:rPr>
                <w:bdr w:val="single" w:sz="2" w:space="1" w:color="000000"/>
              </w:rPr>
              <w:t> </w:t>
            </w:r>
          </w:p>
        </w:tc>
        <w:tc>
          <w:tcPr>
            <w:tcW w:w="821" w:type="dxa"/>
            <w:tcBorders/>
            <w:shd w:fill="CCEEFF" w:val="clear"/>
            <w:vAlign w:val="center"/>
          </w:tcPr>
          <w:p>
            <w:pPr>
              <w:pStyle w:val="TableContents"/>
              <w:spacing w:before="0" w:after="0"/>
              <w:rPr>
                <w:bdr w:val="single" w:sz="2" w:space="1" w:color="000000"/>
              </w:rPr>
            </w:pPr>
            <w:r>
              <w:rPr>
                <w:bdr w:val="single" w:sz="2"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bdr w:val="single" w:sz="2" w:space="1" w:color="000000"/>
              </w:rPr>
            </w:pPr>
            <w:r>
              <w:rPr>
                <w:bdr w:val="single" w:sz="2" w:space="1" w:color="000000"/>
              </w:rPr>
              <w:t> </w:t>
            </w:r>
          </w:p>
        </w:tc>
        <w:tc>
          <w:tcPr>
            <w:tcW w:w="722" w:type="dxa"/>
            <w:tcBorders/>
            <w:shd w:fill="CCEEFF" w:val="clear"/>
            <w:vAlign w:val="center"/>
          </w:tcPr>
          <w:p>
            <w:pPr>
              <w:pStyle w:val="TableContents"/>
              <w:spacing w:before="0" w:after="0"/>
              <w:rPr>
                <w:bdr w:val="single" w:sz="2" w:space="1" w:color="000000"/>
              </w:rPr>
            </w:pPr>
            <w:r>
              <w:rPr>
                <w:bdr w:val="single" w:sz="2"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bdr w:val="single" w:sz="2" w:space="1" w:color="000000"/>
              </w:rPr>
            </w:pPr>
            <w:r>
              <w:rPr>
                <w:bdr w:val="single" w:sz="2" w:space="1" w:color="000000"/>
              </w:rPr>
              <w:t> </w:t>
            </w:r>
          </w:p>
        </w:tc>
        <w:tc>
          <w:tcPr>
            <w:tcW w:w="777" w:type="dxa"/>
            <w:tcBorders/>
            <w:shd w:fill="CCEEFF" w:val="clear"/>
            <w:vAlign w:val="center"/>
          </w:tcPr>
          <w:p>
            <w:pPr>
              <w:pStyle w:val="TableContents"/>
              <w:spacing w:before="0" w:after="0"/>
              <w:rPr>
                <w:bdr w:val="single" w:sz="2" w:space="1" w:color="000000"/>
              </w:rPr>
            </w:pPr>
            <w:r>
              <w:rPr>
                <w:bdr w:val="single" w:sz="2" w:space="1" w:color="000000"/>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bdr w:val="single" w:sz="2" w:space="1" w:color="000000"/>
              </w:rPr>
            </w:pPr>
            <w:r>
              <w:rPr>
                <w:bdr w:val="single" w:sz="2" w:space="1" w:color="000000"/>
              </w:rPr>
              <w:t> </w:t>
            </w:r>
          </w:p>
        </w:tc>
        <w:tc>
          <w:tcPr>
            <w:tcW w:w="80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70" w:type="dxa"/>
            <w:tcBorders/>
            <w:shd w:fill="CCEEFF"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At December 31, 2022</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0"/>
              <w:rPr>
                <w:spacing w:val="0"/>
              </w:rPr>
            </w:pPr>
            <w:r>
              <w:rPr>
                <w:spacing w:val="0"/>
              </w:rPr>
              <w:t> </w:t>
            </w:r>
          </w:p>
        </w:tc>
        <w:tc>
          <w:tcPr>
            <w:tcW w:w="915" w:type="dxa"/>
            <w:tcBorders/>
            <w:shd w:fill="CCEEFF" w:val="clear"/>
            <w:vAlign w:val="center"/>
          </w:tcPr>
          <w:p>
            <w:pPr>
              <w:pStyle w:val="TableContents"/>
              <w:spacing w:before="0" w:after="0"/>
              <w:jc w:val="right"/>
              <w:rPr>
                <w:b/>
                <w:spacing w:val="0"/>
              </w:rPr>
            </w:pPr>
            <w:r>
              <w:rPr>
                <w:b/>
                <w:spacing w:val="0"/>
              </w:rPr>
              <w:t>26,806</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0"/>
              <w:rPr>
                <w:spacing w:val="0"/>
              </w:rPr>
            </w:pPr>
            <w:r>
              <w:rPr>
                <w:spacing w:val="0"/>
              </w:rPr>
              <w:t> </w:t>
            </w:r>
          </w:p>
        </w:tc>
        <w:tc>
          <w:tcPr>
            <w:tcW w:w="1053" w:type="dxa"/>
            <w:tcBorders/>
            <w:shd w:fill="CCEEFF" w:val="clear"/>
            <w:vAlign w:val="center"/>
          </w:tcPr>
          <w:p>
            <w:pPr>
              <w:pStyle w:val="TableContents"/>
              <w:spacing w:before="0" w:after="0"/>
              <w:jc w:val="right"/>
              <w:rPr>
                <w:b/>
                <w:spacing w:val="0"/>
              </w:rPr>
            </w:pPr>
            <w:r>
              <w:rPr>
                <w:b/>
                <w:spacing w:val="0"/>
              </w:rPr>
              <w:t>31,838</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0"/>
              <w:rPr>
                <w:spacing w:val="0"/>
              </w:rPr>
            </w:pPr>
            <w:r>
              <w:rPr>
                <w:spacing w:val="0"/>
              </w:rPr>
              <w:t> </w:t>
            </w:r>
          </w:p>
        </w:tc>
        <w:tc>
          <w:tcPr>
            <w:tcW w:w="821" w:type="dxa"/>
            <w:tcBorders/>
            <w:shd w:fill="CCEEFF" w:val="clear"/>
            <w:vAlign w:val="center"/>
          </w:tcPr>
          <w:p>
            <w:pPr>
              <w:pStyle w:val="TableContents"/>
              <w:spacing w:before="0" w:after="0"/>
              <w:jc w:val="right"/>
              <w:rPr>
                <w:b/>
                <w:spacing w:val="0"/>
              </w:rPr>
            </w:pPr>
            <w:r>
              <w:rPr>
                <w:b/>
                <w:spacing w:val="0"/>
              </w:rPr>
              <w:t>114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722" w:type="dxa"/>
            <w:tcBorders/>
            <w:shd w:fill="CCEEFF" w:val="clear"/>
            <w:vAlign w:val="center"/>
          </w:tcPr>
          <w:p>
            <w:pPr>
              <w:pStyle w:val="TableContents"/>
              <w:spacing w:before="0" w:after="0"/>
              <w:jc w:val="right"/>
              <w:rPr>
                <w:b/>
                <w:spacing w:val="0"/>
              </w:rPr>
            </w:pPr>
            <w:r>
              <w:rPr>
                <w:b/>
                <w:spacing w:val="0"/>
              </w:rPr>
              <w:t>40,818</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spacing w:val="0"/>
              </w:rPr>
            </w:pPr>
            <w:r>
              <w:rPr>
                <w:spacing w:val="0"/>
              </w:rPr>
              <w:t> </w:t>
            </w:r>
          </w:p>
        </w:tc>
        <w:tc>
          <w:tcPr>
            <w:tcW w:w="777" w:type="dxa"/>
            <w:tcBorders/>
            <w:shd w:fill="CCEEFF" w:val="clear"/>
            <w:vAlign w:val="center"/>
          </w:tcPr>
          <w:p>
            <w:pPr>
              <w:pStyle w:val="TableContents"/>
              <w:spacing w:before="0" w:after="0"/>
              <w:jc w:val="right"/>
              <w:rPr>
                <w:b/>
                <w:spacing w:val="0"/>
              </w:rPr>
            </w:pPr>
            <w:r>
              <w:rPr>
                <w:b/>
                <w:spacing w:val="0"/>
              </w:rPr>
              <w:t>33,104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132,680</w:t>
            </w:r>
          </w:p>
        </w:tc>
        <w:tc>
          <w:tcPr>
            <w:tcW w:w="170" w:type="dxa"/>
            <w:tcBorders/>
            <w:shd w:fill="CCEEFF" w:val="clear"/>
            <w:vAlign w:val="center"/>
          </w:tcPr>
          <w:p>
            <w:pPr>
              <w:pStyle w:val="TableContents"/>
              <w:spacing w:before="0" w:after="0"/>
              <w:rPr>
                <w:spacing w:val="0"/>
              </w:rPr>
            </w:pPr>
            <w:r>
              <w:rPr>
                <w:spacing w:val="0"/>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bdr w:val="double" w:sz="6" w:space="1" w:color="000000"/>
              </w:rPr>
            </w:pPr>
            <w:r>
              <w:rPr>
                <w:bdr w:val="double" w:sz="6" w:space="1" w:color="000000"/>
              </w:rPr>
              <w:t> </w:t>
            </w:r>
          </w:p>
        </w:tc>
        <w:tc>
          <w:tcPr>
            <w:tcW w:w="91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double" w:sz="6" w:space="1" w:color="000000"/>
              </w:rPr>
            </w:pPr>
            <w:r>
              <w:rPr>
                <w:bdr w:val="double" w:sz="6" w:space="1" w:color="000000"/>
              </w:rPr>
              <w:t> </w:t>
            </w:r>
          </w:p>
        </w:tc>
        <w:tc>
          <w:tcPr>
            <w:tcW w:w="1053"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rPr>
                <w:bdr w:val="double" w:sz="6" w:space="1" w:color="000000"/>
              </w:rPr>
            </w:pPr>
            <w:r>
              <w:rPr>
                <w:bdr w:val="double" w:sz="6" w:space="1" w:color="000000"/>
              </w:rPr>
              <w:t> </w:t>
            </w:r>
          </w:p>
        </w:tc>
        <w:tc>
          <w:tcPr>
            <w:tcW w:w="82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double" w:sz="6" w:space="1" w:color="000000"/>
              </w:rPr>
            </w:pPr>
            <w:r>
              <w:rPr>
                <w:bdr w:val="double" w:sz="6" w:space="1" w:color="000000"/>
              </w:rPr>
              <w:t> </w:t>
            </w:r>
          </w:p>
        </w:tc>
        <w:tc>
          <w:tcPr>
            <w:tcW w:w="722"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double" w:sz="6" w:space="1" w:color="000000"/>
              </w:rPr>
            </w:pPr>
            <w:r>
              <w:rPr>
                <w:bdr w:val="double" w:sz="6" w:space="1" w:color="000000"/>
              </w:rPr>
              <w:t> </w:t>
            </w:r>
          </w:p>
        </w:tc>
        <w:tc>
          <w:tcPr>
            <w:tcW w:w="777"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Share-based payments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Company has various share option schemes under which options to subscribe for the Company’s shares have been granted to certain executives,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non-executive</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directors (“NEDs”) and employees.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share-based payment reserve is used to recognize (i) the value of equity settled share-based payments provided to employees, including key management personnel, as part of their remuneration and (ii) deferred equity consideration. Refer to Note 26 for further details.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Equity component of convertible loan instrument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convertible loan notes issued to Novartis are a compound instrument consisting of a liability and an equity component. The value of the equity component (cost of the conversion option) as at December 31, 2022 is £1.08 million (December 31, 2021: £1.08 million). </w:t>
      </w:r>
    </w:p>
    <w:p>
      <w:pPr>
        <w:pStyle w:val="TextBody"/>
        <w:spacing w:before="240" w:after="0"/>
        <w:jc w:val="left"/>
        <w:rPr>
          <w:rFonts w:ascii="Times New Roman" w:hAnsi="Times New Roman"/>
          <w:sz w:val="24"/>
          <w:highlight w:val="white"/>
        </w:rPr>
      </w:pPr>
      <w:r>
        <w:rPr>
          <w:rFonts w:ascii="Times New Roman" w:hAnsi="Times New Roman"/>
          <w:sz w:val="24"/>
          <w:highlight w:val="white"/>
        </w:rPr>
        <w:t>On June 30, 2020, the Loan Notes in an aggregate principal amount of £21.8 million (together with accrued interest) were automatically converted into 125,061,475 ordinary shares. This resulted in £33.5 million recognized in other reserves in equity as a difference between the share capital and share premium recognized on conversion and the carrying value of the embedded derivative financial liability extinguished</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(see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Note 19</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Other warrants issued </w:t>
      </w:r>
    </w:p>
    <w:p>
      <w:pPr>
        <w:pStyle w:val="TextBody"/>
        <w:spacing w:before="12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The funding arrangements with The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Alpha-1</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Project are a compound instrument consisting of a liability and an equity component. In 2022, the Company issued 1,101,683 warrants over ordinary shares and received funding of £0.2 million, of which less than £0.1 million was allocated to the equity component. The total value of the equity component (consideration received for the warrants) as at December 31, 2022 is £</w:t>
      </w:r>
    </w:p>
    <w:p>
      <w:pPr>
        <w:pStyle w:val="TextBody"/>
        <w:spacing w:before="120" w:after="0"/>
        <w:jc w:val="left"/>
        <w:rPr>
          <w:rFonts w:ascii="Times New Roman" w:hAnsi="Times New Roman"/>
          <w:sz w:val="24"/>
          <w:highlight w:val="white"/>
        </w:rPr>
      </w:pPr>
      <w:r>
        <w:rPr>
          <w:rFonts w:ascii="Times New Roman" w:hAnsi="Times New Roman"/>
          <w:sz w:val="24"/>
          <w:highlight w:val="white"/>
        </w:rPr>
        <w:t>0.1</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m</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illion (2021: less than £ 0.1 million). </w:t>
      </w:r>
    </w:p>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Merger reserve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consideration paid to acquire Mereo BioPharma 5, Inc. was 24,783,320 ordinary shares with an acquisition date fair value of £40.9 million, based on the Company’s quoted share price. The nominal value of the issued capital was £0.1 million with the excess, £40.8 million, classified within other capital reserves as a ‘Merger reserve’. </w:t>
      </w:r>
    </w:p>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 xml:space="preserve">Other reserves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On June 30, 2020, the Company issued and allotted 125,061,475 ordinary shares of £0.003 in nominal value in the capital of the Company at a price of £0.174 per share to investors following the partial conversion of the Loan Notes. The legal proceeds were £21.8 million. This resulted in £33.1 million recognized in other reserves as a difference between the carrying value of the financial liability extinguished and the legal proceeds. </w:t>
      </w:r>
    </w:p>
    <w:p>
      <w:pPr>
        <w:pStyle w:val="TextBody"/>
        <w:spacing w:before="360" w:after="0"/>
        <w:ind w:left="0" w:right="0" w:hanging="0"/>
        <w:jc w:val="left"/>
        <w:rPr>
          <w:rFonts w:ascii="Times New Roman" w:hAnsi="Times New Roman"/>
          <w:b/>
          <w:i/>
          <w:caps w:val="false"/>
          <w:smallCaps w:val="false"/>
          <w:spacing w:val="0"/>
          <w:sz w:val="24"/>
          <w:highlight w:val="white"/>
        </w:rPr>
      </w:pPr>
      <w:r>
        <w:rPr>
          <w:rFonts w:ascii="Times New Roman" w:hAnsi="Times New Roman"/>
          <w:b/>
          <w:i/>
          <w:caps w:val="false"/>
          <w:smallCaps w:val="false"/>
          <w:spacing w:val="0"/>
          <w:sz w:val="24"/>
          <w:highlight w:val="white"/>
        </w:rPr>
        <w:t>Accumulated loss</w:t>
      </w:r>
    </w:p>
    <w:p>
      <w:pPr>
        <w:pStyle w:val="TextBody"/>
        <w:spacing w:before="0" w:after="0"/>
        <w:ind w:left="0" w:right="0" w:hanging="0"/>
        <w:jc w:val="left"/>
        <w:rPr>
          <w:spacing w:val="0"/>
          <w:highlight w:val="white"/>
        </w:rPr>
      </w:pPr>
      <w:r>
        <w:rPr>
          <w:spacing w:val="0"/>
          <w:highlight w:val="white"/>
        </w:rPr>
        <w:t> </w:t>
      </w:r>
    </w:p>
    <w:tbl>
      <w:tblPr>
        <w:tblW w:w="5495" w:type="dxa"/>
        <w:jc w:val="left"/>
        <w:tblInd w:w="0" w:type="dxa"/>
        <w:tblCellMar>
          <w:top w:w="0" w:type="dxa"/>
          <w:left w:w="0" w:type="dxa"/>
          <w:bottom w:w="0" w:type="dxa"/>
          <w:right w:w="0" w:type="dxa"/>
        </w:tblCellMar>
      </w:tblPr>
      <w:tblGrid>
        <w:gridCol w:w="1910"/>
        <w:gridCol w:w="120"/>
        <w:gridCol w:w="60"/>
        <w:gridCol w:w="875"/>
        <w:gridCol w:w="95"/>
        <w:gridCol w:w="120"/>
        <w:gridCol w:w="60"/>
        <w:gridCol w:w="875"/>
        <w:gridCol w:w="155"/>
        <w:gridCol w:w="120"/>
        <w:gridCol w:w="60"/>
        <w:gridCol w:w="875"/>
        <w:gridCol w:w="170"/>
      </w:tblGrid>
      <w:tr>
        <w:trPr/>
        <w:tc>
          <w:tcPr>
            <w:tcW w:w="1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29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19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br/>
              <w:t>£’000s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b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br/>
              <w:t>£’000s</w:t>
            </w:r>
          </w:p>
        </w:tc>
        <w:tc>
          <w:tcPr>
            <w:tcW w:w="170" w:type="dxa"/>
            <w:tcBorders/>
            <w:shd w:fill="auto" w:val="clear"/>
            <w:vAlign w:val="center"/>
          </w:tcPr>
          <w:p>
            <w:pPr>
              <w:pStyle w:val="TableContents"/>
              <w:spacing w:before="0" w:after="0"/>
              <w:rPr>
                <w:spacing w:val="0"/>
              </w:rPr>
            </w:pPr>
            <w:r>
              <w:rPr>
                <w:spacing w:val="0"/>
              </w:rPr>
              <w:t> </w:t>
            </w:r>
          </w:p>
        </w:tc>
      </w:tr>
      <w:tr>
        <w:trPr/>
        <w:tc>
          <w:tcPr>
            <w:tcW w:w="191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reserves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7,401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7,401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5,001</w:t>
            </w:r>
          </w:p>
        </w:tc>
        <w:tc>
          <w:tcPr>
            <w:tcW w:w="170" w:type="dxa"/>
            <w:tcBorders/>
            <w:shd w:fill="CCEEFF" w:val="clear"/>
            <w:vAlign w:val="center"/>
          </w:tcPr>
          <w:p>
            <w:pPr>
              <w:pStyle w:val="TableContents"/>
              <w:spacing w:before="0" w:after="283"/>
              <w:ind w:left="0" w:right="0" w:hanging="0"/>
              <w:rPr/>
            </w:pPr>
            <w:r>
              <w:rPr/>
              <w:t> </w:t>
            </w:r>
          </w:p>
        </w:tc>
      </w:tr>
      <w:tr>
        <w:trPr/>
        <w:tc>
          <w:tcPr>
            <w:tcW w:w="1910" w:type="dxa"/>
            <w:tcBorders/>
            <w:shd w:fill="auto" w:val="clear"/>
            <w:vAlign w:val="center"/>
          </w:tcPr>
          <w:p>
            <w:pPr>
              <w:pStyle w:val="TableContents"/>
              <w:spacing w:before="0" w:after="0"/>
              <w:ind w:left="0" w:right="0" w:hanging="0"/>
              <w:rPr>
                <w:rFonts w:ascii="Times New Roman" w:hAnsi="Times New Roman"/>
                <w:sz w:val="24"/>
              </w:rPr>
            </w:pPr>
            <w:r>
              <w:rPr>
                <w:rFonts w:ascii="Times New Roman" w:hAnsi="Times New Roman"/>
                <w:sz w:val="24"/>
              </w:rPr>
              <w:t>Accumulated losses</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875" w:type="dxa"/>
            <w:tcBorders/>
            <w:shd w:fill="auto" w:val="clear"/>
            <w:vAlign w:val="center"/>
          </w:tcPr>
          <w:p>
            <w:pPr>
              <w:pStyle w:val="TableContents"/>
              <w:spacing w:before="0" w:after="0"/>
              <w:jc w:val="right"/>
              <w:rPr>
                <w:rFonts w:ascii="Times New Roman;serif" w:hAnsi="Times New Roman;serif"/>
                <w:spacing w:val="0"/>
                <w:sz w:val="24"/>
              </w:rPr>
            </w:pPr>
            <w:r>
              <w:rPr>
                <w:rFonts w:ascii="Times New Roman;serif" w:hAnsi="Times New Roman;serif"/>
                <w:spacing w:val="0"/>
                <w:sz w:val="24"/>
              </w:rPr>
              <w:t>(331,164</w:t>
            </w:r>
          </w:p>
          <w:p>
            <w:pPr>
              <w:pStyle w:val="TableContents"/>
              <w:spacing w:before="0" w:after="0"/>
              <w:ind w:left="0" w:right="0" w:hanging="0"/>
              <w:rPr/>
            </w:pPr>
            <w:r>
              <w:rPr/>
            </w:r>
          </w:p>
        </w:tc>
        <w:tc>
          <w:tcPr>
            <w:tcW w:w="95" w:type="dxa"/>
            <w:tcBorders/>
            <w:shd w:fill="auto" w:val="clear"/>
            <w:vAlign w:val="center"/>
          </w:tcPr>
          <w:p>
            <w:pPr>
              <w:pStyle w:val="TableContents"/>
              <w:spacing w:before="0" w:after="0"/>
              <w:ind w:left="0" w:right="0" w:hanging="0"/>
              <w:rPr>
                <w:spacing w:val="0"/>
              </w:rPr>
            </w:pPr>
            <w:r>
              <w:rPr>
                <w:spacing w:val="0"/>
              </w:rPr>
              <w:t>)</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875" w:type="dxa"/>
            <w:tcBorders/>
            <w:shd w:fill="auto" w:val="clear"/>
            <w:vAlign w:val="center"/>
          </w:tcPr>
          <w:p>
            <w:pPr>
              <w:pStyle w:val="TableContents"/>
              <w:spacing w:before="0" w:after="283"/>
              <w:ind w:left="0" w:right="0" w:hanging="0"/>
              <w:jc w:val="right"/>
              <w:rPr/>
            </w:pPr>
            <w:r>
              <w:rPr/>
              <w:t>(296,968</w:t>
            </w:r>
          </w:p>
        </w:tc>
        <w:tc>
          <w:tcPr>
            <w:tcW w:w="155" w:type="dxa"/>
            <w:tcBorders/>
            <w:shd w:fill="auto" w:val="clear"/>
            <w:vAlign w:val="center"/>
          </w:tcPr>
          <w:p>
            <w:pPr>
              <w:pStyle w:val="TableContents"/>
              <w:spacing w:before="0" w:after="283"/>
              <w:ind w:left="0" w:right="0" w:hanging="0"/>
              <w:rPr/>
            </w:pPr>
            <w:r>
              <w:rPr/>
              <w:t>) </w:t>
            </w:r>
          </w:p>
        </w:tc>
        <w:tc>
          <w:tcPr>
            <w:tcW w:w="120" w:type="dxa"/>
            <w:tcBorders/>
            <w:shd w:fill="auto" w:val="clear"/>
            <w:vAlign w:val="center"/>
          </w:tcPr>
          <w:p>
            <w:pPr>
              <w:pStyle w:val="TableContents"/>
              <w:spacing w:before="0" w:after="283"/>
              <w:ind w:left="0" w:right="0" w:hanging="0"/>
              <w:rPr/>
            </w:pPr>
            <w:r>
              <w:rPr/>
              <w:t>  </w:t>
            </w:r>
          </w:p>
        </w:tc>
        <w:tc>
          <w:tcPr>
            <w:tcW w:w="60" w:type="dxa"/>
            <w:tcBorders/>
            <w:shd w:fill="auto" w:val="clear"/>
            <w:vAlign w:val="center"/>
          </w:tcPr>
          <w:p>
            <w:pPr>
              <w:pStyle w:val="TableContents"/>
              <w:spacing w:before="0" w:after="283"/>
              <w:ind w:left="0" w:right="0" w:hanging="0"/>
              <w:rPr/>
            </w:pPr>
            <w:r>
              <w:rPr/>
              <w:t> </w:t>
            </w:r>
          </w:p>
        </w:tc>
        <w:tc>
          <w:tcPr>
            <w:tcW w:w="875" w:type="dxa"/>
            <w:tcBorders/>
            <w:shd w:fill="auto" w:val="clear"/>
            <w:vAlign w:val="center"/>
          </w:tcPr>
          <w:p>
            <w:pPr>
              <w:pStyle w:val="TableContents"/>
              <w:spacing w:before="0" w:after="283"/>
              <w:ind w:left="0" w:right="0" w:hanging="0"/>
              <w:jc w:val="right"/>
              <w:rPr/>
            </w:pPr>
            <w:r>
              <w:rPr/>
              <w:t>(309,693</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Other reserves represent a capital reduction undertaken in 2016 which created a reserve of £7.0 million. On June 3, 2020, the Company issued and allotted 89,144,630 ordinary shares to investors. The difference between the gross proceeds, £15.5 million, and the fair value of the consideration of the ordinary shares, £13.4 million, of £2.1 million, was recognized as a reduction to other reserves. During the year ended December 31, 2021, 15,414,626 private placement warrants were exercised, resulting in a £2.4 million reduction in the warrant liability which was recognized as an addition to “Other reserves.”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F-39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b/>
          <w:sz w:val="24"/>
          <w:highlight w:val="white"/>
        </w:rPr>
      </w:pPr>
      <w:r>
        <w:rPr>
          <w:rFonts w:ascii="Times New Roman" w:hAnsi="Times New Roman"/>
          <w:b/>
          <w:sz w:val="24"/>
          <w:highlight w:val="white"/>
        </w:rPr>
        <w:t xml:space="preserve">23. Changes in liabilities arising from financing activities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265"/>
        <w:gridCol w:w="120"/>
        <w:gridCol w:w="74"/>
        <w:gridCol w:w="696"/>
        <w:gridCol w:w="155"/>
        <w:gridCol w:w="60"/>
        <w:gridCol w:w="86"/>
        <w:gridCol w:w="804"/>
        <w:gridCol w:w="60"/>
        <w:gridCol w:w="120"/>
        <w:gridCol w:w="67"/>
        <w:gridCol w:w="853"/>
        <w:gridCol w:w="155"/>
        <w:gridCol w:w="60"/>
        <w:gridCol w:w="134"/>
        <w:gridCol w:w="1251"/>
        <w:gridCol w:w="95"/>
        <w:gridCol w:w="60"/>
        <w:gridCol w:w="85"/>
        <w:gridCol w:w="970"/>
        <w:gridCol w:w="155"/>
        <w:gridCol w:w="60"/>
        <w:gridCol w:w="84"/>
        <w:gridCol w:w="536"/>
        <w:gridCol w:w="155"/>
        <w:gridCol w:w="60"/>
        <w:gridCol w:w="60"/>
        <w:gridCol w:w="755"/>
        <w:gridCol w:w="170"/>
      </w:tblGrid>
      <w:tr>
        <w:trPr/>
        <w:tc>
          <w:tcPr>
            <w:tcW w:w="2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Lease</w:t>
              <w:br/>
              <w:t>liability</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Novartis</w:t>
              <w:br/>
              <w:t>Loan</w:t>
              <w:b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Warrant</w:t>
              <w:br/>
              <w:t>liability</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w:t>
              <w:br/>
              <w:t>cash</w:t>
              <w:br/>
              <w:t>consideration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Loan</w:t>
              <w:br/>
              <w:t>Notes –</w:t>
              <w:br/>
              <w:t>private</w:t>
              <w:br/>
              <w:t>placement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Carrying value at January 1, 2021</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0"/>
              <w:rPr>
                <w:spacing w:val="0"/>
              </w:rPr>
            </w:pPr>
            <w:r>
              <w:rPr>
                <w:spacing w:val="0"/>
              </w:rPr>
              <w:t> </w:t>
            </w:r>
          </w:p>
        </w:tc>
        <w:tc>
          <w:tcPr>
            <w:tcW w:w="696" w:type="dxa"/>
            <w:tcBorders/>
            <w:shd w:fill="CCEEFF" w:val="clear"/>
            <w:vAlign w:val="center"/>
          </w:tcPr>
          <w:p>
            <w:pPr>
              <w:pStyle w:val="TableContents"/>
              <w:spacing w:before="0" w:after="0"/>
              <w:jc w:val="right"/>
              <w:rPr>
                <w:b/>
                <w:spacing w:val="0"/>
              </w:rPr>
            </w:pPr>
            <w:r>
              <w:rPr>
                <w:b/>
                <w:spacing w:val="0"/>
              </w:rPr>
              <w:t>1,794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0"/>
              <w:rPr>
                <w:spacing w:val="0"/>
              </w:rPr>
            </w:pPr>
            <w:r>
              <w:rPr>
                <w:spacing w:val="0"/>
              </w:rPr>
              <w:t> </w:t>
            </w:r>
          </w:p>
        </w:tc>
        <w:tc>
          <w:tcPr>
            <w:tcW w:w="804" w:type="dxa"/>
            <w:tcBorders/>
            <w:shd w:fill="CCEEFF" w:val="clear"/>
            <w:vAlign w:val="center"/>
          </w:tcPr>
          <w:p>
            <w:pPr>
              <w:pStyle w:val="TableContents"/>
              <w:spacing w:before="0" w:after="0"/>
              <w:jc w:val="right"/>
              <w:rPr>
                <w:b/>
                <w:spacing w:val="0"/>
              </w:rPr>
            </w:pPr>
            <w:r>
              <w:rPr>
                <w:b/>
                <w:spacing w:val="0"/>
              </w:rPr>
              <w:t>3,196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0"/>
              <w:rPr>
                <w:spacing w:val="0"/>
              </w:rPr>
            </w:pPr>
            <w:r>
              <w:rPr>
                <w:spacing w:val="0"/>
              </w:rPr>
              <w:t> </w:t>
            </w:r>
          </w:p>
        </w:tc>
        <w:tc>
          <w:tcPr>
            <w:tcW w:w="853" w:type="dxa"/>
            <w:tcBorders/>
            <w:shd w:fill="CCEEFF" w:val="clear"/>
            <w:vAlign w:val="center"/>
          </w:tcPr>
          <w:p>
            <w:pPr>
              <w:pStyle w:val="TableContents"/>
              <w:spacing w:before="0" w:after="0"/>
              <w:jc w:val="right"/>
              <w:rPr>
                <w:b/>
                <w:spacing w:val="0"/>
              </w:rPr>
            </w:pPr>
            <w:r>
              <w:rPr>
                <w:b/>
                <w:spacing w:val="0"/>
              </w:rPr>
              <w:t>50,775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0"/>
              <w:rPr>
                <w:spacing w:val="0"/>
              </w:rPr>
            </w:pPr>
            <w:r>
              <w:rPr>
                <w:spacing w:val="0"/>
              </w:rPr>
              <w:t> </w:t>
            </w:r>
          </w:p>
        </w:tc>
        <w:tc>
          <w:tcPr>
            <w:tcW w:w="1251" w:type="dxa"/>
            <w:tcBorders/>
            <w:shd w:fill="CCEEFF" w:val="clear"/>
            <w:vAlign w:val="center"/>
          </w:tcPr>
          <w:p>
            <w:pPr>
              <w:pStyle w:val="TableContents"/>
              <w:spacing w:before="0" w:after="0"/>
              <w:jc w:val="right"/>
              <w:rPr>
                <w:b/>
                <w:spacing w:val="0"/>
              </w:rPr>
            </w:pPr>
            <w:r>
              <w:rPr>
                <w:b/>
                <w:spacing w:val="0"/>
              </w:rPr>
              <w:t>1,525</w:t>
            </w:r>
          </w:p>
        </w:tc>
        <w:tc>
          <w:tcPr>
            <w:tcW w:w="9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0"/>
              <w:rPr>
                <w:spacing w:val="0"/>
              </w:rPr>
            </w:pPr>
            <w:r>
              <w:rPr>
                <w:spacing w:val="0"/>
              </w:rPr>
              <w:t> </w:t>
            </w:r>
          </w:p>
        </w:tc>
        <w:tc>
          <w:tcPr>
            <w:tcW w:w="970" w:type="dxa"/>
            <w:tcBorders/>
            <w:shd w:fill="CCEEFF" w:val="clear"/>
            <w:vAlign w:val="center"/>
          </w:tcPr>
          <w:p>
            <w:pPr>
              <w:pStyle w:val="TableContents"/>
              <w:spacing w:before="0" w:after="0"/>
              <w:jc w:val="right"/>
              <w:rPr>
                <w:b/>
                <w:spacing w:val="0"/>
              </w:rPr>
            </w:pPr>
            <w:r>
              <w:rPr>
                <w:b/>
                <w:spacing w:val="0"/>
              </w:rPr>
              <w:t>12,946</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536" w:type="dxa"/>
            <w:tcBorders/>
            <w:shd w:fill="CCEEFF" w:val="clear"/>
            <w:vAlign w:val="center"/>
          </w:tcPr>
          <w:p>
            <w:pPr>
              <w:pStyle w:val="TableContents"/>
              <w:spacing w:before="0" w:after="0"/>
              <w:jc w:val="right"/>
              <w:rPr>
                <w:b/>
                <w:spacing w:val="0"/>
              </w:rPr>
            </w:pPr>
            <w:r>
              <w:rPr>
                <w:b/>
                <w:spacing w:val="0"/>
              </w:rPr>
              <w:t>62</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70,298</w:t>
            </w:r>
          </w:p>
        </w:tc>
        <w:tc>
          <w:tcPr>
            <w:tcW w:w="170" w:type="dxa"/>
            <w:tcBorders/>
            <w:shd w:fill="CCEEFF" w:val="clear"/>
            <w:vAlign w:val="center"/>
          </w:tcPr>
          <w:p>
            <w:pPr>
              <w:pStyle w:val="TableContents"/>
              <w:spacing w:before="0" w:after="0"/>
              <w:rPr>
                <w:spacing w:val="0"/>
              </w:rPr>
            </w:pPr>
            <w:r>
              <w:rPr>
                <w:spacing w:val="0"/>
              </w:rPr>
              <w:t> </w:t>
            </w:r>
          </w:p>
        </w:tc>
      </w:tr>
      <w:tr>
        <w:trPr/>
        <w:tc>
          <w:tcPr>
            <w:tcW w:w="22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Financing cash flows</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(692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(692</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Non-cash</w:t>
            </w:r>
          </w:p>
          <w:p>
            <w:pPr>
              <w:pStyle w:val="TableContents"/>
              <w:spacing w:before="0" w:after="0"/>
              <w:rPr>
                <w:rFonts w:ascii="Times New Roman" w:hAnsi="Times New Roman"/>
                <w:sz w:val="24"/>
              </w:rPr>
            </w:pPr>
            <w:r>
              <w:rPr>
                <w:rFonts w:ascii="Times New Roman" w:hAnsi="Times New Roman"/>
                <w:sz w:val="24"/>
              </w:rPr>
              <w:t>changes</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2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Settled during the year</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(2,400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(5,307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(7,707</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Interest expense</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230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575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206</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2,974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4,003</w:t>
            </w:r>
          </w:p>
        </w:tc>
        <w:tc>
          <w:tcPr>
            <w:tcW w:w="170" w:type="dxa"/>
            <w:tcBorders/>
            <w:shd w:fill="CCEEFF" w:val="clear"/>
            <w:vAlign w:val="center"/>
          </w:tcPr>
          <w:p>
            <w:pPr>
              <w:pStyle w:val="TableContents"/>
              <w:spacing w:before="0" w:after="283"/>
              <w:rPr/>
            </w:pPr>
            <w:r>
              <w:rPr/>
              <w:t> </w:t>
            </w:r>
          </w:p>
        </w:tc>
      </w:tr>
      <w:tr>
        <w:trPr/>
        <w:tc>
          <w:tcPr>
            <w:tcW w:w="22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Lease addition</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910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910</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Lease modification</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163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163</w:t>
            </w:r>
          </w:p>
        </w:tc>
        <w:tc>
          <w:tcPr>
            <w:tcW w:w="170" w:type="dxa"/>
            <w:tcBorders/>
            <w:shd w:fill="CCEEFF" w:val="clear"/>
            <w:vAlign w:val="center"/>
          </w:tcPr>
          <w:p>
            <w:pPr>
              <w:pStyle w:val="TableContents"/>
              <w:spacing w:before="0" w:after="283"/>
              <w:rPr/>
            </w:pPr>
            <w:r>
              <w:rPr/>
              <w:t> </w:t>
            </w:r>
          </w:p>
        </w:tc>
      </w:tr>
      <w:tr>
        <w:trPr/>
        <w:tc>
          <w:tcPr>
            <w:tcW w:w="22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Changes in fair value</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(40,039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2,373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(37,666</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Changes in foreign exchange</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19</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w:t>
            </w:r>
          </w:p>
        </w:tc>
        <w:tc>
          <w:tcPr>
            <w:tcW w:w="170" w:type="dxa"/>
            <w:tcBorders/>
            <w:shd w:fill="CCEEFF" w:val="clear"/>
            <w:vAlign w:val="center"/>
          </w:tcPr>
          <w:p>
            <w:pPr>
              <w:pStyle w:val="TableContents"/>
              <w:spacing w:before="0" w:after="283"/>
              <w:rPr/>
            </w:pPr>
            <w:r>
              <w:rPr/>
              <w:t>) </w:t>
            </w:r>
          </w:p>
        </w:tc>
      </w:tr>
      <w:tr>
        <w:trPr/>
        <w:tc>
          <w:tcPr>
            <w:tcW w:w="2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0"/>
              <w:rPr>
                <w:bdr w:val="single" w:sz="2" w:space="1" w:color="000000"/>
              </w:rPr>
            </w:pPr>
            <w:r>
              <w:rPr>
                <w:bdr w:val="single" w:sz="2" w:space="1" w:color="000000"/>
              </w:rPr>
              <w:t> </w:t>
            </w:r>
          </w:p>
        </w:tc>
        <w:tc>
          <w:tcPr>
            <w:tcW w:w="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0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5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0"/>
              <w:rPr>
                <w:bdr w:val="single" w:sz="2" w:space="1" w:color="000000"/>
              </w:rPr>
            </w:pPr>
            <w:r>
              <w:rPr>
                <w:bdr w:val="single" w:sz="2" w:space="1" w:color="000000"/>
              </w:rPr>
              <w:t> </w:t>
            </w:r>
          </w:p>
        </w:tc>
        <w:tc>
          <w:tcPr>
            <w:tcW w:w="1251"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0"/>
              <w:rPr>
                <w:bdr w:val="single" w:sz="2" w:space="1" w:color="000000"/>
              </w:rPr>
            </w:pPr>
            <w:r>
              <w:rPr>
                <w:bdr w:val="single" w:sz="2" w:space="1" w:color="000000"/>
              </w:rPr>
              <w:t> </w:t>
            </w:r>
          </w:p>
        </w:tc>
        <w:tc>
          <w:tcPr>
            <w:tcW w:w="9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5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2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Carrying value at December 31, 2021</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0"/>
              <w:rPr>
                <w:spacing w:val="0"/>
              </w:rPr>
            </w:pPr>
            <w:r>
              <w:rPr>
                <w:spacing w:val="0"/>
              </w:rPr>
              <w:t> </w:t>
            </w:r>
          </w:p>
        </w:tc>
        <w:tc>
          <w:tcPr>
            <w:tcW w:w="696" w:type="dxa"/>
            <w:tcBorders/>
            <w:shd w:fill="auto" w:val="clear"/>
            <w:vAlign w:val="center"/>
          </w:tcPr>
          <w:p>
            <w:pPr>
              <w:pStyle w:val="TableContents"/>
              <w:spacing w:before="0" w:after="0"/>
              <w:jc w:val="right"/>
              <w:rPr>
                <w:b/>
                <w:spacing w:val="0"/>
              </w:rPr>
            </w:pPr>
            <w:r>
              <w:rPr>
                <w:b/>
                <w:spacing w:val="0"/>
              </w:rPr>
              <w:t>2,376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804" w:type="dxa"/>
            <w:tcBorders/>
            <w:shd w:fill="auto" w:val="clear"/>
            <w:vAlign w:val="center"/>
          </w:tcPr>
          <w:p>
            <w:pPr>
              <w:pStyle w:val="TableContents"/>
              <w:spacing w:before="0" w:after="0"/>
              <w:jc w:val="right"/>
              <w:rPr>
                <w:b/>
                <w:spacing w:val="0"/>
              </w:rPr>
            </w:pPr>
            <w:r>
              <w:rPr>
                <w:b/>
                <w:spacing w:val="0"/>
              </w:rPr>
              <w:t>3,771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spacing w:val="0"/>
              </w:rPr>
            </w:pPr>
            <w:r>
              <w:rPr>
                <w:spacing w:val="0"/>
              </w:rPr>
              <w:t> </w:t>
            </w:r>
          </w:p>
        </w:tc>
        <w:tc>
          <w:tcPr>
            <w:tcW w:w="853" w:type="dxa"/>
            <w:tcBorders/>
            <w:shd w:fill="auto" w:val="clear"/>
            <w:vAlign w:val="center"/>
          </w:tcPr>
          <w:p>
            <w:pPr>
              <w:pStyle w:val="TableContents"/>
              <w:spacing w:before="0" w:after="0"/>
              <w:jc w:val="right"/>
              <w:rPr>
                <w:b/>
                <w:spacing w:val="0"/>
              </w:rPr>
            </w:pPr>
            <w:r>
              <w:rPr>
                <w:b/>
                <w:spacing w:val="0"/>
              </w:rPr>
              <w:t>8,336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0"/>
              <w:rPr>
                <w:spacing w:val="0"/>
              </w:rPr>
            </w:pPr>
            <w:r>
              <w:rPr>
                <w:spacing w:val="0"/>
              </w:rPr>
              <w:t> </w:t>
            </w:r>
          </w:p>
        </w:tc>
        <w:tc>
          <w:tcPr>
            <w:tcW w:w="1251" w:type="dxa"/>
            <w:tcBorders/>
            <w:shd w:fill="auto" w:val="clear"/>
            <w:vAlign w:val="center"/>
          </w:tcPr>
          <w:p>
            <w:pPr>
              <w:pStyle w:val="TableContents"/>
              <w:spacing w:before="0" w:after="0"/>
              <w:jc w:val="right"/>
              <w:rPr>
                <w:b/>
                <w:spacing w:val="0"/>
              </w:rPr>
            </w:pPr>
            <w:r>
              <w:rPr>
                <w:b/>
                <w:spacing w:val="0"/>
              </w:rPr>
              <w:t>4,123</w:t>
            </w:r>
          </w:p>
        </w:tc>
        <w:tc>
          <w:tcPr>
            <w:tcW w:w="9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0"/>
              <w:rPr>
                <w:spacing w:val="0"/>
              </w:rPr>
            </w:pPr>
            <w:r>
              <w:rPr>
                <w:spacing w:val="0"/>
              </w:rPr>
              <w:t> </w:t>
            </w:r>
          </w:p>
        </w:tc>
        <w:tc>
          <w:tcPr>
            <w:tcW w:w="970" w:type="dxa"/>
            <w:tcBorders/>
            <w:shd w:fill="auto" w:val="clear"/>
            <w:vAlign w:val="center"/>
          </w:tcPr>
          <w:p>
            <w:pPr>
              <w:pStyle w:val="TableContents"/>
              <w:spacing w:before="0" w:after="0"/>
              <w:jc w:val="right"/>
              <w:rPr>
                <w:b/>
                <w:spacing w:val="0"/>
              </w:rPr>
            </w:pPr>
            <w:r>
              <w:rPr>
                <w:b/>
                <w:spacing w:val="0"/>
              </w:rPr>
              <w:t>10,613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536" w:type="dxa"/>
            <w:tcBorders/>
            <w:shd w:fill="auto" w:val="clear"/>
            <w:vAlign w:val="center"/>
          </w:tcPr>
          <w:p>
            <w:pPr>
              <w:pStyle w:val="TableContents"/>
              <w:spacing w:before="0" w:after="0"/>
              <w:jc w:val="right"/>
              <w:rPr>
                <w:b/>
                <w:spacing w:val="0"/>
              </w:rPr>
            </w:pPr>
            <w:r>
              <w:rPr>
                <w:b/>
                <w:spacing w:val="0"/>
              </w:rPr>
              <w:t>80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29,299</w:t>
            </w:r>
          </w:p>
        </w:tc>
        <w:tc>
          <w:tcPr>
            <w:tcW w:w="170" w:type="dxa"/>
            <w:tcBorders/>
            <w:shd w:fill="auto" w:val="clear"/>
            <w:vAlign w:val="center"/>
          </w:tcPr>
          <w:p>
            <w:pPr>
              <w:pStyle w:val="TableContents"/>
              <w:spacing w:before="0" w:after="0"/>
              <w:rPr>
                <w:spacing w:val="0"/>
              </w:rPr>
            </w:pPr>
            <w:r>
              <w:rPr>
                <w:spacing w:val="0"/>
              </w:rPr>
              <w:t> </w:t>
            </w:r>
          </w:p>
        </w:tc>
      </w:tr>
      <w:tr>
        <w:trPr/>
        <w:tc>
          <w:tcPr>
            <w:tcW w:w="2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0"/>
              <w:rPr>
                <w:bdr w:val="double" w:sz="6" w:space="1" w:color="000000"/>
              </w:rPr>
            </w:pPr>
            <w:r>
              <w:rPr>
                <w:bdr w:val="double" w:sz="6" w:space="1" w:color="000000"/>
              </w:rPr>
              <w:t> </w:t>
            </w:r>
          </w:p>
        </w:tc>
        <w:tc>
          <w:tcPr>
            <w:tcW w:w="69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double" w:sz="6" w:space="1" w:color="000000"/>
              </w:rPr>
            </w:pPr>
            <w:r>
              <w:rPr>
                <w:bdr w:val="double" w:sz="6" w:space="1" w:color="000000"/>
              </w:rPr>
              <w:t> </w:t>
            </w:r>
          </w:p>
        </w:tc>
        <w:tc>
          <w:tcPr>
            <w:tcW w:w="804"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double" w:sz="6" w:space="1" w:color="000000"/>
              </w:rPr>
            </w:pPr>
            <w:r>
              <w:rPr>
                <w:bdr w:val="double" w:sz="6" w:space="1" w:color="000000"/>
              </w:rPr>
              <w:t> </w:t>
            </w:r>
          </w:p>
        </w:tc>
        <w:tc>
          <w:tcPr>
            <w:tcW w:w="853"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0"/>
              <w:rPr>
                <w:bdr w:val="double" w:sz="6" w:space="1" w:color="000000"/>
              </w:rPr>
            </w:pPr>
            <w:r>
              <w:rPr>
                <w:bdr w:val="double" w:sz="6" w:space="1" w:color="000000"/>
              </w:rPr>
              <w:t> </w:t>
            </w:r>
          </w:p>
        </w:tc>
        <w:tc>
          <w:tcPr>
            <w:tcW w:w="1251"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0"/>
              <w:rPr>
                <w:bdr w:val="double" w:sz="6" w:space="1" w:color="000000"/>
              </w:rPr>
            </w:pPr>
            <w:r>
              <w:rPr>
                <w:bdr w:val="double" w:sz="6" w:space="1" w:color="000000"/>
              </w:rPr>
              <w:t> </w:t>
            </w:r>
          </w:p>
        </w:tc>
        <w:tc>
          <w:tcPr>
            <w:tcW w:w="97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double" w:sz="6" w:space="1" w:color="000000"/>
              </w:rPr>
            </w:pPr>
            <w:r>
              <w:rPr>
                <w:bdr w:val="double" w:sz="6" w:space="1" w:color="000000"/>
              </w:rPr>
              <w:t> </w:t>
            </w:r>
          </w:p>
        </w:tc>
        <w:tc>
          <w:tcPr>
            <w:tcW w:w="53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Financing cash flows</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(937</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153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(784</w:t>
            </w:r>
          </w:p>
        </w:tc>
        <w:tc>
          <w:tcPr>
            <w:tcW w:w="170" w:type="dxa"/>
            <w:tcBorders/>
            <w:shd w:fill="CCEEFF" w:val="clear"/>
            <w:vAlign w:val="center"/>
          </w:tcPr>
          <w:p>
            <w:pPr>
              <w:pStyle w:val="TableContents"/>
              <w:spacing w:before="0" w:after="283"/>
              <w:rPr/>
            </w:pPr>
            <w:r>
              <w:rPr/>
              <w:t>)</w:t>
            </w:r>
          </w:p>
        </w:tc>
      </w:tr>
      <w:tr>
        <w:trPr/>
        <w:tc>
          <w:tcPr>
            <w:tcW w:w="2265" w:type="dxa"/>
            <w:tcBorders/>
            <w:shd w:fill="auto" w:val="clear"/>
            <w:vAlign w:val="center"/>
          </w:tcPr>
          <w:p>
            <w:pPr>
              <w:pStyle w:val="TableContents"/>
              <w:spacing w:before="0" w:after="0"/>
              <w:rPr>
                <w:rFonts w:ascii="Times New Roman" w:hAnsi="Times New Roman"/>
                <w:spacing w:val="0"/>
                <w:sz w:val="24"/>
              </w:rPr>
            </w:pPr>
            <w:r>
              <w:rPr>
                <w:rFonts w:ascii="Times New Roman" w:hAnsi="Times New Roman"/>
                <w:spacing w:val="0"/>
                <w:sz w:val="24"/>
              </w:rPr>
              <w:t>Non-cash</w:t>
            </w:r>
          </w:p>
          <w:p>
            <w:pPr>
              <w:pStyle w:val="TableContents"/>
              <w:spacing w:before="0" w:after="0"/>
              <w:rPr>
                <w:rFonts w:ascii="Times New Roman" w:hAnsi="Times New Roman"/>
                <w:sz w:val="24"/>
              </w:rPr>
            </w:pPr>
            <w:r>
              <w:rPr>
                <w:rFonts w:ascii="Times New Roman" w:hAnsi="Times New Roman"/>
                <w:sz w:val="24"/>
              </w:rPr>
              <w:t>changes</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Settled during the year</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(5,958</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(5,958</w:t>
            </w:r>
          </w:p>
        </w:tc>
        <w:tc>
          <w:tcPr>
            <w:tcW w:w="170" w:type="dxa"/>
            <w:tcBorders/>
            <w:shd w:fill="CCEEFF" w:val="clear"/>
            <w:vAlign w:val="center"/>
          </w:tcPr>
          <w:p>
            <w:pPr>
              <w:pStyle w:val="TableContents"/>
              <w:spacing w:before="0" w:after="283"/>
              <w:rPr/>
            </w:pPr>
            <w:r>
              <w:rPr/>
              <w:t>)</w:t>
            </w:r>
          </w:p>
        </w:tc>
      </w:tr>
      <w:tr>
        <w:trPr/>
        <w:tc>
          <w:tcPr>
            <w:tcW w:w="22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Interest expense</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right"/>
              <w:rPr/>
            </w:pPr>
            <w:r>
              <w:rPr/>
              <w:t>209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678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451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0" w:type="dxa"/>
            <w:tcBorders/>
            <w:shd w:fill="auto" w:val="clear"/>
            <w:vAlign w:val="center"/>
          </w:tcPr>
          <w:p>
            <w:pPr>
              <w:pStyle w:val="TableContents"/>
              <w:spacing w:before="0" w:after="283"/>
              <w:jc w:val="right"/>
              <w:rPr/>
            </w:pPr>
            <w:r>
              <w:rPr/>
              <w:t>1,981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3,338</w:t>
            </w:r>
          </w:p>
        </w:tc>
        <w:tc>
          <w:tcPr>
            <w:tcW w:w="170" w:type="dxa"/>
            <w:tcBorders/>
            <w:shd w:fill="auto" w:val="clear"/>
            <w:vAlign w:val="center"/>
          </w:tcPr>
          <w:p>
            <w:pPr>
              <w:pStyle w:val="TableContents"/>
              <w:spacing w:before="0" w:after="283"/>
              <w:rPr/>
            </w:pPr>
            <w:r>
              <w:rPr/>
              <w:t> </w:t>
            </w:r>
          </w:p>
        </w:tc>
      </w:tr>
      <w:tr>
        <w:trPr/>
        <w:tc>
          <w:tcPr>
            <w:tcW w:w="2265" w:type="dxa"/>
            <w:tcBorders/>
            <w:shd w:fill="CCEEFF" w:val="clear"/>
            <w:vAlign w:val="center"/>
          </w:tcPr>
          <w:p>
            <w:pPr>
              <w:pStyle w:val="TableContents"/>
              <w:spacing w:before="0" w:after="0"/>
              <w:rPr>
                <w:rFonts w:ascii="Times New Roman;serif" w:hAnsi="Times New Roman;serif"/>
                <w:spacing w:val="0"/>
                <w:sz w:val="24"/>
              </w:rPr>
            </w:pPr>
            <w:r>
              <w:rPr>
                <w:rFonts w:ascii="Times New Roman;serif" w:hAnsi="Times New Roman;serif"/>
                <w:spacing w:val="0"/>
                <w:sz w:val="24"/>
              </w:rPr>
              <w:t>Issuance of warrants</w:t>
            </w:r>
          </w:p>
          <w:p>
            <w:pPr>
              <w:pStyle w:val="TableContents"/>
              <w:spacing w:before="0" w:after="0"/>
              <w:rPr>
                <w:rFonts w:ascii="Times New Roman" w:hAnsi="Times New Roman"/>
                <w:sz w:val="24"/>
              </w:rPr>
            </w:pPr>
            <w:r>
              <w:rPr>
                <w:rFonts w:ascii="Times New Roman" w:hAnsi="Times New Roman"/>
                <w:sz w:val="24"/>
              </w:rPr>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(70</w:t>
            </w:r>
          </w:p>
        </w:tc>
        <w:tc>
          <w:tcPr>
            <w:tcW w:w="170" w:type="dxa"/>
            <w:tcBorders/>
            <w:shd w:fill="CCEEFF" w:val="clear"/>
            <w:vAlign w:val="center"/>
          </w:tcPr>
          <w:p>
            <w:pPr>
              <w:pStyle w:val="TableContents"/>
              <w:spacing w:before="0" w:after="283"/>
              <w:rPr/>
            </w:pPr>
            <w:r>
              <w:rPr/>
              <w:t>) </w:t>
            </w:r>
          </w:p>
        </w:tc>
      </w:tr>
      <w:tr>
        <w:trPr/>
        <w:tc>
          <w:tcPr>
            <w:tcW w:w="2265"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Changes in fair value</w:t>
            </w:r>
          </w:p>
        </w:tc>
        <w:tc>
          <w:tcPr>
            <w:tcW w:w="12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80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jc w:val="right"/>
              <w:rPr/>
            </w:pPr>
            <w:r>
              <w:rPr/>
              <w:t>(7,805</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1251" w:type="dxa"/>
            <w:tcBorders/>
            <w:shd w:fill="FFFFFF" w:val="clear"/>
            <w:vAlign w:val="center"/>
          </w:tcPr>
          <w:p>
            <w:pPr>
              <w:pStyle w:val="TableContents"/>
              <w:spacing w:before="0" w:after="283"/>
              <w:jc w:val="right"/>
              <w:rPr/>
            </w:pPr>
            <w:r>
              <w:rPr/>
              <w:t>(448</w:t>
            </w:r>
          </w:p>
        </w:tc>
        <w:tc>
          <w:tcPr>
            <w:tcW w:w="9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536"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(8,253</w:t>
            </w:r>
          </w:p>
        </w:tc>
        <w:tc>
          <w:tcPr>
            <w:tcW w:w="170" w:type="dxa"/>
            <w:tcBorders/>
            <w:shd w:fill="FFFFFF" w:val="clear"/>
            <w:vAlign w:val="center"/>
          </w:tcPr>
          <w:p>
            <w:pPr>
              <w:pStyle w:val="TableContents"/>
              <w:spacing w:before="0" w:after="283"/>
              <w:rPr/>
            </w:pPr>
            <w:r>
              <w:rPr/>
              <w:t>)</w:t>
            </w:r>
          </w:p>
        </w:tc>
      </w:tr>
      <w:tr>
        <w:trPr/>
        <w:tc>
          <w:tcPr>
            <w:tcW w:w="22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Changes in foreign exchange</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right"/>
              <w:rPr/>
            </w:pPr>
            <w:r>
              <w:rPr/>
              <w:t>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508</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548</w:t>
            </w:r>
          </w:p>
        </w:tc>
        <w:tc>
          <w:tcPr>
            <w:tcW w:w="170" w:type="dxa"/>
            <w:tcBorders/>
            <w:shd w:fill="CCEEFF" w:val="clear"/>
            <w:vAlign w:val="center"/>
          </w:tcPr>
          <w:p>
            <w:pPr>
              <w:pStyle w:val="TableContents"/>
              <w:spacing w:before="0" w:after="0"/>
              <w:rPr>
                <w:spacing w:val="0"/>
              </w:rPr>
            </w:pPr>
            <w:r>
              <w:rPr>
                <w:spacing w:val="0"/>
              </w:rPr>
              <w:t> </w:t>
            </w:r>
          </w:p>
        </w:tc>
      </w:tr>
      <w:tr>
        <w:trPr/>
        <w:tc>
          <w:tcPr>
            <w:tcW w:w="22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0"/>
              <w:rPr>
                <w:bdr w:val="single" w:sz="2" w:space="1" w:color="000000"/>
              </w:rPr>
            </w:pPr>
            <w:r>
              <w:rPr>
                <w:bdr w:val="single" w:sz="2" w:space="1" w:color="000000"/>
              </w:rPr>
              <w:t> </w:t>
            </w:r>
          </w:p>
        </w:tc>
        <w:tc>
          <w:tcPr>
            <w:tcW w:w="696"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0"/>
              <w:rPr>
                <w:bdr w:val="single" w:sz="2" w:space="1" w:color="000000"/>
              </w:rPr>
            </w:pPr>
            <w:r>
              <w:rPr>
                <w:bdr w:val="single" w:sz="2" w:space="1" w:color="000000"/>
              </w:rPr>
              <w:t> </w:t>
            </w:r>
          </w:p>
        </w:tc>
        <w:tc>
          <w:tcPr>
            <w:tcW w:w="804" w:type="dxa"/>
            <w:tcBorders/>
            <w:shd w:fill="FFFFFF" w:val="clear"/>
            <w:vAlign w:val="center"/>
          </w:tcPr>
          <w:p>
            <w:pPr>
              <w:pStyle w:val="TableContents"/>
              <w:spacing w:before="0" w:after="0"/>
              <w:rPr>
                <w:bdr w:val="single" w:sz="2" w:space="1" w:color="000000"/>
              </w:rPr>
            </w:pPr>
            <w:r>
              <w:rPr>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0"/>
              <w:rPr>
                <w:bdr w:val="single" w:sz="2" w:space="1" w:color="000000"/>
              </w:rPr>
            </w:pPr>
            <w:r>
              <w:rPr>
                <w:bdr w:val="single" w:sz="2" w:space="1" w:color="000000"/>
              </w:rPr>
              <w:t> </w:t>
            </w:r>
          </w:p>
        </w:tc>
        <w:tc>
          <w:tcPr>
            <w:tcW w:w="853"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0"/>
              <w:rPr>
                <w:bdr w:val="single" w:sz="2" w:space="1" w:color="000000"/>
              </w:rPr>
            </w:pPr>
            <w:r>
              <w:rPr>
                <w:bdr w:val="single" w:sz="2" w:space="1" w:color="000000"/>
              </w:rPr>
              <w:t> </w:t>
            </w:r>
          </w:p>
        </w:tc>
        <w:tc>
          <w:tcPr>
            <w:tcW w:w="1251" w:type="dxa"/>
            <w:tcBorders/>
            <w:shd w:fill="FFFFFF" w:val="clear"/>
            <w:vAlign w:val="center"/>
          </w:tcPr>
          <w:p>
            <w:pPr>
              <w:pStyle w:val="TableContents"/>
              <w:spacing w:before="0" w:after="0"/>
              <w:rPr>
                <w:bdr w:val="single" w:sz="2" w:space="1" w:color="000000"/>
              </w:rPr>
            </w:pPr>
            <w:r>
              <w:rPr>
                <w:bdr w:val="single" w:sz="2" w:space="1" w:color="000000"/>
              </w:rPr>
              <w:t> </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0"/>
              <w:rPr>
                <w:bdr w:val="single" w:sz="2" w:space="1" w:color="000000"/>
              </w:rPr>
            </w:pPr>
            <w:r>
              <w:rPr>
                <w:bdr w:val="single" w:sz="2" w:space="1" w:color="000000"/>
              </w:rPr>
              <w:t> </w:t>
            </w:r>
          </w:p>
        </w:tc>
        <w:tc>
          <w:tcPr>
            <w:tcW w:w="970"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0"/>
              <w:rPr>
                <w:bdr w:val="single" w:sz="2" w:space="1" w:color="000000"/>
              </w:rPr>
            </w:pPr>
            <w:r>
              <w:rPr>
                <w:bdr w:val="single" w:sz="2" w:space="1" w:color="000000"/>
              </w:rPr>
              <w:t> </w:t>
            </w:r>
          </w:p>
        </w:tc>
        <w:tc>
          <w:tcPr>
            <w:tcW w:w="536"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5" w:type="dxa"/>
            <w:tcBorders/>
            <w:shd w:fill="FFFFFF" w:val="clear"/>
            <w:vAlign w:val="center"/>
          </w:tcPr>
          <w:p>
            <w:pPr>
              <w:pStyle w:val="TableContents"/>
              <w:spacing w:before="0" w:after="0"/>
              <w:rPr>
                <w:bdr w:val="single" w:sz="2" w:space="1" w:color="000000"/>
              </w:rPr>
            </w:pPr>
            <w:r>
              <w:rPr>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2265" w:type="dxa"/>
            <w:tcBorders/>
            <w:shd w:fill="FFFFFF" w:val="clear"/>
            <w:vAlign w:val="center"/>
          </w:tcPr>
          <w:p>
            <w:pPr>
              <w:pStyle w:val="TableContents"/>
              <w:spacing w:before="0" w:after="0"/>
              <w:rPr>
                <w:rFonts w:ascii="Times New Roman" w:hAnsi="Times New Roman"/>
                <w:b/>
                <w:sz w:val="24"/>
              </w:rPr>
            </w:pPr>
            <w:r>
              <w:rPr>
                <w:rFonts w:ascii="Times New Roman" w:hAnsi="Times New Roman"/>
                <w:b/>
                <w:sz w:val="24"/>
              </w:rPr>
              <w:t>Carrying value at December 31, 2022</w:t>
            </w:r>
          </w:p>
        </w:tc>
        <w:tc>
          <w:tcPr>
            <w:tcW w:w="12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0"/>
              <w:rPr>
                <w:spacing w:val="0"/>
              </w:rPr>
            </w:pPr>
            <w:r>
              <w:rPr>
                <w:spacing w:val="0"/>
              </w:rPr>
              <w:t> </w:t>
            </w:r>
          </w:p>
        </w:tc>
        <w:tc>
          <w:tcPr>
            <w:tcW w:w="696" w:type="dxa"/>
            <w:tcBorders/>
            <w:shd w:fill="FFFFFF" w:val="clear"/>
            <w:vAlign w:val="center"/>
          </w:tcPr>
          <w:p>
            <w:pPr>
              <w:pStyle w:val="TableContents"/>
              <w:spacing w:before="0" w:after="0"/>
              <w:jc w:val="right"/>
              <w:rPr>
                <w:b/>
                <w:spacing w:val="0"/>
              </w:rPr>
            </w:pPr>
            <w:r>
              <w:rPr>
                <w:b/>
                <w:spacing w:val="0"/>
              </w:rPr>
              <w:t>1,688</w:t>
            </w:r>
          </w:p>
        </w:tc>
        <w:tc>
          <w:tcPr>
            <w:tcW w:w="15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0"/>
              <w:rPr>
                <w:spacing w:val="0"/>
              </w:rPr>
            </w:pPr>
            <w:r>
              <w:rPr>
                <w:spacing w:val="0"/>
              </w:rPr>
              <w:t> </w:t>
            </w:r>
          </w:p>
        </w:tc>
        <w:tc>
          <w:tcPr>
            <w:tcW w:w="804" w:type="dxa"/>
            <w:tcBorders/>
            <w:shd w:fill="FFFFFF" w:val="clear"/>
            <w:vAlign w:val="center"/>
          </w:tcPr>
          <w:p>
            <w:pPr>
              <w:pStyle w:val="TableContents"/>
              <w:spacing w:before="0" w:after="0"/>
              <w:jc w:val="right"/>
              <w:rPr>
                <w:b/>
                <w:spacing w:val="0"/>
              </w:rPr>
            </w:pPr>
            <w:r>
              <w:rPr>
                <w:b/>
                <w:spacing w:val="0"/>
              </w:rPr>
              <w:t>4,449</w:t>
            </w:r>
          </w:p>
        </w:tc>
        <w:tc>
          <w:tcPr>
            <w:tcW w:w="60" w:type="dxa"/>
            <w:tcBorders/>
            <w:shd w:fill="FFFFFF" w:val="clear"/>
            <w:vAlign w:val="center"/>
          </w:tcPr>
          <w:p>
            <w:pPr>
              <w:pStyle w:val="TableContents"/>
              <w:spacing w:before="0" w:after="0"/>
              <w:rPr>
                <w:spacing w:val="0"/>
              </w:rPr>
            </w:pPr>
            <w:r>
              <w:rPr>
                <w:spacing w:val="0"/>
              </w:rPr>
              <w:t> </w:t>
            </w:r>
          </w:p>
        </w:tc>
        <w:tc>
          <w:tcPr>
            <w:tcW w:w="12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0"/>
              <w:rPr>
                <w:spacing w:val="0"/>
              </w:rPr>
            </w:pPr>
            <w:r>
              <w:rPr>
                <w:spacing w:val="0"/>
              </w:rPr>
              <w:t> </w:t>
            </w:r>
          </w:p>
        </w:tc>
        <w:tc>
          <w:tcPr>
            <w:tcW w:w="853" w:type="dxa"/>
            <w:tcBorders/>
            <w:shd w:fill="FFFFFF" w:val="clear"/>
            <w:vAlign w:val="center"/>
          </w:tcPr>
          <w:p>
            <w:pPr>
              <w:pStyle w:val="TableContents"/>
              <w:spacing w:before="0" w:after="0"/>
              <w:jc w:val="right"/>
              <w:rPr>
                <w:b/>
                <w:spacing w:val="0"/>
              </w:rPr>
            </w:pPr>
            <w:r>
              <w:rPr>
                <w:b/>
                <w:spacing w:val="0"/>
              </w:rPr>
              <w:t>531</w:t>
            </w:r>
          </w:p>
        </w:tc>
        <w:tc>
          <w:tcPr>
            <w:tcW w:w="15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0"/>
              <w:rPr>
                <w:spacing w:val="0"/>
              </w:rPr>
            </w:pPr>
            <w:r>
              <w:rPr>
                <w:spacing w:val="0"/>
              </w:rPr>
              <w:t> </w:t>
            </w:r>
          </w:p>
        </w:tc>
        <w:tc>
          <w:tcPr>
            <w:tcW w:w="1251" w:type="dxa"/>
            <w:tcBorders/>
            <w:shd w:fill="FFFFFF" w:val="clear"/>
            <w:vAlign w:val="center"/>
          </w:tcPr>
          <w:p>
            <w:pPr>
              <w:pStyle w:val="TableContents"/>
              <w:spacing w:before="0" w:after="0"/>
              <w:jc w:val="right"/>
              <w:rPr>
                <w:b/>
                <w:spacing w:val="0"/>
              </w:rPr>
            </w:pPr>
            <w:r>
              <w:rPr>
                <w:b/>
                <w:spacing w:val="0"/>
              </w:rPr>
              <w:t>4,634</w:t>
            </w:r>
          </w:p>
        </w:tc>
        <w:tc>
          <w:tcPr>
            <w:tcW w:w="9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0"/>
              <w:rPr>
                <w:spacing w:val="0"/>
              </w:rPr>
            </w:pPr>
            <w:r>
              <w:rPr>
                <w:spacing w:val="0"/>
              </w:rPr>
              <w:t> </w:t>
            </w:r>
          </w:p>
        </w:tc>
        <w:tc>
          <w:tcPr>
            <w:tcW w:w="970" w:type="dxa"/>
            <w:tcBorders/>
            <w:shd w:fill="FFFFFF" w:val="clear"/>
            <w:vAlign w:val="center"/>
          </w:tcPr>
          <w:p>
            <w:pPr>
              <w:pStyle w:val="TableContents"/>
              <w:spacing w:before="0" w:after="0"/>
              <w:jc w:val="right"/>
              <w:rPr>
                <w:b/>
                <w:spacing w:val="0"/>
              </w:rPr>
            </w:pPr>
            <w:r>
              <w:rPr>
                <w:b/>
                <w:spacing w:val="0"/>
              </w:rPr>
              <w:t>6,636</w:t>
            </w:r>
          </w:p>
        </w:tc>
        <w:tc>
          <w:tcPr>
            <w:tcW w:w="15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0"/>
              <w:rPr>
                <w:spacing w:val="0"/>
              </w:rPr>
            </w:pPr>
            <w:r>
              <w:rPr>
                <w:spacing w:val="0"/>
              </w:rPr>
              <w:t> </w:t>
            </w:r>
          </w:p>
        </w:tc>
        <w:tc>
          <w:tcPr>
            <w:tcW w:w="536" w:type="dxa"/>
            <w:tcBorders/>
            <w:shd w:fill="FFFFFF" w:val="clear"/>
            <w:vAlign w:val="center"/>
          </w:tcPr>
          <w:p>
            <w:pPr>
              <w:pStyle w:val="TableContents"/>
              <w:spacing w:before="0" w:after="0"/>
              <w:jc w:val="right"/>
              <w:rPr>
                <w:b/>
                <w:spacing w:val="0"/>
              </w:rPr>
            </w:pPr>
            <w:r>
              <w:rPr>
                <w:b/>
                <w:spacing w:val="0"/>
              </w:rPr>
              <w:t>182</w:t>
            </w:r>
          </w:p>
        </w:tc>
        <w:tc>
          <w:tcPr>
            <w:tcW w:w="155" w:type="dxa"/>
            <w:tcBorders/>
            <w:shd w:fill="FFFFFF" w:val="clear"/>
            <w:vAlign w:val="center"/>
          </w:tcPr>
          <w:p>
            <w:pPr>
              <w:pStyle w:val="TableContents"/>
              <w:spacing w:before="0" w:after="0"/>
              <w:rPr>
                <w:spacing w:val="0"/>
              </w:rPr>
            </w:pPr>
            <w:r>
              <w:rPr>
                <w:spacing w:val="0"/>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rPr>
            </w:pPr>
            <w:r>
              <w:rPr>
                <w:spacing w:val="0"/>
              </w:rPr>
              <w:t> </w:t>
            </w:r>
          </w:p>
        </w:tc>
        <w:tc>
          <w:tcPr>
            <w:tcW w:w="755" w:type="dxa"/>
            <w:tcBorders/>
            <w:shd w:fill="FFFFFF" w:val="clear"/>
            <w:vAlign w:val="center"/>
          </w:tcPr>
          <w:p>
            <w:pPr>
              <w:pStyle w:val="TableContents"/>
              <w:spacing w:before="0" w:after="0"/>
              <w:jc w:val="right"/>
              <w:rPr>
                <w:b/>
                <w:spacing w:val="0"/>
              </w:rPr>
            </w:pPr>
            <w:r>
              <w:rPr>
                <w:b/>
                <w:spacing w:val="0"/>
              </w:rPr>
              <w:t>18,120</w:t>
            </w:r>
          </w:p>
        </w:tc>
        <w:tc>
          <w:tcPr>
            <w:tcW w:w="170" w:type="dxa"/>
            <w:tcBorders/>
            <w:shd w:fill="FFFFFF" w:val="clear"/>
            <w:vAlign w:val="center"/>
          </w:tcPr>
          <w:p>
            <w:pPr>
              <w:pStyle w:val="TableContents"/>
              <w:spacing w:before="0" w:after="0"/>
              <w:rPr>
                <w:spacing w:val="0"/>
              </w:rPr>
            </w:pPr>
            <w:r>
              <w:rPr>
                <w:spacing w:val="0"/>
              </w:rPr>
              <w:t> </w:t>
            </w:r>
          </w:p>
        </w:tc>
      </w:tr>
      <w:tr>
        <w:trPr/>
        <w:tc>
          <w:tcPr>
            <w:tcW w:w="22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0"/>
              <w:rPr>
                <w:bdr w:val="double" w:sz="6" w:space="1" w:color="000000"/>
              </w:rPr>
            </w:pPr>
            <w:r>
              <w:rPr>
                <w:bdr w:val="double" w:sz="6" w:space="1" w:color="000000"/>
              </w:rPr>
              <w:t> </w:t>
            </w:r>
          </w:p>
        </w:tc>
        <w:tc>
          <w:tcPr>
            <w:tcW w:w="696"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0"/>
              <w:rPr>
                <w:bdr w:val="double" w:sz="6" w:space="1" w:color="000000"/>
              </w:rPr>
            </w:pPr>
            <w:r>
              <w:rPr>
                <w:bdr w:val="double" w:sz="6" w:space="1" w:color="000000"/>
              </w:rPr>
              <w:t> </w:t>
            </w:r>
          </w:p>
        </w:tc>
        <w:tc>
          <w:tcPr>
            <w:tcW w:w="804" w:type="dxa"/>
            <w:tcBorders/>
            <w:shd w:fill="FFFFFF" w:val="clear"/>
            <w:vAlign w:val="center"/>
          </w:tcPr>
          <w:p>
            <w:pPr>
              <w:pStyle w:val="TableContents"/>
              <w:spacing w:before="0" w:after="0"/>
              <w:rPr>
                <w:bdr w:val="double" w:sz="6" w:space="1" w:color="000000"/>
              </w:rPr>
            </w:pPr>
            <w:r>
              <w:rPr>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0"/>
              <w:rPr>
                <w:bdr w:val="double" w:sz="6" w:space="1" w:color="000000"/>
              </w:rPr>
            </w:pPr>
            <w:r>
              <w:rPr>
                <w:bdr w:val="double" w:sz="6" w:space="1" w:color="000000"/>
              </w:rPr>
              <w:t> </w:t>
            </w:r>
          </w:p>
        </w:tc>
        <w:tc>
          <w:tcPr>
            <w:tcW w:w="853"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0"/>
              <w:rPr>
                <w:bdr w:val="double" w:sz="6" w:space="1" w:color="000000"/>
              </w:rPr>
            </w:pPr>
            <w:r>
              <w:rPr>
                <w:bdr w:val="double" w:sz="6" w:space="1" w:color="000000"/>
              </w:rPr>
              <w:t> </w:t>
            </w:r>
          </w:p>
        </w:tc>
        <w:tc>
          <w:tcPr>
            <w:tcW w:w="1251" w:type="dxa"/>
            <w:tcBorders/>
            <w:shd w:fill="FFFFFF" w:val="clear"/>
            <w:vAlign w:val="center"/>
          </w:tcPr>
          <w:p>
            <w:pPr>
              <w:pStyle w:val="TableContents"/>
              <w:spacing w:before="0" w:after="0"/>
              <w:rPr>
                <w:bdr w:val="double" w:sz="6" w:space="1" w:color="000000"/>
              </w:rPr>
            </w:pPr>
            <w:r>
              <w:rPr>
                <w:bdr w:val="double" w:sz="6" w:space="1" w:color="000000"/>
              </w:rPr>
              <w:t> </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0"/>
              <w:rPr>
                <w:bdr w:val="double" w:sz="6" w:space="1" w:color="000000"/>
              </w:rPr>
            </w:pPr>
            <w:r>
              <w:rPr>
                <w:bdr w:val="double" w:sz="6" w:space="1" w:color="000000"/>
              </w:rPr>
              <w:t> </w:t>
            </w:r>
          </w:p>
        </w:tc>
        <w:tc>
          <w:tcPr>
            <w:tcW w:w="970"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0"/>
              <w:rPr>
                <w:bdr w:val="double" w:sz="6" w:space="1" w:color="000000"/>
              </w:rPr>
            </w:pPr>
            <w:r>
              <w:rPr>
                <w:bdr w:val="double" w:sz="6" w:space="1" w:color="000000"/>
              </w:rPr>
              <w:t> </w:t>
            </w:r>
          </w:p>
        </w:tc>
        <w:tc>
          <w:tcPr>
            <w:tcW w:w="536"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5" w:type="dxa"/>
            <w:tcBorders/>
            <w:shd w:fill="FFFFFF" w:val="clear"/>
            <w:vAlign w:val="center"/>
          </w:tcPr>
          <w:p>
            <w:pPr>
              <w:pStyle w:val="TableContents"/>
              <w:spacing w:before="0" w:after="0"/>
              <w:rPr>
                <w:bdr w:val="double" w:sz="6" w:space="1" w:color="000000"/>
              </w:rPr>
            </w:pPr>
            <w:r>
              <w:rPr>
                <w:bdr w:val="double" w:sz="6" w:space="1" w:color="000000"/>
              </w:rPr>
              <w:t> </w:t>
            </w:r>
          </w:p>
        </w:tc>
        <w:tc>
          <w:tcPr>
            <w:tcW w:w="170" w:type="dxa"/>
            <w:tcBorders/>
            <w:shd w:fill="FFFFFF"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24. Financial and capital risk management and fair value measurement </w:t>
      </w:r>
    </w:p>
    <w:p>
      <w:pPr>
        <w:pStyle w:val="TextBody"/>
        <w:spacing w:before="12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Capital risk management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The Company’s objectives when managing capital are to safeguard the ability to continue as a going concern and ensure that sufficient capital is in place to fund the Company’s R&amp;D activities and operations. The Company’s principal methods of adjusting the capital available are through issuing new shares, licensing and/or collaboration agreements or arranging suitable debt financing. The Company’s share capital and share premium are disclosed in Note 22</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The Company’s convertible loans are disclosed in Note 21</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The Company monitors the availability of capital with regards to its committed and forecasted future expenditure on an ongoing basis.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F-40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The Company has an Employee Benefit Trust which holds ADSs to satisfy exercises of options under the Company’s share option schemes (see Note 26).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Financial risk management objectives and policies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Company seeks to maintain a balance between equity capital and convertible debt to provide sufficient cash resources to execute the business plan. In addition, the Company maintains a balance between cash held on deposit and short- term investments in pound sterling and other currencies to reduce its exposure to foreign exchange fluctuations in respect of its planned expenditure.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Company’s principal financial instruments comprise warrants, convertible loan notes and trade payables which arise directly from its operations. The Company has various financial assets, including receivables and cash and short-term deposits.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Interest rate risk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Company’s policy in relation to interest rate risk is to monitor short and medium-term interest rates and to place cash on deposit for periods that optimize the amount of interest earned while maintaining access to sufficient funds to meet the cost of is operating activities and future research and development activities.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Company’s interest payable on convertible loan notes is fixed. Consequently, there is no material exposure to interest rate risk in respect of interest payable.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Credit risk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The Company’s maximum exposure to credit risk for the components of the balance sheet at December 31, 2022 are the carrying amounts.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Liquidity risk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Company’s policy is to maintain adequate cash reserves at highly rated banks and financial institutions and also seeks to invest in short-term deposits to achieve a competitive rate of return. The Company’s liquid resources are invested with regard to the timing of payments to be made in the ordinary course of business, while monitoring its funding requirements through preparation of short-term,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mid-term</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and long-term forecasts.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The table below summarizes the maturity profile of the Company’s financial liabilities based on contractual undiscounted payments at December 31, 2022:</w:t>
      </w:r>
    </w:p>
    <w:p>
      <w:pPr>
        <w:pStyle w:val="TextBody"/>
        <w:spacing w:before="0" w:after="0"/>
        <w:ind w:left="0" w:right="0" w:hanging="0"/>
        <w:jc w:val="left"/>
        <w:rPr>
          <w:spacing w:val="0"/>
          <w:highlight w:val="white"/>
        </w:rPr>
      </w:pPr>
      <w:r>
        <w:rPr>
          <w:spacing w:val="0"/>
          <w:highlight w:val="white"/>
        </w:rPr>
        <w:t> </w:t>
      </w:r>
    </w:p>
    <w:tbl>
      <w:tblPr>
        <w:tblW w:w="8775" w:type="dxa"/>
        <w:jc w:val="left"/>
        <w:tblInd w:w="0" w:type="dxa"/>
        <w:tblCellMar>
          <w:top w:w="0" w:type="dxa"/>
          <w:left w:w="0" w:type="dxa"/>
          <w:bottom w:w="0" w:type="dxa"/>
          <w:right w:w="0" w:type="dxa"/>
        </w:tblCellMar>
      </w:tblPr>
      <w:tblGrid>
        <w:gridCol w:w="2420"/>
        <w:gridCol w:w="120"/>
        <w:gridCol w:w="70"/>
        <w:gridCol w:w="655"/>
        <w:gridCol w:w="60"/>
        <w:gridCol w:w="120"/>
        <w:gridCol w:w="132"/>
        <w:gridCol w:w="1238"/>
        <w:gridCol w:w="60"/>
        <w:gridCol w:w="120"/>
        <w:gridCol w:w="186"/>
        <w:gridCol w:w="1184"/>
        <w:gridCol w:w="60"/>
        <w:gridCol w:w="120"/>
        <w:gridCol w:w="178"/>
        <w:gridCol w:w="1132"/>
        <w:gridCol w:w="60"/>
        <w:gridCol w:w="120"/>
        <w:gridCol w:w="64"/>
        <w:gridCol w:w="601"/>
        <w:gridCol w:w="75"/>
      </w:tblGrid>
      <w:tr>
        <w:trPr/>
        <w:tc>
          <w:tcPr>
            <w:tcW w:w="2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2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Within</w:t>
              <w:br/>
              <w:t>1 year</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Between</w:t>
              <w:br/>
              <w:t>1 and 3 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Between</w:t>
              <w:br/>
              <w:t>3 and 5 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Over 5 years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0"/>
              <w:rPr>
                <w:spacing w:val="0"/>
              </w:rPr>
            </w:pPr>
            <w:r>
              <w:rPr>
                <w:spacing w:val="0"/>
              </w:rPr>
              <w:t> </w:t>
            </w:r>
          </w:p>
        </w:tc>
      </w:tr>
      <w:tr>
        <w:trPr/>
        <w:tc>
          <w:tcPr>
            <w:tcW w:w="24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2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7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7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1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2420" w:type="dxa"/>
            <w:tcBorders/>
            <w:shd w:fill="CCEEFF" w:val="clear"/>
            <w:vAlign w:val="center"/>
          </w:tcPr>
          <w:p>
            <w:pPr>
              <w:pStyle w:val="TableContents"/>
              <w:spacing w:before="0" w:after="0"/>
              <w:rPr>
                <w:spacing w:val="0"/>
                <w:sz w:val="24"/>
              </w:rPr>
            </w:pPr>
            <w:r>
              <w:rPr>
                <w:spacing w:val="0"/>
                <w:sz w:val="24"/>
              </w:rPr>
              <w:t>Leases</w:t>
            </w:r>
          </w:p>
        </w:tc>
        <w:tc>
          <w:tcPr>
            <w:tcW w:w="120" w:type="dxa"/>
            <w:tcBorders/>
            <w:shd w:fill="CCEEFF" w:val="clear"/>
            <w:vAlign w:val="center"/>
          </w:tcPr>
          <w:p>
            <w:pPr>
              <w:pStyle w:val="TableContents"/>
              <w:spacing w:before="0" w:after="0"/>
              <w:rPr>
                <w:spacing w:val="0"/>
              </w:rPr>
            </w:pPr>
            <w:r>
              <w:rPr>
                <w:spacing w:val="0"/>
              </w:rPr>
              <w:t>  </w:t>
            </w:r>
          </w:p>
        </w:tc>
        <w:tc>
          <w:tcPr>
            <w:tcW w:w="70" w:type="dxa"/>
            <w:tcBorders/>
            <w:shd w:fill="CCEEFF" w:val="clear"/>
            <w:vAlign w:val="center"/>
          </w:tcPr>
          <w:p>
            <w:pPr>
              <w:pStyle w:val="TableContents"/>
              <w:spacing w:before="0" w:after="0"/>
              <w:rPr>
                <w:spacing w:val="0"/>
              </w:rPr>
            </w:pPr>
            <w:r>
              <w:rPr>
                <w:spacing w:val="0"/>
              </w:rPr>
              <w:t> </w:t>
            </w:r>
          </w:p>
        </w:tc>
        <w:tc>
          <w:tcPr>
            <w:tcW w:w="655" w:type="dxa"/>
            <w:tcBorders/>
            <w:shd w:fill="CCEEFF" w:val="clear"/>
            <w:vAlign w:val="center"/>
          </w:tcPr>
          <w:p>
            <w:pPr>
              <w:pStyle w:val="TableContents"/>
              <w:spacing w:before="0" w:after="283"/>
              <w:jc w:val="right"/>
              <w:rPr/>
            </w:pPr>
            <w:r>
              <w:rPr/>
              <w:t>611</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32" w:type="dxa"/>
            <w:tcBorders/>
            <w:shd w:fill="CCEEFF" w:val="clear"/>
            <w:vAlign w:val="center"/>
          </w:tcPr>
          <w:p>
            <w:pPr>
              <w:pStyle w:val="TableContents"/>
              <w:spacing w:before="0" w:after="0"/>
              <w:rPr>
                <w:spacing w:val="0"/>
              </w:rPr>
            </w:pPr>
            <w:r>
              <w:rPr>
                <w:spacing w:val="0"/>
              </w:rPr>
              <w:t> </w:t>
            </w:r>
          </w:p>
        </w:tc>
        <w:tc>
          <w:tcPr>
            <w:tcW w:w="1238" w:type="dxa"/>
            <w:tcBorders/>
            <w:shd w:fill="CCEEFF" w:val="clear"/>
            <w:vAlign w:val="center"/>
          </w:tcPr>
          <w:p>
            <w:pPr>
              <w:pStyle w:val="TableContents"/>
              <w:spacing w:before="0" w:after="283"/>
              <w:jc w:val="right"/>
              <w:rPr/>
            </w:pPr>
            <w:r>
              <w:rPr/>
              <w:t>1,222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86" w:type="dxa"/>
            <w:tcBorders/>
            <w:shd w:fill="CCEEFF" w:val="clear"/>
            <w:vAlign w:val="center"/>
          </w:tcPr>
          <w:p>
            <w:pPr>
              <w:pStyle w:val="TableContents"/>
              <w:spacing w:before="0" w:after="0"/>
              <w:rPr>
                <w:spacing w:val="0"/>
              </w:rPr>
            </w:pPr>
            <w:r>
              <w:rPr>
                <w:spacing w:val="0"/>
              </w:rPr>
              <w:t> </w:t>
            </w:r>
          </w:p>
        </w:tc>
        <w:tc>
          <w:tcPr>
            <w:tcW w:w="1184" w:type="dxa"/>
            <w:tcBorders/>
            <w:shd w:fill="CCEEFF" w:val="clear"/>
            <w:vAlign w:val="center"/>
          </w:tcPr>
          <w:p>
            <w:pPr>
              <w:pStyle w:val="TableContents"/>
              <w:spacing w:before="0" w:after="283"/>
              <w:jc w:val="right"/>
              <w:rPr/>
            </w:pPr>
            <w:r>
              <w:rPr/>
              <w:t>152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78" w:type="dxa"/>
            <w:tcBorders/>
            <w:shd w:fill="CCEEFF" w:val="clear"/>
            <w:vAlign w:val="center"/>
          </w:tcPr>
          <w:p>
            <w:pPr>
              <w:pStyle w:val="TableContents"/>
              <w:spacing w:before="0" w:after="0"/>
              <w:rPr>
                <w:spacing w:val="0"/>
              </w:rPr>
            </w:pPr>
            <w:r>
              <w:rPr>
                <w:spacing w:val="0"/>
              </w:rPr>
              <w:t> </w:t>
            </w:r>
          </w:p>
        </w:tc>
        <w:tc>
          <w:tcPr>
            <w:tcW w:w="113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283"/>
              <w:jc w:val="right"/>
              <w:rPr/>
            </w:pPr>
            <w:r>
              <w:rPr/>
              <w:t>1,985</w:t>
            </w:r>
          </w:p>
        </w:tc>
        <w:tc>
          <w:tcPr>
            <w:tcW w:w="75" w:type="dxa"/>
            <w:tcBorders/>
            <w:shd w:fill="CCEEFF" w:val="clear"/>
            <w:vAlign w:val="center"/>
          </w:tcPr>
          <w:p>
            <w:pPr>
              <w:pStyle w:val="TableContents"/>
              <w:spacing w:before="0" w:after="0"/>
              <w:rPr>
                <w:spacing w:val="0"/>
              </w:rPr>
            </w:pPr>
            <w:r>
              <w:rPr>
                <w:spacing w:val="0"/>
              </w:rPr>
              <w:t> </w:t>
            </w:r>
          </w:p>
        </w:tc>
      </w:tr>
      <w:tr>
        <w:trPr/>
        <w:tc>
          <w:tcPr>
            <w:tcW w:w="2420" w:type="dxa"/>
            <w:tcBorders/>
            <w:shd w:fill="auto" w:val="clear"/>
            <w:vAlign w:val="center"/>
          </w:tcPr>
          <w:p>
            <w:pPr>
              <w:pStyle w:val="TableContents"/>
              <w:spacing w:before="0" w:after="0"/>
              <w:rPr>
                <w:spacing w:val="0"/>
                <w:sz w:val="24"/>
              </w:rPr>
            </w:pPr>
            <w:r>
              <w:rPr>
                <w:spacing w:val="0"/>
                <w:sz w:val="24"/>
              </w:rPr>
              <w:t>Trade and other payables</w:t>
            </w:r>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655" w:type="dxa"/>
            <w:tcBorders/>
            <w:shd w:fill="auto" w:val="clear"/>
            <w:vAlign w:val="center"/>
          </w:tcPr>
          <w:p>
            <w:pPr>
              <w:pStyle w:val="TableContents"/>
              <w:spacing w:before="0" w:after="283"/>
              <w:jc w:val="right"/>
              <w:rPr/>
            </w:pPr>
            <w:r>
              <w:rPr/>
              <w:t>3,078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2" w:type="dxa"/>
            <w:tcBorders/>
            <w:shd w:fill="auto" w:val="clear"/>
            <w:vAlign w:val="center"/>
          </w:tcPr>
          <w:p>
            <w:pPr>
              <w:pStyle w:val="TableContents"/>
              <w:spacing w:before="0" w:after="0"/>
              <w:rPr>
                <w:spacing w:val="0"/>
              </w:rPr>
            </w:pPr>
            <w:r>
              <w:rPr>
                <w:spacing w:val="0"/>
              </w:rPr>
              <w:t> </w:t>
            </w:r>
          </w:p>
        </w:tc>
        <w:tc>
          <w:tcPr>
            <w:tcW w:w="1238" w:type="dxa"/>
            <w:tcBorders/>
            <w:shd w:fill="auto" w:val="clear"/>
            <w:vAlign w:val="center"/>
          </w:tcPr>
          <w:p>
            <w:pPr>
              <w:pStyle w:val="TableContents"/>
              <w:spacing w:before="0" w:after="0"/>
              <w:ind w:left="1123" w:right="0" w:hanging="0"/>
              <w:jc w:val="right"/>
              <w:rPr/>
            </w:pPr>
            <w:r>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6" w:type="dxa"/>
            <w:tcBorders/>
            <w:shd w:fill="auto" w:val="clear"/>
            <w:vAlign w:val="center"/>
          </w:tcPr>
          <w:p>
            <w:pPr>
              <w:pStyle w:val="TableContents"/>
              <w:spacing w:before="0" w:after="0"/>
              <w:rPr>
                <w:spacing w:val="0"/>
              </w:rPr>
            </w:pPr>
            <w:r>
              <w:rPr>
                <w:spacing w:val="0"/>
              </w:rPr>
              <w:t> </w:t>
            </w:r>
          </w:p>
        </w:tc>
        <w:tc>
          <w:tcPr>
            <w:tcW w:w="1184" w:type="dxa"/>
            <w:tcBorders/>
            <w:shd w:fill="auto" w:val="clear"/>
            <w:vAlign w:val="center"/>
          </w:tcPr>
          <w:p>
            <w:pPr>
              <w:pStyle w:val="TableContents"/>
              <w:spacing w:before="0" w:after="0"/>
              <w:ind w:left="1123" w:right="0" w:hanging="0"/>
              <w:jc w:val="right"/>
              <w:rPr/>
            </w:pPr>
            <w:r>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78" w:type="dxa"/>
            <w:tcBorders/>
            <w:shd w:fill="auto" w:val="clear"/>
            <w:vAlign w:val="center"/>
          </w:tcPr>
          <w:p>
            <w:pPr>
              <w:pStyle w:val="TableContents"/>
              <w:spacing w:before="0" w:after="0"/>
              <w:rPr>
                <w:spacing w:val="0"/>
              </w:rPr>
            </w:pPr>
            <w:r>
              <w:rPr>
                <w:spacing w:val="0"/>
              </w:rPr>
              <w:t> </w:t>
            </w:r>
          </w:p>
        </w:tc>
        <w:tc>
          <w:tcPr>
            <w:tcW w:w="1132" w:type="dxa"/>
            <w:tcBorders/>
            <w:shd w:fill="auto" w:val="clear"/>
            <w:vAlign w:val="center"/>
          </w:tcPr>
          <w:p>
            <w:pPr>
              <w:pStyle w:val="TableContents"/>
              <w:spacing w:before="0" w:after="0"/>
              <w:ind w:left="1123" w:right="0" w:hanging="0"/>
              <w:jc w:val="right"/>
              <w:rPr/>
            </w:pPr>
            <w:r>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283"/>
              <w:jc w:val="right"/>
              <w:rPr/>
            </w:pPr>
            <w:r>
              <w:rPr/>
              <w:t>3,078</w:t>
            </w:r>
          </w:p>
        </w:tc>
        <w:tc>
          <w:tcPr>
            <w:tcW w:w="75" w:type="dxa"/>
            <w:tcBorders/>
            <w:shd w:fill="auto" w:val="clear"/>
            <w:vAlign w:val="center"/>
          </w:tcPr>
          <w:p>
            <w:pPr>
              <w:pStyle w:val="TableContents"/>
              <w:spacing w:before="0" w:after="0"/>
              <w:rPr>
                <w:spacing w:val="0"/>
              </w:rPr>
            </w:pPr>
            <w:r>
              <w:rPr>
                <w:spacing w:val="0"/>
              </w:rPr>
              <w:t> </w:t>
            </w:r>
          </w:p>
        </w:tc>
      </w:tr>
      <w:tr>
        <w:trPr/>
        <w:tc>
          <w:tcPr>
            <w:tcW w:w="2420" w:type="dxa"/>
            <w:tcBorders/>
            <w:shd w:fill="CCEEFF" w:val="clear"/>
            <w:vAlign w:val="center"/>
          </w:tcPr>
          <w:p>
            <w:pPr>
              <w:pStyle w:val="TableContents"/>
              <w:spacing w:before="0" w:after="0"/>
              <w:rPr>
                <w:spacing w:val="0"/>
                <w:sz w:val="24"/>
              </w:rPr>
            </w:pPr>
            <w:r>
              <w:rPr>
                <w:spacing w:val="0"/>
                <w:sz w:val="24"/>
              </w:rPr>
              <w:t>Accruals</w:t>
            </w:r>
          </w:p>
        </w:tc>
        <w:tc>
          <w:tcPr>
            <w:tcW w:w="120" w:type="dxa"/>
            <w:tcBorders/>
            <w:shd w:fill="CCEEFF" w:val="clear"/>
            <w:vAlign w:val="center"/>
          </w:tcPr>
          <w:p>
            <w:pPr>
              <w:pStyle w:val="TableContents"/>
              <w:spacing w:before="0" w:after="0"/>
              <w:rPr>
                <w:spacing w:val="0"/>
              </w:rPr>
            </w:pPr>
            <w:r>
              <w:rPr>
                <w:spacing w:val="0"/>
              </w:rPr>
              <w:t>  </w:t>
            </w:r>
          </w:p>
        </w:tc>
        <w:tc>
          <w:tcPr>
            <w:tcW w:w="70" w:type="dxa"/>
            <w:tcBorders/>
            <w:shd w:fill="CCEEFF" w:val="clear"/>
            <w:vAlign w:val="center"/>
          </w:tcPr>
          <w:p>
            <w:pPr>
              <w:pStyle w:val="TableContents"/>
              <w:spacing w:before="0" w:after="0"/>
              <w:rPr>
                <w:spacing w:val="0"/>
              </w:rPr>
            </w:pPr>
            <w:r>
              <w:rPr>
                <w:spacing w:val="0"/>
              </w:rPr>
              <w:t> </w:t>
            </w:r>
          </w:p>
        </w:tc>
        <w:tc>
          <w:tcPr>
            <w:tcW w:w="655" w:type="dxa"/>
            <w:tcBorders/>
            <w:shd w:fill="CCEEFF" w:val="clear"/>
            <w:vAlign w:val="center"/>
          </w:tcPr>
          <w:p>
            <w:pPr>
              <w:pStyle w:val="TableContents"/>
              <w:spacing w:before="0" w:after="283"/>
              <w:jc w:val="right"/>
              <w:rPr/>
            </w:pPr>
            <w:r>
              <w:rPr/>
              <w:t>4,491</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32" w:type="dxa"/>
            <w:tcBorders/>
            <w:shd w:fill="CCEEFF" w:val="clear"/>
            <w:vAlign w:val="center"/>
          </w:tcPr>
          <w:p>
            <w:pPr>
              <w:pStyle w:val="TableContents"/>
              <w:spacing w:before="0" w:after="0"/>
              <w:rPr>
                <w:spacing w:val="0"/>
              </w:rPr>
            </w:pPr>
            <w:r>
              <w:rPr>
                <w:spacing w:val="0"/>
              </w:rPr>
              <w:t> </w:t>
            </w:r>
          </w:p>
        </w:tc>
        <w:tc>
          <w:tcPr>
            <w:tcW w:w="1238" w:type="dxa"/>
            <w:tcBorders/>
            <w:shd w:fill="CCEEFF" w:val="clear"/>
            <w:vAlign w:val="center"/>
          </w:tcPr>
          <w:p>
            <w:pPr>
              <w:pStyle w:val="TableContents"/>
              <w:spacing w:before="0" w:after="0"/>
              <w:ind w:left="1123" w:right="0" w:hanging="0"/>
              <w:jc w:val="right"/>
              <w:rPr/>
            </w:pPr>
            <w:r>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86" w:type="dxa"/>
            <w:tcBorders/>
            <w:shd w:fill="CCEEFF" w:val="clear"/>
            <w:vAlign w:val="center"/>
          </w:tcPr>
          <w:p>
            <w:pPr>
              <w:pStyle w:val="TableContents"/>
              <w:spacing w:before="0" w:after="0"/>
              <w:rPr>
                <w:spacing w:val="0"/>
              </w:rPr>
            </w:pPr>
            <w:r>
              <w:rPr>
                <w:spacing w:val="0"/>
              </w:rPr>
              <w:t> </w:t>
            </w:r>
          </w:p>
        </w:tc>
        <w:tc>
          <w:tcPr>
            <w:tcW w:w="1184" w:type="dxa"/>
            <w:tcBorders/>
            <w:shd w:fill="CCEEFF" w:val="clear"/>
            <w:vAlign w:val="center"/>
          </w:tcPr>
          <w:p>
            <w:pPr>
              <w:pStyle w:val="TableContents"/>
              <w:spacing w:before="0" w:after="0"/>
              <w:ind w:left="1123" w:right="0" w:hanging="0"/>
              <w:jc w:val="right"/>
              <w:rPr/>
            </w:pPr>
            <w:r>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78" w:type="dxa"/>
            <w:tcBorders/>
            <w:shd w:fill="CCEEFF" w:val="clear"/>
            <w:vAlign w:val="center"/>
          </w:tcPr>
          <w:p>
            <w:pPr>
              <w:pStyle w:val="TableContents"/>
              <w:spacing w:before="0" w:after="0"/>
              <w:rPr>
                <w:spacing w:val="0"/>
              </w:rPr>
            </w:pPr>
            <w:r>
              <w:rPr>
                <w:spacing w:val="0"/>
              </w:rPr>
              <w:t> </w:t>
            </w:r>
          </w:p>
        </w:tc>
        <w:tc>
          <w:tcPr>
            <w:tcW w:w="1132" w:type="dxa"/>
            <w:tcBorders/>
            <w:shd w:fill="CCEEFF" w:val="clear"/>
            <w:vAlign w:val="center"/>
          </w:tcPr>
          <w:p>
            <w:pPr>
              <w:pStyle w:val="TableContents"/>
              <w:spacing w:before="0" w:after="0"/>
              <w:ind w:left="1123" w:right="0" w:hanging="0"/>
              <w:jc w:val="right"/>
              <w:rPr/>
            </w:pPr>
            <w:r>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283"/>
              <w:jc w:val="right"/>
              <w:rPr/>
            </w:pPr>
            <w:r>
              <w:rPr/>
              <w:t>4,491</w:t>
            </w:r>
          </w:p>
        </w:tc>
        <w:tc>
          <w:tcPr>
            <w:tcW w:w="75" w:type="dxa"/>
            <w:tcBorders/>
            <w:shd w:fill="CCEEFF" w:val="clear"/>
            <w:vAlign w:val="center"/>
          </w:tcPr>
          <w:p>
            <w:pPr>
              <w:pStyle w:val="TableContents"/>
              <w:spacing w:before="0" w:after="0"/>
              <w:rPr>
                <w:spacing w:val="0"/>
              </w:rPr>
            </w:pPr>
            <w:r>
              <w:rPr>
                <w:spacing w:val="0"/>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The Company does not face a significant liquidity risk with regards to its lease liabilities. </w:t>
      </w:r>
    </w:p>
    <w:p>
      <w:pPr>
        <w:pStyle w:val="TextBody"/>
        <w:spacing w:before="240" w:after="0"/>
        <w:jc w:val="left"/>
        <w:rPr>
          <w:rFonts w:ascii="Times New Roman" w:hAnsi="Times New Roman"/>
          <w:sz w:val="24"/>
        </w:rPr>
      </w:pPr>
      <w:r>
        <w:rPr>
          <w:rFonts w:ascii="Times New Roman" w:hAnsi="Times New Roman"/>
          <w:sz w:val="24"/>
        </w:rPr>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Company may incur potential payments upon achievement of clinical, regulatory and commercial milestones, as applicable, or royalty payments that may be required to be made under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F-41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license agreements the Company entered into with various entities pursuant to which the Company has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in-licensed</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certain intellectual property, including license agreements with Novartis and AstraZeneca. Due to the uncertainty of the achievement and timing of the events requiring payment under these agreements, the amounts to be paid are not fixed or determinable at this time and no such amounts are included herein.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Foreign currency and market risk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Foreign currency risk arises from R&amp;D activities, commercial transactions and recognized assets and liabilities in foreign currencies, with the principal currency exposure being fluctuations in pound sterling, U.S. dollars and Euros.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functional currency of the Company and all subsidiaries is pound sterling, except for Mereo BioPharma 5, Inc. whose functional currency is U.S. dollars. The Company incurs expenditures in foreign currencies and is exposed to the risks of foreign exchange rate movements, with the impact recognized in the consolidated statement of comprehensive income/(loss).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Funding secured in 2021 and 2020 was principally in U.S dollars and, although the Company currently has no revenue from product sales, proceeds received from upfront milestones under its licensing and collaboration agreements are denominated in U.S. dollars, while the majority of operating costs are denominated in pound sterling, U.S. dollars and Euros.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Company seeks to minimize this exposure by passively maintaining foreign currency cash balances at levels appropriate to meet foreseeable foreign currency expenditures. The Company does not hedge potential future cash flows or income.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table below shows analysis of the pound sterling equivalent of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period-end</w:t>
      </w:r>
    </w:p>
    <w:p>
      <w:pPr>
        <w:pStyle w:val="TextBody"/>
        <w:spacing w:before="240" w:after="0"/>
        <w:jc w:val="left"/>
        <w:rPr>
          <w:rFonts w:ascii="Times New Roman" w:hAnsi="Times New Roman"/>
          <w:sz w:val="24"/>
          <w:highlight w:val="white"/>
        </w:rPr>
      </w:pPr>
      <w:r>
        <w:rPr>
          <w:rFonts w:ascii="Times New Roman" w:hAnsi="Times New Roman"/>
          <w:sz w:val="24"/>
          <w:highlight w:val="white"/>
        </w:rPr>
        <w:t>cash and short-term deposits balances by currency:</w:t>
      </w:r>
    </w:p>
    <w:p>
      <w:pPr>
        <w:pStyle w:val="TextBody"/>
        <w:spacing w:before="0" w:after="0"/>
        <w:ind w:left="0" w:right="0" w:hanging="0"/>
        <w:jc w:val="left"/>
        <w:rPr>
          <w:spacing w:val="0"/>
          <w:highlight w:val="white"/>
        </w:rPr>
      </w:pPr>
      <w:r>
        <w:rPr>
          <w:spacing w:val="0"/>
          <w:highlight w:val="white"/>
        </w:rPr>
        <w:t> </w:t>
      </w:r>
    </w:p>
    <w:tbl>
      <w:tblPr>
        <w:tblW w:w="3255" w:type="dxa"/>
        <w:jc w:val="left"/>
        <w:tblInd w:w="0" w:type="dxa"/>
        <w:tblCellMar>
          <w:top w:w="0" w:type="dxa"/>
          <w:left w:w="0" w:type="dxa"/>
          <w:bottom w:w="0" w:type="dxa"/>
          <w:right w:w="0" w:type="dxa"/>
        </w:tblCellMar>
      </w:tblPr>
      <w:tblGrid>
        <w:gridCol w:w="1400"/>
        <w:gridCol w:w="120"/>
        <w:gridCol w:w="60"/>
        <w:gridCol w:w="680"/>
        <w:gridCol w:w="60"/>
        <w:gridCol w:w="120"/>
        <w:gridCol w:w="60"/>
        <w:gridCol w:w="680"/>
        <w:gridCol w:w="75"/>
      </w:tblGrid>
      <w:tr>
        <w:trPr/>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40"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14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Pound sterling</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52,812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92,104</w:t>
            </w:r>
          </w:p>
        </w:tc>
        <w:tc>
          <w:tcPr>
            <w:tcW w:w="75" w:type="dxa"/>
            <w:tcBorders/>
            <w:shd w:fill="CCEEFF" w:val="clear"/>
            <w:vAlign w:val="center"/>
          </w:tcPr>
          <w:p>
            <w:pPr>
              <w:pStyle w:val="TableContents"/>
              <w:spacing w:before="0" w:after="283"/>
              <w:rPr/>
            </w:pPr>
            <w:r>
              <w:rPr/>
              <w:t> </w:t>
            </w:r>
          </w:p>
        </w:tc>
      </w:tr>
      <w:tr>
        <w:trPr/>
        <w:tc>
          <w:tcPr>
            <w:tcW w:w="140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U.S. dollars</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0" w:type="dxa"/>
            <w:tcBorders/>
            <w:shd w:fill="FFFFFF" w:val="clear"/>
            <w:vAlign w:val="center"/>
          </w:tcPr>
          <w:p>
            <w:pPr>
              <w:pStyle w:val="TableContents"/>
              <w:spacing w:before="0" w:after="283"/>
              <w:jc w:val="right"/>
              <w:rPr/>
            </w:pPr>
            <w:r>
              <w:rPr/>
              <w:t>2,484</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0" w:type="dxa"/>
            <w:tcBorders/>
            <w:shd w:fill="FFFFFF" w:val="clear"/>
            <w:vAlign w:val="center"/>
          </w:tcPr>
          <w:p>
            <w:pPr>
              <w:pStyle w:val="TableContents"/>
              <w:spacing w:before="0" w:after="283"/>
              <w:jc w:val="right"/>
              <w:rPr/>
            </w:pPr>
            <w:r>
              <w:rPr/>
              <w:t>2,018</w:t>
            </w:r>
          </w:p>
        </w:tc>
        <w:tc>
          <w:tcPr>
            <w:tcW w:w="75" w:type="dxa"/>
            <w:tcBorders/>
            <w:shd w:fill="FFFFFF"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Euro</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165</w:t>
            </w:r>
          </w:p>
        </w:tc>
        <w:tc>
          <w:tcPr>
            <w:tcW w:w="75" w:type="dxa"/>
            <w:tcBorders/>
            <w:shd w:fill="CCEEFF" w:val="clear"/>
            <w:vAlign w:val="center"/>
          </w:tcPr>
          <w:p>
            <w:pPr>
              <w:pStyle w:val="TableContents"/>
              <w:spacing w:before="0" w:after="283"/>
              <w:rPr/>
            </w:pPr>
            <w:r>
              <w:rPr/>
              <w:t> </w:t>
            </w:r>
          </w:p>
        </w:tc>
      </w:tr>
      <w:tr>
        <w:trPr/>
        <w:tc>
          <w:tcPr>
            <w:tcW w:w="1400" w:type="dxa"/>
            <w:tcBorders/>
            <w:shd w:fill="FFFFFF" w:val="clear"/>
            <w:vAlign w:val="center"/>
          </w:tcPr>
          <w:p>
            <w:pPr>
              <w:pStyle w:val="TableContents"/>
              <w:spacing w:before="0" w:after="0"/>
              <w:rPr>
                <w:rFonts w:ascii="Times New Roman" w:hAnsi="Times New Roman"/>
                <w:sz w:val="24"/>
              </w:rPr>
            </w:pPr>
            <w:r>
              <w:rPr>
                <w:rFonts w:ascii="Times New Roman" w:hAnsi="Times New Roman"/>
                <w:sz w:val="24"/>
              </w:rPr>
              <w:t>Swiss francs</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0" w:type="dxa"/>
            <w:tcBorders/>
            <w:shd w:fill="FFFFFF" w:val="clear"/>
            <w:vAlign w:val="center"/>
          </w:tcPr>
          <w:p>
            <w:pPr>
              <w:pStyle w:val="TableContents"/>
              <w:spacing w:before="0" w:after="283"/>
              <w:jc w:val="right"/>
              <w:rPr/>
            </w:pPr>
            <w:r>
              <w:rPr/>
              <w:t>9</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0" w:type="dxa"/>
            <w:tcBorders/>
            <w:shd w:fill="FFFFFF" w:val="clear"/>
            <w:vAlign w:val="center"/>
          </w:tcPr>
          <w:p>
            <w:pPr>
              <w:pStyle w:val="TableContents"/>
              <w:spacing w:before="0" w:after="283"/>
              <w:jc w:val="right"/>
              <w:rPr/>
            </w:pPr>
            <w:r>
              <w:rPr/>
              <w:t>9</w:t>
            </w:r>
          </w:p>
        </w:tc>
        <w:tc>
          <w:tcPr>
            <w:tcW w:w="75" w:type="dxa"/>
            <w:tcBorders/>
            <w:shd w:fill="FFFFFF" w:val="clear"/>
            <w:vAlign w:val="center"/>
          </w:tcPr>
          <w:p>
            <w:pPr>
              <w:pStyle w:val="TableContents"/>
              <w:spacing w:before="0" w:after="283"/>
              <w:rPr/>
            </w:pPr>
            <w:r>
              <w:rPr/>
              <w:t> </w:t>
            </w:r>
          </w:p>
        </w:tc>
      </w:tr>
      <w:tr>
        <w:trPr/>
        <w:tc>
          <w:tcPr>
            <w:tcW w:w="140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680" w:type="dxa"/>
            <w:tcBorders/>
            <w:shd w:fill="FFFFFF" w:val="clear"/>
            <w:vAlign w:val="center"/>
          </w:tcPr>
          <w:p>
            <w:pPr>
              <w:pStyle w:val="TableContents"/>
              <w:spacing w:before="0" w:after="0"/>
              <w:rPr>
                <w:bdr w:val="single" w:sz="2" w:space="1" w:color="000000"/>
              </w:rPr>
            </w:pPr>
            <w:r>
              <w:rPr>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single" w:sz="2" w:space="1" w:color="000000"/>
              </w:rPr>
            </w:pPr>
            <w:r>
              <w:rPr>
                <w:bdr w:val="single" w:sz="2" w:space="1" w:color="000000"/>
              </w:rPr>
              <w:t> </w:t>
            </w:r>
          </w:p>
        </w:tc>
        <w:tc>
          <w:tcPr>
            <w:tcW w:w="680"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56,334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94,296</w:t>
            </w:r>
          </w:p>
        </w:tc>
        <w:tc>
          <w:tcPr>
            <w:tcW w:w="75" w:type="dxa"/>
            <w:tcBorders/>
            <w:shd w:fill="CCEEFF" w:val="clear"/>
            <w:vAlign w:val="center"/>
          </w:tcPr>
          <w:p>
            <w:pPr>
              <w:pStyle w:val="TableContents"/>
              <w:spacing w:before="0" w:after="0"/>
              <w:rPr>
                <w:spacing w:val="0"/>
              </w:rPr>
            </w:pPr>
            <w:r>
              <w:rPr>
                <w:spacing w:val="0"/>
              </w:rPr>
              <w:t> </w:t>
            </w:r>
          </w:p>
        </w:tc>
      </w:tr>
      <w:tr>
        <w:trPr/>
        <w:tc>
          <w:tcPr>
            <w:tcW w:w="140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8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bdr w:val="double" w:sz="6" w:space="1" w:color="000000"/>
              </w:rPr>
            </w:pPr>
            <w:r>
              <w:rPr>
                <w:bdr w:val="double" w:sz="6" w:space="1" w:color="000000"/>
              </w:rPr>
              <w:t> </w:t>
            </w:r>
          </w:p>
        </w:tc>
        <w:tc>
          <w:tcPr>
            <w:tcW w:w="680"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 w:type="dxa"/>
            <w:tcBorders/>
            <w:shd w:fill="FFFFFF"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z w:val="24"/>
          <w:highlight w:val="white"/>
        </w:rPr>
      </w:pPr>
      <w:r>
        <w:rPr>
          <w:rFonts w:ascii="Times New Roman" w:hAnsi="Times New Roman"/>
          <w:sz w:val="24"/>
          <w:highlight w:val="white"/>
        </w:rPr>
        <w:t xml:space="preserve">The table below shows those transactional exposures that give rise to net currency gains and losses recognized in the consolidated statement of comprehensive income/(loss). Such exposures comprise the net monetary assets and monetary liabilities of the Company that are not denominated in the functional currency of the relevant subsidiary. As at December 31, these exposures were as follows: </w:t>
      </w:r>
    </w:p>
    <w:p>
      <w:pPr>
        <w:pStyle w:val="TextBody"/>
        <w:spacing w:before="0" w:after="0"/>
        <w:jc w:val="left"/>
        <w:rPr>
          <w:highlight w:val="white"/>
        </w:rPr>
      </w:pPr>
      <w:r>
        <w:rPr>
          <w:highlight w:val="white"/>
        </w:rPr>
        <w:t> </w:t>
      </w:r>
    </w:p>
    <w:p>
      <w:pPr>
        <w:pStyle w:val="TextBody"/>
        <w:spacing w:before="0" w:after="0"/>
        <w:jc w:val="left"/>
        <w:rPr>
          <w:sz w:val="24"/>
        </w:rPr>
      </w:pPr>
      <w:r>
        <w:rPr>
          <w:sz w:val="24"/>
        </w:rPr>
      </w:r>
    </w:p>
    <w:tbl>
      <w:tblPr>
        <w:tblW w:w="5825" w:type="dxa"/>
        <w:jc w:val="left"/>
        <w:tblInd w:w="0" w:type="dxa"/>
        <w:tblCellMar>
          <w:top w:w="0" w:type="dxa"/>
          <w:left w:w="0" w:type="dxa"/>
          <w:bottom w:w="0" w:type="dxa"/>
          <w:right w:w="0" w:type="dxa"/>
        </w:tblCellMar>
      </w:tblPr>
      <w:tblGrid>
        <w:gridCol w:w="3875"/>
        <w:gridCol w:w="120"/>
        <w:gridCol w:w="140"/>
        <w:gridCol w:w="560"/>
        <w:gridCol w:w="155"/>
        <w:gridCol w:w="120"/>
        <w:gridCol w:w="140"/>
        <w:gridCol w:w="545"/>
        <w:gridCol w:w="170"/>
      </w:tblGrid>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Net foreign currency assets/(liabilities)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w:t>
            </w:r>
            <w:r>
              <w:rPr/>
              <w:t>000s</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45" w:type="dxa"/>
            <w:tcBorders/>
            <w:shd w:fill="CCEEFF" w:val="clear"/>
            <w:vAlign w:val="center"/>
          </w:tcPr>
          <w:p>
            <w:pPr>
              <w:pStyle w:val="TableContents"/>
              <w:spacing w:before="0" w:after="283"/>
              <w:jc w:val="right"/>
              <w:rPr/>
            </w:pPr>
            <w:r>
              <w:rPr/>
              <w:t>’</w:t>
            </w:r>
            <w:r>
              <w:rPr/>
              <w:t>000s</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U.S. dollars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872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right"/>
              <w:rPr/>
            </w:pPr>
            <w:r>
              <w:rPr/>
              <w:t>920</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Euro</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768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jc w:val="right"/>
              <w:rPr/>
            </w:pPr>
            <w:r>
              <w:rPr/>
              <w:t>(142</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Swiss francs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right"/>
              <w:rPr/>
            </w:pPr>
            <w:r>
              <w:rPr/>
              <w:t>9</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54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b/>
                <w:spacing w:val="0"/>
              </w:rPr>
            </w:pPr>
            <w:r>
              <w:rPr>
                <w:b/>
                <w:spacing w:val="0"/>
              </w:rPr>
              <w:t>1,461</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545" w:type="dxa"/>
            <w:tcBorders/>
            <w:shd w:fill="CCEEFF" w:val="clear"/>
            <w:vAlign w:val="center"/>
          </w:tcPr>
          <w:p>
            <w:pPr>
              <w:pStyle w:val="TableContents"/>
              <w:spacing w:before="0" w:after="0"/>
              <w:jc w:val="right"/>
              <w:rPr>
                <w:b/>
                <w:spacing w:val="0"/>
              </w:rPr>
            </w:pPr>
            <w:r>
              <w:rPr>
                <w:b/>
                <w:spacing w:val="0"/>
              </w:rPr>
              <w:t>787</w:t>
            </w:r>
          </w:p>
        </w:tc>
        <w:tc>
          <w:tcPr>
            <w:tcW w:w="170" w:type="dxa"/>
            <w:tcBorders/>
            <w:shd w:fill="CCEEFF"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54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center"/>
        <w:rPr>
          <w:spacing w:val="0"/>
          <w:highlight w:val="white"/>
        </w:rPr>
      </w:pPr>
      <w:r>
        <w:rPr>
          <w:spacing w:val="0"/>
          <w:highlight w:val="white"/>
        </w:rPr>
        <w:t> </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F-42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4"/>
          <w:highlight w:val="white"/>
        </w:rPr>
      </w:pPr>
      <w:r>
        <w:rPr>
          <w:rFonts w:ascii="Times New Roman" w:hAnsi="Times New Roman"/>
          <w:sz w:val="24"/>
          <w:highlight w:val="white"/>
        </w:rPr>
        <w:t xml:space="preserve">The most significant currencies in which the Company transacts, other than pound sterling, are the U.S. dollar and the Euro. The Company also transacts in other currencies as necessary.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following table illustrates the sensitivity to a 10% weakening or strengthening in the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period-end</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rate in the U.S.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dollar and the Euro against pound sterling: </w:t>
      </w:r>
    </w:p>
    <w:p>
      <w:pPr>
        <w:pStyle w:val="TextBody"/>
        <w:spacing w:before="0" w:after="0"/>
        <w:ind w:left="0" w:right="0" w:hanging="0"/>
        <w:jc w:val="left"/>
        <w:rPr>
          <w:spacing w:val="0"/>
          <w:highlight w:val="white"/>
        </w:rPr>
      </w:pPr>
      <w:r>
        <w:rPr>
          <w:spacing w:val="0"/>
          <w:highlight w:val="white"/>
        </w:rPr>
        <w:t> </w:t>
      </w:r>
    </w:p>
    <w:tbl>
      <w:tblPr>
        <w:tblW w:w="4195" w:type="dxa"/>
        <w:jc w:val="left"/>
        <w:tblInd w:w="0" w:type="dxa"/>
        <w:tblCellMar>
          <w:top w:w="0" w:type="dxa"/>
          <w:left w:w="0" w:type="dxa"/>
          <w:bottom w:w="0" w:type="dxa"/>
          <w:right w:w="0" w:type="dxa"/>
        </w:tblCellMar>
      </w:tblPr>
      <w:tblGrid>
        <w:gridCol w:w="1970"/>
        <w:gridCol w:w="120"/>
        <w:gridCol w:w="169"/>
        <w:gridCol w:w="946"/>
        <w:gridCol w:w="95"/>
        <w:gridCol w:w="120"/>
        <w:gridCol w:w="100"/>
        <w:gridCol w:w="565"/>
        <w:gridCol w:w="110"/>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0"/>
              <w:rPr>
                <w:rFonts w:ascii="Times New Roman" w:hAnsi="Times New Roman"/>
                <w:b/>
                <w:spacing w:val="0"/>
                <w:sz w:val="24"/>
                <w:bdr w:val="single" w:sz="8" w:space="1" w:color="000000"/>
              </w:rPr>
            </w:pPr>
            <w:r>
              <w:rPr>
                <w:rFonts w:ascii="Times New Roman" w:hAnsi="Times New Roman"/>
                <w:b/>
                <w:spacing w:val="0"/>
                <w:sz w:val="24"/>
                <w:bdr w:val="single" w:sz="8" w:space="1" w:color="000000"/>
              </w:rPr>
              <w:t>December 31, 2022</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U.S. dollar</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Euro</w:t>
            </w:r>
          </w:p>
        </w:tc>
        <w:tc>
          <w:tcPr>
            <w:tcW w:w="110" w:type="dxa"/>
            <w:tcBorders/>
            <w:shd w:fill="auto" w:val="clear"/>
            <w:vAlign w:val="center"/>
          </w:tcPr>
          <w:p>
            <w:pPr>
              <w:pStyle w:val="TableContents"/>
              <w:spacing w:before="0" w:after="0"/>
              <w:rPr>
                <w:spacing w:val="0"/>
              </w:rPr>
            </w:pPr>
            <w:r>
              <w:rPr>
                <w:spacing w:val="0"/>
              </w:rPr>
              <w:t> </w:t>
            </w:r>
          </w:p>
        </w:tc>
      </w:tr>
      <w:tr>
        <w:trPr/>
        <w:tc>
          <w:tcPr>
            <w:tcW w:w="197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shd w:fill="auto" w:val="clear"/>
            <w:vAlign w:val="center"/>
          </w:tcPr>
          <w:p>
            <w:pPr>
              <w:pStyle w:val="TableContents"/>
              <w:spacing w:before="0" w:after="0"/>
              <w:jc w:val="center"/>
              <w:rPr>
                <w:b/>
                <w:spacing w:val="0"/>
              </w:rPr>
            </w:pPr>
            <w:r>
              <w:rPr>
                <w:b/>
                <w:spacing w:val="0"/>
              </w:rPr>
              <w:t>£’000s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110" w:type="dxa"/>
            <w:tcBorders/>
            <w:shd w:fill="auto" w:val="clear"/>
            <w:vAlign w:val="center"/>
          </w:tcPr>
          <w:p>
            <w:pPr>
              <w:pStyle w:val="TableContents"/>
              <w:spacing w:before="0" w:after="0"/>
              <w:rPr>
                <w:spacing w:val="0"/>
              </w:rPr>
            </w:pPr>
            <w:r>
              <w:rPr>
                <w:spacing w:val="0"/>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Loss before tax</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(79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565" w:type="dxa"/>
            <w:tcBorders/>
            <w:shd w:fill="CCEEFF" w:val="clear"/>
            <w:vAlign w:val="center"/>
          </w:tcPr>
          <w:p>
            <w:pPr>
              <w:pStyle w:val="TableContents"/>
              <w:spacing w:before="0" w:after="283"/>
              <w:jc w:val="right"/>
              <w:rPr/>
            </w:pPr>
            <w:r>
              <w:rPr/>
              <w:t>(70</w:t>
            </w:r>
          </w:p>
        </w:tc>
        <w:tc>
          <w:tcPr>
            <w:tcW w:w="110" w:type="dxa"/>
            <w:tcBorders/>
            <w:shd w:fill="CCEEFF" w:val="clear"/>
            <w:vAlign w:val="center"/>
          </w:tcPr>
          <w:p>
            <w:pPr>
              <w:pStyle w:val="TableContents"/>
              <w:spacing w:before="0" w:after="0"/>
              <w:rPr/>
            </w:pPr>
            <w:r>
              <w:rPr/>
              <w:t>)</w:t>
            </w:r>
          </w:p>
          <w:p>
            <w:pPr>
              <w:pStyle w:val="TableContents"/>
              <w:spacing w:before="0" w:after="0"/>
              <w:rPr>
                <w:spacing w:val="0"/>
              </w:rPr>
            </w:pPr>
            <w:r>
              <w:rPr>
                <w:spacing w:val="0"/>
              </w:rPr>
              <w:t> </w:t>
            </w:r>
          </w:p>
        </w:tc>
      </w:tr>
      <w:tr>
        <w:trPr/>
        <w:tc>
          <w:tcPr>
            <w:tcW w:w="197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Equity</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(79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jc w:val="right"/>
              <w:rPr/>
            </w:pPr>
            <w:r>
              <w:rPr/>
              <w:t>(70</w:t>
            </w:r>
          </w:p>
        </w:tc>
        <w:tc>
          <w:tcPr>
            <w:tcW w:w="110" w:type="dxa"/>
            <w:tcBorders/>
            <w:shd w:fill="auto" w:val="clear"/>
            <w:vAlign w:val="center"/>
          </w:tcPr>
          <w:p>
            <w:pPr>
              <w:pStyle w:val="TableContents"/>
              <w:spacing w:before="0" w:after="283"/>
              <w:rPr/>
            </w:pPr>
            <w:r>
              <w:rPr/>
              <w:t>)</w:t>
            </w:r>
          </w:p>
        </w:tc>
      </w:tr>
    </w:tbl>
    <w:p>
      <w:pPr>
        <w:pStyle w:val="TextBody"/>
        <w:spacing w:before="0" w:after="0"/>
        <w:ind w:left="0" w:right="0" w:hanging="0"/>
        <w:jc w:val="left"/>
        <w:rPr>
          <w:spacing w:val="0"/>
          <w:highlight w:val="white"/>
        </w:rPr>
      </w:pPr>
      <w:r>
        <w:rPr>
          <w:spacing w:val="0"/>
          <w:highlight w:val="white"/>
        </w:rPr>
        <w:t> </w:t>
      </w:r>
    </w:p>
    <w:tbl>
      <w:tblPr>
        <w:tblW w:w="4220" w:type="dxa"/>
        <w:jc w:val="left"/>
        <w:tblInd w:w="0" w:type="dxa"/>
        <w:tblCellMar>
          <w:top w:w="0" w:type="dxa"/>
          <w:left w:w="0" w:type="dxa"/>
          <w:bottom w:w="0" w:type="dxa"/>
          <w:right w:w="0" w:type="dxa"/>
        </w:tblCellMar>
      </w:tblPr>
      <w:tblGrid>
        <w:gridCol w:w="1970"/>
        <w:gridCol w:w="120"/>
        <w:gridCol w:w="169"/>
        <w:gridCol w:w="946"/>
        <w:gridCol w:w="155"/>
        <w:gridCol w:w="120"/>
        <w:gridCol w:w="124"/>
        <w:gridCol w:w="541"/>
        <w:gridCol w:w="7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0"/>
              <w:rPr>
                <w:rFonts w:ascii="Times New Roman" w:hAnsi="Times New Roman"/>
                <w:b/>
                <w:spacing w:val="0"/>
                <w:sz w:val="24"/>
                <w:bdr w:val="single" w:sz="8" w:space="1" w:color="000000"/>
              </w:rPr>
            </w:pPr>
            <w:r>
              <w:rPr>
                <w:rFonts w:ascii="Times New Roman" w:hAnsi="Times New Roman"/>
                <w:b/>
                <w:spacing w:val="0"/>
                <w:sz w:val="24"/>
                <w:bdr w:val="single" w:sz="8" w:space="1" w:color="000000"/>
              </w:rPr>
              <w:t>December 31, 2021</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U.S. dollar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Euro</w:t>
            </w:r>
          </w:p>
        </w:tc>
        <w:tc>
          <w:tcPr>
            <w:tcW w:w="75" w:type="dxa"/>
            <w:tcBorders/>
            <w:shd w:fill="auto" w:val="clear"/>
            <w:vAlign w:val="center"/>
          </w:tcPr>
          <w:p>
            <w:pPr>
              <w:pStyle w:val="TableContents"/>
              <w:spacing w:before="0" w:after="0"/>
              <w:rPr>
                <w:spacing w:val="0"/>
              </w:rPr>
            </w:pPr>
            <w:r>
              <w:rPr>
                <w:spacing w:val="0"/>
              </w:rPr>
              <w:t> </w:t>
            </w:r>
          </w:p>
        </w:tc>
      </w:tr>
      <w:tr>
        <w:trPr/>
        <w:tc>
          <w:tcPr>
            <w:tcW w:w="197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197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Profit before tax</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(84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541" w:type="dxa"/>
            <w:tcBorders/>
            <w:shd w:fill="CCEEFF" w:val="clear"/>
            <w:vAlign w:val="center"/>
          </w:tcPr>
          <w:p>
            <w:pPr>
              <w:pStyle w:val="TableContents"/>
              <w:spacing w:before="0" w:after="283"/>
              <w:jc w:val="right"/>
              <w:rPr/>
            </w:pPr>
            <w:r>
              <w:rPr/>
              <w:t>13</w:t>
            </w:r>
          </w:p>
        </w:tc>
        <w:tc>
          <w:tcPr>
            <w:tcW w:w="7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Equity</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541"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Financial instruments by category</w:t>
      </w:r>
    </w:p>
    <w:p>
      <w:pPr>
        <w:pStyle w:val="TextBody"/>
        <w:spacing w:before="0" w:after="0"/>
        <w:ind w:left="0" w:right="0" w:hanging="0"/>
        <w:jc w:val="left"/>
        <w:rPr>
          <w:spacing w:val="0"/>
          <w:highlight w:val="white"/>
        </w:rPr>
      </w:pPr>
      <w:r>
        <w:rPr>
          <w:spacing w:val="0"/>
          <w:highlight w:val="white"/>
        </w:rPr>
        <w:t> </w:t>
      </w:r>
    </w:p>
    <w:tbl>
      <w:tblPr>
        <w:tblW w:w="6660" w:type="dxa"/>
        <w:jc w:val="left"/>
        <w:tblInd w:w="0" w:type="dxa"/>
        <w:tblCellMar>
          <w:top w:w="0" w:type="dxa"/>
          <w:left w:w="0" w:type="dxa"/>
          <w:bottom w:w="0" w:type="dxa"/>
          <w:right w:w="0" w:type="dxa"/>
        </w:tblCellMar>
      </w:tblPr>
      <w:tblGrid>
        <w:gridCol w:w="2765"/>
        <w:gridCol w:w="120"/>
        <w:gridCol w:w="140"/>
        <w:gridCol w:w="560"/>
        <w:gridCol w:w="60"/>
        <w:gridCol w:w="120"/>
        <w:gridCol w:w="140"/>
        <w:gridCol w:w="680"/>
        <w:gridCol w:w="60"/>
        <w:gridCol w:w="120"/>
        <w:gridCol w:w="140"/>
        <w:gridCol w:w="680"/>
        <w:gridCol w:w="60"/>
        <w:gridCol w:w="120"/>
        <w:gridCol w:w="140"/>
        <w:gridCol w:w="680"/>
        <w:gridCol w:w="75"/>
      </w:tblGrid>
      <w:tr>
        <w:trPr/>
        <w:tc>
          <w:tcPr>
            <w:tcW w:w="27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70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w:t>
              <w:br/>
              <w:t>through profit</w:t>
              <w:br/>
              <w:t>or loss</w:t>
            </w:r>
          </w:p>
          <w:p>
            <w:pPr>
              <w:pStyle w:val="TableContents"/>
              <w:spacing w:before="0" w:after="0"/>
              <w:jc w:val="center"/>
              <w:rPr/>
            </w:pPr>
            <w:r>
              <w:rPr/>
            </w:r>
          </w:p>
          <w:p>
            <w:pPr>
              <w:pStyle w:val="TableContents"/>
              <w:spacing w:before="0" w:after="0"/>
              <w:jc w:val="center"/>
              <w:rPr>
                <w:b/>
                <w:spacing w:val="0"/>
              </w:rPr>
            </w:pPr>
            <w:r>
              <w:rPr>
                <w:b/>
                <w:spacing w:val="0"/>
              </w:rPr>
              <w:t>December 31,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2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Amortized cost</w:t>
            </w:r>
          </w:p>
          <w:p>
            <w:pPr>
              <w:pStyle w:val="TableContents"/>
              <w:spacing w:before="0" w:after="0"/>
              <w:jc w:val="center"/>
              <w:rPr/>
            </w:pPr>
            <w:r>
              <w:rPr/>
            </w:r>
          </w:p>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CCEEFF" w:val="clear"/>
            <w:vAlign w:val="center"/>
          </w:tcPr>
          <w:p>
            <w:pPr>
              <w:pStyle w:val="TableContents"/>
              <w:spacing w:before="0" w:after="0"/>
              <w:rPr>
                <w:rFonts w:ascii="Times New Roman" w:hAnsi="Times New Roman"/>
                <w:b/>
                <w:spacing w:val="0"/>
                <w:sz w:val="24"/>
              </w:rPr>
            </w:pPr>
            <w:r>
              <w:rPr>
                <w:rFonts w:ascii="Times New Roman" w:hAnsi="Times New Roman"/>
                <w:b/>
                <w:spacing w:val="0"/>
                <w:sz w:val="24"/>
              </w:rPr>
              <w:t>Financial assets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560" w:type="dxa"/>
            <w:tcBorders/>
            <w:shd w:fill="CCEEFF" w:val="clear"/>
            <w:vAlign w:val="center"/>
          </w:tcPr>
          <w:p>
            <w:pPr>
              <w:pStyle w:val="TableContents"/>
              <w:spacing w:before="0" w:after="0"/>
              <w:jc w:val="right"/>
              <w:rPr>
                <w:spacing w:val="0"/>
              </w:rPr>
            </w:pPr>
            <w:r>
              <w:rPr>
                <w:spacing w:val="0"/>
              </w:rPr>
              <w:t>’</w:t>
            </w:r>
            <w:r>
              <w:rPr>
                <w:spacing w:val="0"/>
              </w:rPr>
              <w:t>000s</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680" w:type="dxa"/>
            <w:tcBorders/>
            <w:shd w:fill="CCEEFF" w:val="clear"/>
            <w:vAlign w:val="center"/>
          </w:tcPr>
          <w:p>
            <w:pPr>
              <w:pStyle w:val="TableContents"/>
              <w:spacing w:before="0" w:after="0"/>
              <w:jc w:val="right"/>
              <w:rPr>
                <w:spacing w:val="0"/>
              </w:rPr>
            </w:pPr>
            <w:r>
              <w:rPr>
                <w:spacing w:val="0"/>
              </w:rPr>
              <w:t>’</w:t>
            </w:r>
            <w:r>
              <w:rPr>
                <w:spacing w:val="0"/>
              </w:rPr>
              <w:t>000s</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680" w:type="dxa"/>
            <w:tcBorders/>
            <w:shd w:fill="CCEEFF" w:val="clear"/>
            <w:vAlign w:val="center"/>
          </w:tcPr>
          <w:p>
            <w:pPr>
              <w:pStyle w:val="TableContents"/>
              <w:spacing w:before="0" w:after="0"/>
              <w:jc w:val="right"/>
              <w:rPr>
                <w:spacing w:val="0"/>
              </w:rPr>
            </w:pPr>
            <w:r>
              <w:rPr>
                <w:spacing w:val="0"/>
              </w:rPr>
              <w:t>’</w:t>
            </w:r>
            <w:r>
              <w:rPr>
                <w:spacing w:val="0"/>
              </w:rPr>
              <w:t>000s</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680" w:type="dxa"/>
            <w:tcBorders/>
            <w:shd w:fill="CCEEFF" w:val="clear"/>
            <w:vAlign w:val="center"/>
          </w:tcPr>
          <w:p>
            <w:pPr>
              <w:pStyle w:val="TableContents"/>
              <w:spacing w:before="0" w:after="0"/>
              <w:jc w:val="right"/>
              <w:rPr>
                <w:spacing w:val="0"/>
              </w:rPr>
            </w:pPr>
            <w:r>
              <w:rPr>
                <w:spacing w:val="0"/>
              </w:rPr>
              <w:t>’</w:t>
            </w:r>
            <w:r>
              <w:rPr>
                <w:spacing w:val="0"/>
              </w:rPr>
              <w:t>000s</w:t>
            </w:r>
          </w:p>
        </w:tc>
        <w:tc>
          <w:tcPr>
            <w:tcW w:w="75" w:type="dxa"/>
            <w:tcBorders/>
            <w:shd w:fill="CCEEFF" w:val="clear"/>
            <w:vAlign w:val="center"/>
          </w:tcPr>
          <w:p>
            <w:pPr>
              <w:pStyle w:val="TableContents"/>
              <w:spacing w:before="0" w:after="0"/>
              <w:rPr>
                <w:spacing w:val="0"/>
              </w:rPr>
            </w:pPr>
            <w:r>
              <w:rPr>
                <w:spacing w:val="0"/>
              </w:rPr>
              <w:t> </w:t>
            </w:r>
          </w:p>
        </w:tc>
      </w:tr>
      <w:tr>
        <w:trPr/>
        <w:tc>
          <w:tcPr>
            <w:tcW w:w="27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Cash and short-term deposits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56,334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94,296</w:t>
            </w:r>
          </w:p>
        </w:tc>
        <w:tc>
          <w:tcPr>
            <w:tcW w:w="75" w:type="dxa"/>
            <w:tcBorders/>
            <w:shd w:fill="auto"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Other receivables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1,032</w:t>
            </w:r>
          </w:p>
        </w:tc>
        <w:tc>
          <w:tcPr>
            <w:tcW w:w="75" w:type="dxa"/>
            <w:tcBorders/>
            <w:shd w:fill="CCEEFF"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 financial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56,734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95,328</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Financial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Provisions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4,634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4,123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187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Convertible loan notes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11,086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14,384</w:t>
            </w:r>
          </w:p>
        </w:tc>
        <w:tc>
          <w:tcPr>
            <w:tcW w:w="75" w:type="dxa"/>
            <w:tcBorders/>
            <w:shd w:fill="CCEEFF"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Warrant liability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8,336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Trade and other payables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2,911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2,309</w:t>
            </w:r>
          </w:p>
        </w:tc>
        <w:tc>
          <w:tcPr>
            <w:tcW w:w="75" w:type="dxa"/>
            <w:tcBorders/>
            <w:shd w:fill="CCEEFF"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Accruals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4,491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3,826</w:t>
            </w:r>
          </w:p>
        </w:tc>
        <w:tc>
          <w:tcPr>
            <w:tcW w:w="75" w:type="dxa"/>
            <w:tcBorders/>
            <w:shd w:fill="auto"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Lease liability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spacing w:val="0"/>
              </w:rPr>
            </w:pPr>
            <w:r>
              <w:rPr>
                <w:spacing w:val="0"/>
              </w:rPr>
              <w:t>—</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2,376</w:t>
            </w:r>
          </w:p>
        </w:tc>
        <w:tc>
          <w:tcPr>
            <w:tcW w:w="75" w:type="dxa"/>
            <w:tcBorders/>
            <w:shd w:fill="CCEEFF"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7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 financial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b/>
                <w:spacing w:val="0"/>
              </w:rPr>
            </w:pPr>
            <w:r>
              <w:rPr>
                <w:b/>
                <w:spacing w:val="0"/>
              </w:rPr>
              <w:t>5,165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12,459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20,363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22,895</w:t>
            </w:r>
          </w:p>
        </w:tc>
        <w:tc>
          <w:tcPr>
            <w:tcW w:w="75" w:type="dxa"/>
            <w:tcBorders/>
            <w:shd w:fill="auto" w:val="clear"/>
            <w:vAlign w:val="center"/>
          </w:tcPr>
          <w:p>
            <w:pPr>
              <w:pStyle w:val="TableContents"/>
              <w:spacing w:before="0" w:after="0"/>
              <w:rPr>
                <w:spacing w:val="0"/>
              </w:rPr>
            </w:pPr>
            <w:r>
              <w:rPr>
                <w:spacing w:val="0"/>
              </w:rPr>
              <w:t> </w:t>
            </w:r>
          </w:p>
        </w:tc>
      </w:tr>
      <w:tr>
        <w:trPr/>
        <w:tc>
          <w:tcPr>
            <w:tcW w:w="27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z w:val="24"/>
          <w:highlight w:val="white"/>
        </w:rPr>
      </w:pPr>
      <w:r>
        <w:rPr>
          <w:rFonts w:ascii="Times New Roman" w:hAnsi="Times New Roman"/>
          <w:sz w:val="24"/>
          <w:highlight w:val="white"/>
        </w:rPr>
        <w:t xml:space="preserve">The carrying values of financial assets and financial liabilities recorded at amortized cost in the consolidated financial statements are approximately equal to their fair values.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Fair value hierarchy</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3206"/>
        <w:gridCol w:w="120"/>
        <w:gridCol w:w="1548"/>
        <w:gridCol w:w="120"/>
        <w:gridCol w:w="64"/>
        <w:gridCol w:w="601"/>
        <w:gridCol w:w="60"/>
        <w:gridCol w:w="120"/>
        <w:gridCol w:w="268"/>
        <w:gridCol w:w="1162"/>
        <w:gridCol w:w="60"/>
        <w:gridCol w:w="120"/>
        <w:gridCol w:w="152"/>
        <w:gridCol w:w="963"/>
        <w:gridCol w:w="60"/>
        <w:gridCol w:w="120"/>
        <w:gridCol w:w="134"/>
        <w:gridCol w:w="1251"/>
        <w:gridCol w:w="76"/>
      </w:tblGrid>
      <w:tr>
        <w:trPr/>
        <w:tc>
          <w:tcPr>
            <w:tcW w:w="32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206" w:type="dxa"/>
            <w:tcBorders/>
            <w:shd w:fill="auto" w:val="clear"/>
            <w:vAlign w:val="center"/>
          </w:tcPr>
          <w:p>
            <w:pPr>
              <w:pStyle w:val="TableContents"/>
              <w:spacing w:before="0" w:after="0"/>
              <w:rPr>
                <w:rFonts w:ascii="Times New Roman" w:hAnsi="Times New Roman"/>
                <w:b/>
                <w:spacing w:val="0"/>
                <w:sz w:val="24"/>
                <w:bdr w:val="single" w:sz="8" w:space="1" w:color="000000"/>
              </w:rPr>
            </w:pPr>
            <w:r>
              <w:rPr>
                <w:rFonts w:ascii="Times New Roman" w:hAnsi="Times New Roman"/>
                <w:b/>
                <w:spacing w:val="0"/>
                <w:sz w:val="24"/>
                <w:bdr w:val="single" w:sz="8" w:space="1" w:color="000000"/>
              </w:rPr>
              <w:t>Liabilities measured at fair</w:t>
              <w:br/>
              <w:t>value</w:t>
            </w:r>
          </w:p>
        </w:tc>
        <w:tc>
          <w:tcPr>
            <w:tcW w:w="120" w:type="dxa"/>
            <w:tcBorders/>
            <w:shd w:fill="auto" w:val="clear"/>
            <w:vAlign w:val="center"/>
          </w:tcPr>
          <w:p>
            <w:pPr>
              <w:pStyle w:val="TableContents"/>
              <w:spacing w:before="0" w:after="0"/>
              <w:rPr>
                <w:spacing w:val="0"/>
              </w:rPr>
            </w:pPr>
            <w:r>
              <w:rPr>
                <w:spacing w:val="0"/>
              </w:rPr>
              <w:t>  </w:t>
            </w:r>
          </w:p>
        </w:tc>
        <w:tc>
          <w:tcPr>
            <w:tcW w:w="1548" w:type="dxa"/>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Date of valuation</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Quoted prices</w:t>
              <w:br/>
              <w:t>in active</w:t>
              <w:br/>
              <w:t>markets</w:t>
              <w:br/>
              <w:t>(Level 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Significant</w:t>
              <w:br/>
              <w:t>observable</w:t>
              <w:br/>
              <w:t>inputs</w:t>
              <w:br/>
              <w:t>(Level 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Significant</w:t>
              <w:br/>
              <w:t>unobservable</w:t>
              <w:br/>
              <w:t>inputs</w:t>
              <w:br/>
              <w:t>(Level 3)</w:t>
            </w:r>
          </w:p>
        </w:tc>
        <w:tc>
          <w:tcPr>
            <w:tcW w:w="76" w:type="dxa"/>
            <w:tcBorders/>
            <w:shd w:fill="auto" w:val="clear"/>
            <w:vAlign w:val="center"/>
          </w:tcPr>
          <w:p>
            <w:pPr>
              <w:pStyle w:val="TableContents"/>
              <w:spacing w:before="0" w:after="0"/>
              <w:rPr>
                <w:spacing w:val="0"/>
              </w:rPr>
            </w:pPr>
            <w:r>
              <w:rPr>
                <w:spacing w:val="0"/>
              </w:rPr>
              <w:t> </w:t>
            </w:r>
          </w:p>
        </w:tc>
      </w:tr>
      <w:tr>
        <w:trPr/>
        <w:tc>
          <w:tcPr>
            <w:tcW w:w="3206"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48"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3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85" w:type="dxa"/>
            <w:gridSpan w:val="2"/>
            <w:tcBorders/>
            <w:shd w:fill="auto" w:val="clear"/>
            <w:vAlign w:val="center"/>
          </w:tcPr>
          <w:p>
            <w:pPr>
              <w:pStyle w:val="TableContents"/>
              <w:spacing w:before="0" w:after="0"/>
              <w:jc w:val="center"/>
              <w:rPr>
                <w:b/>
                <w:spacing w:val="0"/>
              </w:rPr>
            </w:pPr>
            <w:r>
              <w:rPr>
                <w:b/>
                <w:spacing w:val="0"/>
              </w:rPr>
              <w:t>£’000s</w:t>
            </w:r>
          </w:p>
        </w:tc>
        <w:tc>
          <w:tcPr>
            <w:tcW w:w="76" w:type="dxa"/>
            <w:tcBorders/>
            <w:shd w:fill="auto" w:val="clear"/>
            <w:vAlign w:val="center"/>
          </w:tcPr>
          <w:p>
            <w:pPr>
              <w:pStyle w:val="TableContents"/>
              <w:spacing w:before="0" w:after="0"/>
              <w:rPr>
                <w:spacing w:val="0"/>
              </w:rPr>
            </w:pPr>
            <w:r>
              <w:rPr>
                <w:spacing w:val="0"/>
              </w:rPr>
              <w:t> </w:t>
            </w:r>
          </w:p>
        </w:tc>
      </w:tr>
      <w:tr>
        <w:trPr/>
        <w:tc>
          <w:tcPr>
            <w:tcW w:w="3206"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Provision for deferred consideration (Note 18)</w:t>
            </w:r>
          </w:p>
        </w:tc>
        <w:tc>
          <w:tcPr>
            <w:tcW w:w="120" w:type="dxa"/>
            <w:tcBorders/>
            <w:shd w:fill="CCEEFF" w:val="clear"/>
            <w:vAlign w:val="center"/>
          </w:tcPr>
          <w:p>
            <w:pPr>
              <w:pStyle w:val="TableContents"/>
              <w:spacing w:before="0" w:after="283"/>
              <w:rPr/>
            </w:pPr>
            <w:r>
              <w:rPr/>
              <w:t>  </w:t>
            </w:r>
          </w:p>
        </w:tc>
        <w:tc>
          <w:tcPr>
            <w:tcW w:w="1548" w:type="dxa"/>
            <w:tcBorders/>
            <w:shd w:fill="CCEEFF" w:val="clear"/>
            <w:vAlign w:val="center"/>
          </w:tcPr>
          <w:p>
            <w:pPr>
              <w:pStyle w:val="TableContents"/>
              <w:spacing w:before="0" w:after="283"/>
              <w:rPr/>
            </w:pPr>
            <w:r>
              <w:rPr/>
              <w:t>December 31,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4,634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16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4,634</w:t>
            </w:r>
          </w:p>
        </w:tc>
        <w:tc>
          <w:tcPr>
            <w:tcW w:w="76" w:type="dxa"/>
            <w:tcBorders/>
            <w:shd w:fill="CCEEFF" w:val="clear"/>
            <w:vAlign w:val="center"/>
          </w:tcPr>
          <w:p>
            <w:pPr>
              <w:pStyle w:val="TableContents"/>
              <w:spacing w:before="0" w:after="283"/>
              <w:rPr/>
            </w:pPr>
            <w:r>
              <w:rPr/>
              <w:t> </w:t>
            </w:r>
          </w:p>
        </w:tc>
      </w:tr>
      <w:tr>
        <w:trPr/>
        <w:tc>
          <w:tcPr>
            <w:tcW w:w="3206"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Warrant liability</w:t>
            </w:r>
          </w:p>
          <w:p>
            <w:pPr>
              <w:pStyle w:val="TableContents"/>
              <w:spacing w:before="0" w:after="0"/>
              <w:rPr>
                <w:spacing w:val="0"/>
              </w:rPr>
            </w:pPr>
            <w:r>
              <w:rPr>
                <w:spacing w:val="0"/>
              </w:rPr>
              <w:t> </w:t>
            </w:r>
          </w:p>
          <w:p>
            <w:pPr>
              <w:pStyle w:val="TableContents"/>
              <w:spacing w:before="0" w:after="0"/>
              <w:rPr>
                <w:rFonts w:ascii="Times New Roman;serif" w:hAnsi="Times New Roman;serif"/>
                <w:spacing w:val="0"/>
                <w:sz w:val="24"/>
              </w:rPr>
            </w:pPr>
            <w:r>
              <w:rPr>
                <w:rFonts w:ascii="Times New Roman;serif" w:hAnsi="Times New Roman;serif"/>
                <w:spacing w:val="0"/>
                <w:sz w:val="24"/>
              </w:rPr>
              <w:t>(Note 20)</w:t>
            </w:r>
          </w:p>
        </w:tc>
        <w:tc>
          <w:tcPr>
            <w:tcW w:w="120" w:type="dxa"/>
            <w:tcBorders/>
            <w:shd w:fill="auto" w:val="clear"/>
            <w:vAlign w:val="center"/>
          </w:tcPr>
          <w:p>
            <w:pPr>
              <w:pStyle w:val="TableContents"/>
              <w:spacing w:before="0" w:after="283"/>
              <w:rPr/>
            </w:pPr>
            <w:r>
              <w:rPr/>
              <w:t>  </w:t>
            </w:r>
          </w:p>
        </w:tc>
        <w:tc>
          <w:tcPr>
            <w:tcW w:w="1548" w:type="dxa"/>
            <w:tcBorders/>
            <w:shd w:fill="auto" w:val="clear"/>
            <w:vAlign w:val="center"/>
          </w:tcPr>
          <w:p>
            <w:pPr>
              <w:pStyle w:val="TableContents"/>
              <w:spacing w:before="0" w:after="283"/>
              <w:rPr/>
            </w:pPr>
            <w:r>
              <w:rPr/>
              <w:t>December 31, 2022</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531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129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402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F-43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113"/>
        <w:gridCol w:w="120"/>
        <w:gridCol w:w="60"/>
        <w:gridCol w:w="1521"/>
        <w:gridCol w:w="60"/>
        <w:gridCol w:w="120"/>
        <w:gridCol w:w="64"/>
        <w:gridCol w:w="601"/>
        <w:gridCol w:w="60"/>
        <w:gridCol w:w="120"/>
        <w:gridCol w:w="195"/>
        <w:gridCol w:w="1235"/>
        <w:gridCol w:w="60"/>
        <w:gridCol w:w="120"/>
        <w:gridCol w:w="152"/>
        <w:gridCol w:w="963"/>
        <w:gridCol w:w="60"/>
        <w:gridCol w:w="120"/>
        <w:gridCol w:w="134"/>
        <w:gridCol w:w="1251"/>
        <w:gridCol w:w="76"/>
      </w:tblGrid>
      <w:tr>
        <w:trPr/>
        <w:tc>
          <w:tcPr>
            <w:tcW w:w="31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13" w:type="dxa"/>
            <w:tcBorders/>
            <w:shd w:fill="auto" w:val="clear"/>
            <w:vAlign w:val="center"/>
          </w:tcPr>
          <w:p>
            <w:pPr>
              <w:pStyle w:val="TableContents"/>
              <w:spacing w:before="0" w:after="0"/>
              <w:rPr>
                <w:rFonts w:ascii="Times New Roman" w:hAnsi="Times New Roman"/>
                <w:b/>
                <w:sz w:val="24"/>
                <w:bdr w:val="single" w:sz="8" w:space="1" w:color="000000"/>
              </w:rPr>
            </w:pPr>
            <w:r>
              <w:rPr>
                <w:rFonts w:ascii="Times New Roman" w:hAnsi="Times New Roman"/>
                <w:b/>
                <w:sz w:val="24"/>
                <w:bdr w:val="single" w:sz="8" w:space="1" w:color="000000"/>
              </w:rPr>
              <w:t>Liabilities measured at fair</w:t>
              <w:br/>
              <w:t>value</w:t>
            </w:r>
          </w:p>
        </w:tc>
        <w:tc>
          <w:tcPr>
            <w:tcW w:w="120" w:type="dxa"/>
            <w:tcBorders/>
            <w:shd w:fill="auto" w:val="clear"/>
            <w:vAlign w:val="center"/>
          </w:tcPr>
          <w:p>
            <w:pPr>
              <w:pStyle w:val="TableContents"/>
              <w:spacing w:before="0" w:after="283"/>
              <w:rPr/>
            </w:pPr>
            <w:r>
              <w:rPr/>
              <w:t>  </w:t>
            </w:r>
          </w:p>
        </w:tc>
        <w:tc>
          <w:tcPr>
            <w:tcW w:w="158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Date of valuation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Quoted prices</w:t>
              <w:br/>
              <w:t>in 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Significant</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Significant</w:t>
              <w:br/>
              <w:t>unobservable</w:t>
              <w:br/>
              <w:t>inputs</w:t>
              <w:br/>
              <w:t>(Level 3)</w:t>
            </w:r>
          </w:p>
        </w:tc>
        <w:tc>
          <w:tcPr>
            <w:tcW w:w="76" w:type="dxa"/>
            <w:tcBorders/>
            <w:shd w:fill="auto" w:val="clear"/>
            <w:vAlign w:val="center"/>
          </w:tcPr>
          <w:p>
            <w:pPr>
              <w:pStyle w:val="TableContents"/>
              <w:spacing w:before="0" w:after="283"/>
              <w:rPr/>
            </w:pPr>
            <w:r>
              <w:rPr/>
              <w:t> </w:t>
            </w:r>
          </w:p>
        </w:tc>
      </w:tr>
      <w:tr>
        <w:trPr/>
        <w:tc>
          <w:tcPr>
            <w:tcW w:w="311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1"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5" w:type="dxa"/>
            <w:gridSpan w:val="2"/>
            <w:tcBorders/>
            <w:shd w:fill="auto" w:val="clear"/>
            <w:vAlign w:val="center"/>
          </w:tcPr>
          <w:p>
            <w:pPr>
              <w:pStyle w:val="TableContents"/>
              <w:spacing w:before="0" w:after="0"/>
              <w:jc w:val="center"/>
              <w:rPr>
                <w:b/>
                <w:spacing w:val="0"/>
              </w:rPr>
            </w:pPr>
            <w:r>
              <w:rPr>
                <w:b/>
                <w:spacing w:val="0"/>
              </w:rPr>
              <w:t>£’000s</w:t>
            </w:r>
          </w:p>
        </w:tc>
        <w:tc>
          <w:tcPr>
            <w:tcW w:w="76" w:type="dxa"/>
            <w:tcBorders/>
            <w:shd w:fill="auto" w:val="clear"/>
            <w:vAlign w:val="center"/>
          </w:tcPr>
          <w:p>
            <w:pPr>
              <w:pStyle w:val="TableContents"/>
              <w:spacing w:before="0" w:after="283"/>
              <w:rPr/>
            </w:pPr>
            <w:r>
              <w:rPr/>
              <w:t> </w:t>
            </w:r>
          </w:p>
        </w:tc>
      </w:tr>
      <w:tr>
        <w:trPr/>
        <w:tc>
          <w:tcPr>
            <w:tcW w:w="3113"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Provision for deferred consideration (Note 18)</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December 31,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4,123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251" w:type="dxa"/>
            <w:tcBorders/>
            <w:shd w:fill="CCEEFF" w:val="clear"/>
            <w:vAlign w:val="center"/>
          </w:tcPr>
          <w:p>
            <w:pPr>
              <w:pStyle w:val="TableContents"/>
              <w:spacing w:before="0" w:after="283"/>
              <w:jc w:val="right"/>
              <w:rPr/>
            </w:pPr>
            <w:r>
              <w:rPr/>
              <w:t>4,123</w:t>
            </w:r>
          </w:p>
        </w:tc>
        <w:tc>
          <w:tcPr>
            <w:tcW w:w="76" w:type="dxa"/>
            <w:tcBorders/>
            <w:shd w:fill="CCEEFF" w:val="clear"/>
            <w:vAlign w:val="center"/>
          </w:tcPr>
          <w:p>
            <w:pPr>
              <w:pStyle w:val="TableContents"/>
              <w:spacing w:before="0" w:after="283"/>
              <w:rPr/>
            </w:pPr>
            <w:r>
              <w:rPr/>
              <w:t> </w:t>
            </w:r>
          </w:p>
        </w:tc>
      </w:tr>
      <w:tr>
        <w:trPr/>
        <w:tc>
          <w:tcPr>
            <w:tcW w:w="3113"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Warrant liability</w:t>
            </w:r>
          </w:p>
          <w:p>
            <w:pPr>
              <w:pStyle w:val="TableContents"/>
              <w:spacing w:before="0" w:after="0"/>
              <w:rPr>
                <w:spacing w:val="0"/>
              </w:rPr>
            </w:pPr>
            <w:r>
              <w:rPr>
                <w:spacing w:val="0"/>
              </w:rPr>
              <w:t> </w:t>
            </w:r>
          </w:p>
          <w:p>
            <w:pPr>
              <w:pStyle w:val="TableContents"/>
              <w:spacing w:before="0" w:after="0"/>
              <w:rPr>
                <w:rFonts w:ascii="Times New Roman;serif" w:hAnsi="Times New Roman;serif"/>
                <w:spacing w:val="0"/>
                <w:sz w:val="24"/>
              </w:rPr>
            </w:pPr>
            <w:r>
              <w:rPr>
                <w:rFonts w:ascii="Times New Roman;serif" w:hAnsi="Times New Roman;serif"/>
                <w:spacing w:val="0"/>
                <w:sz w:val="24"/>
              </w:rPr>
              <w:t>(Note 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8,336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right"/>
              <w:rPr/>
            </w:pPr>
            <w:r>
              <w:rPr/>
              <w:t>7,995</w:t>
            </w:r>
          </w:p>
        </w:tc>
        <w:tc>
          <w:tcPr>
            <w:tcW w:w="76"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There were no transfers between Level 1 and Level 2 during the years ended December 31, 2022 and 2021.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The following table presents the changes in Level 3 items for the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years</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ended December 31, 2022 and December 31, 2021. </w:t>
      </w:r>
    </w:p>
    <w:p>
      <w:pPr>
        <w:pStyle w:val="TextBody"/>
        <w:spacing w:before="0" w:after="0"/>
        <w:ind w:left="0" w:right="0" w:hanging="0"/>
        <w:jc w:val="left"/>
        <w:rPr>
          <w:spacing w:val="0"/>
          <w:highlight w:val="white"/>
        </w:rPr>
      </w:pPr>
      <w:r>
        <w:rPr>
          <w:spacing w:val="0"/>
          <w:highlight w:val="white"/>
        </w:rPr>
        <w:t> </w:t>
      </w:r>
    </w:p>
    <w:tbl>
      <w:tblPr>
        <w:tblW w:w="9460" w:type="dxa"/>
        <w:jc w:val="left"/>
        <w:tblInd w:w="0" w:type="dxa"/>
        <w:tblCellMar>
          <w:top w:w="0" w:type="dxa"/>
          <w:left w:w="0" w:type="dxa"/>
          <w:bottom w:w="0" w:type="dxa"/>
          <w:right w:w="0" w:type="dxa"/>
        </w:tblCellMar>
      </w:tblPr>
      <w:tblGrid>
        <w:gridCol w:w="6800"/>
        <w:gridCol w:w="120"/>
        <w:gridCol w:w="123"/>
        <w:gridCol w:w="1157"/>
        <w:gridCol w:w="155"/>
        <w:gridCol w:w="120"/>
        <w:gridCol w:w="60"/>
        <w:gridCol w:w="755"/>
        <w:gridCol w:w="170"/>
      </w:tblGrid>
      <w:tr>
        <w:trPr/>
        <w:tc>
          <w:tcPr>
            <w:tcW w:w="6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Provision for</w:t>
              <w:br/>
              <w:t>deferred cash</w:t>
              <w:br/>
              <w:t>consideration</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Warrant</w:t>
              <w:br/>
              <w:t>liability</w:t>
            </w:r>
          </w:p>
        </w:tc>
        <w:tc>
          <w:tcPr>
            <w:tcW w:w="170" w:type="dxa"/>
            <w:tcBorders/>
            <w:shd w:fill="auto" w:val="clear"/>
            <w:vAlign w:val="center"/>
          </w:tcPr>
          <w:p>
            <w:pPr>
              <w:pStyle w:val="TableContents"/>
              <w:spacing w:before="0" w:after="0"/>
              <w:rPr>
                <w:spacing w:val="0"/>
              </w:rPr>
            </w:pPr>
            <w:r>
              <w:rPr>
                <w:spacing w:val="0"/>
              </w:rPr>
              <w:t> </w:t>
            </w:r>
          </w:p>
        </w:tc>
      </w:tr>
      <w:tr>
        <w:trPr/>
        <w:tc>
          <w:tcPr>
            <w:tcW w:w="68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80"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15" w:type="dxa"/>
            <w:gridSpan w:val="2"/>
            <w:tcBorders/>
            <w:shd w:fill="auto" w:val="clear"/>
            <w:vAlign w:val="center"/>
          </w:tcPr>
          <w:p>
            <w:pPr>
              <w:pStyle w:val="TableContents"/>
              <w:spacing w:before="0" w:after="0"/>
              <w:jc w:val="center"/>
              <w:rPr>
                <w:b/>
                <w:spacing w:val="0"/>
              </w:rPr>
            </w:pPr>
            <w:r>
              <w:rPr>
                <w:b/>
                <w:spacing w:val="0"/>
              </w:rPr>
              <w:t>£’000s</w:t>
            </w:r>
          </w:p>
        </w:tc>
        <w:tc>
          <w:tcPr>
            <w:tcW w:w="170" w:type="dxa"/>
            <w:tcBorders/>
            <w:shd w:fill="auto" w:val="clear"/>
            <w:vAlign w:val="center"/>
          </w:tcPr>
          <w:p>
            <w:pPr>
              <w:pStyle w:val="TableContents"/>
              <w:spacing w:before="0" w:after="0"/>
              <w:rPr>
                <w:spacing w:val="0"/>
              </w:rPr>
            </w:pPr>
            <w:r>
              <w:rPr>
                <w:spacing w:val="0"/>
              </w:rPr>
              <w:t> </w:t>
            </w:r>
          </w:p>
        </w:tc>
      </w:tr>
      <w:tr>
        <w:trPr/>
        <w:tc>
          <w:tcPr>
            <w:tcW w:w="68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January 1, 2021</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0"/>
              <w:jc w:val="right"/>
              <w:rPr>
                <w:b/>
                <w:spacing w:val="0"/>
              </w:rPr>
            </w:pPr>
            <w:r>
              <w:rPr>
                <w:b/>
                <w:spacing w:val="0"/>
              </w:rPr>
              <w:t>1,525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49,930</w:t>
            </w:r>
          </w:p>
        </w:tc>
        <w:tc>
          <w:tcPr>
            <w:tcW w:w="170" w:type="dxa"/>
            <w:tcBorders/>
            <w:shd w:fill="CCEEFF" w:val="clear"/>
            <w:vAlign w:val="center"/>
          </w:tcPr>
          <w:p>
            <w:pPr>
              <w:pStyle w:val="TableContents"/>
              <w:spacing w:before="0" w:after="0"/>
              <w:rPr>
                <w:spacing w:val="0"/>
              </w:rPr>
            </w:pPr>
            <w:r>
              <w:rPr>
                <w:spacing w:val="0"/>
              </w:rPr>
              <w:t> </w:t>
            </w:r>
          </w:p>
        </w:tc>
      </w:tr>
      <w:tr>
        <w:trPr/>
        <w:tc>
          <w:tcPr>
            <w:tcW w:w="68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Settled during the year</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115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(2,400</w:t>
            </w:r>
          </w:p>
        </w:tc>
        <w:tc>
          <w:tcPr>
            <w:tcW w:w="170" w:type="dxa"/>
            <w:tcBorders/>
            <w:shd w:fill="auto"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Unwinding of the time value of money (recognized as a finance cost)</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283"/>
              <w:jc w:val="right"/>
              <w:rPr/>
            </w:pPr>
            <w:r>
              <w:rPr/>
              <w:t>225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8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 xml:space="preserve">Change in estimate relating to probabilities (revision to intangible asset, </w:t>
              <w:br/>
              <w:t>see Note 13)</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1157" w:type="dxa"/>
            <w:tcBorders/>
            <w:shd w:fill="auto" w:val="clear"/>
            <w:vAlign w:val="center"/>
          </w:tcPr>
          <w:p>
            <w:pPr>
              <w:pStyle w:val="TableContents"/>
              <w:spacing w:before="0" w:after="283"/>
              <w:jc w:val="right"/>
              <w:rPr/>
            </w:pPr>
            <w:r>
              <w:rPr/>
              <w:t>2,373</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Change in fair value</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(39,535</w:t>
            </w:r>
          </w:p>
        </w:tc>
        <w:tc>
          <w:tcPr>
            <w:tcW w:w="170" w:type="dxa"/>
            <w:tcBorders/>
            <w:shd w:fill="CCEEFF" w:val="clear"/>
            <w:vAlign w:val="center"/>
          </w:tcPr>
          <w:p>
            <w:pPr>
              <w:pStyle w:val="TableContents"/>
              <w:spacing w:before="0" w:after="283"/>
              <w:rPr/>
            </w:pPr>
            <w:r>
              <w:rPr/>
              <w:t>) </w:t>
            </w:r>
          </w:p>
        </w:tc>
      </w:tr>
      <w:tr>
        <w:trPr/>
        <w:tc>
          <w:tcPr>
            <w:tcW w:w="6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00"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December 31, 2021</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1157" w:type="dxa"/>
            <w:tcBorders/>
            <w:shd w:fill="auto" w:val="clear"/>
            <w:vAlign w:val="center"/>
          </w:tcPr>
          <w:p>
            <w:pPr>
              <w:pStyle w:val="TableContents"/>
              <w:spacing w:before="0" w:after="0"/>
              <w:jc w:val="right"/>
              <w:rPr>
                <w:b/>
                <w:spacing w:val="0"/>
              </w:rPr>
            </w:pPr>
            <w:r>
              <w:rPr>
                <w:b/>
                <w:spacing w:val="0"/>
              </w:rPr>
              <w:t>4,123</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7,995</w:t>
            </w:r>
          </w:p>
        </w:tc>
        <w:tc>
          <w:tcPr>
            <w:tcW w:w="170" w:type="dxa"/>
            <w:tcBorders/>
            <w:shd w:fill="auto" w:val="clear"/>
            <w:vAlign w:val="center"/>
          </w:tcPr>
          <w:p>
            <w:pPr>
              <w:pStyle w:val="TableContents"/>
              <w:spacing w:before="0" w:after="0"/>
              <w:rPr>
                <w:spacing w:val="0"/>
              </w:rPr>
            </w:pPr>
            <w:r>
              <w:rPr>
                <w:spacing w:val="0"/>
              </w:rPr>
              <w:t> </w:t>
            </w:r>
          </w:p>
        </w:tc>
      </w:tr>
      <w:tr>
        <w:trPr/>
        <w:tc>
          <w:tcPr>
            <w:tcW w:w="680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bdr w:val="double" w:sz="6" w:space="1" w:color="000000"/>
              </w:rPr>
            </w:pPr>
            <w:r>
              <w:rPr>
                <w:spacing w:val="0"/>
                <w:bdr w:val="double" w:sz="6" w:space="1" w:color="000000"/>
              </w:rPr>
              <w:t> </w:t>
            </w:r>
          </w:p>
        </w:tc>
        <w:tc>
          <w:tcPr>
            <w:tcW w:w="1157" w:type="dxa"/>
            <w:tcBorders/>
            <w:shd w:fill="CCEEFF" w:val="clear"/>
            <w:vAlign w:val="center"/>
          </w:tcPr>
          <w:p>
            <w:pPr>
              <w:pStyle w:val="TableContents"/>
              <w:spacing w:before="0" w:after="0"/>
              <w:rPr>
                <w:bdr w:val="double" w:sz="6" w:space="1" w:color="000000"/>
              </w:rPr>
            </w:pPr>
            <w:r>
              <w:rPr>
                <w:bdr w:val="double" w:sz="6" w:space="1" w:color="000000"/>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CCEEFF" w:val="clear"/>
            <w:vAlign w:val="center"/>
          </w:tcPr>
          <w:p>
            <w:pPr>
              <w:pStyle w:val="TableContents"/>
              <w:spacing w:before="0" w:after="0"/>
              <w:rPr>
                <w:bdr w:val="double" w:sz="6" w:space="1" w:color="000000"/>
              </w:rPr>
            </w:pPr>
            <w:r>
              <w:rPr>
                <w:bdr w:val="double" w:sz="6" w:space="1" w:color="000000"/>
              </w:rPr>
              <w:t> </w:t>
            </w:r>
          </w:p>
        </w:tc>
        <w:tc>
          <w:tcPr>
            <w:tcW w:w="170" w:type="dxa"/>
            <w:tcBorders/>
            <w:shd w:fill="CCEEFF"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Unwinding of the time value of money (recognized as a finance cost)</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283"/>
              <w:jc w:val="right"/>
              <w:rPr/>
            </w:pPr>
            <w:r>
              <w:rPr/>
              <w:t>451</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283"/>
              <w:rPr/>
            </w:pPr>
            <w:r>
              <w:rPr/>
              <w:t> </w:t>
            </w:r>
          </w:p>
        </w:tc>
      </w:tr>
      <w:tr>
        <w:trPr/>
        <w:tc>
          <w:tcPr>
            <w:tcW w:w="68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Change in foreign exchange rates</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1157" w:type="dxa"/>
            <w:tcBorders/>
            <w:shd w:fill="auto" w:val="clear"/>
            <w:vAlign w:val="center"/>
          </w:tcPr>
          <w:p>
            <w:pPr>
              <w:pStyle w:val="TableContents"/>
              <w:spacing w:before="0" w:after="283"/>
              <w:jc w:val="right"/>
              <w:rPr/>
            </w:pPr>
            <w:r>
              <w:rPr/>
              <w:t>508</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 xml:space="preserve">Change in estimate relating to probabilities (revision to intangible asset, </w:t>
              <w:br/>
              <w:t>see Note 13)</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283"/>
              <w:jc w:val="right"/>
              <w:rPr/>
            </w:pPr>
            <w:r>
              <w:rPr/>
              <w:t>(448</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283"/>
              <w:rPr/>
            </w:pPr>
            <w:r>
              <w:rPr/>
              <w:t> </w:t>
            </w:r>
          </w:p>
        </w:tc>
      </w:tr>
      <w:tr>
        <w:trPr/>
        <w:tc>
          <w:tcPr>
            <w:tcW w:w="680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Change in fair value</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rPr>
            </w:pPr>
            <w:r>
              <w:rPr>
                <w:spacing w:val="0"/>
              </w:rPr>
              <w:t> </w:t>
            </w:r>
          </w:p>
        </w:tc>
        <w:tc>
          <w:tcPr>
            <w:tcW w:w="1157"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283"/>
              <w:jc w:val="right"/>
              <w:rPr/>
            </w:pPr>
            <w:r>
              <w:rPr/>
              <w:t>(7,593</w:t>
            </w:r>
          </w:p>
        </w:tc>
        <w:tc>
          <w:tcPr>
            <w:tcW w:w="170" w:type="dxa"/>
            <w:tcBorders/>
            <w:shd w:fill="auto"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157" w:type="dxa"/>
            <w:tcBorders/>
            <w:shd w:fill="CCEEFF" w:val="clear"/>
            <w:vAlign w:val="center"/>
          </w:tcPr>
          <w:p>
            <w:pPr>
              <w:pStyle w:val="TableContents"/>
              <w:spacing w:before="0" w:after="0"/>
              <w:rPr>
                <w:bdr w:val="single" w:sz="2" w:space="1" w:color="000000"/>
              </w:rPr>
            </w:pPr>
            <w:r>
              <w:rPr>
                <w:bdr w:val="single" w:sz="2" w:space="1" w:color="000000"/>
              </w:rPr>
              <w:t> </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CCEEFF" w:val="clear"/>
            <w:vAlign w:val="center"/>
          </w:tcPr>
          <w:p>
            <w:pPr>
              <w:pStyle w:val="TableContents"/>
              <w:spacing w:before="0" w:after="0"/>
              <w:rPr>
                <w:bdr w:val="single" w:sz="2" w:space="1" w:color="000000"/>
              </w:rPr>
            </w:pPr>
            <w:r>
              <w:rPr>
                <w:bdr w:val="single" w:sz="2" w:space="1" w:color="000000"/>
              </w:rPr>
              <w:t> </w:t>
            </w:r>
          </w:p>
        </w:tc>
        <w:tc>
          <w:tcPr>
            <w:tcW w:w="170" w:type="dxa"/>
            <w:tcBorders/>
            <w:shd w:fill="CCEEFF" w:val="clear"/>
            <w:vAlign w:val="center"/>
          </w:tcPr>
          <w:p>
            <w:pPr>
              <w:pStyle w:val="TableContents"/>
              <w:spacing w:before="0" w:after="283"/>
              <w:rPr/>
            </w:pPr>
            <w:r>
              <w:rPr/>
              <w:t> </w:t>
            </w:r>
          </w:p>
        </w:tc>
      </w:tr>
      <w:tr>
        <w:trPr/>
        <w:tc>
          <w:tcPr>
            <w:tcW w:w="6800"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December 31, 2022</w:t>
            </w:r>
          </w:p>
        </w:tc>
        <w:tc>
          <w:tcPr>
            <w:tcW w:w="120" w:type="dxa"/>
            <w:tcBorders/>
            <w:shd w:fill="CCEEFF" w:val="clear"/>
            <w:vAlign w:val="center"/>
          </w:tcPr>
          <w:p>
            <w:pPr>
              <w:pStyle w:val="TableContents"/>
              <w:spacing w:before="0" w:after="0"/>
              <w:rPr>
                <w:spacing w:val="0"/>
              </w:rPr>
            </w:pPr>
            <w:r>
              <w:rPr>
                <w:spacing w:val="0"/>
              </w:rPr>
              <w:t>  </w:t>
            </w:r>
          </w:p>
        </w:tc>
        <w:tc>
          <w:tcPr>
            <w:tcW w:w="123" w:type="dxa"/>
            <w:tcBorders/>
            <w:shd w:fill="CCEEFF" w:val="clear"/>
            <w:vAlign w:val="center"/>
          </w:tcPr>
          <w:p>
            <w:pPr>
              <w:pStyle w:val="TableContents"/>
              <w:spacing w:before="0" w:after="0"/>
              <w:rPr>
                <w:spacing w:val="0"/>
              </w:rPr>
            </w:pPr>
            <w:r>
              <w:rPr>
                <w:spacing w:val="0"/>
              </w:rPr>
              <w:t> </w:t>
            </w:r>
          </w:p>
        </w:tc>
        <w:tc>
          <w:tcPr>
            <w:tcW w:w="1157" w:type="dxa"/>
            <w:tcBorders/>
            <w:shd w:fill="CCEEFF" w:val="clear"/>
            <w:vAlign w:val="center"/>
          </w:tcPr>
          <w:p>
            <w:pPr>
              <w:pStyle w:val="TableContents"/>
              <w:spacing w:before="0" w:after="0"/>
              <w:jc w:val="right"/>
              <w:rPr>
                <w:b/>
                <w:spacing w:val="0"/>
              </w:rPr>
            </w:pPr>
            <w:r>
              <w:rPr>
                <w:b/>
                <w:spacing w:val="0"/>
              </w:rPr>
              <w:t>4,634</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402</w:t>
            </w:r>
          </w:p>
        </w:tc>
        <w:tc>
          <w:tcPr>
            <w:tcW w:w="170" w:type="dxa"/>
            <w:tcBorders/>
            <w:shd w:fill="CCEEFF" w:val="clear"/>
            <w:vAlign w:val="center"/>
          </w:tcPr>
          <w:p>
            <w:pPr>
              <w:pStyle w:val="TableContents"/>
              <w:spacing w:before="0" w:after="0"/>
              <w:rPr>
                <w:spacing w:val="0"/>
              </w:rPr>
            </w:pPr>
            <w:r>
              <w:rPr>
                <w:spacing w:val="0"/>
              </w:rPr>
              <w:t> </w:t>
            </w:r>
          </w:p>
        </w:tc>
      </w:tr>
      <w:tr>
        <w:trPr/>
        <w:tc>
          <w:tcPr>
            <w:tcW w:w="6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2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7"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The following methods and assumptions were used to estimate the fair values: </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The Company regularly assesses a range of reasonably possible alternatives for those significant unobservable inputs and determines their impact on the total fair value. </w:t>
            </w:r>
          </w:p>
        </w:tc>
      </w:tr>
    </w:tbl>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At December 31, 2022, the Company estimates the fair value of the contingent consideration liability to be £nil. CVR payments of £0.7 million in 2022 and £0.4 million in 2020 were made relating to the Navi milestones received from OncXerna. The estimated contingent consideration payable is based on a risk adjusted, probability-based scenario. Under this approach the likelihood of future payments being made to the former shareholders of Mereo BioPharma 5, Inc. under the CVR arrangement is considered. The estimate could materially change over time as the development plan and subsequent commercialization of the Navi product progresses.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F-44 </w:t>
      </w:r>
    </w:p>
    <w:p>
      <w:pPr>
        <w:pStyle w:val="HorizontalLine"/>
        <w:jc w:val="center"/>
        <w:rPr/>
      </w:pPr>
      <w:r>
        <w:rPr/>
      </w:r>
    </w:p>
    <w:p>
      <w:pPr>
        <w:pStyle w:val="TextBody"/>
        <w:widowControl/>
        <w:spacing w:before="0" w:after="0"/>
        <w:ind w:left="0" w:right="0" w:hanging="0"/>
        <w:jc w:val="center"/>
        <w:rPr/>
      </w:pPr>
      <w:hyperlink w:anchor="toc">
        <w:r>
          <w:rPr>
            <w:rStyle w:val="InternetLink"/>
            <w:rFonts w:ascii="Times New Roman" w:hAnsi="Times New Roman"/>
            <w:b w:val="false"/>
            <w:i w:val="false"/>
            <w:caps w:val="false"/>
            <w:smallCaps w:val="false"/>
            <w:color w:val="000000"/>
            <w:spacing w:val="0"/>
            <w:highlight w:val="white"/>
          </w:rPr>
          <w:t>Table of Contents</w:t>
        </w:r>
      </w:hyperlink>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MEREO BIOPHARMA GROUP PLC </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NOTES TO THE CONSOLIDATED FINANCIAL STATEMENTS (CONTINUED) </w:t>
      </w:r>
    </w:p>
    <w:p>
      <w:pPr>
        <w:pStyle w:val="TextBody"/>
        <w:spacing w:before="0" w:after="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4"/>
              </w:rPr>
            </w:pPr>
            <w:r>
              <w:rPr>
                <w:rFonts w:ascii="Times New Roman" w:hAnsi="Times New Roman"/>
                <w:spacing w:val="0"/>
                <w:sz w:val="24"/>
              </w:rPr>
              <w:t xml:space="preserve">The warrant liability is estimated using a Black-Scholes model, taking into account appropriate amendments to inputs in respect of volatility, remaining expected life of the warrants and rates of interest at each reporting date. </w:t>
            </w:r>
          </w:p>
        </w:tc>
      </w:tr>
    </w:tbl>
    <w:p>
      <w:pPr>
        <w:pStyle w:val="TextBody"/>
        <w:spacing w:before="240" w:after="0"/>
        <w:jc w:val="left"/>
        <w:rPr>
          <w:rFonts w:ascii="Times New Roman" w:hAnsi="Times New Roman"/>
          <w:spacing w:val="0"/>
          <w:sz w:val="22"/>
          <w:highlight w:val="white"/>
        </w:rPr>
      </w:pPr>
      <w:r>
        <w:rPr>
          <w:rFonts w:ascii="Times New Roman" w:hAnsi="Times New Roman"/>
          <w:spacing w:val="0"/>
          <w:sz w:val="22"/>
          <w:highlight w:val="white"/>
        </w:rPr>
        <w:t xml:space="preserve">The significant unobservable inputs used in the fair value measurements categorized within Level 3 of the fair value hierarchy, together with a quantitative sensitivity analysis as at December 31, 2022 and 2021 are as follows: </w:t>
      </w:r>
    </w:p>
    <w:p>
      <w:pPr>
        <w:pStyle w:val="TextBody"/>
        <w:spacing w:before="0" w:after="0"/>
        <w:jc w:val="left"/>
        <w:rPr>
          <w:spacing w:val="0"/>
          <w:highlight w:val="white"/>
        </w:rPr>
      </w:pPr>
      <w:r>
        <w:rPr>
          <w:spacing w:val="0"/>
          <w:highlight w:val="white"/>
        </w:rPr>
        <w:t> </w:t>
      </w:r>
    </w:p>
    <w:tbl>
      <w:tblPr>
        <w:tblW w:w="10225" w:type="dxa"/>
        <w:jc w:val="left"/>
        <w:tblInd w:w="0" w:type="dxa"/>
        <w:tblCellMar>
          <w:top w:w="0" w:type="dxa"/>
          <w:left w:w="0" w:type="dxa"/>
          <w:bottom w:w="0" w:type="dxa"/>
          <w:right w:w="0" w:type="dxa"/>
        </w:tblCellMar>
      </w:tblPr>
      <w:tblGrid>
        <w:gridCol w:w="1295"/>
        <w:gridCol w:w="120"/>
        <w:gridCol w:w="1385"/>
        <w:gridCol w:w="120"/>
        <w:gridCol w:w="1745"/>
        <w:gridCol w:w="120"/>
        <w:gridCol w:w="1850"/>
        <w:gridCol w:w="120"/>
        <w:gridCol w:w="3470"/>
      </w:tblGrid>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8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pacing w:val="0"/>
                <w:sz w:val="22"/>
              </w:rPr>
            </w:pPr>
            <w:r>
              <w:rPr>
                <w:rFonts w:ascii="Times New Roman" w:hAnsi="Times New Roman"/>
                <w:b/>
                <w:spacing w:val="0"/>
                <w:sz w:val="22"/>
              </w:rPr>
              <w:t>Valuation</w:t>
              <w:br/>
              <w:t>technique</w:t>
            </w:r>
          </w:p>
        </w:tc>
        <w:tc>
          <w:tcPr>
            <w:tcW w:w="120" w:type="dxa"/>
            <w:tcBorders/>
            <w:shd w:fill="auto" w:val="clear"/>
            <w:vAlign w:val="center"/>
          </w:tcPr>
          <w:p>
            <w:pPr>
              <w:pStyle w:val="TableContents"/>
              <w:spacing w:before="0" w:after="0"/>
              <w:rPr>
                <w:spacing w:val="0"/>
              </w:rPr>
            </w:pPr>
            <w:r>
              <w:rPr>
                <w:spacing w:val="0"/>
              </w:rPr>
              <w:t>  </w:t>
            </w:r>
          </w:p>
        </w:tc>
        <w:tc>
          <w:tcPr>
            <w:tcW w:w="174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pacing w:val="0"/>
                <w:sz w:val="22"/>
              </w:rPr>
            </w:pPr>
            <w:r>
              <w:rPr>
                <w:rFonts w:ascii="Times New Roman" w:hAnsi="Times New Roman"/>
                <w:b/>
                <w:spacing w:val="0"/>
                <w:sz w:val="22"/>
              </w:rPr>
              <w:t>Significant</w:t>
            </w:r>
          </w:p>
          <w:p>
            <w:pPr>
              <w:pStyle w:val="TableContents"/>
              <w:spacing w:before="0" w:after="0"/>
              <w:jc w:val="center"/>
              <w:rPr>
                <w:rFonts w:ascii="Times New Roman" w:hAnsi="Times New Roman"/>
                <w:b/>
                <w:spacing w:val="0"/>
                <w:sz w:val="22"/>
              </w:rPr>
            </w:pPr>
            <w:r>
              <w:rPr>
                <w:rFonts w:ascii="Times New Roman" w:hAnsi="Times New Roman"/>
                <w:b/>
                <w:spacing w:val="0"/>
                <w:sz w:val="22"/>
              </w:rPr>
              <w:t>unobservable</w:t>
            </w:r>
          </w:p>
          <w:p>
            <w:pPr>
              <w:pStyle w:val="TableContents"/>
              <w:spacing w:before="0" w:after="20"/>
              <w:jc w:val="center"/>
              <w:rPr>
                <w:rFonts w:ascii="Times New Roman" w:hAnsi="Times New Roman"/>
                <w:b/>
                <w:spacing w:val="0"/>
                <w:sz w:val="22"/>
              </w:rPr>
            </w:pPr>
            <w:r>
              <w:rPr>
                <w:rFonts w:ascii="Times New Roman" w:hAnsi="Times New Roman"/>
                <w:b/>
                <w:spacing w:val="0"/>
                <w:sz w:val="22"/>
              </w:rPr>
              <w:t>inputs</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pacing w:val="0"/>
                <w:sz w:val="22"/>
              </w:rPr>
            </w:pPr>
            <w:r>
              <w:rPr>
                <w:rFonts w:ascii="Times New Roman" w:hAnsi="Times New Roman"/>
                <w:b/>
                <w:spacing w:val="0"/>
                <w:sz w:val="22"/>
              </w:rPr>
              <w:t>Input range</w:t>
              <w:br/>
              <w:t>(weighted</w:t>
              <w:br/>
              <w:t>average)</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pacing w:val="0"/>
                <w:sz w:val="22"/>
              </w:rPr>
            </w:pPr>
            <w:r>
              <w:rPr>
                <w:rFonts w:ascii="Times New Roman" w:hAnsi="Times New Roman"/>
                <w:b/>
                <w:spacing w:val="0"/>
                <w:sz w:val="22"/>
              </w:rPr>
              <w:t>Sensitivity of the input to fair value</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spacing w:val="0"/>
              </w:rPr>
            </w:pPr>
            <w:r>
              <w:rPr>
                <w:spacing w:val="0"/>
              </w:rPr>
              <w:t>Provision for deferred cash consideration</w:t>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0"/>
              <w:rPr>
                <w:spacing w:val="0"/>
              </w:rPr>
            </w:pPr>
            <w:r>
              <w:rPr>
                <w:spacing w:val="0"/>
              </w:rPr>
              <w:t>Discounted cash flow</w:t>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WACC</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2022: 15%</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1% increase/decrease would result in a decrease/increase in fair value by £25,000</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WACC</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2021: 12%</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1% increase/decrease would result in a decrease/increase in fair value by £31,000</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95" w:type="dxa"/>
            <w:tcBorders/>
            <w:shd w:fill="auto" w:val="clear"/>
            <w:vAlign w:val="center"/>
          </w:tcPr>
          <w:p>
            <w:pPr>
              <w:pStyle w:val="TableContents"/>
              <w:spacing w:before="0" w:after="283"/>
              <w:ind w:left="0" w:right="0" w:hanging="0"/>
              <w:rPr>
                <w:sz w:val="4"/>
                <w:szCs w:val="4"/>
              </w:rPr>
            </w:pPr>
            <w:r>
              <w:rPr>
                <w:sz w:val="4"/>
                <w:szCs w:val="4"/>
              </w:rPr>
            </w:r>
          </w:p>
        </w:tc>
        <w:tc>
          <w:tcPr>
            <w:tcW w:w="120" w:type="dxa"/>
            <w:tcBorders/>
            <w:shd w:fill="auto" w:val="clear"/>
            <w:vAlign w:val="center"/>
          </w:tcPr>
          <w:p>
            <w:pPr>
              <w:pStyle w:val="TableContents"/>
              <w:spacing w:before="0" w:after="0"/>
              <w:ind w:left="0" w:right="0" w:hanging="0"/>
              <w:rPr>
                <w:spacing w:val="0"/>
              </w:rPr>
            </w:pPr>
            <w:r>
              <w:rPr>
                <w:spacing w:val="0"/>
              </w:rPr>
              <w:t>  </w:t>
            </w:r>
          </w:p>
        </w:tc>
        <w:tc>
          <w:tcPr>
            <w:tcW w:w="1385" w:type="dxa"/>
            <w:tcBorders/>
            <w:shd w:fill="auto" w:val="clear"/>
            <w:vAlign w:val="center"/>
          </w:tcPr>
          <w:p>
            <w:pPr>
              <w:pStyle w:val="TableContents"/>
              <w:spacing w:before="0" w:after="283"/>
              <w:ind w:left="0" w:right="0" w:hanging="0"/>
              <w:rPr>
                <w:sz w:val="4"/>
                <w:szCs w:val="4"/>
              </w:rPr>
            </w:pPr>
            <w:r>
              <w:rPr>
                <w:sz w:val="4"/>
                <w:szCs w:val="4"/>
              </w:rPr>
            </w:r>
          </w:p>
        </w:tc>
        <w:tc>
          <w:tcPr>
            <w:tcW w:w="120" w:type="dxa"/>
            <w:tcBorders/>
            <w:shd w:fill="auto" w:val="clear"/>
            <w:vAlign w:val="center"/>
          </w:tcPr>
          <w:p>
            <w:pPr>
              <w:pStyle w:val="TableContents"/>
              <w:spacing w:before="0" w:after="0"/>
              <w:ind w:left="0" w:right="0" w:hanging="0"/>
              <w:rPr>
                <w:spacing w:val="0"/>
              </w:rPr>
            </w:pPr>
            <w:r>
              <w:rPr>
                <w:spacing w:val="0"/>
              </w:rPr>
              <w:t>  </w:t>
            </w:r>
          </w:p>
        </w:tc>
        <w:tc>
          <w:tcPr>
            <w:tcW w:w="1745" w:type="dxa"/>
            <w:tcBorders/>
            <w:shd w:fill="auto" w:val="clear"/>
            <w:vAlign w:val="center"/>
          </w:tcPr>
          <w:p>
            <w:pPr>
              <w:pStyle w:val="TableContents"/>
              <w:spacing w:before="0" w:after="0"/>
              <w:ind w:left="0" w:right="0" w:hanging="0"/>
              <w:rPr>
                <w:spacing w:val="0"/>
              </w:rPr>
            </w:pPr>
            <w:r>
              <w:rPr>
                <w:spacing w:val="0"/>
              </w:rPr>
              <w:t>Probability of success</w:t>
            </w:r>
          </w:p>
        </w:tc>
        <w:tc>
          <w:tcPr>
            <w:tcW w:w="120" w:type="dxa"/>
            <w:tcBorders/>
            <w:shd w:fill="auto" w:val="clear"/>
            <w:vAlign w:val="center"/>
          </w:tcPr>
          <w:p>
            <w:pPr>
              <w:pStyle w:val="TableContents"/>
              <w:spacing w:before="0" w:after="0"/>
              <w:ind w:left="0" w:right="0" w:hanging="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2022: 40.6</w:t>
            </w:r>
          </w:p>
          <w:p>
            <w:pPr>
              <w:pStyle w:val="TableContents"/>
              <w:spacing w:before="0" w:after="0"/>
              <w:rPr>
                <w:rFonts w:ascii="Times New Roman;serif" w:hAnsi="Times New Roman;serif"/>
                <w:spacing w:val="0"/>
                <w:sz w:val="22"/>
              </w:rPr>
            </w:pPr>
            <w:r>
              <w:rPr>
                <w:rFonts w:ascii="Times New Roman;serif" w:hAnsi="Times New Roman;serif"/>
                <w:spacing w:val="0"/>
                <w:sz w:val="22"/>
              </w:rPr>
              <w:t>%-</w:t>
            </w:r>
          </w:p>
          <w:p>
            <w:pPr>
              <w:pStyle w:val="TableContents"/>
              <w:spacing w:before="0" w:after="0"/>
              <w:ind w:left="0" w:right="0" w:hanging="0"/>
              <w:rPr>
                <w:spacing w:val="0"/>
              </w:rPr>
            </w:pPr>
            <w:r>
              <w:rPr>
                <w:spacing w:val="0"/>
              </w:rPr>
              <w:t>81.2%</w:t>
            </w:r>
          </w:p>
        </w:tc>
        <w:tc>
          <w:tcPr>
            <w:tcW w:w="120" w:type="dxa"/>
            <w:tcBorders/>
            <w:shd w:fill="auto" w:val="clear"/>
            <w:vAlign w:val="center"/>
          </w:tcPr>
          <w:p>
            <w:pPr>
              <w:pStyle w:val="TableContents"/>
              <w:spacing w:before="0" w:after="0"/>
              <w:ind w:left="0" w:right="0" w:hanging="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10% increase/decrease would result in an increase/decrease in fair value by £0.6 million</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Probability of success</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2021: 40.6% - 81.2%</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10% increase/decrease would result in an increase/decrease in fair value by £0.5 million</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spacing w:val="0"/>
              </w:rPr>
            </w:pPr>
            <w:r>
              <w:rPr>
                <w:spacing w:val="0"/>
              </w:rPr>
              <w:t>Contingent consideration liability</w:t>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0"/>
              <w:rPr>
                <w:spacing w:val="0"/>
              </w:rPr>
            </w:pPr>
            <w:r>
              <w:rPr>
                <w:spacing w:val="0"/>
              </w:rPr>
              <w:t>Discounted cash flow</w:t>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Ongoing uncertainty in the clinical development of the Navi product</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Total potential payments future payments relating to the contingent consideration liability on a gross, undiscounted basis are approximately $80 million.</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Regulatory approval and commercialization risks</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Sensitivity of the input to fair value is primarily driven by uncertainty in the clinical development of the Navi product. Future potential payments under the CVR arrangement are contingent on i) future development milestones and ii) future sales of the Navi product, following regulatory approval and commercialization. In January 2020, the Company entered into the license agreement as detailed in Note 13. Although pursuant to the license agreement the Company is entitled to additional payments of up to $302 million, there continues to be significant uncertainty in respect of any milestone and royalty payments under the license agreement.</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0"/>
              <w:rPr>
                <w:spacing w:val="0"/>
              </w:rPr>
            </w:pPr>
            <w:r>
              <w:rPr>
                <w:spacing w:val="0"/>
              </w:rPr>
              <w:t>Warrant liability related to the private placement</w:t>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0"/>
              <w:rPr>
                <w:spacing w:val="0"/>
              </w:rPr>
            </w:pPr>
            <w:r>
              <w:rPr>
                <w:spacing w:val="0"/>
              </w:rPr>
              <w:t>Black-Scholes model</w:t>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Expected volatility</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2022: 95.5%</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Volatility was estimated by reference to the 0.4 year historical volatility of the historical share price of the Company, matching the maturity of the instrument. If the volatility is decreased to 91.8% based on 3-month historical volatility, the carrying value of the warrants as of December 31, 202</w:t>
            </w:r>
          </w:p>
          <w:p>
            <w:pPr>
              <w:pStyle w:val="TableContents"/>
              <w:spacing w:before="0" w:after="0"/>
              <w:rPr>
                <w:spacing w:val="0"/>
              </w:rPr>
            </w:pPr>
            <w:r>
              <w:rPr>
                <w:spacing w:val="0"/>
              </w:rPr>
              <w:t>2</w:t>
            </w:r>
          </w:p>
          <w:p>
            <w:pPr>
              <w:pStyle w:val="TableContents"/>
              <w:spacing w:before="0" w:after="0"/>
              <w:rPr>
                <w:spacing w:val="0"/>
              </w:rPr>
            </w:pPr>
            <w:r>
              <w:rPr>
                <w:spacing w:val="0"/>
              </w:rPr>
              <w:t> </w:t>
            </w:r>
            <w:r>
              <w:rPr>
                <w:spacing w:val="0"/>
              </w:rPr>
              <w:t>would decrease to £0.3 million.</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865" w:type="dxa"/>
            <w:gridSpan w:val="2"/>
            <w:tcBorders/>
            <w:shd w:fill="auto" w:val="clear"/>
            <w:vAlign w:val="center"/>
          </w:tcPr>
          <w:p>
            <w:pPr>
              <w:pStyle w:val="TableContents"/>
              <w:spacing w:before="0" w:after="283"/>
              <w:rPr>
                <w:sz w:val="4"/>
                <w:szCs w:val="4"/>
              </w:rPr>
            </w:pPr>
            <w:r>
              <w:rPr>
                <w:sz w:val="4"/>
                <w:szCs w:val="4"/>
              </w:rPr>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rPr>
                <w:spacing w:val="0"/>
              </w:rPr>
            </w:pPr>
            <w:r>
              <w:rPr>
                <w:spacing w:val="0"/>
              </w:rPr>
              <w:t>Expected volatility</w:t>
            </w:r>
          </w:p>
        </w:tc>
        <w:tc>
          <w:tcPr>
            <w:tcW w:w="120" w:type="dxa"/>
            <w:tcBorders/>
            <w:shd w:fill="auto" w:val="clear"/>
            <w:vAlign w:val="center"/>
          </w:tcPr>
          <w:p>
            <w:pPr>
              <w:pStyle w:val="TableContents"/>
              <w:spacing w:before="0" w:after="0"/>
              <w:rPr>
                <w:spacing w:val="0"/>
              </w:rPr>
            </w:pPr>
            <w:r>
              <w:rPr>
                <w:spacing w:val="0"/>
              </w:rPr>
              <w:t>  </w:t>
            </w:r>
          </w:p>
        </w:tc>
        <w:tc>
          <w:tcPr>
            <w:tcW w:w="1850" w:type="dxa"/>
            <w:tcBorders/>
            <w:shd w:fill="auto" w:val="clear"/>
            <w:vAlign w:val="center"/>
          </w:tcPr>
          <w:p>
            <w:pPr>
              <w:pStyle w:val="TableContents"/>
              <w:spacing w:before="0" w:after="0"/>
              <w:rPr>
                <w:spacing w:val="0"/>
              </w:rPr>
            </w:pPr>
            <w:r>
              <w:rPr>
                <w:spacing w:val="0"/>
              </w:rPr>
              <w:t>2021: 75.1%</w:t>
            </w:r>
          </w:p>
        </w:tc>
        <w:tc>
          <w:tcPr>
            <w:tcW w:w="120" w:type="dxa"/>
            <w:tcBorders/>
            <w:shd w:fill="auto" w:val="clear"/>
            <w:vAlign w:val="center"/>
          </w:tcPr>
          <w:p>
            <w:pPr>
              <w:pStyle w:val="TableContents"/>
              <w:spacing w:before="0" w:after="0"/>
              <w:rPr>
                <w:spacing w:val="0"/>
              </w:rPr>
            </w:pPr>
            <w:r>
              <w:rPr>
                <w:spacing w:val="0"/>
              </w:rPr>
              <w:t>  </w:t>
            </w:r>
          </w:p>
        </w:tc>
        <w:tc>
          <w:tcPr>
            <w:tcW w:w="3470" w:type="dxa"/>
            <w:tcBorders/>
            <w:shd w:fill="auto" w:val="clear"/>
            <w:vAlign w:val="center"/>
          </w:tcPr>
          <w:p>
            <w:pPr>
              <w:pStyle w:val="TableContents"/>
              <w:spacing w:before="0" w:after="0"/>
              <w:rPr>
                <w:spacing w:val="0"/>
              </w:rPr>
            </w:pPr>
            <w:r>
              <w:rPr>
                <w:spacing w:val="0"/>
              </w:rPr>
              <w:t>Volatility was estimated by reference to the 1.4 years historical volatility of the historical share price of the Company, matching the maturity of the instrument. If the volatility is decreased to 67.4% based on 1-year historical volatility, the carrying value of the warrants as of December 31, 2021 would decrease to £6.7 million.</w:t>
            </w:r>
          </w:p>
        </w:tc>
      </w:tr>
    </w:tbl>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F-45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spacing w:val="0"/>
          <w:sz w:val="24"/>
          <w:highlight w:val="white"/>
        </w:rPr>
      </w:pPr>
      <w:r>
        <w:rPr>
          <w:rFonts w:ascii="Times New Roman" w:hAnsi="Times New Roman"/>
          <w:spacing w:val="0"/>
          <w:sz w:val="24"/>
          <w:highlight w:val="white"/>
        </w:rPr>
        <w:t xml:space="preserve">MEREO BIOPHARMA GROUP PLC </w:t>
      </w:r>
    </w:p>
    <w:p>
      <w:pPr>
        <w:pStyle w:val="TextBody"/>
        <w:spacing w:before="0" w:after="0"/>
        <w:ind w:left="0" w:right="0" w:hanging="0"/>
        <w:jc w:val="center"/>
        <w:rPr>
          <w:rFonts w:ascii="Times New Roman" w:hAnsi="Times New Roman"/>
          <w:spacing w:val="0"/>
          <w:sz w:val="24"/>
          <w:highlight w:val="white"/>
        </w:rPr>
      </w:pPr>
      <w:r>
        <w:rPr>
          <w:rFonts w:ascii="Times New Roman" w:hAnsi="Times New Roman"/>
          <w:spacing w:val="0"/>
          <w:sz w:val="24"/>
          <w:highlight w:val="white"/>
        </w:rPr>
        <w:t xml:space="preserve">NOTES TO THE CONSOLIDATED FINANCIAL STATEMENTS (CONTINUED) </w:t>
      </w:r>
    </w:p>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16"/>
        </w:rPr>
      </w:pPr>
      <w:r>
        <w:rPr>
          <w:sz w:val="16"/>
        </w:rPr>
      </w:r>
    </w:p>
    <w:p>
      <w:pPr>
        <w:pStyle w:val="TextBody"/>
        <w:spacing w:before="0" w:after="0"/>
        <w:ind w:left="0" w:right="0" w:hanging="0"/>
        <w:jc w:val="left"/>
        <w:rPr>
          <w:rFonts w:ascii="Times New Roman" w:hAnsi="Times New Roman"/>
          <w:b/>
          <w:spacing w:val="0"/>
          <w:sz w:val="24"/>
          <w:highlight w:val="white"/>
        </w:rPr>
      </w:pPr>
      <w:r>
        <w:rPr>
          <w:rFonts w:ascii="Times New Roman" w:hAnsi="Times New Roman"/>
          <w:b/>
          <w:spacing w:val="0"/>
          <w:sz w:val="24"/>
          <w:highlight w:val="white"/>
        </w:rPr>
        <w:t xml:space="preserve">25. Commitments and contingencies </w:t>
      </w:r>
    </w:p>
    <w:p>
      <w:pPr>
        <w:pStyle w:val="TextBody"/>
        <w:spacing w:before="120" w:after="0"/>
        <w:jc w:val="left"/>
        <w:rPr>
          <w:rFonts w:ascii="Times New Roman" w:hAnsi="Times New Roman"/>
          <w:sz w:val="22"/>
          <w:highlight w:val="white"/>
        </w:rPr>
      </w:pPr>
      <w:r>
        <w:rPr>
          <w:rFonts w:ascii="Times New Roman" w:hAnsi="Times New Roman"/>
          <w:sz w:val="22"/>
          <w:highlight w:val="white"/>
        </w:rPr>
        <w:t xml:space="preserve">Each of Mereo BioPharma 1 Limited, Mereo BioPharma 2 Limited and Mereo BioPharma 3 Limited (together, the “Subsidiaries”) issued to Novartis loan notes (which were assigned by Novartis to the Company in exchange for ordinary shares pursuant to the Subscription Agreement) and each of the Subsidiaries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Subsidiary under the respective Purchase Agreements.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Each Subsidiary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Subsidiary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 October 2017, the Company’s wholly owned subsidiary Mereo BioPharma 4 Limited entered into an exclusive license and option agreement (“the License Agreement”), to obtain from AstraZeneca an exclusive worldwide,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sub-licensable</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license under AstraZeneca’s intellectual property rights relating to alvelestat, with an option to acquire such intellectual property rights following commencement of a pivotal trial and payment of related milestone payments (“the Option”), together with the acquisition of certain related assets. Upon entering into the License Agreement, the Company made a payment of $3.0 million and issued 490,798 ordinary shares to AstraZeneca, for an aggregate upfront payment equal to $5.0 million. In connection with certain development and regulatory milestones, the Company has agreed to make payments of up to $115.5 million in the aggregate and issue additional ordinary shares to AstraZeneca for licensed products containing alvelestat. In addition, the Company has agreed to make payments to AstraZeneca based on specified commercial milestones of the product. The Company has also agreed to pay a specified percentage of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sub-licensing</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licensed-product-by-licensed-product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and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country-by-country</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License Agreement will expire on the expiry of the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last-to-expire</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License Agreement upon prior written notice. Either party may terminate the agreement upon prior written notice for the other party’s material breach that remains uncured for a specified period of time or insolvency.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F-4</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2"/>
          <w:highlight w:val="white"/>
        </w:rPr>
      </w:pPr>
      <w:r>
        <w:rPr>
          <w:rFonts w:ascii="Times New Roman" w:hAnsi="Times New Roman"/>
          <w:sz w:val="22"/>
          <w:highlight w:val="white"/>
        </w:rPr>
        <w:t xml:space="preserve">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w:t>
      </w:r>
    </w:p>
    <w:p>
      <w:pPr>
        <w:pStyle w:val="TextBody"/>
        <w:spacing w:before="0" w:after="0"/>
        <w:jc w:val="left"/>
        <w:rPr>
          <w:rFonts w:ascii="Times New Roman" w:hAnsi="Times New Roman"/>
          <w:spacing w:val="0"/>
          <w:sz w:val="22"/>
          <w:highlight w:val="white"/>
        </w:rPr>
      </w:pPr>
      <w:r>
        <w:rPr>
          <w:rFonts w:ascii="Times New Roman" w:hAnsi="Times New Roman"/>
          <w:spacing w:val="0"/>
          <w:sz w:val="22"/>
          <w:highlight w:val="white"/>
        </w:rPr>
        <w:t xml:space="preserve">herein. The </w:t>
      </w:r>
    </w:p>
    <w:p>
      <w:pPr>
        <w:pStyle w:val="TextBody"/>
        <w:spacing w:before="0" w:after="0"/>
        <w:jc w:val="left"/>
        <w:rPr>
          <w:rFonts w:ascii="Times New Roman" w:hAnsi="Times New Roman"/>
          <w:sz w:val="22"/>
          <w:highlight w:val="white"/>
        </w:rPr>
      </w:pPr>
      <w:r>
        <w:rPr>
          <w:rFonts w:ascii="Times New Roman" w:hAnsi="Times New Roman"/>
          <w:sz w:val="22"/>
          <w:highlight w:val="white"/>
        </w:rPr>
        <w:t xml:space="preserve">Company has manufacturing commitments with CMOs </w:t>
      </w:r>
    </w:p>
    <w:p>
      <w:pPr>
        <w:pStyle w:val="TextBody"/>
        <w:spacing w:before="0" w:after="0"/>
        <w:ind w:left="0" w:right="0" w:hanging="0"/>
        <w:jc w:val="left"/>
        <w:rPr>
          <w:rFonts w:ascii="Times New Roman" w:hAnsi="Times New Roman"/>
          <w:spacing w:val="0"/>
          <w:sz w:val="22"/>
          <w:highlight w:val="white"/>
        </w:rPr>
      </w:pPr>
      <w:r>
        <w:rPr>
          <w:rFonts w:ascii="Times New Roman" w:hAnsi="Times New Roman"/>
          <w:spacing w:val="0"/>
          <w:sz w:val="22"/>
          <w:highlight w:val="white"/>
        </w:rPr>
        <w:t xml:space="preserve">of </w:t>
      </w:r>
    </w:p>
    <w:p>
      <w:pPr>
        <w:pStyle w:val="TextBody"/>
        <w:spacing w:before="0" w:after="0"/>
        <w:jc w:val="left"/>
        <w:rPr>
          <w:rFonts w:ascii="Times New Roman" w:hAnsi="Times New Roman"/>
          <w:sz w:val="22"/>
          <w:highlight w:val="white"/>
        </w:rPr>
      </w:pPr>
      <w:r>
        <w:rPr>
          <w:rFonts w:ascii="Times New Roman" w:hAnsi="Times New Roman"/>
          <w:sz w:val="22"/>
          <w:highlight w:val="white"/>
        </w:rPr>
        <w:t xml:space="preserve">£0.9 million as of December 31, </w:t>
      </w:r>
    </w:p>
    <w:p>
      <w:pPr>
        <w:pStyle w:val="TextBody"/>
        <w:spacing w:before="0" w:after="0"/>
        <w:jc w:val="left"/>
        <w:rPr>
          <w:rFonts w:ascii="Times New Roman" w:hAnsi="Times New Roman"/>
          <w:spacing w:val="0"/>
          <w:sz w:val="22"/>
          <w:highlight w:val="white"/>
        </w:rPr>
      </w:pPr>
      <w:r>
        <w:rPr>
          <w:rFonts w:ascii="Times New Roman" w:hAnsi="Times New Roman"/>
          <w:spacing w:val="0"/>
          <w:sz w:val="22"/>
          <w:highlight w:val="white"/>
        </w:rPr>
        <w:t>2022.</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26. Share-based payments </w:t>
      </w:r>
    </w:p>
    <w:p>
      <w:pPr>
        <w:pStyle w:val="TextBody"/>
        <w:spacing w:before="120" w:after="0"/>
        <w:jc w:val="left"/>
        <w:rPr>
          <w:rFonts w:ascii="Times New Roman" w:hAnsi="Times New Roman"/>
          <w:sz w:val="22"/>
          <w:highlight w:val="white"/>
        </w:rPr>
      </w:pPr>
      <w:r>
        <w:rPr>
          <w:rFonts w:ascii="Times New Roman" w:hAnsi="Times New Roman"/>
          <w:sz w:val="22"/>
          <w:highlight w:val="white"/>
        </w:rPr>
        <w:t>The charge for share-based payments arises across the following schemes:</w:t>
      </w:r>
    </w:p>
    <w:p>
      <w:pPr>
        <w:pStyle w:val="TextBody"/>
        <w:spacing w:before="0" w:after="0"/>
        <w:ind w:left="0" w:right="0" w:hanging="0"/>
        <w:jc w:val="left"/>
        <w:rPr>
          <w:spacing w:val="0"/>
          <w:highlight w:val="white"/>
        </w:rPr>
      </w:pPr>
      <w:r>
        <w:rPr>
          <w:spacing w:val="0"/>
          <w:highlight w:val="white"/>
        </w:rPr>
        <w:t> </w:t>
      </w:r>
    </w:p>
    <w:tbl>
      <w:tblPr>
        <w:tblW w:w="7240" w:type="dxa"/>
        <w:jc w:val="left"/>
        <w:tblInd w:w="0" w:type="dxa"/>
        <w:tblCellMar>
          <w:top w:w="0" w:type="dxa"/>
          <w:left w:w="0" w:type="dxa"/>
          <w:bottom w:w="0" w:type="dxa"/>
          <w:right w:w="0" w:type="dxa"/>
        </w:tblCellMar>
      </w:tblPr>
      <w:tblGrid>
        <w:gridCol w:w="4595"/>
        <w:gridCol w:w="120"/>
        <w:gridCol w:w="64"/>
        <w:gridCol w:w="601"/>
        <w:gridCol w:w="60"/>
        <w:gridCol w:w="120"/>
        <w:gridCol w:w="64"/>
        <w:gridCol w:w="601"/>
        <w:gridCol w:w="155"/>
        <w:gridCol w:w="120"/>
        <w:gridCol w:w="64"/>
        <w:gridCol w:w="601"/>
        <w:gridCol w:w="75"/>
      </w:tblGrid>
      <w:tr>
        <w:trPr/>
        <w:tc>
          <w:tcPr>
            <w:tcW w:w="4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45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w:t>
              <w:b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65"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2019 Equity Incentive Plan</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3,149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2,860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922</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2019 NED Equity Incentive Plan</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713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499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2015 Plan</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3</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Mereo BioPharma Group plc Share Option Plan</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68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376</w:t>
            </w:r>
          </w:p>
        </w:tc>
        <w:tc>
          <w:tcPr>
            <w:tcW w:w="75"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Long Term Incentive Plan</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(125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90</w:t>
            </w:r>
          </w:p>
        </w:tc>
        <w:tc>
          <w:tcPr>
            <w:tcW w:w="75" w:type="dxa"/>
            <w:tcBorders/>
            <w:shd w:fill="CCEEFF"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59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Total</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3,862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3,302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1,558</w:t>
            </w:r>
          </w:p>
        </w:tc>
        <w:tc>
          <w:tcPr>
            <w:tcW w:w="75" w:type="dxa"/>
            <w:tcBorders/>
            <w:shd w:fill="auto" w:val="clear"/>
            <w:vAlign w:val="center"/>
          </w:tcPr>
          <w:p>
            <w:pPr>
              <w:pStyle w:val="TableContents"/>
              <w:spacing w:before="0" w:after="0"/>
              <w:rPr>
                <w:spacing w:val="0"/>
              </w:rPr>
            </w:pPr>
            <w:r>
              <w:rPr>
                <w:spacing w:val="0"/>
              </w:rPr>
              <w:t> </w:t>
            </w:r>
          </w:p>
        </w:tc>
      </w:tr>
      <w:tr>
        <w:trPr/>
        <w:tc>
          <w:tcPr>
            <w:tcW w:w="4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double" w:sz="6" w:space="1" w:color="000000"/>
              </w:rPr>
            </w:pPr>
            <w:r>
              <w:rPr>
                <w:bdr w:val="double" w:sz="6" w:space="1" w:color="000000"/>
              </w:rPr>
              <w:t> </w:t>
            </w:r>
          </w:p>
        </w:tc>
        <w:tc>
          <w:tcPr>
            <w:tcW w:w="60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i/>
          <w:caps w:val="false"/>
          <w:smallCaps w:val="false"/>
          <w:spacing w:val="0"/>
          <w:sz w:val="22"/>
          <w:highlight w:val="white"/>
        </w:rPr>
      </w:pPr>
      <w:r>
        <w:rPr>
          <w:rFonts w:ascii="Times New Roman" w:hAnsi="Times New Roman"/>
          <w:i/>
          <w:caps w:val="false"/>
          <w:smallCaps w:val="false"/>
          <w:spacing w:val="0"/>
          <w:sz w:val="22"/>
          <w:highlight w:val="white"/>
        </w:rPr>
        <w:t xml:space="preserve">2019 Equity Incentive Plan (“EIP”) and 2019 </w:t>
      </w:r>
    </w:p>
    <w:p>
      <w:pPr>
        <w:pStyle w:val="TextBody"/>
        <w:spacing w:before="360" w:after="0"/>
        <w:jc w:val="left"/>
        <w:rPr>
          <w:rFonts w:ascii="Times New Roman" w:hAnsi="Times New Roman"/>
          <w:i/>
          <w:caps w:val="false"/>
          <w:smallCaps w:val="false"/>
          <w:spacing w:val="0"/>
          <w:sz w:val="22"/>
          <w:highlight w:val="white"/>
        </w:rPr>
      </w:pPr>
      <w:r>
        <w:rPr>
          <w:rFonts w:ascii="Times New Roman" w:hAnsi="Times New Roman"/>
          <w:i/>
          <w:caps w:val="false"/>
          <w:smallCaps w:val="false"/>
          <w:spacing w:val="0"/>
          <w:sz w:val="22"/>
          <w:highlight w:val="white"/>
        </w:rPr>
        <w:t>Non-Executive</w:t>
      </w:r>
    </w:p>
    <w:p>
      <w:pPr>
        <w:pStyle w:val="TextBody"/>
        <w:spacing w:before="360" w:after="0"/>
        <w:jc w:val="left"/>
        <w:rPr>
          <w:rFonts w:ascii="Times New Roman" w:hAnsi="Times New Roman"/>
          <w:i/>
          <w:caps w:val="false"/>
          <w:smallCaps w:val="false"/>
          <w:spacing w:val="0"/>
          <w:sz w:val="22"/>
          <w:highlight w:val="white"/>
        </w:rPr>
      </w:pPr>
      <w:r>
        <w:rPr>
          <w:rFonts w:ascii="Times New Roman" w:hAnsi="Times New Roman"/>
          <w:i/>
          <w:caps w:val="false"/>
          <w:smallCaps w:val="false"/>
          <w:spacing w:val="0"/>
          <w:sz w:val="22"/>
          <w:highlight w:val="white"/>
        </w:rPr>
        <w:t xml:space="preserve">Director Equity Incentive Plan (“NED EIP”)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The 2019 EIP and 2019 NED EIP were adopted on April 4, 2019, and subsequently amended on February 3, 2020 and January 15, 2021. The 2019 EIP provides for the grant of market value options over ADSs (each ADS is represented by 5 ordinary shares) to executive directors and employees. The 2019 NED EIP provides for the grant of market value options over ADSs to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non-executive</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directors.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During the years ended December 31, 2022, 2021 and 2020, market value options were granted to executive directors and employees under the 2019 EIP. Subject to the executive director or employees continued employment,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one-fourth</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of each such market value option grant shall vest on the first anniversary of the grant date and the remainder shall vest in equal monthly installments over the three-year period following the first anniversary. No performance conditions apply to such market value options.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During the years ended December 31, 2022, 2021 and 2020, market value options were granted to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non-executive</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directors (“NEDs”) under the 2019 NED EIP. Subject to the NEDs holding their current office (or being otherwise employed) through each applicable vesting date, such awards shall vest in equal monthly installments over a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one-year</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period following the grant date. No performance conditions apply to such market value options.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fair value of share options granted were estimated at the date of grant using a Black-Scholes pricing model, taking into account the terms and conditions upon which the share options were granted. The fair value calculation does not include any allowance for dividends as the Company has no available profits for distribution. The exercise price of the share options will be equal to the market price of the underlying shares on the date of grant. The contractual term of the share options is 10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years.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During the year ended December 31, 2022, deferred restricted stock units (“Deferred RSUs”) under the 2019 NED EIP were granted to NEDs who elected to receive Deferred RSUs over ADSs in lieu of annual cash compensation for the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period</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commencing February 1, 2022</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Subject to the continued service of the NEDs, the Deferred RSUs vest in substantially equal monthly installments over the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year</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 Payment of Deferred RSUs in ADSs will generally be made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180</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days following separation of service.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The number of Deferred RSUs to be granted were determined by dividing the estimated amount of the annual cash compensation by the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average</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closing trading price of the Company’s ADSs over the most recent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30</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trading days as of the grant date.</w:t>
      </w:r>
    </w:p>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F-47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 xml:space="preserve">MEREO BIOPHARMA GROUP PLC </w:t>
      </w:r>
    </w:p>
    <w:p>
      <w:pPr>
        <w:pStyle w:val="TextBody"/>
        <w:spacing w:before="0" w:after="0"/>
        <w:ind w:left="0" w:right="0" w:hanging="0"/>
        <w:jc w:val="center"/>
        <w:rPr>
          <w:rFonts w:ascii="Times New Roman" w:hAnsi="Times New Roman"/>
          <w:spacing w:val="0"/>
          <w:sz w:val="24"/>
          <w:highlight w:val="white"/>
        </w:rPr>
      </w:pPr>
      <w:r>
        <w:rPr>
          <w:rFonts w:ascii="Times New Roman" w:hAnsi="Times New Roman"/>
          <w:spacing w:val="0"/>
          <w:sz w:val="24"/>
          <w:highlight w:val="white"/>
        </w:rPr>
        <w:t>NOTES TO THE CONSOLIDATED FINANCIAL STATEMENTS (CONTINUED)</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The following table illustrates the number and weighted average exercise prices (WAEP) of, and movements in, options for the 2019 EIP and 2019 NED EIP and the number of Deferred RSUs for the 2019 NED EIP during the year-ended December 31, 2022:</w:t>
      </w:r>
    </w:p>
    <w:p>
      <w:pPr>
        <w:pStyle w:val="TextBody"/>
        <w:spacing w:before="0" w:after="0"/>
        <w:ind w:left="0" w:right="0" w:hanging="0"/>
        <w:jc w:val="left"/>
        <w:rPr>
          <w:spacing w:val="0"/>
          <w:highlight w:val="white"/>
        </w:rPr>
      </w:pPr>
      <w:r>
        <w:rPr>
          <w:spacing w:val="0"/>
          <w:highlight w:val="white"/>
        </w:rPr>
        <w:t> </w:t>
      </w:r>
    </w:p>
    <w:tbl>
      <w:tblPr>
        <w:tblW w:w="8985" w:type="dxa"/>
        <w:jc w:val="left"/>
        <w:tblInd w:w="0" w:type="dxa"/>
        <w:tblCellMar>
          <w:top w:w="0" w:type="dxa"/>
          <w:left w:w="0" w:type="dxa"/>
          <w:bottom w:w="0" w:type="dxa"/>
          <w:right w:w="0" w:type="dxa"/>
        </w:tblCellMar>
      </w:tblPr>
      <w:tblGrid>
        <w:gridCol w:w="3290"/>
        <w:gridCol w:w="120"/>
        <w:gridCol w:w="60"/>
        <w:gridCol w:w="1055"/>
        <w:gridCol w:w="155"/>
        <w:gridCol w:w="120"/>
        <w:gridCol w:w="90"/>
        <w:gridCol w:w="665"/>
        <w:gridCol w:w="60"/>
        <w:gridCol w:w="120"/>
        <w:gridCol w:w="65"/>
        <w:gridCol w:w="870"/>
        <w:gridCol w:w="155"/>
        <w:gridCol w:w="120"/>
        <w:gridCol w:w="61"/>
        <w:gridCol w:w="814"/>
        <w:gridCol w:w="215"/>
        <w:gridCol w:w="120"/>
        <w:gridCol w:w="90"/>
        <w:gridCol w:w="665"/>
        <w:gridCol w:w="75"/>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14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EIP</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17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NED EIP</w:t>
            </w:r>
          </w:p>
        </w:tc>
        <w:tc>
          <w:tcPr>
            <w:tcW w:w="75" w:type="dxa"/>
            <w:tcBorders/>
            <w:shd w:fill="auto" w:val="clear"/>
            <w:vAlign w:val="center"/>
          </w:tcPr>
          <w:p>
            <w:pPr>
              <w:pStyle w:val="TableContents"/>
              <w:spacing w:before="0" w:after="0"/>
              <w:rPr>
                <w:spacing w:val="0"/>
              </w:rPr>
            </w:pPr>
            <w:r>
              <w:rPr>
                <w:spacing w:val="0"/>
              </w:rPr>
              <w:t> </w:t>
            </w:r>
          </w:p>
        </w:tc>
      </w:tr>
      <w:tr>
        <w:trPr/>
        <w:tc>
          <w:tcPr>
            <w:tcW w:w="32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sz w:val="24"/>
              </w:rPr>
            </w:pPr>
            <w:r>
              <w:rPr>
                <w:b/>
                <w:spacing w:val="0"/>
                <w:sz w:val="24"/>
              </w:rPr>
              <w:t>Options</w:t>
              <w:br/>
              <w:t>over</w:t>
            </w:r>
          </w:p>
          <w:p>
            <w:pPr>
              <w:pStyle w:val="TableContents"/>
              <w:spacing w:before="0" w:after="0"/>
              <w:jc w:val="center"/>
              <w:rPr/>
            </w:pPr>
            <w:r>
              <w:rPr/>
            </w:r>
          </w:p>
          <w:p>
            <w:pPr>
              <w:pStyle w:val="TableContents"/>
              <w:spacing w:before="0" w:after="0"/>
              <w:jc w:val="center"/>
              <w:rPr>
                <w:b/>
                <w:spacing w:val="0"/>
                <w:sz w:val="24"/>
              </w:rPr>
            </w:pPr>
            <w:r>
              <w:rPr>
                <w:b/>
                <w:spacing w:val="0"/>
                <w:sz w:val="24"/>
              </w:rPr>
              <w:t>ADS</w:t>
            </w:r>
          </w:p>
          <w:p>
            <w:pPr>
              <w:pStyle w:val="TableContents"/>
              <w:spacing w:before="0" w:after="0"/>
              <w:jc w:val="center"/>
              <w:rPr/>
            </w:pPr>
            <w:r>
              <w:rPr/>
            </w:r>
          </w:p>
          <w:p>
            <w:pPr>
              <w:pStyle w:val="TableContents"/>
              <w:spacing w:before="0" w:after="0"/>
              <w:jc w:val="center"/>
              <w:rPr>
                <w:b/>
                <w:spacing w:val="0"/>
                <w:sz w:val="24"/>
              </w:rPr>
            </w:pPr>
            <w:r>
              <w:rPr>
                <w:b/>
                <w:spacing w:val="0"/>
                <w:sz w:val="24"/>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right"/>
              <w:rPr>
                <w:b/>
                <w:spacing w:val="0"/>
              </w:rPr>
            </w:pPr>
            <w:r>
              <w:rPr>
                <w:b/>
                <w:spacing w:val="0"/>
              </w:rPr>
              <w:t>WAEP</w:t>
            </w:r>
          </w:p>
          <w:p>
            <w:pPr>
              <w:pStyle w:val="TableContents"/>
              <w:spacing w:before="0" w:after="0"/>
              <w:jc w:val="right"/>
              <w:rPr/>
            </w:pPr>
            <w:r>
              <w:rPr/>
            </w:r>
          </w:p>
          <w:p>
            <w:pPr>
              <w:pStyle w:val="TableContents"/>
              <w:spacing w:before="0" w:after="0"/>
              <w:jc w:val="right"/>
              <w:rPr>
                <w:b/>
                <w:spacing w:val="0"/>
              </w:rPr>
            </w:pPr>
            <w:r>
              <w:rPr>
                <w:b/>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w:t>
              <w:br/>
              <w:t>RSUs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br/>
              <w:t>over</w:t>
            </w:r>
          </w:p>
          <w:p>
            <w:pPr>
              <w:pStyle w:val="TableContents"/>
              <w:spacing w:before="0" w:after="0"/>
              <w:jc w:val="center"/>
              <w:rPr/>
            </w:pPr>
            <w:r>
              <w:rPr/>
            </w:r>
          </w:p>
          <w:p>
            <w:pPr>
              <w:pStyle w:val="TableContents"/>
              <w:spacing w:before="0" w:after="0"/>
              <w:jc w:val="center"/>
              <w:rPr>
                <w:b/>
                <w:spacing w:val="0"/>
              </w:rPr>
            </w:pPr>
            <w:r>
              <w:rPr>
                <w:b/>
                <w:spacing w:val="0"/>
              </w:rPr>
              <w:t>ADS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2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right"/>
              <w:rPr>
                <w:b/>
                <w:spacing w:val="0"/>
              </w:rPr>
            </w:pPr>
            <w:r>
              <w:rPr>
                <w:b/>
                <w:spacing w:val="0"/>
              </w:rPr>
              <w:t>WAEP</w:t>
            </w:r>
          </w:p>
          <w:p>
            <w:pPr>
              <w:pStyle w:val="TableContents"/>
              <w:spacing w:before="0" w:after="0"/>
              <w:jc w:val="right"/>
              <w:rPr/>
            </w:pPr>
            <w:r>
              <w:rPr/>
            </w:r>
          </w:p>
          <w:p>
            <w:pPr>
              <w:pStyle w:val="TableContents"/>
              <w:spacing w:before="0" w:after="0"/>
              <w:jc w:val="right"/>
              <w:rPr>
                <w:b/>
                <w:spacing w:val="0"/>
              </w:rPr>
            </w:pPr>
            <w:r>
              <w:rPr>
                <w:b/>
                <w:spacing w:val="0"/>
              </w:rPr>
              <w:t>$</w:t>
            </w:r>
          </w:p>
        </w:tc>
        <w:tc>
          <w:tcPr>
            <w:tcW w:w="75" w:type="dxa"/>
            <w:tcBorders/>
            <w:shd w:fill="auto" w:val="clear"/>
            <w:vAlign w:val="center"/>
          </w:tcPr>
          <w:p>
            <w:pPr>
              <w:pStyle w:val="TableContents"/>
              <w:spacing w:before="0" w:after="0"/>
              <w:rPr>
                <w:spacing w:val="0"/>
              </w:rPr>
            </w:pPr>
            <w:r>
              <w:rPr>
                <w:spacing w:val="0"/>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Outstanding at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3,943,702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421,791</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2.90</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Granted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4,126,400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386,144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535,488</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1.22</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Cancelled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(1,164,197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1.83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(42,104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(42,192</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1.01</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Forfeited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(48,044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3.97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Exercised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8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814"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lineRule="atLeast" w:line="240" w:before="0" w:after="0"/>
              <w:rPr>
                <w:rFonts w:ascii="Times New Roman" w:hAnsi="Times New Roman"/>
                <w:b/>
                <w:spacing w:val="0"/>
                <w:sz w:val="24"/>
              </w:rPr>
            </w:pPr>
            <w:r>
              <w:rPr>
                <w:rFonts w:ascii="Times New Roman" w:hAnsi="Times New Roman"/>
                <w:b/>
                <w:spacing w:val="0"/>
                <w:sz w:val="24"/>
              </w:rPr>
              <w:t xml:space="preserve">Outstanding at December 31, </w:t>
              <w:br/>
              <w:t>2022</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0" w:type="dxa"/>
            <w:tcBorders/>
            <w:shd w:fill="auto" w:val="clear"/>
            <w:vAlign w:val="center"/>
          </w:tcPr>
          <w:p>
            <w:pPr>
              <w:pStyle w:val="TableContents"/>
              <w:spacing w:lineRule="atLeast" w:line="240" w:before="0" w:after="0"/>
              <w:rPr>
                <w:spacing w:val="0"/>
              </w:rPr>
            </w:pPr>
            <w:r>
              <w:rPr>
                <w:spacing w:val="0"/>
              </w:rPr>
              <w:t> </w:t>
            </w:r>
          </w:p>
        </w:tc>
        <w:tc>
          <w:tcPr>
            <w:tcW w:w="1055" w:type="dxa"/>
            <w:tcBorders/>
            <w:shd w:fill="auto" w:val="clear"/>
            <w:vAlign w:val="center"/>
          </w:tcPr>
          <w:p>
            <w:pPr>
              <w:pStyle w:val="TableContents"/>
              <w:spacing w:lineRule="atLeast" w:line="240" w:before="0" w:after="0"/>
              <w:jc w:val="right"/>
              <w:rPr>
                <w:b/>
                <w:spacing w:val="0"/>
                <w:sz w:val="24"/>
              </w:rPr>
            </w:pPr>
            <w:r>
              <w:rPr>
                <w:b/>
                <w:spacing w:val="0"/>
                <w:sz w:val="24"/>
              </w:rPr>
              <w:t>6,857,861</w:t>
            </w:r>
          </w:p>
        </w:tc>
        <w:tc>
          <w:tcPr>
            <w:tcW w:w="155" w:type="dxa"/>
            <w:tcBorders/>
            <w:shd w:fill="auto" w:val="clear"/>
            <w:vAlign w:val="center"/>
          </w:tcPr>
          <w:p>
            <w:pPr>
              <w:pStyle w:val="TableContents"/>
              <w:spacing w:lineRule="atLeast" w:line="240" w:before="0" w:after="0"/>
              <w:rPr>
                <w:spacing w:val="0"/>
              </w:rPr>
            </w:pPr>
            <w:r>
              <w:rPr>
                <w:spacing w:val="0"/>
              </w:rPr>
              <w:t> </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90" w:type="dxa"/>
            <w:tcBorders/>
            <w:shd w:fill="auto" w:val="clear"/>
            <w:vAlign w:val="center"/>
          </w:tcPr>
          <w:p>
            <w:pPr>
              <w:pStyle w:val="TableContents"/>
              <w:spacing w:lineRule="atLeast" w:line="240" w:before="0" w:after="0"/>
              <w:rPr>
                <w:spacing w:val="0"/>
              </w:rPr>
            </w:pPr>
            <w:r>
              <w:rPr>
                <w:spacing w:val="0"/>
              </w:rPr>
              <w:t> </w:t>
            </w:r>
          </w:p>
        </w:tc>
        <w:tc>
          <w:tcPr>
            <w:tcW w:w="665" w:type="dxa"/>
            <w:tcBorders/>
            <w:shd w:fill="auto" w:val="clear"/>
            <w:vAlign w:val="center"/>
          </w:tcPr>
          <w:p>
            <w:pPr>
              <w:pStyle w:val="TableContents"/>
              <w:spacing w:lineRule="atLeast" w:line="240" w:before="0" w:after="0"/>
              <w:jc w:val="right"/>
              <w:rPr>
                <w:b/>
                <w:spacing w:val="0"/>
                <w:sz w:val="24"/>
              </w:rPr>
            </w:pPr>
            <w:r>
              <w:rPr>
                <w:b/>
                <w:spacing w:val="0"/>
                <w:sz w:val="24"/>
              </w:rPr>
              <w:t>2.15</w:t>
            </w:r>
          </w:p>
        </w:tc>
        <w:tc>
          <w:tcPr>
            <w:tcW w:w="60" w:type="dxa"/>
            <w:tcBorders/>
            <w:shd w:fill="auto" w:val="clear"/>
            <w:vAlign w:val="center"/>
          </w:tcPr>
          <w:p>
            <w:pPr>
              <w:pStyle w:val="TableContents"/>
              <w:spacing w:lineRule="atLeast" w:line="240" w:before="0" w:after="0"/>
              <w:rPr>
                <w:spacing w:val="0"/>
              </w:rPr>
            </w:pPr>
            <w:r>
              <w:rPr>
                <w:spacing w:val="0"/>
              </w:rPr>
              <w:t> </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5" w:type="dxa"/>
            <w:tcBorders/>
            <w:shd w:fill="auto" w:val="clear"/>
            <w:vAlign w:val="center"/>
          </w:tcPr>
          <w:p>
            <w:pPr>
              <w:pStyle w:val="TableContents"/>
              <w:spacing w:lineRule="atLeast" w:line="240" w:before="0" w:after="0"/>
              <w:rPr>
                <w:spacing w:val="0"/>
              </w:rPr>
            </w:pPr>
            <w:r>
              <w:rPr>
                <w:spacing w:val="0"/>
              </w:rPr>
              <w:t> </w:t>
            </w:r>
          </w:p>
        </w:tc>
        <w:tc>
          <w:tcPr>
            <w:tcW w:w="870" w:type="dxa"/>
            <w:tcBorders/>
            <w:shd w:fill="auto" w:val="clear"/>
            <w:vAlign w:val="center"/>
          </w:tcPr>
          <w:p>
            <w:pPr>
              <w:pStyle w:val="TableContents"/>
              <w:spacing w:lineRule="atLeast" w:line="240" w:before="0" w:after="0"/>
              <w:jc w:val="right"/>
              <w:rPr>
                <w:b/>
                <w:spacing w:val="0"/>
                <w:sz w:val="24"/>
              </w:rPr>
            </w:pPr>
            <w:r>
              <w:rPr>
                <w:b/>
                <w:spacing w:val="0"/>
                <w:sz w:val="24"/>
              </w:rPr>
              <w:t>344,040</w:t>
            </w:r>
          </w:p>
        </w:tc>
        <w:tc>
          <w:tcPr>
            <w:tcW w:w="155" w:type="dxa"/>
            <w:tcBorders/>
            <w:shd w:fill="auto" w:val="clear"/>
            <w:vAlign w:val="center"/>
          </w:tcPr>
          <w:p>
            <w:pPr>
              <w:pStyle w:val="TableContents"/>
              <w:spacing w:lineRule="atLeast" w:line="240" w:before="0" w:after="0"/>
              <w:rPr>
                <w:spacing w:val="0"/>
              </w:rPr>
            </w:pPr>
            <w:r>
              <w:rPr>
                <w:spacing w:val="0"/>
              </w:rPr>
              <w:t> </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61" w:type="dxa"/>
            <w:tcBorders/>
            <w:shd w:fill="auto" w:val="clear"/>
            <w:vAlign w:val="center"/>
          </w:tcPr>
          <w:p>
            <w:pPr>
              <w:pStyle w:val="TableContents"/>
              <w:spacing w:lineRule="atLeast" w:line="240" w:before="0" w:after="0"/>
              <w:rPr>
                <w:spacing w:val="0"/>
              </w:rPr>
            </w:pPr>
            <w:r>
              <w:rPr>
                <w:spacing w:val="0"/>
              </w:rPr>
              <w:t> </w:t>
            </w:r>
          </w:p>
        </w:tc>
        <w:tc>
          <w:tcPr>
            <w:tcW w:w="814" w:type="dxa"/>
            <w:tcBorders/>
            <w:shd w:fill="auto" w:val="clear"/>
            <w:vAlign w:val="center"/>
          </w:tcPr>
          <w:p>
            <w:pPr>
              <w:pStyle w:val="TableContents"/>
              <w:spacing w:lineRule="atLeast" w:line="240" w:before="0" w:after="0"/>
              <w:jc w:val="right"/>
              <w:rPr>
                <w:b/>
                <w:spacing w:val="0"/>
                <w:sz w:val="24"/>
              </w:rPr>
            </w:pPr>
            <w:r>
              <w:rPr>
                <w:b/>
                <w:spacing w:val="0"/>
                <w:sz w:val="24"/>
              </w:rPr>
              <w:t>915,087</w:t>
            </w:r>
          </w:p>
        </w:tc>
        <w:tc>
          <w:tcPr>
            <w:tcW w:w="215" w:type="dxa"/>
            <w:tcBorders/>
            <w:shd w:fill="auto" w:val="clear"/>
            <w:vAlign w:val="center"/>
          </w:tcPr>
          <w:p>
            <w:pPr>
              <w:pStyle w:val="TableContents"/>
              <w:spacing w:lineRule="atLeast" w:line="240" w:before="0" w:after="0"/>
              <w:rPr>
                <w:spacing w:val="0"/>
              </w:rPr>
            </w:pPr>
            <w:r>
              <w:rPr>
                <w:spacing w:val="0"/>
              </w:rPr>
              <w:t> </w:t>
            </w:r>
          </w:p>
        </w:tc>
        <w:tc>
          <w:tcPr>
            <w:tcW w:w="120" w:type="dxa"/>
            <w:tcBorders/>
            <w:shd w:fill="auto" w:val="clear"/>
            <w:vAlign w:val="center"/>
          </w:tcPr>
          <w:p>
            <w:pPr>
              <w:pStyle w:val="TableContents"/>
              <w:spacing w:lineRule="atLeast" w:line="240" w:before="0" w:after="0"/>
              <w:rPr>
                <w:spacing w:val="0"/>
              </w:rPr>
            </w:pPr>
            <w:r>
              <w:rPr>
                <w:spacing w:val="0"/>
              </w:rPr>
              <w:t>  </w:t>
            </w:r>
          </w:p>
        </w:tc>
        <w:tc>
          <w:tcPr>
            <w:tcW w:w="90" w:type="dxa"/>
            <w:tcBorders/>
            <w:shd w:fill="auto" w:val="clear"/>
            <w:vAlign w:val="center"/>
          </w:tcPr>
          <w:p>
            <w:pPr>
              <w:pStyle w:val="TableContents"/>
              <w:spacing w:lineRule="atLeast" w:line="240" w:before="0" w:after="0"/>
              <w:rPr>
                <w:spacing w:val="0"/>
              </w:rPr>
            </w:pPr>
            <w:r>
              <w:rPr>
                <w:spacing w:val="0"/>
              </w:rPr>
              <w:t> </w:t>
            </w:r>
          </w:p>
        </w:tc>
        <w:tc>
          <w:tcPr>
            <w:tcW w:w="665" w:type="dxa"/>
            <w:tcBorders/>
            <w:shd w:fill="auto" w:val="clear"/>
            <w:vAlign w:val="center"/>
          </w:tcPr>
          <w:p>
            <w:pPr>
              <w:pStyle w:val="TableContents"/>
              <w:spacing w:lineRule="atLeast" w:line="240" w:before="0" w:after="0"/>
              <w:jc w:val="right"/>
              <w:rPr>
                <w:b/>
                <w:spacing w:val="0"/>
                <w:sz w:val="24"/>
              </w:rPr>
            </w:pPr>
            <w:r>
              <w:rPr>
                <w:b/>
                <w:spacing w:val="0"/>
                <w:sz w:val="24"/>
              </w:rPr>
              <w:t>2.00</w:t>
            </w:r>
          </w:p>
        </w:tc>
        <w:tc>
          <w:tcPr>
            <w:tcW w:w="75" w:type="dxa"/>
            <w:tcBorders/>
            <w:shd w:fill="auto" w:val="clear"/>
            <w:vAlign w:val="center"/>
          </w:tcPr>
          <w:p>
            <w:pPr>
              <w:pStyle w:val="TableContents"/>
              <w:spacing w:lineRule="atLeast" w:line="240" w:before="0" w:after="0"/>
              <w:rPr>
                <w:spacing w:val="0"/>
              </w:rPr>
            </w:pPr>
            <w:r>
              <w:rPr>
                <w:spacing w:val="0"/>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double" w:sz="6" w:space="1" w:color="000000"/>
              </w:rPr>
            </w:pPr>
            <w:r>
              <w:rPr>
                <w:bdr w:val="double" w:sz="6" w:space="1" w:color="000000"/>
              </w:rPr>
              <w:t> </w:t>
            </w:r>
          </w:p>
        </w:tc>
        <w:tc>
          <w:tcPr>
            <w:tcW w:w="87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double" w:sz="6" w:space="1" w:color="000000"/>
              </w:rPr>
            </w:pPr>
            <w:r>
              <w:rPr>
                <w:bdr w:val="double" w:sz="6" w:space="1" w:color="000000"/>
              </w:rPr>
              <w:t> </w:t>
            </w:r>
          </w:p>
        </w:tc>
        <w:tc>
          <w:tcPr>
            <w:tcW w:w="814" w:type="dxa"/>
            <w:tcBorders/>
            <w:shd w:fill="auto" w:val="clear"/>
            <w:vAlign w:val="center"/>
          </w:tcPr>
          <w:p>
            <w:pPr>
              <w:pStyle w:val="TableContents"/>
              <w:spacing w:before="0" w:after="0"/>
              <w:rPr>
                <w:bdr w:val="double" w:sz="6" w:space="1" w:color="000000"/>
              </w:rPr>
            </w:pPr>
            <w:r>
              <w:rPr>
                <w:bdr w:val="double" w:sz="6" w:space="1" w:color="000000"/>
              </w:rPr>
              <w:t> </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Exercisable at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2,082,027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832,584</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2.09</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double" w:sz="6" w:space="1" w:color="000000"/>
              </w:rPr>
            </w:pPr>
            <w:r>
              <w:rPr>
                <w:bdr w:val="double" w:sz="6" w:space="1" w:color="000000"/>
              </w:rPr>
              <w:t> </w:t>
            </w:r>
          </w:p>
        </w:tc>
        <w:tc>
          <w:tcPr>
            <w:tcW w:w="87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double" w:sz="6" w:space="1" w:color="000000"/>
              </w:rPr>
            </w:pPr>
            <w:r>
              <w:rPr>
                <w:bdr w:val="double" w:sz="6" w:space="1" w:color="000000"/>
              </w:rPr>
              <w:t> </w:t>
            </w:r>
          </w:p>
        </w:tc>
        <w:tc>
          <w:tcPr>
            <w:tcW w:w="814" w:type="dxa"/>
            <w:tcBorders/>
            <w:shd w:fill="auto" w:val="clear"/>
            <w:vAlign w:val="center"/>
          </w:tcPr>
          <w:p>
            <w:pPr>
              <w:pStyle w:val="TableContents"/>
              <w:spacing w:before="0" w:after="0"/>
              <w:rPr>
                <w:bdr w:val="double" w:sz="6" w:space="1" w:color="000000"/>
              </w:rPr>
            </w:pPr>
            <w:r>
              <w:rPr>
                <w:bdr w:val="double" w:sz="6" w:space="1" w:color="000000"/>
              </w:rPr>
              <w:t> </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z w:val="22"/>
          <w:highlight w:val="white"/>
        </w:rPr>
      </w:pPr>
      <w:r>
        <w:rPr>
          <w:rFonts w:ascii="Times New Roman" w:hAnsi="Times New Roman"/>
          <w:sz w:val="22"/>
          <w:highlight w:val="white"/>
        </w:rPr>
        <w:t xml:space="preserve">The following table illustrates the number and weighted average exercise prices (WAEP) of, and movements in, options for the 2019 EIP and 2019 NED EIP during the year-ended December 31, 2021: </w:t>
      </w:r>
    </w:p>
    <w:p>
      <w:pPr>
        <w:pStyle w:val="TextBody"/>
        <w:spacing w:before="0" w:after="0"/>
        <w:jc w:val="left"/>
        <w:rPr>
          <w:highlight w:val="white"/>
        </w:rPr>
      </w:pPr>
      <w:r>
        <w:rPr>
          <w:highlight w:val="white"/>
        </w:rPr>
        <w:t> </w:t>
      </w:r>
    </w:p>
    <w:tbl>
      <w:tblPr>
        <w:tblW w:w="7790" w:type="dxa"/>
        <w:jc w:val="left"/>
        <w:tblInd w:w="0" w:type="dxa"/>
        <w:tblCellMar>
          <w:top w:w="0" w:type="dxa"/>
          <w:left w:w="0" w:type="dxa"/>
          <w:bottom w:w="0" w:type="dxa"/>
          <w:right w:w="0" w:type="dxa"/>
        </w:tblCellMar>
      </w:tblPr>
      <w:tblGrid>
        <w:gridCol w:w="3440"/>
        <w:gridCol w:w="120"/>
        <w:gridCol w:w="60"/>
        <w:gridCol w:w="980"/>
        <w:gridCol w:w="155"/>
        <w:gridCol w:w="120"/>
        <w:gridCol w:w="90"/>
        <w:gridCol w:w="665"/>
        <w:gridCol w:w="60"/>
        <w:gridCol w:w="120"/>
        <w:gridCol w:w="61"/>
        <w:gridCol w:w="814"/>
        <w:gridCol w:w="155"/>
        <w:gridCol w:w="120"/>
        <w:gridCol w:w="90"/>
        <w:gridCol w:w="665"/>
        <w:gridCol w:w="75"/>
      </w:tblGrid>
      <w:tr>
        <w:trPr/>
        <w:tc>
          <w:tcPr>
            <w:tcW w:w="3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EIP</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NED EIP</w:t>
            </w:r>
          </w:p>
        </w:tc>
        <w:tc>
          <w:tcPr>
            <w:tcW w:w="75"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sz w:val="24"/>
              </w:rPr>
            </w:pPr>
            <w:r>
              <w:rPr>
                <w:b/>
                <w:spacing w:val="0"/>
                <w:sz w:val="24"/>
              </w:rPr>
              <w:t>Options</w:t>
              <w:br/>
              <w:t>over</w:t>
              <w:br/>
              <w:t>ADS</w:t>
            </w:r>
          </w:p>
          <w:p>
            <w:pPr>
              <w:pStyle w:val="TableContents"/>
              <w:spacing w:before="0" w:after="0"/>
              <w:jc w:val="center"/>
              <w:rPr/>
            </w:pPr>
            <w:r>
              <w:rPr/>
            </w:r>
          </w:p>
          <w:p>
            <w:pPr>
              <w:pStyle w:val="TableContents"/>
              <w:spacing w:before="0" w:after="0"/>
              <w:jc w:val="center"/>
              <w:rPr>
                <w:b/>
                <w:spacing w:val="0"/>
                <w:sz w:val="24"/>
              </w:rPr>
            </w:pPr>
            <w:r>
              <w:rPr>
                <w:b/>
                <w:spacing w:val="0"/>
                <w:sz w:val="24"/>
              </w:rPr>
              <w:t>Number</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right"/>
              <w:rPr>
                <w:b/>
                <w:spacing w:val="0"/>
              </w:rPr>
            </w:pPr>
            <w:r>
              <w:rPr>
                <w:b/>
                <w:spacing w:val="0"/>
              </w:rPr>
              <w:t>WAEP</w:t>
            </w:r>
          </w:p>
          <w:p>
            <w:pPr>
              <w:pStyle w:val="TableContents"/>
              <w:spacing w:before="0" w:after="0"/>
              <w:jc w:val="right"/>
              <w:rPr/>
            </w:pPr>
            <w:r>
              <w:rPr/>
            </w:r>
          </w:p>
          <w:p>
            <w:pPr>
              <w:pStyle w:val="TableContents"/>
              <w:spacing w:before="0" w:after="0"/>
              <w:jc w:val="right"/>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br/>
              <w:t>over</w:t>
              <w:br/>
              <w:t>ADS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right"/>
              <w:rPr>
                <w:b/>
                <w:spacing w:val="0"/>
              </w:rPr>
            </w:pPr>
            <w:r>
              <w:rPr>
                <w:b/>
                <w:spacing w:val="0"/>
              </w:rPr>
              <w:t>WAEP</w:t>
            </w:r>
          </w:p>
          <w:p>
            <w:pPr>
              <w:pStyle w:val="TableContents"/>
              <w:spacing w:before="0" w:after="0"/>
              <w:jc w:val="right"/>
              <w:rPr/>
            </w:pPr>
            <w:r>
              <w:rPr/>
            </w:r>
          </w:p>
          <w:p>
            <w:pPr>
              <w:pStyle w:val="TableContents"/>
              <w:spacing w:before="0" w:after="0"/>
              <w:jc w:val="right"/>
              <w:rPr>
                <w:b/>
                <w:spacing w:val="0"/>
              </w:rPr>
            </w:pPr>
            <w:r>
              <w:rPr>
                <w:b/>
                <w:spacing w:val="0"/>
              </w:rPr>
              <w:t>$</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Outstanding at January 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1,567,873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149,416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3.06</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Granted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2,696,960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2.83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296,000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2.81</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Cancelled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(253,277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(23,625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2.72</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Forfeited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(28,521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5.37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Exercised during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(39,333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81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Outstanding at December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3,943,702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665" w:type="dxa"/>
            <w:tcBorders/>
            <w:shd w:fill="auto" w:val="clear"/>
            <w:vAlign w:val="center"/>
          </w:tcPr>
          <w:p>
            <w:pPr>
              <w:pStyle w:val="TableContents"/>
              <w:spacing w:before="0" w:after="0"/>
              <w:jc w:val="right"/>
              <w:rPr>
                <w:b/>
                <w:spacing w:val="0"/>
              </w:rPr>
            </w:pPr>
            <w:r>
              <w:rPr>
                <w:b/>
                <w:spacing w:val="0"/>
              </w:rPr>
              <w:t>2.88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814" w:type="dxa"/>
            <w:tcBorders/>
            <w:shd w:fill="auto" w:val="clear"/>
            <w:vAlign w:val="center"/>
          </w:tcPr>
          <w:p>
            <w:pPr>
              <w:pStyle w:val="TableContents"/>
              <w:spacing w:before="0" w:after="0"/>
              <w:jc w:val="right"/>
              <w:rPr>
                <w:b/>
                <w:spacing w:val="0"/>
              </w:rPr>
            </w:pPr>
            <w:r>
              <w:rPr>
                <w:b/>
                <w:spacing w:val="0"/>
              </w:rPr>
              <w:t>421,791</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665" w:type="dxa"/>
            <w:tcBorders/>
            <w:shd w:fill="auto" w:val="clear"/>
            <w:vAlign w:val="center"/>
          </w:tcPr>
          <w:p>
            <w:pPr>
              <w:pStyle w:val="TableContents"/>
              <w:spacing w:before="0" w:after="0"/>
              <w:jc w:val="right"/>
              <w:rPr>
                <w:b/>
                <w:spacing w:val="0"/>
              </w:rPr>
            </w:pPr>
            <w:r>
              <w:rPr>
                <w:b/>
                <w:spacing w:val="0"/>
              </w:rPr>
              <w:t>2.90</w:t>
            </w:r>
          </w:p>
        </w:tc>
        <w:tc>
          <w:tcPr>
            <w:tcW w:w="75" w:type="dxa"/>
            <w:tcBorders/>
            <w:shd w:fill="auto" w:val="clear"/>
            <w:vAlign w:val="center"/>
          </w:tcPr>
          <w:p>
            <w:pPr>
              <w:pStyle w:val="TableContents"/>
              <w:spacing w:before="0" w:after="0"/>
              <w:rPr>
                <w:spacing w:val="0"/>
              </w:rPr>
            </w:pPr>
            <w:r>
              <w:rPr>
                <w:spacing w:val="0"/>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double" w:sz="6" w:space="1" w:color="000000"/>
              </w:rPr>
            </w:pPr>
            <w:r>
              <w:rPr>
                <w:bdr w:val="double" w:sz="6" w:space="1" w:color="000000"/>
              </w:rPr>
              <w:t> </w:t>
            </w:r>
          </w:p>
        </w:tc>
        <w:tc>
          <w:tcPr>
            <w:tcW w:w="814"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Exercisable at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727,698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3.16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386,623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2.91</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double" w:sz="6" w:space="1" w:color="000000"/>
              </w:rPr>
            </w:pPr>
            <w:r>
              <w:rPr>
                <w:bdr w:val="double" w:sz="6" w:space="1" w:color="000000"/>
              </w:rPr>
              <w:t> </w:t>
            </w:r>
          </w:p>
        </w:tc>
        <w:tc>
          <w:tcPr>
            <w:tcW w:w="814"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2"/>
          <w:highlight w:val="white"/>
        </w:rPr>
      </w:pPr>
      <w:r>
        <w:rPr>
          <w:rFonts w:ascii="Times New Roman" w:hAnsi="Times New Roman"/>
          <w:sz w:val="22"/>
          <w:highlight w:val="white"/>
        </w:rPr>
        <w:t xml:space="preserve">The weighted average remaining contractual life for the share options outstanding as at December 31, 2022 for the 2019 EIP was 8.4 years (2021: 8.7 years) and for the 2019 NED EIP was 8.5 years (2021: 8.6 years).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The weighted average fair value of options granted during the year was</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w:t>
      </w:r>
    </w:p>
    <w:p>
      <w:pPr>
        <w:pStyle w:val="TextBody"/>
        <w:spacing w:before="240" w:after="0"/>
        <w:jc w:val="left"/>
        <w:rPr>
          <w:rFonts w:ascii="Times New Roman" w:hAnsi="Times New Roman"/>
          <w:sz w:val="24"/>
          <w:highlight w:val="white"/>
        </w:rPr>
      </w:pPr>
      <w:r>
        <w:rPr>
          <w:rFonts w:ascii="Times New Roman" w:hAnsi="Times New Roman"/>
          <w:sz w:val="24"/>
          <w:highlight w:val="white"/>
        </w:rPr>
        <w:t>1.20</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per ADS (2021: $</w:t>
      </w:r>
    </w:p>
    <w:p>
      <w:pPr>
        <w:pStyle w:val="TextBody"/>
        <w:spacing w:before="240" w:after="0"/>
        <w:jc w:val="left"/>
        <w:rPr>
          <w:rFonts w:ascii="Times New Roman" w:hAnsi="Times New Roman"/>
          <w:sz w:val="24"/>
          <w:highlight w:val="white"/>
        </w:rPr>
      </w:pPr>
      <w:r>
        <w:rPr>
          <w:rFonts w:ascii="Times New Roman" w:hAnsi="Times New Roman"/>
          <w:sz w:val="24"/>
          <w:highlight w:val="white"/>
        </w:rPr>
        <w:t>2.50</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per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ADS). Options outstanding at the end of the year had an exercise price of between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w:t>
      </w:r>
    </w:p>
    <w:p>
      <w:pPr>
        <w:pStyle w:val="TextBody"/>
        <w:spacing w:before="240" w:after="0"/>
        <w:jc w:val="left"/>
        <w:rPr>
          <w:rFonts w:ascii="Times New Roman" w:hAnsi="Times New Roman"/>
          <w:sz w:val="24"/>
          <w:highlight w:val="white"/>
        </w:rPr>
      </w:pPr>
      <w:r>
        <w:rPr>
          <w:rFonts w:ascii="Times New Roman" w:hAnsi="Times New Roman"/>
          <w:sz w:val="24"/>
          <w:highlight w:val="white"/>
        </w:rPr>
        <w:t>0.51</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and $</w:t>
      </w:r>
    </w:p>
    <w:p>
      <w:pPr>
        <w:pStyle w:val="TextBody"/>
        <w:spacing w:before="240" w:after="0"/>
        <w:jc w:val="left"/>
        <w:rPr>
          <w:rFonts w:ascii="Times New Roman" w:hAnsi="Times New Roman"/>
          <w:sz w:val="24"/>
          <w:highlight w:val="white"/>
        </w:rPr>
      </w:pPr>
      <w:r>
        <w:rPr>
          <w:rFonts w:ascii="Times New Roman" w:hAnsi="Times New Roman"/>
          <w:sz w:val="24"/>
          <w:highlight w:val="white"/>
        </w:rPr>
        <w:t>5.40</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per ADS</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The weighted average fair value of Deferred RSUs over ADSs granted during the year was $0.99</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per ADS</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 </w:t>
      </w:r>
    </w:p>
    <w:p>
      <w:pPr>
        <w:pStyle w:val="TextBody"/>
        <w:spacing w:before="36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The 2015 Plan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Under the Mereo BioPharma Group Limited Share Option Plan (the “2015 Plan”), the Company, at its discretion, granted share options to </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acquire ordinary shares to</w:t>
      </w:r>
    </w:p>
    <w:p>
      <w:pPr>
        <w:pStyle w:val="TextBody"/>
        <w:spacing w:before="120" w:after="0"/>
        <w:jc w:val="left"/>
        <w:rPr>
          <w:rFonts w:ascii="Times New Roman" w:hAnsi="Times New Roman"/>
          <w:sz w:val="24"/>
          <w:highlight w:val="white"/>
        </w:rPr>
      </w:pPr>
      <w:r>
        <w:rPr>
          <w:rFonts w:ascii="Times New Roman" w:hAnsi="Times New Roman"/>
          <w:sz w:val="24"/>
          <w:highlight w:val="white"/>
        </w:rPr>
        <w:t>employees, including executive management and NEDs. Share options vest over four years for executive management and employees and over three years for NEDs. No share options were granted during the year under the 2015 Plan and no further share option grants are envisaged.</w:t>
      </w:r>
    </w:p>
    <w:p>
      <w:pPr>
        <w:pStyle w:val="TextBody"/>
        <w:spacing w:before="0" w:after="0"/>
        <w:ind w:left="0" w:right="0" w:hanging="0"/>
        <w:jc w:val="left"/>
        <w:rPr>
          <w:spacing w:val="0"/>
          <w:highlight w:val="white"/>
        </w:rPr>
      </w:pPr>
      <w:r>
        <w:rPr>
          <w:spacing w:val="0"/>
          <w:highlight w:val="white"/>
        </w:rPr>
        <w:t> </w:t>
      </w:r>
    </w:p>
    <w:tbl>
      <w:tblPr>
        <w:tblW w:w="7460" w:type="dxa"/>
        <w:jc w:val="left"/>
        <w:tblInd w:w="0" w:type="dxa"/>
        <w:tblCellMar>
          <w:top w:w="0" w:type="dxa"/>
          <w:left w:w="0" w:type="dxa"/>
          <w:bottom w:w="0" w:type="dxa"/>
          <w:right w:w="0" w:type="dxa"/>
        </w:tblCellMar>
      </w:tblPr>
      <w:tblGrid>
        <w:gridCol w:w="2945"/>
        <w:gridCol w:w="120"/>
        <w:gridCol w:w="60"/>
        <w:gridCol w:w="980"/>
        <w:gridCol w:w="155"/>
        <w:gridCol w:w="120"/>
        <w:gridCol w:w="90"/>
        <w:gridCol w:w="665"/>
        <w:gridCol w:w="60"/>
        <w:gridCol w:w="120"/>
        <w:gridCol w:w="60"/>
        <w:gridCol w:w="980"/>
        <w:gridCol w:w="155"/>
        <w:gridCol w:w="120"/>
        <w:gridCol w:w="90"/>
        <w:gridCol w:w="665"/>
        <w:gridCol w:w="75"/>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WAEP</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WAEP</w:t>
            </w:r>
          </w:p>
          <w:p>
            <w:pPr>
              <w:pStyle w:val="TableContents"/>
              <w:spacing w:before="0" w:after="0"/>
              <w:jc w:val="center"/>
              <w:rPr/>
            </w:pPr>
            <w:r>
              <w:rPr/>
            </w:r>
          </w:p>
          <w:p>
            <w:pPr>
              <w:pStyle w:val="TableContents"/>
              <w:spacing w:before="0" w:after="0"/>
              <w:jc w:val="center"/>
              <w:rPr>
                <w:b/>
                <w:spacing w:val="0"/>
              </w:rPr>
            </w:pPr>
            <w:r>
              <w:rPr>
                <w:b/>
                <w:spacing w:val="0"/>
              </w:rPr>
              <w:t>£</w:t>
            </w:r>
          </w:p>
        </w:tc>
        <w:tc>
          <w:tcPr>
            <w:tcW w:w="75"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Outstanding at January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8,297,694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1.31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8,923,600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1.32</w:t>
            </w:r>
          </w:p>
        </w:tc>
        <w:tc>
          <w:tcPr>
            <w:tcW w:w="75"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Forfeited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(423,164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(625,906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1.29</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Outstanding at December 31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7,874,530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665" w:type="dxa"/>
            <w:tcBorders/>
            <w:shd w:fill="CCEEFF" w:val="clear"/>
            <w:vAlign w:val="center"/>
          </w:tcPr>
          <w:p>
            <w:pPr>
              <w:pStyle w:val="TableContents"/>
              <w:spacing w:before="0" w:after="0"/>
              <w:jc w:val="right"/>
              <w:rPr>
                <w:b/>
                <w:spacing w:val="0"/>
              </w:rPr>
            </w:pPr>
            <w:r>
              <w:rPr>
                <w:b/>
                <w:spacing w:val="0"/>
              </w:rPr>
              <w:t>1.46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8,297,694</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665" w:type="dxa"/>
            <w:tcBorders/>
            <w:shd w:fill="CCEEFF" w:val="clear"/>
            <w:vAlign w:val="center"/>
          </w:tcPr>
          <w:p>
            <w:pPr>
              <w:pStyle w:val="TableContents"/>
              <w:spacing w:before="0" w:after="0"/>
              <w:jc w:val="right"/>
              <w:rPr>
                <w:b/>
                <w:spacing w:val="0"/>
              </w:rPr>
            </w:pPr>
            <w:r>
              <w:rPr>
                <w:b/>
                <w:spacing w:val="0"/>
              </w:rPr>
              <w:t>1.31</w:t>
            </w:r>
          </w:p>
        </w:tc>
        <w:tc>
          <w:tcPr>
            <w:tcW w:w="75" w:type="dxa"/>
            <w:tcBorders/>
            <w:shd w:fill="CCEEFF"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Exercisable at December 31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7,874,530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8,297,694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1.31</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F-4</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2"/>
          <w:highlight w:val="white"/>
        </w:rPr>
      </w:pPr>
      <w:r>
        <w:rPr>
          <w:rFonts w:ascii="Times New Roman" w:hAnsi="Times New Roman"/>
          <w:sz w:val="22"/>
          <w:highlight w:val="white"/>
        </w:rPr>
        <w:t>The weighted average remaining contractual life for the share options outstanding as at December 31, 2022 was 2.6 years (2021: 3.6 years). Options outstanding at the end of the year had an exercise price of between £1.43 and £2.44</w:t>
      </w:r>
    </w:p>
    <w:p>
      <w:pPr>
        <w:pStyle w:val="TextBody"/>
        <w:spacing w:before="0" w:after="0"/>
        <w:jc w:val="left"/>
        <w:rPr>
          <w:spacing w:val="0"/>
          <w:highlight w:val="white"/>
        </w:rPr>
      </w:pPr>
      <w:r>
        <w:rPr>
          <w:spacing w:val="0"/>
          <w:highlight w:val="white"/>
        </w:rPr>
        <w:t> </w:t>
      </w:r>
    </w:p>
    <w:p>
      <w:pPr>
        <w:pStyle w:val="TextBody"/>
        <w:spacing w:before="0" w:after="0"/>
        <w:jc w:val="left"/>
        <w:rPr>
          <w:rFonts w:ascii="Times New Roman;serif" w:hAnsi="Times New Roman;serif"/>
          <w:spacing w:val="0"/>
          <w:sz w:val="22"/>
          <w:highlight w:val="white"/>
        </w:rPr>
      </w:pPr>
      <w:r>
        <w:rPr>
          <w:rFonts w:ascii="Times New Roman;serif" w:hAnsi="Times New Roman;serif"/>
          <w:spacing w:val="0"/>
          <w:sz w:val="22"/>
          <w:highlight w:val="white"/>
        </w:rPr>
        <w:t>per ordinary share</w:t>
      </w:r>
    </w:p>
    <w:p>
      <w:pPr>
        <w:pStyle w:val="TextBody"/>
        <w:spacing w:before="0" w:after="0"/>
        <w:jc w:val="left"/>
        <w:rPr>
          <w:rFonts w:ascii="Times New Roman" w:hAnsi="Times New Roman"/>
          <w:sz w:val="22"/>
          <w:highlight w:val="white"/>
        </w:rPr>
      </w:pPr>
      <w:r>
        <w:rPr>
          <w:rFonts w:ascii="Times New Roman" w:hAnsi="Times New Roman"/>
          <w:sz w:val="22"/>
          <w:highlight w:val="white"/>
        </w:rPr>
        <w:t xml:space="preserve">. </w:t>
      </w:r>
    </w:p>
    <w:p>
      <w:pPr>
        <w:pStyle w:val="TextBody"/>
        <w:spacing w:before="360" w:after="0"/>
        <w:ind w:left="0" w:right="0" w:hanging="0"/>
        <w:jc w:val="left"/>
        <w:rPr>
          <w:rFonts w:ascii="Times New Roman" w:hAnsi="Times New Roman"/>
          <w:i/>
          <w:spacing w:val="0"/>
          <w:sz w:val="22"/>
          <w:highlight w:val="white"/>
        </w:rPr>
      </w:pPr>
      <w:r>
        <w:rPr>
          <w:rFonts w:ascii="Times New Roman" w:hAnsi="Times New Roman"/>
          <w:i/>
          <w:spacing w:val="0"/>
          <w:sz w:val="22"/>
          <w:highlight w:val="white"/>
        </w:rPr>
        <w:t xml:space="preserve">The Mereo Share Option Plan </w:t>
      </w:r>
    </w:p>
    <w:p>
      <w:pPr>
        <w:pStyle w:val="TextBody"/>
        <w:spacing w:before="120" w:after="0"/>
        <w:ind w:left="0" w:right="0" w:firstLine="612"/>
        <w:jc w:val="left"/>
        <w:rPr>
          <w:rFonts w:ascii="Times New Roman;serif" w:hAnsi="Times New Roman;serif"/>
          <w:spacing w:val="0"/>
          <w:sz w:val="22"/>
          <w:highlight w:val="white"/>
        </w:rPr>
      </w:pPr>
      <w:r>
        <w:rPr>
          <w:rFonts w:ascii="Times New Roman;serif" w:hAnsi="Times New Roman;serif"/>
          <w:spacing w:val="0"/>
          <w:sz w:val="22"/>
          <w:highlight w:val="white"/>
        </w:rPr>
        <w:t>The Mereo Share Option Plan (“Share Option Plan”) provides for the grant of options to acquire ordinary shares to employees, executive directors and executive officers. Options may be granted to all eligible employees on commencement of employment and may be granted on a periodic basis after that. Under the Share Option Plan, the Board of Directors may determine if the vesting of an option will be subject to the satisfaction of a performance condition. Following the introduction of the EIP and NED EIP, no further share option grants under the Share Option Plan are envisaged.</w:t>
      </w:r>
    </w:p>
    <w:p>
      <w:pPr>
        <w:pStyle w:val="TextBody"/>
        <w:spacing w:before="240" w:after="0"/>
        <w:jc w:val="left"/>
        <w:rPr>
          <w:rFonts w:ascii="Times New Roman" w:hAnsi="Times New Roman"/>
          <w:sz w:val="22"/>
          <w:highlight w:val="white"/>
        </w:rPr>
      </w:pPr>
      <w:r>
        <w:rPr>
          <w:rFonts w:ascii="Times New Roman" w:hAnsi="Times New Roman"/>
          <w:sz w:val="22"/>
          <w:highlight w:val="white"/>
        </w:rPr>
        <w:t>The following table illustrates the number and weighted average exercise prices (WAEP) of, and movements in, options for the Option Plan during the year:</w:t>
      </w:r>
    </w:p>
    <w:p>
      <w:pPr>
        <w:pStyle w:val="TextBody"/>
        <w:spacing w:before="0" w:after="0"/>
        <w:ind w:left="0" w:right="0" w:hanging="0"/>
        <w:jc w:val="left"/>
        <w:rPr>
          <w:spacing w:val="0"/>
          <w:highlight w:val="white"/>
        </w:rPr>
      </w:pPr>
      <w:r>
        <w:rPr>
          <w:spacing w:val="0"/>
          <w:highlight w:val="white"/>
        </w:rPr>
        <w:t> </w:t>
      </w:r>
    </w:p>
    <w:tbl>
      <w:tblPr>
        <w:tblW w:w="7460" w:type="dxa"/>
        <w:jc w:val="left"/>
        <w:tblInd w:w="0" w:type="dxa"/>
        <w:tblCellMar>
          <w:top w:w="0" w:type="dxa"/>
          <w:left w:w="0" w:type="dxa"/>
          <w:bottom w:w="0" w:type="dxa"/>
          <w:right w:w="0" w:type="dxa"/>
        </w:tblCellMar>
      </w:tblPr>
      <w:tblGrid>
        <w:gridCol w:w="2945"/>
        <w:gridCol w:w="120"/>
        <w:gridCol w:w="60"/>
        <w:gridCol w:w="980"/>
        <w:gridCol w:w="155"/>
        <w:gridCol w:w="120"/>
        <w:gridCol w:w="90"/>
        <w:gridCol w:w="665"/>
        <w:gridCol w:w="60"/>
        <w:gridCol w:w="120"/>
        <w:gridCol w:w="60"/>
        <w:gridCol w:w="980"/>
        <w:gridCol w:w="155"/>
        <w:gridCol w:w="120"/>
        <w:gridCol w:w="90"/>
        <w:gridCol w:w="665"/>
        <w:gridCol w:w="75"/>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WAEP</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Options</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WAEP</w:t>
            </w:r>
          </w:p>
          <w:p>
            <w:pPr>
              <w:pStyle w:val="TableContents"/>
              <w:spacing w:before="0" w:after="0"/>
              <w:jc w:val="center"/>
              <w:rPr/>
            </w:pPr>
            <w:r>
              <w:rPr/>
            </w:r>
          </w:p>
          <w:p>
            <w:pPr>
              <w:pStyle w:val="TableContents"/>
              <w:spacing w:before="0" w:after="0"/>
              <w:jc w:val="center"/>
              <w:rPr>
                <w:b/>
                <w:spacing w:val="0"/>
              </w:rPr>
            </w:pPr>
            <w:r>
              <w:rPr>
                <w:b/>
                <w:spacing w:val="0"/>
              </w:rPr>
              <w:t>£</w:t>
            </w:r>
          </w:p>
        </w:tc>
        <w:tc>
          <w:tcPr>
            <w:tcW w:w="75" w:type="dxa"/>
            <w:tcBorders/>
            <w:shd w:fill="auto" w:val="clear"/>
            <w:vAlign w:val="center"/>
          </w:tcPr>
          <w:p>
            <w:pPr>
              <w:pStyle w:val="TableContents"/>
              <w:spacing w:before="0" w:after="0"/>
              <w:rPr>
                <w:spacing w:val="0"/>
              </w:rPr>
            </w:pPr>
            <w:r>
              <w:rPr>
                <w:spacing w:val="0"/>
              </w:rPr>
              <w:t> </w:t>
            </w:r>
          </w:p>
        </w:tc>
      </w:tr>
      <w:tr>
        <w:trPr/>
        <w:tc>
          <w:tcPr>
            <w:tcW w:w="29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Outstanding at January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1,323,965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3.04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1,411,395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3.14</w:t>
            </w:r>
          </w:p>
        </w:tc>
        <w:tc>
          <w:tcPr>
            <w:tcW w:w="75"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Forfeited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(770,805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3.32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(87,430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3.11</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Outstanding at December 31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553,160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665" w:type="dxa"/>
            <w:tcBorders/>
            <w:shd w:fill="CCEEFF" w:val="clear"/>
            <w:vAlign w:val="center"/>
          </w:tcPr>
          <w:p>
            <w:pPr>
              <w:pStyle w:val="TableContents"/>
              <w:spacing w:before="0" w:after="0"/>
              <w:jc w:val="right"/>
              <w:rPr>
                <w:b/>
                <w:spacing w:val="0"/>
              </w:rPr>
            </w:pPr>
            <w:r>
              <w:rPr>
                <w:b/>
                <w:spacing w:val="0"/>
              </w:rPr>
              <w:t>3.49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1,323,965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665" w:type="dxa"/>
            <w:tcBorders/>
            <w:shd w:fill="CCEEFF" w:val="clear"/>
            <w:vAlign w:val="center"/>
          </w:tcPr>
          <w:p>
            <w:pPr>
              <w:pStyle w:val="TableContents"/>
              <w:spacing w:before="0" w:after="0"/>
              <w:jc w:val="right"/>
              <w:rPr>
                <w:b/>
                <w:spacing w:val="0"/>
              </w:rPr>
            </w:pPr>
            <w:r>
              <w:rPr>
                <w:b/>
                <w:spacing w:val="0"/>
              </w:rPr>
              <w:t>3.04</w:t>
            </w:r>
          </w:p>
        </w:tc>
        <w:tc>
          <w:tcPr>
            <w:tcW w:w="75" w:type="dxa"/>
            <w:tcBorders/>
            <w:shd w:fill="CCEEFF"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Exercisable at December 31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553,160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3.49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1,323,965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3.04</w:t>
            </w:r>
          </w:p>
        </w:tc>
        <w:tc>
          <w:tcPr>
            <w:tcW w:w="75"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2"/>
          <w:highlight w:val="white"/>
        </w:rPr>
      </w:pPr>
      <w:r>
        <w:rPr>
          <w:rFonts w:ascii="Times New Roman" w:hAnsi="Times New Roman"/>
          <w:sz w:val="22"/>
          <w:highlight w:val="white"/>
        </w:rPr>
        <w:t>The weighted average remaining contractual life for the share options outstanding as at December 31, 2022 was 4.8 years (2021: 5.6 years). Options outstanding at the end of the year had an exercise price of between £3.05 and £3.59</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serif" w:hAnsi="Times New Roman;serif"/>
          <w:spacing w:val="0"/>
          <w:sz w:val="22"/>
          <w:highlight w:val="white"/>
        </w:rPr>
      </w:pPr>
      <w:r>
        <w:rPr>
          <w:rFonts w:ascii="Times New Roman;serif" w:hAnsi="Times New Roman;serif"/>
          <w:spacing w:val="0"/>
          <w:sz w:val="22"/>
          <w:highlight w:val="white"/>
        </w:rPr>
        <w:t>per ordinary share.</w:t>
      </w:r>
    </w:p>
    <w:p>
      <w:pPr>
        <w:pStyle w:val="TextBody"/>
        <w:spacing w:before="36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Long Term Incentive Plan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Under the Company’s Long Term Incentive Plan (LTIP), initiated in 2016, the Company, at its discretion, may grant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nil-cost</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fair value of the LTIP Share Price Element is estimated at the date of grant using a Monte Carlo pricing model, taking into account the terms and conditions upon which the share options were granted. The fair value of the LTIP Strategic Element is estimated at the date of grant using a Black- Scholes pricing model, taking into account the terms and conditions upon which the share options were granted, and the expense recorded is based upon the expected level of achievement of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non-market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based performance measures (strategic targets).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fair value calculations do not include any allowance for dividends as the Company has no available profits for distribution. The contractual term of the LTIP options is five years. </w:t>
      </w:r>
    </w:p>
    <w:p>
      <w:pPr>
        <w:pStyle w:val="TextBody"/>
        <w:spacing w:before="0" w:after="0"/>
        <w:jc w:val="left"/>
        <w:rPr>
          <w:highlight w:val="white"/>
        </w:rPr>
      </w:pPr>
      <w:r>
        <w:rPr>
          <w:highlight w:val="white"/>
        </w:rPr>
        <w:t> </w:t>
      </w:r>
    </w:p>
    <w:tbl>
      <w:tblPr>
        <w:tblW w:w="5225" w:type="dxa"/>
        <w:jc w:val="left"/>
        <w:tblInd w:w="0" w:type="dxa"/>
        <w:tblCellMar>
          <w:top w:w="0" w:type="dxa"/>
          <w:left w:w="0" w:type="dxa"/>
          <w:bottom w:w="0" w:type="dxa"/>
          <w:right w:w="0" w:type="dxa"/>
        </w:tblCellMar>
      </w:tblPr>
      <w:tblGrid>
        <w:gridCol w:w="2945"/>
        <w:gridCol w:w="120"/>
        <w:gridCol w:w="119"/>
        <w:gridCol w:w="756"/>
        <w:gridCol w:w="60"/>
        <w:gridCol w:w="120"/>
        <w:gridCol w:w="60"/>
        <w:gridCol w:w="875"/>
        <w:gridCol w:w="170"/>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Outstanding at January 1</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7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482,748</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Lapsed during the yea</w:t>
            </w:r>
          </w:p>
          <w:p>
            <w:pPr>
              <w:pStyle w:val="TableContents"/>
              <w:spacing w:before="0" w:after="0"/>
              <w:rPr>
                <w:rFonts w:ascii="Times New Roman" w:hAnsi="Times New Roman"/>
                <w:spacing w:val="0"/>
                <w:sz w:val="24"/>
              </w:rPr>
            </w:pPr>
            <w:r>
              <w:rPr>
                <w:rFonts w:ascii="Times New Roman" w:hAnsi="Times New Roman"/>
                <w:spacing w:val="0"/>
                <w:sz w:val="24"/>
              </w:rPr>
              <w:t>r</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75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(482,748</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4"/>
              </w:rPr>
            </w:pPr>
            <w:r>
              <w:rPr>
                <w:rFonts w:ascii="Times New Roman" w:hAnsi="Times New Roman"/>
                <w:b/>
                <w:sz w:val="24"/>
              </w:rPr>
              <w:t>Outstanding at December 31</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7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756"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Exercisable at December 31</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75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double" w:sz="6" w:space="1" w:color="000000"/>
              </w:rPr>
            </w:pPr>
            <w:r>
              <w:rPr>
                <w:bdr w:val="double" w:sz="6" w:space="1" w:color="000000"/>
              </w:rPr>
              <w:t> </w:t>
            </w:r>
          </w:p>
        </w:tc>
        <w:tc>
          <w:tcPr>
            <w:tcW w:w="756"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F-4</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2"/>
          <w:highlight w:val="white"/>
        </w:rPr>
      </w:pPr>
      <w:r>
        <w:rPr>
          <w:rFonts w:ascii="Times New Roman" w:hAnsi="Times New Roman"/>
          <w:sz w:val="22"/>
          <w:highlight w:val="white"/>
        </w:rPr>
        <w:t xml:space="preserve">All LTIP options lapsed during the year ended December 31, 2021. No LTIP options were granted during the years ended December 31, 2021 and 2022 and no further grants are envisaged.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Deferred Bonus Share Plan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Under the previous terms of the Company’s Deferred Bonus Share Plan (DBSP), 30% of the annual bonus for 2017 for the senior management team was payable in deferred shares, which are governed by the DBSP plan rules. At the date of grant of the awards, the monetary bonus amount was divided by the closing share price to give the number of shares issued to the employee under the DBSP. The number of shares is fixed and not subject to adjustment between the issue date and vesting date. Under the DBSP, awards vest after three years from the date of the award.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There are no further performance conditions attached to the award, nor any service conditions (including no requirement for continued employment once the awards have been made).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Since the awards are issued at nil cost, they will be satisfied by the issue of ADSs from the Employee Benefit Trust.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The outstanding number of options as at December 31, 2021 was</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 w:hAnsi="Times New Roman"/>
          <w:sz w:val="24"/>
          <w:highlight w:val="white"/>
        </w:rPr>
      </w:pPr>
      <w:r>
        <w:rPr>
          <w:rFonts w:ascii="Times New Roman" w:hAnsi="Times New Roman"/>
          <w:sz w:val="24"/>
          <w:highlight w:val="white"/>
        </w:rPr>
        <w:t>100,817</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all of which were exercisable and had a weighted average life of</w:t>
      </w:r>
    </w:p>
    <w:p>
      <w:pPr>
        <w:pStyle w:val="TextBody"/>
        <w:spacing w:before="240" w:after="0"/>
        <w:jc w:val="left"/>
        <w:rPr>
          <w:rFonts w:ascii="Times New Roman" w:hAnsi="Times New Roman"/>
          <w:sz w:val="24"/>
          <w:highlight w:val="white"/>
        </w:rPr>
      </w:pPr>
      <w:r>
        <w:rPr>
          <w:rFonts w:ascii="Times New Roman" w:hAnsi="Times New Roman"/>
          <w:sz w:val="24"/>
          <w:highlight w:val="white"/>
        </w:rPr>
        <w:t>0.1 years</w:t>
      </w:r>
    </w:p>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During the year ended December 31, 2022,</w:t>
      </w:r>
    </w:p>
    <w:p>
      <w:pPr>
        <w:pStyle w:val="TextBody"/>
        <w:spacing w:before="240" w:after="0"/>
        <w:jc w:val="left"/>
        <w:rPr>
          <w:rFonts w:ascii="Times New Roman" w:hAnsi="Times New Roman"/>
          <w:sz w:val="24"/>
          <w:highlight w:val="white"/>
        </w:rPr>
      </w:pPr>
      <w:r>
        <w:rPr>
          <w:rFonts w:ascii="Times New Roman" w:hAnsi="Times New Roman"/>
          <w:sz w:val="24"/>
          <w:highlight w:val="white"/>
        </w:rPr>
        <w:t>22,592</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options lapsed (2021: 62,183) and </w:t>
      </w:r>
    </w:p>
    <w:p>
      <w:pPr>
        <w:pStyle w:val="TextBody"/>
        <w:spacing w:before="240" w:after="0"/>
        <w:jc w:val="left"/>
        <w:rPr>
          <w:rFonts w:ascii="Times New Roman" w:hAnsi="Times New Roman"/>
          <w:sz w:val="24"/>
          <w:highlight w:val="white"/>
        </w:rPr>
      </w:pPr>
      <w:r>
        <w:rPr>
          <w:rFonts w:ascii="Times New Roman" w:hAnsi="Times New Roman"/>
          <w:sz w:val="24"/>
          <w:highlight w:val="white"/>
        </w:rPr>
        <w:t>78,225</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options were exercised (2021: nil). There are no options outstanding as at December 31, 2022.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For the 2018 and 2019 financial years, under the Deferred Bonus Plan (“2019 DBP”), 100% of the annual bonus was paid in cash, of which 30% of amounts granted to the senior management team (after deduction of income tax and the relevant employee’s national insurance contributions) was required to be utilized to acquire shares in the Company in the open market within 12 months of the grant of the award. No further grants under the DBSP are envisaged.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Deferred equity consideration </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In October 2017, the Company’s wholly owned subsidiary Mereo BioPharma 4 Limited entered into an exclusive license and option agreement (the “License Agreement”) to obtain from AstraZeneca an exclusive worldwide,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sub-licensable</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license under AstraZeneca’s intellectual property rights relating to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MPH-966,</w:t>
      </w:r>
    </w:p>
    <w:p>
      <w:pPr>
        <w:pStyle w:val="TextBody"/>
        <w:spacing w:before="120" w:after="0"/>
        <w:jc w:val="left"/>
        <w:rPr>
          <w:rFonts w:ascii="Times New Roman" w:hAnsi="Times New Roman"/>
          <w:sz w:val="24"/>
          <w:highlight w:val="white"/>
        </w:rPr>
      </w:pPr>
      <w:r>
        <w:rPr>
          <w:rFonts w:ascii="Times New Roman" w:hAnsi="Times New Roman"/>
          <w:sz w:val="24"/>
          <w:highlight w:val="white"/>
        </w:rPr>
        <w:t xml:space="preserve">with an option to acquire such intellectual property rights following commencement of a pivotal trial and payment of related milestone payments (the “Option”), together with the acquisition of certain related assets.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Under the agreement with AstraZeneca, the Company may issue up to 1,349,693 ordinary shares which are dependent on achieving certain milestones. </w:t>
      </w:r>
    </w:p>
    <w:p>
      <w:pPr>
        <w:pStyle w:val="TextBody"/>
        <w:spacing w:before="360" w:after="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Weighted average inputs </w:t>
      </w:r>
    </w:p>
    <w:p>
      <w:pPr>
        <w:pStyle w:val="TextBody"/>
        <w:spacing w:before="120" w:after="0"/>
        <w:jc w:val="left"/>
        <w:rPr>
          <w:rFonts w:ascii="Times New Roman" w:hAnsi="Times New Roman"/>
          <w:sz w:val="24"/>
          <w:highlight w:val="white"/>
        </w:rPr>
      </w:pPr>
      <w:r>
        <w:rPr>
          <w:rFonts w:ascii="Times New Roman" w:hAnsi="Times New Roman"/>
          <w:sz w:val="24"/>
          <w:highlight w:val="white"/>
        </w:rPr>
        <w:t>The following table includes the weighted average inputs to the models used for the fair value of share options granted during the year ended December 31, 2022:</w:t>
      </w:r>
    </w:p>
    <w:p>
      <w:pPr>
        <w:pStyle w:val="TextBody"/>
        <w:spacing w:before="0" w:after="0"/>
        <w:ind w:left="0" w:right="0" w:hanging="0"/>
        <w:jc w:val="left"/>
        <w:rPr>
          <w:spacing w:val="0"/>
          <w:highlight w:val="white"/>
        </w:rPr>
      </w:pPr>
      <w:r>
        <w:rPr>
          <w:spacing w:val="0"/>
          <w:highlight w:val="white"/>
        </w:rPr>
        <w:t> </w:t>
      </w:r>
    </w:p>
    <w:tbl>
      <w:tblPr>
        <w:tblW w:w="6870" w:type="dxa"/>
        <w:jc w:val="left"/>
        <w:tblInd w:w="0" w:type="dxa"/>
        <w:tblCellMar>
          <w:top w:w="0" w:type="dxa"/>
          <w:left w:w="0" w:type="dxa"/>
          <w:bottom w:w="0" w:type="dxa"/>
          <w:right w:w="0" w:type="dxa"/>
        </w:tblCellMar>
      </w:tblPr>
      <w:tblGrid>
        <w:gridCol w:w="3545"/>
        <w:gridCol w:w="120"/>
        <w:gridCol w:w="60"/>
        <w:gridCol w:w="1340"/>
        <w:gridCol w:w="60"/>
        <w:gridCol w:w="120"/>
        <w:gridCol w:w="66"/>
        <w:gridCol w:w="1484"/>
        <w:gridCol w:w="75"/>
      </w:tblGrid>
      <w:tr>
        <w:trPr/>
        <w:tc>
          <w:tcPr>
            <w:tcW w:w="3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EIP</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NED EIP</w:t>
            </w:r>
          </w:p>
        </w:tc>
        <w:tc>
          <w:tcPr>
            <w:tcW w:w="75" w:type="dxa"/>
            <w:tcBorders/>
            <w:shd w:fill="auto" w:val="clear"/>
            <w:vAlign w:val="center"/>
          </w:tcPr>
          <w:p>
            <w:pPr>
              <w:pStyle w:val="TableContents"/>
              <w:spacing w:before="0" w:after="0"/>
              <w:rPr>
                <w:spacing w:val="0"/>
              </w:rPr>
            </w:pPr>
            <w:r>
              <w:rPr>
                <w:spacing w:val="0"/>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volatility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jc w:val="right"/>
              <w:rPr/>
            </w:pPr>
            <w:r>
              <w:rPr/>
              <w:t>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96</w:t>
            </w:r>
          </w:p>
        </w:tc>
        <w:tc>
          <w:tcPr>
            <w:tcW w:w="75" w:type="dxa"/>
            <w:tcBorders/>
            <w:shd w:fill="CCEEFF"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Risk-free interest rate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jc w:val="right"/>
              <w:rPr/>
            </w:pPr>
            <w:r>
              <w:rPr/>
              <w:t>1.83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1.96</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life of share options (years)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10</w:t>
            </w:r>
          </w:p>
        </w:tc>
        <w:tc>
          <w:tcPr>
            <w:tcW w:w="75" w:type="dxa"/>
            <w:tcBorders/>
            <w:shd w:fill="CCEEFF"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Market price of ADSs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jc w:val="right"/>
              <w:rPr/>
            </w:pPr>
            <w:r>
              <w:rPr/>
              <w:t>1.38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1.22</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Model used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jc w:val="right"/>
              <w:rPr/>
            </w:pPr>
            <w:r>
              <w:rPr/>
              <w:t>Black-scholes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Black-scholes</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F-</w:t>
      </w:r>
    </w:p>
    <w:p>
      <w:pPr>
        <w:pStyle w:val="TextBody"/>
        <w:spacing w:before="0" w:after="0"/>
        <w:jc w:val="center"/>
        <w:rPr>
          <w:rFonts w:ascii="Times New Roman" w:hAnsi="Times New Roman"/>
          <w:spacing w:val="0"/>
          <w:sz w:val="24"/>
          <w:highlight w:val="white"/>
        </w:rPr>
      </w:pPr>
      <w:r>
        <w:rPr>
          <w:rFonts w:ascii="Times New Roman" w:hAnsi="Times New Roman"/>
          <w:spacing w:val="0"/>
          <w:sz w:val="24"/>
          <w:highlight w:val="white"/>
        </w:rPr>
        <w:t>50</w:t>
      </w:r>
    </w:p>
    <w:p>
      <w:pPr>
        <w:pStyle w:val="HorizontalLine"/>
        <w:jc w:val="center"/>
        <w:rPr/>
      </w:pPr>
      <w:r>
        <w:rPr/>
      </w:r>
    </w:p>
    <w:p>
      <w:pPr>
        <w:pStyle w:val="TextBody"/>
        <w:spacing w:before="0" w:after="0"/>
        <w:jc w:val="left"/>
        <w:rPr/>
      </w:pPr>
      <w:hyperlink w:anchor="toc">
        <w:r>
          <w:rPr>
            <w:rStyle w:val="InternetLink"/>
            <w:b/>
            <w:highlight w:val="white"/>
          </w:rPr>
          <w:t>Table of Contents</w:t>
        </w:r>
      </w:hyperlink>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MEREO BIOPHARMA GROUP PLC </w:t>
      </w:r>
    </w:p>
    <w:p>
      <w:pPr>
        <w:pStyle w:val="TextBody"/>
        <w:spacing w:before="0" w:after="0"/>
        <w:jc w:val="center"/>
        <w:rPr>
          <w:rFonts w:ascii="Times New Roman" w:hAnsi="Times New Roman"/>
          <w:sz w:val="24"/>
          <w:highlight w:val="white"/>
        </w:rPr>
      </w:pPr>
      <w:r>
        <w:rPr>
          <w:rFonts w:ascii="Times New Roman" w:hAnsi="Times New Roman"/>
          <w:sz w:val="24"/>
          <w:highlight w:val="white"/>
        </w:rPr>
        <w:t xml:space="preserve">NOTES TO THE CONSOLIDATED FINANCIAL STATEMENTS (CONTINUED) </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pacing w:val="0"/>
          <w:sz w:val="24"/>
          <w:highlight w:val="white"/>
        </w:rPr>
      </w:pPr>
      <w:r>
        <w:rPr>
          <w:rFonts w:ascii="Times New Roman" w:hAnsi="Times New Roman"/>
          <w:spacing w:val="0"/>
          <w:sz w:val="24"/>
          <w:highlight w:val="white"/>
        </w:rPr>
        <w:t xml:space="preserve">During the year ended December 31, 2022, no grants of share options were issued under any other scheme.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The following table includes the weighted average inputs to the models used for the fair value of share options granted during the year ended December 31, 2021: </w:t>
      </w:r>
    </w:p>
    <w:p>
      <w:pPr>
        <w:pStyle w:val="TextBody"/>
        <w:spacing w:before="0" w:after="0"/>
        <w:ind w:left="0" w:right="0" w:hanging="0"/>
        <w:jc w:val="left"/>
        <w:rPr>
          <w:highlight w:val="white"/>
        </w:rPr>
      </w:pPr>
      <w:r>
        <w:rPr>
          <w:highlight w:val="white"/>
        </w:rPr>
        <w:t> </w:t>
      </w:r>
    </w:p>
    <w:tbl>
      <w:tblPr>
        <w:tblW w:w="6870" w:type="dxa"/>
        <w:jc w:val="left"/>
        <w:tblInd w:w="0" w:type="dxa"/>
        <w:tblCellMar>
          <w:top w:w="0" w:type="dxa"/>
          <w:left w:w="0" w:type="dxa"/>
          <w:bottom w:w="0" w:type="dxa"/>
          <w:right w:w="0" w:type="dxa"/>
        </w:tblCellMar>
      </w:tblPr>
      <w:tblGrid>
        <w:gridCol w:w="3545"/>
        <w:gridCol w:w="120"/>
        <w:gridCol w:w="60"/>
        <w:gridCol w:w="1340"/>
        <w:gridCol w:w="60"/>
        <w:gridCol w:w="120"/>
        <w:gridCol w:w="66"/>
        <w:gridCol w:w="1484"/>
        <w:gridCol w:w="75"/>
      </w:tblGrid>
      <w:tr>
        <w:trPr/>
        <w:tc>
          <w:tcPr>
            <w:tcW w:w="3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EIP</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 NED EIP</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volatility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jc w:val="right"/>
              <w:rPr/>
            </w:pPr>
            <w:r>
              <w:rPr/>
              <w:t>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98</w:t>
            </w:r>
          </w:p>
        </w:tc>
        <w:tc>
          <w:tcPr>
            <w:tcW w:w="75" w:type="dxa"/>
            <w:tcBorders/>
            <w:shd w:fill="CCEEFF"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Risk-free interest rate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jc w:val="right"/>
              <w:rPr/>
            </w:pPr>
            <w:r>
              <w:rPr/>
              <w:t>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1.09</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Expected life of share options (years)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10</w:t>
            </w:r>
          </w:p>
        </w:tc>
        <w:tc>
          <w:tcPr>
            <w:tcW w:w="75" w:type="dxa"/>
            <w:tcBorders/>
            <w:shd w:fill="CCEEFF"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Market price of ADSs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jc w:val="right"/>
              <w:rPr/>
            </w:pPr>
            <w:r>
              <w:rPr/>
              <w:t>2.83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2.81</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Model used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0"/>
              <w:jc w:val="right"/>
              <w:rPr>
                <w:spacing w:val="0"/>
              </w:rPr>
            </w:pPr>
            <w:r>
              <w:rPr>
                <w:spacing w:val="0"/>
              </w:rPr>
              <w:t>Black-scholes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0"/>
              <w:jc w:val="right"/>
              <w:rPr>
                <w:spacing w:val="0"/>
              </w:rPr>
            </w:pPr>
            <w:r>
              <w:rPr>
                <w:spacing w:val="0"/>
              </w:rPr>
              <w:t>Black-scholes</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4"/>
          <w:highlight w:val="white"/>
        </w:rPr>
      </w:pPr>
      <w:r>
        <w:rPr>
          <w:rFonts w:ascii="Times New Roman" w:hAnsi="Times New Roman"/>
          <w:sz w:val="24"/>
          <w:highlight w:val="white"/>
        </w:rPr>
        <w:t>During the year ended December 31, 2021, no grants were issued under any other scheme.</w:t>
      </w:r>
    </w:p>
    <w:p>
      <w:pPr>
        <w:pStyle w:val="TextBody"/>
        <w:spacing w:before="240" w:after="0"/>
        <w:ind w:left="0" w:right="0" w:firstLine="612"/>
        <w:jc w:val="left"/>
        <w:rPr>
          <w:rFonts w:ascii="Times New Roman;serif" w:hAnsi="Times New Roman;serif"/>
          <w:spacing w:val="0"/>
          <w:sz w:val="24"/>
          <w:highlight w:val="white"/>
        </w:rPr>
      </w:pPr>
      <w:r>
        <w:rPr>
          <w:rFonts w:ascii="Times New Roman;serif" w:hAnsi="Times New Roman;serif"/>
          <w:spacing w:val="0"/>
          <w:sz w:val="24"/>
          <w:highlight w:val="white"/>
        </w:rPr>
        <w:t xml:space="preserve">The expected volatility inputs for the years ended December 31, 2022 and 2021 reflect the assumption that the historical volatility over a period similar to the life of the options is indicative of future trends.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27. Related party disclosures </w:t>
      </w:r>
    </w:p>
    <w:p>
      <w:pPr>
        <w:pStyle w:val="TextBody"/>
        <w:spacing w:before="12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Compensation of key management personnel of the Company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The remuneration of key management personnel of the Company is set out below in aggregate: </w:t>
      </w:r>
    </w:p>
    <w:p>
      <w:pPr>
        <w:pStyle w:val="TextBody"/>
        <w:spacing w:before="0" w:after="0"/>
        <w:ind w:left="0" w:right="0" w:hanging="0"/>
        <w:jc w:val="left"/>
        <w:rPr>
          <w:spacing w:val="0"/>
          <w:highlight w:val="white"/>
        </w:rPr>
      </w:pPr>
      <w:r>
        <w:rPr>
          <w:spacing w:val="0"/>
          <w:highlight w:val="white"/>
        </w:rPr>
        <w:t> </w:t>
      </w:r>
    </w:p>
    <w:tbl>
      <w:tblPr>
        <w:tblW w:w="5601" w:type="dxa"/>
        <w:jc w:val="left"/>
        <w:tblInd w:w="0" w:type="dxa"/>
        <w:tblCellMar>
          <w:top w:w="0" w:type="dxa"/>
          <w:left w:w="0" w:type="dxa"/>
          <w:bottom w:w="0" w:type="dxa"/>
          <w:right w:w="0" w:type="dxa"/>
        </w:tblCellMar>
      </w:tblPr>
      <w:tblGrid>
        <w:gridCol w:w="2750"/>
        <w:gridCol w:w="120"/>
        <w:gridCol w:w="71"/>
        <w:gridCol w:w="670"/>
        <w:gridCol w:w="71"/>
        <w:gridCol w:w="143"/>
        <w:gridCol w:w="71"/>
        <w:gridCol w:w="670"/>
        <w:gridCol w:w="71"/>
        <w:gridCol w:w="143"/>
        <w:gridCol w:w="71"/>
        <w:gridCol w:w="675"/>
        <w:gridCol w:w="75"/>
      </w:tblGrid>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656" w:type="dxa"/>
            <w:gridSpan w:val="10"/>
            <w:tcBorders/>
            <w:shd w:fill="auto" w:val="cle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0"/>
              <w:rPr/>
            </w:pPr>
            <w:r>
              <w:rPr/>
              <w:t> </w:t>
            </w:r>
          </w:p>
        </w:tc>
      </w:tr>
      <w:tr>
        <w:trPr/>
        <w:tc>
          <w:tcPr>
            <w:tcW w:w="27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741" w:type="dxa"/>
            <w:gridSpan w:val="2"/>
            <w:tcBorders/>
            <w:shd w:fill="auto" w:val="clear"/>
            <w:vAlign w:val="center"/>
          </w:tcPr>
          <w:p>
            <w:pPr>
              <w:pStyle w:val="TableContents"/>
              <w:spacing w:before="0" w:after="0"/>
              <w:jc w:val="center"/>
              <w:rPr>
                <w:b/>
                <w:spacing w:val="0"/>
              </w:rPr>
            </w:pPr>
            <w:r>
              <w:rPr>
                <w:b/>
                <w:spacing w:val="0"/>
              </w:rPr>
              <w:t>2022</w:t>
            </w:r>
          </w:p>
        </w:tc>
        <w:tc>
          <w:tcPr>
            <w:tcW w:w="71" w:type="dxa"/>
            <w:tcBorders/>
            <w:shd w:fill="auto" w:val="clear"/>
            <w:vAlign w:val="center"/>
          </w:tcPr>
          <w:p>
            <w:pPr>
              <w:pStyle w:val="TableContents"/>
              <w:spacing w:before="0" w:after="0"/>
              <w:rPr/>
            </w:pPr>
            <w:r>
              <w:rPr/>
              <w:t> </w:t>
            </w:r>
          </w:p>
        </w:tc>
        <w:tc>
          <w:tcPr>
            <w:tcW w:w="143" w:type="dxa"/>
            <w:tcBorders/>
            <w:shd w:fill="auto" w:val="clear"/>
            <w:vAlign w:val="center"/>
          </w:tcPr>
          <w:p>
            <w:pPr>
              <w:pStyle w:val="TableContents"/>
              <w:spacing w:before="0" w:after="0"/>
              <w:rPr/>
            </w:pPr>
            <w:r>
              <w:rPr/>
              <w:t>  </w:t>
            </w:r>
          </w:p>
        </w:tc>
        <w:tc>
          <w:tcPr>
            <w:tcW w:w="741" w:type="dxa"/>
            <w:gridSpan w:val="2"/>
            <w:tcBorders/>
            <w:shd w:fill="auto" w:val="clear"/>
            <w:vAlign w:val="center"/>
          </w:tcPr>
          <w:p>
            <w:pPr>
              <w:pStyle w:val="TableContents"/>
              <w:spacing w:before="0" w:after="0"/>
              <w:jc w:val="center"/>
              <w:rPr>
                <w:b/>
                <w:spacing w:val="0"/>
              </w:rPr>
            </w:pPr>
            <w:r>
              <w:rPr>
                <w:b/>
                <w:spacing w:val="0"/>
              </w:rPr>
              <w:t>2021</w:t>
            </w:r>
          </w:p>
        </w:tc>
        <w:tc>
          <w:tcPr>
            <w:tcW w:w="71" w:type="dxa"/>
            <w:tcBorders/>
            <w:shd w:fill="auto" w:val="clear"/>
            <w:vAlign w:val="center"/>
          </w:tcPr>
          <w:p>
            <w:pPr>
              <w:pStyle w:val="TableContents"/>
              <w:spacing w:before="0" w:after="0"/>
              <w:rPr/>
            </w:pPr>
            <w:r>
              <w:rPr/>
              <w:t> </w:t>
            </w:r>
          </w:p>
        </w:tc>
        <w:tc>
          <w:tcPr>
            <w:tcW w:w="143" w:type="dxa"/>
            <w:tcBorders/>
            <w:shd w:fill="auto" w:val="clear"/>
            <w:vAlign w:val="center"/>
          </w:tcPr>
          <w:p>
            <w:pPr>
              <w:pStyle w:val="TableContents"/>
              <w:spacing w:before="0" w:after="0"/>
              <w:rPr/>
            </w:pPr>
            <w:r>
              <w:rPr/>
              <w:t>  </w:t>
            </w:r>
          </w:p>
        </w:tc>
        <w:tc>
          <w:tcPr>
            <w:tcW w:w="746"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0"/>
              <w:rPr/>
            </w:pPr>
            <w:r>
              <w:rPr/>
              <w:t> </w:t>
            </w:r>
          </w:p>
        </w:tc>
      </w:tr>
      <w:tr>
        <w:trPr/>
        <w:tc>
          <w:tcPr>
            <w:tcW w:w="27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741" w:type="dxa"/>
            <w:gridSpan w:val="2"/>
            <w:tcBorders/>
            <w:shd w:fill="auto" w:val="clear"/>
            <w:vAlign w:val="center"/>
          </w:tcPr>
          <w:p>
            <w:pPr>
              <w:pStyle w:val="TableContents"/>
              <w:spacing w:before="0" w:after="0"/>
              <w:jc w:val="center"/>
              <w:rPr>
                <w:b/>
                <w:spacing w:val="0"/>
              </w:rPr>
            </w:pPr>
            <w:r>
              <w:rPr>
                <w:b/>
                <w:spacing w:val="0"/>
              </w:rPr>
              <w:t>£’000s</w:t>
            </w:r>
          </w:p>
        </w:tc>
        <w:tc>
          <w:tcPr>
            <w:tcW w:w="71" w:type="dxa"/>
            <w:tcBorders/>
            <w:shd w:fill="auto" w:val="clear"/>
            <w:vAlign w:val="center"/>
          </w:tcPr>
          <w:p>
            <w:pPr>
              <w:pStyle w:val="TableContents"/>
              <w:spacing w:before="0" w:after="0"/>
              <w:rPr/>
            </w:pPr>
            <w:r>
              <w:rPr/>
              <w:t> </w:t>
            </w:r>
          </w:p>
        </w:tc>
        <w:tc>
          <w:tcPr>
            <w:tcW w:w="143" w:type="dxa"/>
            <w:tcBorders/>
            <w:shd w:fill="auto" w:val="clear"/>
            <w:vAlign w:val="center"/>
          </w:tcPr>
          <w:p>
            <w:pPr>
              <w:pStyle w:val="TableContents"/>
              <w:spacing w:before="0" w:after="0"/>
              <w:rPr/>
            </w:pPr>
            <w:r>
              <w:rPr/>
              <w:t>  </w:t>
            </w:r>
          </w:p>
        </w:tc>
        <w:tc>
          <w:tcPr>
            <w:tcW w:w="741" w:type="dxa"/>
            <w:gridSpan w:val="2"/>
            <w:tcBorders/>
            <w:shd w:fill="auto" w:val="clear"/>
            <w:vAlign w:val="center"/>
          </w:tcPr>
          <w:p>
            <w:pPr>
              <w:pStyle w:val="TableContents"/>
              <w:spacing w:before="0" w:after="0"/>
              <w:jc w:val="center"/>
              <w:rPr>
                <w:b/>
                <w:spacing w:val="0"/>
              </w:rPr>
            </w:pPr>
            <w:r>
              <w:rPr>
                <w:b/>
                <w:spacing w:val="0"/>
              </w:rPr>
              <w:t>£’000s</w:t>
            </w:r>
          </w:p>
        </w:tc>
        <w:tc>
          <w:tcPr>
            <w:tcW w:w="71" w:type="dxa"/>
            <w:tcBorders/>
            <w:shd w:fill="auto" w:val="clear"/>
            <w:vAlign w:val="center"/>
          </w:tcPr>
          <w:p>
            <w:pPr>
              <w:pStyle w:val="TableContents"/>
              <w:spacing w:before="0" w:after="0"/>
              <w:rPr/>
            </w:pPr>
            <w:r>
              <w:rPr/>
              <w:t> </w:t>
            </w:r>
          </w:p>
        </w:tc>
        <w:tc>
          <w:tcPr>
            <w:tcW w:w="143" w:type="dxa"/>
            <w:tcBorders/>
            <w:shd w:fill="auto" w:val="clear"/>
            <w:vAlign w:val="center"/>
          </w:tcPr>
          <w:p>
            <w:pPr>
              <w:pStyle w:val="TableContents"/>
              <w:spacing w:before="0" w:after="0"/>
              <w:rPr/>
            </w:pPr>
            <w:r>
              <w:rPr/>
              <w:t>  </w:t>
            </w:r>
          </w:p>
        </w:tc>
        <w:tc>
          <w:tcPr>
            <w:tcW w:w="746" w:type="dxa"/>
            <w:gridSpan w:val="2"/>
            <w:tcBorders/>
            <w:shd w:fill="auto" w:val="clear"/>
            <w:vAlign w:val="center"/>
          </w:tcPr>
          <w:p>
            <w:pPr>
              <w:pStyle w:val="TableContents"/>
              <w:spacing w:before="0" w:after="0"/>
              <w:jc w:val="center"/>
              <w:rPr>
                <w:b/>
                <w:spacing w:val="0"/>
              </w:rPr>
            </w:pPr>
            <w:r>
              <w:rPr>
                <w:b/>
                <w:spacing w:val="0"/>
              </w:rPr>
              <w:t>£’000s</w:t>
            </w:r>
          </w:p>
        </w:tc>
        <w:tc>
          <w:tcPr>
            <w:tcW w:w="75" w:type="dxa"/>
            <w:tcBorders/>
            <w:shd w:fill="auto" w:val="clear"/>
            <w:vAlign w:val="center"/>
          </w:tcPr>
          <w:p>
            <w:pPr>
              <w:pStyle w:val="TableContents"/>
              <w:spacing w:before="0" w:after="0"/>
              <w:rPr/>
            </w:pPr>
            <w:r>
              <w:rPr/>
              <w:t> </w:t>
            </w:r>
          </w:p>
        </w:tc>
      </w:tr>
      <w:tr>
        <w:trPr/>
        <w:tc>
          <w:tcPr>
            <w:tcW w:w="275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Short-term benefits</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0" w:type="dxa"/>
            <w:tcBorders/>
            <w:shd w:fill="CCEEFF" w:val="clear"/>
            <w:vAlign w:val="center"/>
          </w:tcPr>
          <w:p>
            <w:pPr>
              <w:pStyle w:val="TableContents"/>
              <w:spacing w:before="0" w:after="283"/>
              <w:jc w:val="right"/>
              <w:rPr/>
            </w:pPr>
            <w:r>
              <w:rPr/>
              <w:t>3,699</w:t>
            </w:r>
          </w:p>
        </w:tc>
        <w:tc>
          <w:tcPr>
            <w:tcW w:w="7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0" w:type="dxa"/>
            <w:tcBorders/>
            <w:shd w:fill="CCEEFF" w:val="clear"/>
            <w:vAlign w:val="center"/>
          </w:tcPr>
          <w:p>
            <w:pPr>
              <w:pStyle w:val="TableContents"/>
              <w:spacing w:before="0" w:after="283"/>
              <w:jc w:val="right"/>
              <w:rPr/>
            </w:pPr>
            <w:r>
              <w:rPr/>
              <w:t>4,018</w:t>
            </w:r>
          </w:p>
        </w:tc>
        <w:tc>
          <w:tcPr>
            <w:tcW w:w="7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5" w:type="dxa"/>
            <w:tcBorders/>
            <w:shd w:fill="CCEEFF" w:val="clear"/>
            <w:vAlign w:val="center"/>
          </w:tcPr>
          <w:p>
            <w:pPr>
              <w:pStyle w:val="TableContents"/>
              <w:spacing w:before="0" w:after="283"/>
              <w:jc w:val="right"/>
              <w:rPr/>
            </w:pPr>
            <w:r>
              <w:rPr/>
              <w:t>4,479</w:t>
            </w:r>
          </w:p>
        </w:tc>
        <w:tc>
          <w:tcPr>
            <w:tcW w:w="75"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4"/>
              </w:rPr>
            </w:pPr>
            <w:r>
              <w:rPr>
                <w:rFonts w:ascii="Times New Roman" w:hAnsi="Times New Roman"/>
                <w:sz w:val="24"/>
              </w:rPr>
              <w:t>Post-employment benefits</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70" w:type="dxa"/>
            <w:tcBorders/>
            <w:shd w:fill="auto" w:val="clear"/>
            <w:vAlign w:val="center"/>
          </w:tcPr>
          <w:p>
            <w:pPr>
              <w:pStyle w:val="TableContents"/>
              <w:spacing w:before="0" w:after="283"/>
              <w:jc w:val="right"/>
              <w:rPr/>
            </w:pPr>
            <w:r>
              <w:rPr/>
              <w:t>158</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70" w:type="dxa"/>
            <w:tcBorders/>
            <w:shd w:fill="auto" w:val="clear"/>
            <w:vAlign w:val="center"/>
          </w:tcPr>
          <w:p>
            <w:pPr>
              <w:pStyle w:val="TableContents"/>
              <w:spacing w:before="0" w:after="283"/>
              <w:jc w:val="right"/>
              <w:rPr/>
            </w:pPr>
            <w:r>
              <w:rPr/>
              <w:t>173</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75"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4"/>
              </w:rPr>
            </w:pPr>
            <w:r>
              <w:rPr>
                <w:rFonts w:ascii="Times New Roman" w:hAnsi="Times New Roman"/>
                <w:sz w:val="24"/>
              </w:rPr>
              <w:t>Share-based payment charge</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0" w:type="dxa"/>
            <w:tcBorders/>
            <w:shd w:fill="CCEEFF" w:val="clear"/>
            <w:vAlign w:val="center"/>
          </w:tcPr>
          <w:p>
            <w:pPr>
              <w:pStyle w:val="TableContents"/>
              <w:spacing w:before="0" w:after="283"/>
              <w:jc w:val="right"/>
              <w:rPr/>
            </w:pPr>
            <w:r>
              <w:rPr/>
              <w:t>3,043</w:t>
            </w:r>
          </w:p>
        </w:tc>
        <w:tc>
          <w:tcPr>
            <w:tcW w:w="7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0" w:type="dxa"/>
            <w:tcBorders/>
            <w:shd w:fill="CCEEFF" w:val="clear"/>
            <w:vAlign w:val="center"/>
          </w:tcPr>
          <w:p>
            <w:pPr>
              <w:pStyle w:val="TableContents"/>
              <w:spacing w:before="0" w:after="283"/>
              <w:jc w:val="right"/>
              <w:rPr/>
            </w:pPr>
            <w:r>
              <w:rPr/>
              <w:t>2,559</w:t>
            </w:r>
          </w:p>
        </w:tc>
        <w:tc>
          <w:tcPr>
            <w:tcW w:w="7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75" w:type="dxa"/>
            <w:tcBorders/>
            <w:shd w:fill="CCEEFF" w:val="clear"/>
            <w:vAlign w:val="center"/>
          </w:tcPr>
          <w:p>
            <w:pPr>
              <w:pStyle w:val="TableContents"/>
              <w:spacing w:before="0" w:after="283"/>
              <w:jc w:val="right"/>
              <w:rPr/>
            </w:pPr>
            <w:r>
              <w:rPr/>
              <w:t>875</w:t>
            </w:r>
          </w:p>
        </w:tc>
        <w:tc>
          <w:tcPr>
            <w:tcW w:w="75"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670" w:type="dxa"/>
            <w:tcBorders/>
            <w:shd w:fill="auto" w:val="clear"/>
            <w:vAlign w:val="center"/>
          </w:tcPr>
          <w:p>
            <w:pPr>
              <w:pStyle w:val="TableContents"/>
              <w:spacing w:before="0" w:after="0"/>
              <w:rPr>
                <w:bdr w:val="single" w:sz="2" w:space="1" w:color="000000"/>
              </w:rPr>
            </w:pPr>
            <w:r>
              <w:rPr>
                <w:bdr w:val="single" w:sz="2" w:space="1" w:color="000000"/>
              </w:rPr>
              <w:t> </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670" w:type="dxa"/>
            <w:tcBorders/>
            <w:shd w:fill="auto" w:val="clear"/>
            <w:vAlign w:val="center"/>
          </w:tcPr>
          <w:p>
            <w:pPr>
              <w:pStyle w:val="TableContents"/>
              <w:spacing w:before="0" w:after="0"/>
              <w:rPr>
                <w:bdr w:val="single" w:sz="2" w:space="1" w:color="000000"/>
              </w:rPr>
            </w:pPr>
            <w:r>
              <w:rPr>
                <w:bdr w:val="single" w:sz="2" w:space="1" w:color="000000"/>
              </w:rPr>
              <w:t> </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67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b/>
                <w:sz w:val="22"/>
              </w:rPr>
            </w:pPr>
            <w:r>
              <w:rPr>
                <w:rFonts w:ascii="Times New Roman" w:hAnsi="Times New Roman"/>
                <w:b/>
                <w:sz w:val="22"/>
              </w:rPr>
              <w:t>Total</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670" w:type="dxa"/>
            <w:tcBorders/>
            <w:shd w:fill="auto" w:val="clear"/>
            <w:vAlign w:val="center"/>
          </w:tcPr>
          <w:p>
            <w:pPr>
              <w:pStyle w:val="TableContents"/>
              <w:spacing w:before="0" w:after="0"/>
              <w:jc w:val="right"/>
              <w:rPr>
                <w:b/>
                <w:spacing w:val="0"/>
              </w:rPr>
            </w:pPr>
            <w:r>
              <w:rPr>
                <w:b/>
                <w:spacing w:val="0"/>
              </w:rPr>
              <w:t>6,900</w:t>
            </w:r>
          </w:p>
        </w:tc>
        <w:tc>
          <w:tcPr>
            <w:tcW w:w="71" w:type="dxa"/>
            <w:tcBorders/>
            <w:shd w:fill="auto" w:val="clear"/>
            <w:vAlign w:val="center"/>
          </w:tcPr>
          <w:p>
            <w:pPr>
              <w:pStyle w:val="TableContents"/>
              <w:spacing w:before="0" w:after="0"/>
              <w:rPr>
                <w:spacing w:val="0"/>
              </w:rPr>
            </w:pPr>
            <w:r>
              <w:rPr>
                <w:spacing w:val="0"/>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670" w:type="dxa"/>
            <w:tcBorders/>
            <w:shd w:fill="auto" w:val="clear"/>
            <w:vAlign w:val="center"/>
          </w:tcPr>
          <w:p>
            <w:pPr>
              <w:pStyle w:val="TableContents"/>
              <w:spacing w:before="0" w:after="0"/>
              <w:jc w:val="right"/>
              <w:rPr>
                <w:b/>
                <w:spacing w:val="0"/>
              </w:rPr>
            </w:pPr>
            <w:r>
              <w:rPr>
                <w:b/>
                <w:spacing w:val="0"/>
              </w:rPr>
              <w:t>6,750</w:t>
            </w:r>
          </w:p>
        </w:tc>
        <w:tc>
          <w:tcPr>
            <w:tcW w:w="71" w:type="dxa"/>
            <w:tcBorders/>
            <w:shd w:fill="auto" w:val="clear"/>
            <w:vAlign w:val="center"/>
          </w:tcPr>
          <w:p>
            <w:pPr>
              <w:pStyle w:val="TableContents"/>
              <w:spacing w:before="0" w:after="0"/>
              <w:rPr>
                <w:spacing w:val="0"/>
              </w:rPr>
            </w:pPr>
            <w:r>
              <w:rPr>
                <w:spacing w:val="0"/>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675" w:type="dxa"/>
            <w:tcBorders/>
            <w:shd w:fill="auto" w:val="clear"/>
            <w:vAlign w:val="center"/>
          </w:tcPr>
          <w:p>
            <w:pPr>
              <w:pStyle w:val="TableContents"/>
              <w:spacing w:before="0" w:after="0"/>
              <w:jc w:val="right"/>
              <w:rPr>
                <w:b/>
                <w:spacing w:val="0"/>
              </w:rPr>
            </w:pPr>
            <w:r>
              <w:rPr>
                <w:b/>
                <w:spacing w:val="0"/>
              </w:rPr>
              <w:t>5,498</w:t>
            </w:r>
          </w:p>
        </w:tc>
        <w:tc>
          <w:tcPr>
            <w:tcW w:w="75" w:type="dxa"/>
            <w:tcBorders/>
            <w:shd w:fill="auto"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double" w:sz="6" w:space="1" w:color="000000"/>
              </w:rPr>
            </w:pPr>
            <w:r>
              <w:rPr>
                <w:bdr w:val="double" w:sz="6" w:space="1" w:color="000000"/>
              </w:rPr>
              <w:t> </w:t>
            </w:r>
          </w:p>
        </w:tc>
        <w:tc>
          <w:tcPr>
            <w:tcW w:w="670" w:type="dxa"/>
            <w:tcBorders/>
            <w:shd w:fill="auto" w:val="clear"/>
            <w:vAlign w:val="center"/>
          </w:tcPr>
          <w:p>
            <w:pPr>
              <w:pStyle w:val="TableContents"/>
              <w:spacing w:before="0" w:after="0"/>
              <w:rPr>
                <w:bdr w:val="double" w:sz="6" w:space="1" w:color="000000"/>
              </w:rPr>
            </w:pPr>
            <w:r>
              <w:rPr>
                <w:bdr w:val="double" w:sz="6" w:space="1" w:color="000000"/>
              </w:rPr>
              <w:t> </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double" w:sz="6" w:space="1" w:color="000000"/>
              </w:rPr>
            </w:pPr>
            <w:r>
              <w:rPr>
                <w:bdr w:val="double" w:sz="6" w:space="1" w:color="000000"/>
              </w:rPr>
              <w:t> </w:t>
            </w:r>
          </w:p>
        </w:tc>
        <w:tc>
          <w:tcPr>
            <w:tcW w:w="670" w:type="dxa"/>
            <w:tcBorders/>
            <w:shd w:fill="auto" w:val="clear"/>
            <w:vAlign w:val="center"/>
          </w:tcPr>
          <w:p>
            <w:pPr>
              <w:pStyle w:val="TableContents"/>
              <w:spacing w:before="0" w:after="0"/>
              <w:rPr>
                <w:bdr w:val="double" w:sz="6" w:space="1" w:color="000000"/>
              </w:rPr>
            </w:pPr>
            <w:r>
              <w:rPr>
                <w:bdr w:val="double" w:sz="6" w:space="1" w:color="000000"/>
              </w:rPr>
              <w:t> </w:t>
            </w:r>
          </w:p>
        </w:tc>
        <w:tc>
          <w:tcPr>
            <w:tcW w:w="7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double" w:sz="6" w:space="1" w:color="000000"/>
              </w:rPr>
            </w:pPr>
            <w:r>
              <w:rPr>
                <w:bdr w:val="double" w:sz="6" w:space="1" w:color="000000"/>
              </w:rPr>
              <w:t> </w:t>
            </w:r>
          </w:p>
        </w:tc>
        <w:tc>
          <w:tcPr>
            <w:tcW w:w="67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4"/>
          <w:highlight w:val="white"/>
        </w:rPr>
      </w:pPr>
      <w:r>
        <w:rPr>
          <w:rFonts w:ascii="Times New Roman" w:hAnsi="Times New Roman"/>
          <w:spacing w:val="0"/>
          <w:sz w:val="24"/>
          <w:highlight w:val="white"/>
        </w:rPr>
        <w:t xml:space="preserve">The amounts disclosed in the table above are the amounts recognized as an expense during the reporting period related to key management personnel. In 2022, key management personnel of the Company consisted of the executive director (the Chief Executive Officer),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non-executive</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directors, and other members of senior executive management (the Chief Financial Officer, the General Counsel, the Chief Portfolio Management and Pipeline Strategy, Chief Business Officer, Chief Scientific Officer, the Chief Patient Access and Commercial Planning, the Senior Vice President Clinical Development, and Senior Vice President and Therapeutic Head). </w:t>
      </w:r>
    </w:p>
    <w:p>
      <w:pPr>
        <w:pStyle w:val="TextBody"/>
        <w:spacing w:before="360" w:after="0"/>
        <w:ind w:left="0" w:right="0" w:hanging="0"/>
        <w:jc w:val="left"/>
        <w:rPr>
          <w:rFonts w:ascii="Times New Roman" w:hAnsi="Times New Roman"/>
          <w:i/>
          <w:caps w:val="false"/>
          <w:smallCaps w:val="false"/>
          <w:spacing w:val="0"/>
          <w:sz w:val="24"/>
          <w:highlight w:val="white"/>
        </w:rPr>
      </w:pPr>
      <w:r>
        <w:rPr>
          <w:rFonts w:ascii="Times New Roman" w:hAnsi="Times New Roman"/>
          <w:i/>
          <w:caps w:val="false"/>
          <w:smallCaps w:val="false"/>
          <w:spacing w:val="0"/>
          <w:sz w:val="24"/>
          <w:highlight w:val="white"/>
        </w:rPr>
        <w:t xml:space="preserve">Employee Benefit Trust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 xml:space="preserve">In 2016 the Company set up an Employee Benefit Trust (“EBT”). The EBT holds ADS’s to satisfy the exercise of options under the Company’s share-based incentive schemes </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(see </w:t>
      </w:r>
    </w:p>
    <w:p>
      <w:pPr>
        <w:pStyle w:val="TextBody"/>
        <w:spacing w:before="120" w:after="0"/>
        <w:jc w:val="left"/>
        <w:rPr>
          <w:rFonts w:ascii="Times New Roman" w:hAnsi="Times New Roman"/>
          <w:spacing w:val="0"/>
          <w:sz w:val="24"/>
          <w:highlight w:val="white"/>
        </w:rPr>
      </w:pPr>
      <w:r>
        <w:rPr>
          <w:rFonts w:ascii="Times New Roman" w:hAnsi="Times New Roman"/>
          <w:spacing w:val="0"/>
          <w:sz w:val="24"/>
          <w:highlight w:val="white"/>
        </w:rPr>
        <w:t>Note 26</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No funding was loaned to the EBT by the Company during the year ended December 31, 2022 or 2021.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During the years ended December</w:t>
      </w:r>
    </w:p>
    <w:p>
      <w:pPr>
        <w:pStyle w:val="TextBody"/>
        <w:spacing w:before="240" w:after="0"/>
        <w:jc w:val="left"/>
        <w:rPr>
          <w:highlight w:val="white"/>
        </w:rPr>
      </w:pPr>
      <w:r>
        <w:rPr>
          <w:highlight w:val="white"/>
        </w:rPr>
        <w:t> </w:t>
      </w:r>
      <w:r>
        <w:rPr>
          <w:rFonts w:ascii="Times New Roman" w:hAnsi="Times New Roman"/>
          <w:sz w:val="24"/>
          <w:highlight w:val="white"/>
        </w:rPr>
        <w:t xml:space="preserve">31, 2022 and 2021, no ordinary shares were purchased by the EBT. A total of 15,645 ADSs held by the EBT were used in the year-ended December 31, 2022 to satisfy the exercise of options under the Company’s </w:t>
      </w:r>
    </w:p>
    <w:p>
      <w:pPr>
        <w:pStyle w:val="TextBody"/>
        <w:spacing w:before="240" w:after="0"/>
        <w:jc w:val="left"/>
        <w:rPr>
          <w:rFonts w:ascii="Times New Roman;serif" w:hAnsi="Times New Roman;serif"/>
          <w:spacing w:val="0"/>
          <w:sz w:val="24"/>
          <w:highlight w:val="white"/>
        </w:rPr>
      </w:pPr>
      <w:r>
        <w:rPr>
          <w:rFonts w:ascii="Times New Roman;serif" w:hAnsi="Times New Roman;serif"/>
          <w:spacing w:val="0"/>
          <w:sz w:val="24"/>
          <w:highlight w:val="white"/>
        </w:rPr>
        <w:t>share-based</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incentive </w:t>
      </w:r>
    </w:p>
    <w:p>
      <w:pPr>
        <w:pStyle w:val="TextBody"/>
        <w:spacing w:before="240" w:after="0"/>
        <w:jc w:val="left"/>
        <w:rPr>
          <w:rFonts w:ascii="Times New Roman" w:hAnsi="Times New Roman"/>
          <w:spacing w:val="0"/>
          <w:sz w:val="24"/>
          <w:highlight w:val="white"/>
        </w:rPr>
      </w:pPr>
      <w:r>
        <w:rPr>
          <w:rFonts w:ascii="Times New Roman" w:hAnsi="Times New Roman"/>
          <w:spacing w:val="0"/>
          <w:sz w:val="24"/>
          <w:highlight w:val="white"/>
        </w:rPr>
        <w:t xml:space="preserve">schemes (2021: 31,205). </w:t>
      </w:r>
    </w:p>
    <w:p>
      <w:pPr>
        <w:pStyle w:val="TextBody"/>
        <w:spacing w:before="240" w:after="0"/>
        <w:jc w:val="left"/>
        <w:rPr>
          <w:rFonts w:ascii="Times New Roman" w:hAnsi="Times New Roman"/>
          <w:sz w:val="24"/>
          <w:highlight w:val="white"/>
        </w:rPr>
      </w:pPr>
      <w:r>
        <w:rPr>
          <w:rFonts w:ascii="Times New Roman" w:hAnsi="Times New Roman"/>
          <w:sz w:val="24"/>
          <w:highlight w:val="white"/>
        </w:rPr>
        <w:t xml:space="preserve">As of December 31, 2022, the EBT holds 200,606 ADSs (2021: 216,251) along with £17,741 in cash (2021: £17,866). </w:t>
      </w:r>
    </w:p>
    <w:p>
      <w:pPr>
        <w:pStyle w:val="TextBody"/>
        <w:spacing w:before="360" w:after="0"/>
        <w:ind w:left="0" w:right="0" w:hanging="0"/>
        <w:jc w:val="left"/>
        <w:rPr>
          <w:rFonts w:ascii="Times New Roman" w:hAnsi="Times New Roman"/>
          <w:b/>
          <w:sz w:val="24"/>
          <w:highlight w:val="white"/>
        </w:rPr>
      </w:pPr>
      <w:r>
        <w:rPr>
          <w:rFonts w:ascii="Times New Roman" w:hAnsi="Times New Roman"/>
          <w:b/>
          <w:sz w:val="24"/>
          <w:highlight w:val="white"/>
        </w:rPr>
        <w:t xml:space="preserve">28. Events after the reporting period </w:t>
      </w:r>
    </w:p>
    <w:p>
      <w:pPr>
        <w:pStyle w:val="TextBody"/>
        <w:spacing w:before="120" w:after="0"/>
        <w:jc w:val="left"/>
        <w:rPr>
          <w:rFonts w:ascii="Times New Roman;serif" w:hAnsi="Times New Roman;serif"/>
          <w:spacing w:val="0"/>
          <w:sz w:val="24"/>
          <w:highlight w:val="white"/>
        </w:rPr>
      </w:pPr>
      <w:r>
        <w:rPr>
          <w:rFonts w:ascii="Times New Roman;serif" w:hAnsi="Times New Roman;serif"/>
          <w:spacing w:val="0"/>
          <w:sz w:val="24"/>
          <w:highlight w:val="white"/>
        </w:rPr>
        <w:t xml:space="preserve">On February 10, 2023, the Company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 </w:t>
      </w:r>
    </w:p>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4"/>
          <w:highlight w:val="white"/>
        </w:rPr>
      </w:pPr>
      <w:r>
        <w:rPr>
          <w:rFonts w:ascii="Times New Roman" w:hAnsi="Times New Roman"/>
          <w:sz w:val="24"/>
          <w:highlight w:val="white"/>
        </w:rPr>
        <w:t>F-5</w:t>
      </w:r>
    </w:p>
    <w:p>
      <w:pPr>
        <w:pStyle w:val="TextBody"/>
        <w:jc w:val="center"/>
        <w:rPr>
          <w:rFonts w:ascii="Times New Roman" w:hAnsi="Times New Roman"/>
          <w:spacing w:val="0"/>
          <w:sz w:val="24"/>
          <w:highlight w:val="white"/>
        </w:rPr>
      </w:pPr>
      <w:r>
        <w:rPr>
          <w:rFonts w:ascii="Times New Roman" w:hAnsi="Times New Roman"/>
          <w:spacing w:val="0"/>
          <w:sz w:val="24"/>
          <w:highlight w:val="white"/>
        </w:rPr>
        <w:t>1</w:t>
      </w:r>
      <w:r>
        <w:br w:type="page"/>
      </w:r>
    </w:p>
    <w:p>
      <w:pPr>
        <w:pStyle w:val="TextBody"/>
        <w:spacing w:before="0" w:after="0"/>
        <w:jc w:val="right"/>
        <w:rPr>
          <w:rFonts w:ascii="Times New Roman" w:hAnsi="Times New Roman"/>
          <w:b/>
          <w:sz w:val="20"/>
          <w:u w:val="single"/>
        </w:rPr>
      </w:pPr>
      <w:bookmarkStart w:id="35" w:name="d430075dex22.htm"/>
      <w:bookmarkStart w:id="36" w:name="ksd430075dex22"/>
      <w:bookmarkEnd w:id="35"/>
      <w:bookmarkEnd w:id="36"/>
      <w:r>
        <w:rPr>
          <w:rFonts w:ascii="Times New Roman" w:hAnsi="Times New Roman"/>
          <w:b/>
          <w:sz w:val="20"/>
          <w:u w:val="single"/>
        </w:rPr>
        <w:t xml:space="preserve">EXHIBIT 2.2 </w:t>
      </w:r>
    </w:p>
    <w:p>
      <w:pPr>
        <w:pStyle w:val="TextBody"/>
        <w:spacing w:before="480" w:after="0"/>
        <w:jc w:val="center"/>
        <w:rPr>
          <w:rFonts w:ascii="Times New Roman" w:hAnsi="Times New Roman"/>
          <w:b/>
          <w:sz w:val="20"/>
        </w:rPr>
      </w:pPr>
      <w:r>
        <w:rPr>
          <w:rFonts w:ascii="Times New Roman" w:hAnsi="Times New Roman"/>
          <w:b/>
          <w:sz w:val="20"/>
        </w:rPr>
        <w:t xml:space="preserve">DESCRIPTION OF THE REGISTRANTS SECURITIES REGISTERED PURSUANT TO SECTION 12 OF THE SECURITIES EXCHANGE ACT OF 1934 </w:t>
      </w:r>
    </w:p>
    <w:p>
      <w:pPr>
        <w:pStyle w:val="TextBody"/>
        <w:spacing w:before="240" w:after="0"/>
        <w:jc w:val="left"/>
        <w:rPr>
          <w:rFonts w:ascii="Times New Roman" w:hAnsi="Times New Roman"/>
          <w:i/>
          <w:sz w:val="20"/>
        </w:rPr>
      </w:pPr>
      <w:r>
        <w:rPr>
          <w:rFonts w:ascii="Times New Roman" w:hAnsi="Times New Roman"/>
          <w:i/>
          <w:sz w:val="20"/>
        </w:rPr>
        <w:t xml:space="preserve">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3l, 2022. We encourage you to read the articles and the applicable provisions of English law for additional information.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WIG 0QF, United Kingdom. The principal legislation under which we operate and our ordinary shares are issued is the U.K. Companies Act 2006. </w:t>
      </w:r>
    </w:p>
    <w:p>
      <w:pPr>
        <w:pStyle w:val="TextBody"/>
        <w:spacing w:before="360" w:after="0"/>
        <w:jc w:val="left"/>
        <w:rPr>
          <w:rFonts w:ascii="Times New Roman" w:hAnsi="Times New Roman"/>
          <w:b/>
          <w:sz w:val="20"/>
        </w:rPr>
      </w:pPr>
      <w:r>
        <w:rPr>
          <w:rFonts w:ascii="Times New Roman" w:hAnsi="Times New Roman"/>
          <w:b/>
          <w:sz w:val="20"/>
        </w:rPr>
        <w:t xml:space="preserve">Ordinary Shares </w:t>
      </w:r>
    </w:p>
    <w:p>
      <w:pPr>
        <w:pStyle w:val="TextBody"/>
        <w:spacing w:before="120" w:after="0"/>
        <w:jc w:val="left"/>
        <w:rPr>
          <w:rFonts w:ascii="Times New Roman" w:hAnsi="Times New Roman"/>
          <w:sz w:val="20"/>
        </w:rPr>
      </w:pPr>
      <w:r>
        <w:rPr>
          <w:rFonts w:ascii="Times New Roman" w:hAnsi="Times New Roman"/>
          <w:sz w:val="20"/>
        </w:rPr>
        <w:t xml:space="preserve">The following summarizes the rights of holders of our ordinary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the ordinary shares shall be entitled to receive notice of, attend, speak, and vote at our general meetings;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holders of our ordinary shares are entitled to receive such dividends as are recommended by our directors and declared by our shareholders. </w:t>
            </w:r>
          </w:p>
        </w:tc>
      </w:tr>
    </w:tbl>
    <w:p>
      <w:pPr>
        <w:pStyle w:val="TextBody"/>
        <w:spacing w:before="360" w:after="0"/>
        <w:jc w:val="left"/>
        <w:rPr>
          <w:rFonts w:ascii="Times New Roman" w:hAnsi="Times New Roman"/>
          <w:b/>
          <w:sz w:val="20"/>
        </w:rPr>
      </w:pPr>
      <w:r>
        <w:rPr>
          <w:rFonts w:ascii="Times New Roman" w:hAnsi="Times New Roman"/>
          <w:b/>
          <w:sz w:val="20"/>
        </w:rPr>
        <w:t xml:space="preserve">Registered Shares </w:t>
      </w:r>
    </w:p>
    <w:p>
      <w:pPr>
        <w:pStyle w:val="TextBody"/>
        <w:spacing w:before="120" w:after="0"/>
        <w:jc w:val="left"/>
        <w:rPr>
          <w:rFonts w:ascii="Times New Roman" w:hAnsi="Times New Roman"/>
          <w:sz w:val="20"/>
        </w:rPr>
      </w:pPr>
      <w:r>
        <w:rPr>
          <w:rFonts w:ascii="Times New Roman" w:hAnsi="Times New Roman"/>
          <w:sz w:val="20"/>
        </w:rPr>
        <w:t xml:space="preserve">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 </w:t>
      </w:r>
    </w:p>
    <w:p>
      <w:pPr>
        <w:pStyle w:val="TextBody"/>
        <w:spacing w:before="240" w:after="0"/>
        <w:jc w:val="left"/>
        <w:rPr>
          <w:rFonts w:ascii="Times New Roman" w:hAnsi="Times New Roman"/>
          <w:sz w:val="20"/>
        </w:rPr>
      </w:pPr>
      <w:r>
        <w:rPr>
          <w:rFonts w:ascii="Times New Roman" w:hAnsi="Times New Roman"/>
          <w:sz w:val="20"/>
        </w:rPr>
        <w:t xml:space="preserve">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Annual Report. Holders of our ADSs have a right to receive the ordinary shares underlying their ADSs as discussed in Description of American Depository Shares in this Annual Report. </w:t>
      </w:r>
    </w:p>
    <w:p>
      <w:pPr>
        <w:pStyle w:val="TextBody"/>
        <w:spacing w:before="240" w:after="0"/>
        <w:jc w:val="left"/>
        <w:rPr>
          <w:rFonts w:ascii="Times New Roman" w:hAnsi="Times New Roman"/>
          <w:sz w:val="20"/>
        </w:rPr>
      </w:pPr>
      <w:r>
        <w:rPr>
          <w:rFonts w:ascii="Times New Roman" w:hAnsi="Times New Roman"/>
          <w:sz w:val="20"/>
        </w:rPr>
        <w:t xml:space="preserve">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 </w:t>
      </w:r>
    </w:p>
    <w:p>
      <w:pPr>
        <w:pStyle w:val="TextBody"/>
        <w:spacing w:before="240" w:after="0"/>
        <w:jc w:val="left"/>
        <w:rPr>
          <w:rFonts w:ascii="Times New Roman" w:hAnsi="Times New Roman"/>
          <w:sz w:val="20"/>
        </w:rPr>
      </w:pPr>
      <w:r>
        <w:rPr>
          <w:rFonts w:ascii="Times New Roman" w:hAnsi="Times New Roman"/>
          <w:sz w:val="20"/>
        </w:rPr>
        <w:t xml:space="preserve">We, any of our shareholders or any other affected person may apply to the court for rectification of the share register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any person, without sufficient cause, is entered in or omitted from our register of members;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default is made or unnecessary delay takes place in entering on the register the fact of any person having ceased to be a member or on which we have a lien, provided that such refusal does not prevent dealings in the shares taking place on an open and proper basis.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Pre-emptive Rights </w:t>
      </w:r>
    </w:p>
    <w:p>
      <w:pPr>
        <w:pStyle w:val="TextBody"/>
        <w:spacing w:before="120" w:after="0"/>
        <w:jc w:val="left"/>
        <w:rPr>
          <w:rFonts w:ascii="Times New Roman" w:hAnsi="Times New Roman"/>
          <w:sz w:val="20"/>
        </w:rPr>
      </w:pPr>
      <w:r>
        <w:rPr>
          <w:rFonts w:ascii="Times New Roman" w:hAnsi="Times New Roman"/>
          <w:sz w:val="20"/>
        </w:rPr>
        <w:t xml:space="preserve">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w:t>
      </w:r>
    </w:p>
    <w:p>
      <w:pPr>
        <w:pStyle w:val="TextBody"/>
        <w:spacing w:before="360" w:after="0"/>
        <w:jc w:val="left"/>
        <w:rPr>
          <w:rFonts w:ascii="Times New Roman" w:hAnsi="Times New Roman"/>
          <w:b/>
          <w:sz w:val="20"/>
        </w:rPr>
      </w:pPr>
      <w:r>
        <w:rPr>
          <w:rFonts w:ascii="Times New Roman" w:hAnsi="Times New Roman"/>
          <w:b/>
          <w:sz w:val="20"/>
        </w:rPr>
        <w:t xml:space="preserve">Articles of Association </w:t>
      </w:r>
    </w:p>
    <w:p>
      <w:pPr>
        <w:pStyle w:val="TextBody"/>
        <w:spacing w:before="120" w:after="0"/>
        <w:jc w:val="left"/>
        <w:rPr>
          <w:rFonts w:ascii="Times New Roman" w:hAnsi="Times New Roman"/>
          <w:sz w:val="20"/>
        </w:rPr>
      </w:pPr>
      <w:r>
        <w:rPr>
          <w:rFonts w:ascii="Times New Roman" w:hAnsi="Times New Roman"/>
          <w:sz w:val="20"/>
        </w:rPr>
        <w:t xml:space="preserve">The following is a description of our Articles as at the date hereof. </w:t>
      </w:r>
    </w:p>
    <w:p>
      <w:pPr>
        <w:pStyle w:val="TextBody"/>
        <w:spacing w:before="360" w:after="0"/>
        <w:jc w:val="left"/>
        <w:rPr>
          <w:rFonts w:ascii="Times New Roman" w:hAnsi="Times New Roman"/>
          <w:b/>
          <w:i/>
          <w:sz w:val="20"/>
        </w:rPr>
      </w:pPr>
      <w:r>
        <w:rPr>
          <w:rFonts w:ascii="Times New Roman" w:hAnsi="Times New Roman"/>
          <w:b/>
          <w:i/>
          <w:sz w:val="20"/>
        </w:rPr>
        <w:t xml:space="preserve">Shares and Rights Attaching to Them </w:t>
      </w:r>
    </w:p>
    <w:p>
      <w:pPr>
        <w:pStyle w:val="TextBody"/>
        <w:spacing w:before="120" w:after="0"/>
        <w:jc w:val="left"/>
        <w:rPr>
          <w:rFonts w:ascii="Times New Roman" w:hAnsi="Times New Roman"/>
          <w:i/>
          <w:sz w:val="20"/>
        </w:rPr>
      </w:pPr>
      <w:r>
        <w:rPr>
          <w:rFonts w:ascii="Times New Roman" w:hAnsi="Times New Roman"/>
          <w:i/>
          <w:sz w:val="20"/>
        </w:rPr>
        <w:t xml:space="preserve">Objects </w:t>
      </w:r>
    </w:p>
    <w:p>
      <w:pPr>
        <w:pStyle w:val="TextBody"/>
        <w:spacing w:before="120" w:after="0"/>
        <w:jc w:val="left"/>
        <w:rPr>
          <w:rFonts w:ascii="Times New Roman" w:hAnsi="Times New Roman"/>
          <w:sz w:val="20"/>
        </w:rPr>
      </w:pPr>
      <w:r>
        <w:rPr>
          <w:rFonts w:ascii="Times New Roman" w:hAnsi="Times New Roman"/>
          <w:sz w:val="20"/>
        </w:rPr>
        <w:t xml:space="preserve">The objects of our company are unrestricted. </w:t>
      </w:r>
    </w:p>
    <w:p>
      <w:pPr>
        <w:pStyle w:val="TextBody"/>
        <w:spacing w:before="360" w:after="0"/>
        <w:jc w:val="left"/>
        <w:rPr>
          <w:rFonts w:ascii="Times New Roman" w:hAnsi="Times New Roman"/>
          <w:i/>
          <w:sz w:val="20"/>
        </w:rPr>
      </w:pPr>
      <w:r>
        <w:rPr>
          <w:rFonts w:ascii="Times New Roman" w:hAnsi="Times New Roman"/>
          <w:i/>
          <w:sz w:val="20"/>
        </w:rPr>
        <w:t xml:space="preserve">Share Rights </w:t>
      </w:r>
    </w:p>
    <w:p>
      <w:pPr>
        <w:pStyle w:val="TextBody"/>
        <w:spacing w:before="120" w:after="0"/>
        <w:jc w:val="left"/>
        <w:rPr>
          <w:rFonts w:ascii="Times New Roman" w:hAnsi="Times New Roman"/>
          <w:sz w:val="20"/>
        </w:rPr>
      </w:pPr>
      <w:r>
        <w:rPr>
          <w:rFonts w:ascii="Times New Roman" w:hAnsi="Times New Roman"/>
          <w:sz w:val="20"/>
        </w:rPr>
        <w:t xml:space="preserve">Subject to any special rights attaching to shares already in issue, our shares may be issued with or have attached to them any rights or restrictions as we may resolve by ordinary resolution of the shareholders or, failing such determination, as the board may determine.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Without prejudice to any special rights, privileges or restrictions as to voting rights attached to any shares forming part of our share capital from time to time, the voting rights attaching to shares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show of hands, every shareholder who (being an individual) is present in person and (being a corporation) is present by a duly authorized representative shall have one vote;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 </w:t>
            </w:r>
          </w:p>
        </w:tc>
      </w:tr>
    </w:tbl>
    <w:p>
      <w:pPr>
        <w:pStyle w:val="TextBody"/>
        <w:spacing w:before="120" w:after="0"/>
        <w:jc w:val="left"/>
        <w:rPr>
          <w:rFonts w:ascii="Times New Roman" w:hAnsi="Times New Roman"/>
          <w:sz w:val="20"/>
        </w:rPr>
      </w:pPr>
      <w:r>
        <w:rPr>
          <w:rFonts w:ascii="Times New Roman" w:hAnsi="Times New Roman"/>
          <w:sz w:val="20"/>
        </w:rPr>
        <w:t xml:space="preserve">At any general meeting a resolution put to the vote of the meeting shall be decided on a show of hands unless a poll is demanded. Subject to the provisions of the U.K. Companies Act 2006, a poll may be demanded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chairman of the meeting; 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two or more persons having the right to vote on the resolution;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or persons representing not less than 10% of the total voting rights of all shareholders having the right to vote on the resolution. </w:t>
            </w:r>
          </w:p>
        </w:tc>
      </w:tr>
    </w:tbl>
    <w:p>
      <w:pPr>
        <w:pStyle w:val="TextBody"/>
        <w:spacing w:before="360" w:after="0"/>
        <w:jc w:val="left"/>
        <w:rPr>
          <w:rFonts w:ascii="Times New Roman" w:hAnsi="Times New Roman"/>
          <w:i/>
          <w:sz w:val="20"/>
        </w:rPr>
      </w:pPr>
      <w:r>
        <w:rPr>
          <w:rFonts w:ascii="Times New Roman" w:hAnsi="Times New Roman"/>
          <w:i/>
          <w:sz w:val="20"/>
        </w:rPr>
        <w:t xml:space="preserve">Restrictions on Voting </w:t>
      </w:r>
    </w:p>
    <w:p>
      <w:pPr>
        <w:pStyle w:val="TextBody"/>
        <w:spacing w:before="120" w:after="0"/>
        <w:jc w:val="left"/>
        <w:rPr>
          <w:rFonts w:ascii="Times New Roman" w:hAnsi="Times New Roman"/>
          <w:sz w:val="20"/>
        </w:rPr>
      </w:pPr>
      <w:r>
        <w:rPr>
          <w:rFonts w:ascii="Times New Roman" w:hAnsi="Times New Roman"/>
          <w:sz w:val="20"/>
        </w:rPr>
        <w:t xml:space="preserve">No shareholder shall (unless the Directors otherwise determine) be entitled to vote at any general meeting in respect of any share held by him or her unless all sums payable by him or her in respect of that share have been paid. </w:t>
      </w:r>
    </w:p>
    <w:p>
      <w:pPr>
        <w:pStyle w:val="TextBody"/>
        <w:spacing w:before="240" w:after="0"/>
        <w:jc w:val="left"/>
        <w:rPr>
          <w:rFonts w:ascii="Times New Roman" w:hAnsi="Times New Roman"/>
          <w:sz w:val="20"/>
        </w:rPr>
      </w:pPr>
      <w:r>
        <w:rPr>
          <w:rFonts w:ascii="Times New Roman" w:hAnsi="Times New Roman"/>
          <w:sz w:val="20"/>
        </w:rPr>
        <w:t xml:space="preserve">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t>
      </w:r>
    </w:p>
    <w:p>
      <w:pPr>
        <w:pStyle w:val="TextBody"/>
        <w:spacing w:before="0" w:after="0"/>
        <w:jc w:val="left"/>
        <w:rPr>
          <w:rFonts w:ascii="Times New Roman" w:hAnsi="Times New Roman"/>
          <w:sz w:val="20"/>
        </w:rPr>
      </w:pPr>
      <w:r>
        <w:rPr>
          <w:rFonts w:ascii="Times New Roman" w:hAnsi="Times New Roman"/>
          <w:sz w:val="20"/>
        </w:rPr>
        <w:t xml:space="preserve">which confer on the holders thereof deferred or non-preferential rights with regard to dividends if, at the time of payment, any preferential dividend is in arrears. </w:t>
      </w:r>
    </w:p>
    <w:p>
      <w:pPr>
        <w:pStyle w:val="TextBody"/>
        <w:spacing w:before="240" w:after="0"/>
        <w:jc w:val="left"/>
        <w:rPr>
          <w:rFonts w:ascii="Times New Roman" w:hAnsi="Times New Roman"/>
          <w:sz w:val="20"/>
        </w:rPr>
      </w:pPr>
      <w:r>
        <w:rPr>
          <w:rFonts w:ascii="Times New Roman" w:hAnsi="Times New Roman"/>
          <w:sz w:val="20"/>
        </w:rPr>
        <w:t xml:space="preserve">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 </w:t>
      </w:r>
    </w:p>
    <w:p>
      <w:pPr>
        <w:pStyle w:val="TextBody"/>
        <w:spacing w:before="240" w:after="0"/>
        <w:jc w:val="left"/>
        <w:rPr>
          <w:rFonts w:ascii="Times New Roman" w:hAnsi="Times New Roman"/>
          <w:sz w:val="20"/>
        </w:rPr>
      </w:pPr>
      <w:r>
        <w:rPr>
          <w:rFonts w:ascii="Times New Roman" w:hAnsi="Times New Roman"/>
          <w:sz w:val="20"/>
        </w:rPr>
        <w:t xml:space="preserve">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 </w:t>
      </w:r>
    </w:p>
    <w:p>
      <w:pPr>
        <w:pStyle w:val="TextBody"/>
        <w:spacing w:before="240" w:after="0"/>
        <w:jc w:val="left"/>
        <w:rPr>
          <w:rFonts w:ascii="Times New Roman" w:hAnsi="Times New Roman"/>
          <w:sz w:val="20"/>
        </w:rPr>
      </w:pPr>
      <w:r>
        <w:rPr>
          <w:rFonts w:ascii="Times New Roman" w:hAnsi="Times New Roman"/>
          <w:sz w:val="20"/>
        </w:rPr>
        <w:t xml:space="preserve">Dividends may be declared or paid in any currency and the board may decide the rate of exchange for any currency conversions that may be required, and how any costs involved are to be met, in relation to the currency of any dividend. </w:t>
      </w:r>
    </w:p>
    <w:p>
      <w:pPr>
        <w:pStyle w:val="TextBody"/>
        <w:spacing w:before="240" w:after="0"/>
        <w:jc w:val="left"/>
        <w:rPr>
          <w:rFonts w:ascii="Times New Roman" w:hAnsi="Times New Roman"/>
          <w:sz w:val="20"/>
        </w:rPr>
      </w:pPr>
      <w:r>
        <w:rPr>
          <w:rFonts w:ascii="Times New Roman" w:hAnsi="Times New Roman"/>
          <w:sz w:val="20"/>
        </w:rPr>
        <w:t xml:space="preserve">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 </w:t>
      </w:r>
    </w:p>
    <w:p>
      <w:pPr>
        <w:pStyle w:val="TextBody"/>
        <w:spacing w:before="240" w:after="0"/>
        <w:jc w:val="left"/>
        <w:rPr>
          <w:rFonts w:ascii="Times New Roman" w:hAnsi="Times New Roman"/>
          <w:sz w:val="20"/>
        </w:rPr>
      </w:pPr>
      <w:r>
        <w:rPr>
          <w:rFonts w:ascii="Times New Roman" w:hAnsi="Times New Roman"/>
          <w:sz w:val="20"/>
        </w:rPr>
        <w:t xml:space="preserve">The directors may, if authorized by an ordinary resolution of shareholders, offer any holders of ordinary shares the right to elect to receive in lieu of a dividend, or part of a dividend, an allotment of ordinary shares credited as fully paid up. </w:t>
      </w:r>
    </w:p>
    <w:p>
      <w:pPr>
        <w:pStyle w:val="TextBody"/>
        <w:spacing w:before="360" w:after="0"/>
        <w:jc w:val="left"/>
        <w:rPr>
          <w:rFonts w:ascii="Times New Roman" w:hAnsi="Times New Roman"/>
          <w:i/>
          <w:sz w:val="20"/>
        </w:rPr>
      </w:pPr>
      <w:r>
        <w:rPr>
          <w:rFonts w:ascii="Times New Roman" w:hAnsi="Times New Roman"/>
          <w:i/>
          <w:sz w:val="20"/>
        </w:rPr>
        <w:t xml:space="preserve">Change of Control </w:t>
      </w:r>
    </w:p>
    <w:p>
      <w:pPr>
        <w:pStyle w:val="TextBody"/>
        <w:spacing w:before="120" w:after="0"/>
        <w:jc w:val="left"/>
        <w:rPr>
          <w:rFonts w:ascii="Times New Roman" w:hAnsi="Times New Roman"/>
          <w:sz w:val="20"/>
        </w:rPr>
      </w:pPr>
      <w:r>
        <w:rPr>
          <w:rFonts w:ascii="Times New Roman" w:hAnsi="Times New Roman"/>
          <w:sz w:val="20"/>
        </w:rPr>
        <w:t xml:space="preserve">There is no specific provision in our Articles that would have the effect of delaying, deferring, or preventing a change of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Distributions on Winding Up </w:t>
      </w:r>
    </w:p>
    <w:p>
      <w:pPr>
        <w:pStyle w:val="TextBody"/>
        <w:spacing w:before="120" w:after="0"/>
        <w:jc w:val="left"/>
        <w:rPr>
          <w:rFonts w:ascii="Times New Roman" w:hAnsi="Times New Roman"/>
          <w:sz w:val="20"/>
        </w:rPr>
      </w:pPr>
      <w:r>
        <w:rPr>
          <w:rFonts w:ascii="Times New Roman" w:hAnsi="Times New Roman"/>
          <w:sz w:val="20"/>
        </w:rPr>
        <w:t xml:space="preserve">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 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 </w:t>
      </w:r>
    </w:p>
    <w:p>
      <w:pPr>
        <w:pStyle w:val="TextBody"/>
        <w:spacing w:before="360" w:after="0"/>
        <w:jc w:val="left"/>
        <w:rPr>
          <w:rFonts w:ascii="Times New Roman" w:hAnsi="Times New Roman"/>
          <w:i/>
          <w:sz w:val="20"/>
        </w:rPr>
      </w:pPr>
      <w:r>
        <w:rPr>
          <w:rFonts w:ascii="Times New Roman" w:hAnsi="Times New Roman"/>
          <w:i/>
          <w:sz w:val="20"/>
        </w:rPr>
        <w:t xml:space="preserve">Variation of Rights </w:t>
      </w:r>
    </w:p>
    <w:p>
      <w:pPr>
        <w:pStyle w:val="TextBody"/>
        <w:spacing w:before="120" w:after="0"/>
        <w:jc w:val="left"/>
        <w:rPr>
          <w:rFonts w:ascii="Times New Roman" w:hAnsi="Times New Roman"/>
          <w:sz w:val="20"/>
        </w:rPr>
      </w:pPr>
      <w:r>
        <w:rPr>
          <w:rFonts w:ascii="Times New Roman" w:hAnsi="Times New Roman"/>
          <w:sz w:val="20"/>
        </w:rPr>
        <w:t xml:space="preserve">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 </w:t>
      </w:r>
    </w:p>
    <w:p>
      <w:pPr>
        <w:pStyle w:val="TextBody"/>
        <w:spacing w:before="360" w:after="0"/>
        <w:jc w:val="left"/>
        <w:rPr>
          <w:rFonts w:ascii="Times New Roman" w:hAnsi="Times New Roman"/>
          <w:i/>
          <w:sz w:val="20"/>
        </w:rPr>
      </w:pPr>
      <w:r>
        <w:rPr>
          <w:rFonts w:ascii="Times New Roman" w:hAnsi="Times New Roman"/>
          <w:i/>
          <w:sz w:val="20"/>
        </w:rPr>
        <w:t xml:space="preserve">Alteration to Share Capital </w:t>
      </w:r>
    </w:p>
    <w:p>
      <w:pPr>
        <w:pStyle w:val="TextBody"/>
        <w:spacing w:before="120" w:after="0"/>
        <w:jc w:val="left"/>
        <w:rPr>
          <w:rFonts w:ascii="Times New Roman" w:hAnsi="Times New Roman"/>
          <w:sz w:val="20"/>
        </w:rPr>
      </w:pPr>
      <w:r>
        <w:rPr>
          <w:rFonts w:ascii="Times New Roman" w:hAnsi="Times New Roman"/>
          <w:sz w:val="20"/>
        </w:rPr>
        <w:t xml:space="preserve">We may, by ordinary resolution of shareholders, consolidate all or any of our share capital into shares of larger amount than our existing shares, or sub-divide our shares or any of them into shares of a smaller amount. We may, by special resolution of shareholder 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 </w:t>
      </w:r>
    </w:p>
    <w:p>
      <w:pPr>
        <w:pStyle w:val="TextBody"/>
        <w:spacing w:before="360" w:after="0"/>
        <w:jc w:val="left"/>
        <w:rPr>
          <w:rFonts w:ascii="Times New Roman" w:hAnsi="Times New Roman"/>
          <w:i/>
          <w:sz w:val="20"/>
        </w:rPr>
      </w:pPr>
      <w:r>
        <w:rPr>
          <w:rFonts w:ascii="Times New Roman" w:hAnsi="Times New Roman"/>
          <w:i/>
          <w:sz w:val="20"/>
        </w:rPr>
        <w:t xml:space="preserve">Preemption Rights </w:t>
      </w:r>
    </w:p>
    <w:p>
      <w:pPr>
        <w:pStyle w:val="TextBody"/>
        <w:spacing w:before="120" w:after="0"/>
        <w:jc w:val="left"/>
        <w:rPr>
          <w:rFonts w:ascii="Times New Roman" w:hAnsi="Times New Roman"/>
          <w:sz w:val="20"/>
        </w:rPr>
      </w:pPr>
      <w:r>
        <w:rPr>
          <w:rFonts w:ascii="Times New Roman" w:hAnsi="Times New Roman"/>
          <w:sz w:val="20"/>
        </w:rPr>
        <w:t xml:space="preserve">In certain circumstances, our shareholders may have statutory preemption rights under the U.K. Companies Act 2006 in respect of the allotment of new shares as described in Pre-emptive Rights. </w:t>
      </w:r>
    </w:p>
    <w:p>
      <w:pPr>
        <w:pStyle w:val="TextBody"/>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spacing w:before="120" w:after="0"/>
        <w:jc w:val="left"/>
        <w:rPr>
          <w:rFonts w:ascii="Times New Roman" w:hAnsi="Times New Roman"/>
          <w:sz w:val="20"/>
        </w:rPr>
      </w:pPr>
      <w:r>
        <w:rPr>
          <w:rFonts w:ascii="Times New Roman" w:hAnsi="Times New Roman"/>
          <w:sz w:val="20"/>
        </w:rPr>
        <w:t xml:space="preserve">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 </w:t>
      </w:r>
    </w:p>
    <w:p>
      <w:pPr>
        <w:pStyle w:val="TextBody"/>
        <w:spacing w:before="120" w:after="0"/>
        <w:jc w:val="left"/>
        <w:rPr>
          <w:rFonts w:ascii="Times New Roman" w:hAnsi="Times New Roman"/>
          <w:sz w:val="20"/>
        </w:rPr>
      </w:pPr>
      <w:r>
        <w:rPr>
          <w:rFonts w:ascii="Times New Roman" w:hAnsi="Times New Roman"/>
          <w:sz w:val="20"/>
        </w:rPr>
        <w:t xml:space="preserve">ln the case of uncertificated shares, the directors may take such action as they consider appropriate to achieve a transfer. The Uncertificated Securities Regulations 2001 permit shares to be issued and held in uncertificated form and transferred by means of a computer based system.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board may decline to register any transfer of any share;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which is not a fully paid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transfer is not lodged at our registered office or such other place as the directors have appointed;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transfer is in respect of more than one class of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number of joint holders to whom the share is to be transferred exceeds four. </w:t>
            </w:r>
          </w:p>
        </w:tc>
      </w:tr>
    </w:tbl>
    <w:p>
      <w:pPr>
        <w:pStyle w:val="TextBody"/>
        <w:spacing w:before="240" w:after="0"/>
        <w:jc w:val="left"/>
        <w:rPr>
          <w:rFonts w:ascii="Times New Roman" w:hAnsi="Times New Roman"/>
          <w:sz w:val="20"/>
        </w:rPr>
      </w:pPr>
      <w:r>
        <w:rPr>
          <w:rFonts w:ascii="Times New Roman" w:hAnsi="Times New Roman"/>
          <w:sz w:val="20"/>
        </w:rPr>
        <w:t xml:space="preserve">If the board declines to register a transfer, it must return to the transferee the instrument of transfer together with notice of the refusal, unless the board suspects that the proposed transfer may be fraudulent. </w:t>
      </w:r>
    </w:p>
    <w:p>
      <w:pPr>
        <w:pStyle w:val="TextBody"/>
        <w:spacing w:before="360" w:after="0"/>
        <w:jc w:val="left"/>
        <w:rPr>
          <w:rFonts w:ascii="Times New Roman" w:hAnsi="Times New Roman"/>
          <w:b/>
          <w:i/>
          <w:sz w:val="20"/>
        </w:rPr>
      </w:pPr>
      <w:r>
        <w:rPr>
          <w:rFonts w:ascii="Times New Roman" w:hAnsi="Times New Roman"/>
          <w:b/>
          <w:i/>
          <w:sz w:val="20"/>
        </w:rPr>
        <w:t xml:space="preserve">Shareholder Meetings </w:t>
      </w:r>
    </w:p>
    <w:p>
      <w:pPr>
        <w:pStyle w:val="TextBody"/>
        <w:spacing w:before="120" w:after="0"/>
        <w:jc w:val="left"/>
        <w:rPr>
          <w:rFonts w:ascii="Times New Roman" w:hAnsi="Times New Roman"/>
          <w:i/>
          <w:sz w:val="20"/>
        </w:rPr>
      </w:pPr>
      <w:r>
        <w:rPr>
          <w:rFonts w:ascii="Times New Roman" w:hAnsi="Times New Roman"/>
          <w:i/>
          <w:sz w:val="20"/>
        </w:rPr>
        <w:t xml:space="preserve">Annual General Meetings </w:t>
      </w:r>
    </w:p>
    <w:p>
      <w:pPr>
        <w:pStyle w:val="TextBody"/>
        <w:spacing w:before="120" w:after="0"/>
        <w:jc w:val="left"/>
        <w:rPr>
          <w:rFonts w:ascii="Times New Roman" w:hAnsi="Times New Roman"/>
          <w:sz w:val="20"/>
        </w:rPr>
      </w:pPr>
      <w:r>
        <w:rPr>
          <w:rFonts w:ascii="Times New Roman" w:hAnsi="Times New Roman"/>
          <w:sz w:val="20"/>
        </w:rPr>
        <w:t xml:space="preserve">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w:t>
      </w:r>
    </w:p>
    <w:p>
      <w:pPr>
        <w:pStyle w:val="TextBody"/>
        <w:spacing w:before="360" w:after="0"/>
        <w:jc w:val="left"/>
        <w:rPr>
          <w:rFonts w:ascii="Times New Roman" w:hAnsi="Times New Roman"/>
          <w:i/>
          <w:sz w:val="20"/>
        </w:rPr>
      </w:pPr>
      <w:r>
        <w:rPr>
          <w:rFonts w:ascii="Times New Roman" w:hAnsi="Times New Roman"/>
          <w:i/>
          <w:sz w:val="20"/>
        </w:rPr>
        <w:t xml:space="preserve">Notice of General Meetings </w:t>
      </w:r>
    </w:p>
    <w:p>
      <w:pPr>
        <w:pStyle w:val="TextBody"/>
        <w:spacing w:before="120" w:after="0"/>
        <w:jc w:val="left"/>
        <w:rPr>
          <w:rFonts w:ascii="Times New Roman" w:hAnsi="Times New Roman"/>
          <w:sz w:val="20"/>
        </w:rPr>
      </w:pPr>
      <w:r>
        <w:rPr>
          <w:rFonts w:ascii="Times New Roman" w:hAnsi="Times New Roman"/>
          <w:sz w:val="20"/>
        </w:rPr>
        <w:t xml:space="preserve">Under the U.K. Companies Act 2006, 21 clear days notice must be given for an annual general meeting and any resolutions to be proposed at that meeting. At least 14 clear days notice is required for any other general meeting. </w:t>
      </w:r>
    </w:p>
    <w:p>
      <w:pPr>
        <w:pStyle w:val="TextBody"/>
        <w:spacing w:before="240" w:after="0"/>
        <w:jc w:val="left"/>
        <w:rPr>
          <w:rFonts w:ascii="Times New Roman" w:hAnsi="Times New Roman"/>
          <w:sz w:val="20"/>
        </w:rPr>
      </w:pPr>
      <w:r>
        <w:rPr>
          <w:rFonts w:ascii="Times New Roman" w:hAnsi="Times New Roman"/>
          <w:sz w:val="20"/>
        </w:rPr>
        <w:t xml:space="preserve">Subject to the notice requirements of the U.K. Companies Act 2006, a general meeting of our shareholders may be called by the Board whenever and at such times and places as it shall determine. A general meeting may also be convened by the Board on the requisition of two or more shareholders who hold at least 5% of our paid-up capital carrying voting rights at a general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Quorum of General Meetings </w:t>
      </w:r>
    </w:p>
    <w:p>
      <w:pPr>
        <w:pStyle w:val="TextBody"/>
        <w:spacing w:before="120" w:after="0"/>
        <w:jc w:val="left"/>
        <w:rPr>
          <w:rFonts w:ascii="Times New Roman" w:hAnsi="Times New Roman"/>
          <w:sz w:val="20"/>
        </w:rPr>
      </w:pPr>
      <w:r>
        <w:rPr>
          <w:rFonts w:ascii="Times New Roman" w:hAnsi="Times New Roman"/>
          <w:sz w:val="20"/>
        </w:rPr>
        <w:t xml:space="preserve">No business, other than the appointment of the chair of the meeting, shall be transacted at any general meeting unless a quorum is present. At least two shareholders present in person or by proxy and entitled to vote shall be a quorum for all purposes. </w:t>
      </w:r>
    </w:p>
    <w:p>
      <w:pPr>
        <w:pStyle w:val="TextBody"/>
        <w:spacing w:before="360" w:after="0"/>
        <w:jc w:val="left"/>
        <w:rPr>
          <w:rFonts w:ascii="Times New Roman" w:hAnsi="Times New Roman"/>
          <w:i/>
          <w:sz w:val="20"/>
        </w:rPr>
      </w:pPr>
      <w:r>
        <w:rPr>
          <w:rFonts w:ascii="Times New Roman" w:hAnsi="Times New Roman"/>
          <w:i/>
          <w:sz w:val="20"/>
        </w:rPr>
        <w:t xml:space="preserve">Class Meetings </w:t>
      </w:r>
    </w:p>
    <w:p>
      <w:pPr>
        <w:pStyle w:val="TextBody"/>
        <w:spacing w:before="120" w:after="0"/>
        <w:jc w:val="left"/>
        <w:rPr>
          <w:rFonts w:ascii="Times New Roman" w:hAnsi="Times New Roman"/>
          <w:sz w:val="20"/>
        </w:rPr>
      </w:pPr>
      <w:r>
        <w:rPr>
          <w:rFonts w:ascii="Times New Roman" w:hAnsi="Times New Roman"/>
          <w:sz w:val="20"/>
        </w:rPr>
        <w:t xml:space="preserve">The provisions in the Articles relating to general meetings apply to every separate general meeting of the holders of a class of shares. </w:t>
      </w:r>
    </w:p>
    <w:p>
      <w:pPr>
        <w:pStyle w:val="TextBody"/>
        <w:spacing w:before="36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i/>
          <w:sz w:val="20"/>
        </w:rPr>
      </w:pPr>
      <w:r>
        <w:rPr>
          <w:rFonts w:ascii="Times New Roman" w:hAnsi="Times New Roman"/>
          <w:i/>
          <w:sz w:val="20"/>
        </w:rPr>
        <w:t xml:space="preserve">Number of Directors </w:t>
      </w:r>
    </w:p>
    <w:p>
      <w:pPr>
        <w:pStyle w:val="TextBody"/>
        <w:spacing w:before="120" w:after="0"/>
        <w:jc w:val="left"/>
        <w:rPr>
          <w:rFonts w:ascii="Times New Roman" w:hAnsi="Times New Roman"/>
          <w:sz w:val="20"/>
        </w:rPr>
      </w:pPr>
      <w:r>
        <w:rPr>
          <w:rFonts w:ascii="Times New Roman" w:hAnsi="Times New Roman"/>
          <w:sz w:val="20"/>
        </w:rPr>
        <w:t xml:space="preserve">We may not have less than two directors on the Board and not more than ten. We may, by ordinary resolution of the shareholders, vary the minimum and maximum number of directors from time to time. </w:t>
      </w:r>
    </w:p>
    <w:p>
      <w:pPr>
        <w:pStyle w:val="TextBody"/>
        <w:spacing w:before="360" w:after="0"/>
        <w:jc w:val="left"/>
        <w:rPr>
          <w:rFonts w:ascii="Times New Roman" w:hAnsi="Times New Roman"/>
          <w:i/>
          <w:sz w:val="20"/>
        </w:rPr>
      </w:pPr>
      <w:r>
        <w:rPr>
          <w:rFonts w:ascii="Times New Roman" w:hAnsi="Times New Roman"/>
          <w:i/>
          <w:sz w:val="20"/>
        </w:rPr>
        <w:t xml:space="preserve">Appointment of Directors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 </w:t>
      </w:r>
    </w:p>
    <w:p>
      <w:pPr>
        <w:pStyle w:val="TextBody"/>
        <w:spacing w:before="240" w:after="0"/>
        <w:jc w:val="left"/>
        <w:rPr>
          <w:rFonts w:ascii="Times New Roman" w:hAnsi="Times New Roman"/>
          <w:sz w:val="20"/>
        </w:rPr>
      </w:pPr>
      <w:r>
        <w:rPr>
          <w:rFonts w:ascii="Times New Roman" w:hAnsi="Times New Roman"/>
          <w:sz w:val="20"/>
        </w:rPr>
        <w:t xml:space="preserve">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 </w:t>
      </w:r>
    </w:p>
    <w:p>
      <w:pPr>
        <w:pStyle w:val="TextBody"/>
        <w:spacing w:before="240" w:after="0"/>
        <w:jc w:val="left"/>
        <w:rPr>
          <w:rFonts w:ascii="Times New Roman" w:hAnsi="Times New Roman"/>
          <w:sz w:val="20"/>
        </w:rPr>
      </w:pPr>
      <w:r>
        <w:rPr>
          <w:rFonts w:ascii="Times New Roman" w:hAnsi="Times New Roman"/>
          <w:sz w:val="20"/>
        </w:rPr>
        <w:t xml:space="preserve">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Other U.K. Law Considerations </w:t>
      </w:r>
    </w:p>
    <w:p>
      <w:pPr>
        <w:pStyle w:val="TextBody"/>
        <w:spacing w:before="120" w:after="0"/>
        <w:jc w:val="left"/>
        <w:rPr>
          <w:rFonts w:ascii="Times New Roman" w:hAnsi="Times New Roman"/>
          <w:i/>
          <w:sz w:val="20"/>
        </w:rPr>
      </w:pPr>
      <w:r>
        <w:rPr>
          <w:rFonts w:ascii="Times New Roman" w:hAnsi="Times New Roman"/>
          <w:i/>
          <w:sz w:val="20"/>
        </w:rPr>
        <w:t xml:space="preserve">Mandatory Purchases and Acquisitions </w:t>
      </w:r>
    </w:p>
    <w:p>
      <w:pPr>
        <w:pStyle w:val="TextBody"/>
        <w:spacing w:before="120" w:after="0"/>
        <w:jc w:val="left"/>
        <w:rPr>
          <w:rFonts w:ascii="Times New Roman" w:hAnsi="Times New Roman"/>
          <w:sz w:val="20"/>
        </w:rPr>
      </w:pPr>
      <w:r>
        <w:rPr>
          <w:rFonts w:ascii="Times New Roman" w:hAnsi="Times New Roman"/>
          <w:sz w:val="20"/>
        </w:rPr>
        <w:t xml:space="preserve">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 </w:t>
      </w:r>
    </w:p>
    <w:p>
      <w:pPr>
        <w:pStyle w:val="TextBody"/>
        <w:spacing w:before="360" w:after="0"/>
        <w:jc w:val="left"/>
        <w:rPr>
          <w:rFonts w:ascii="Times New Roman" w:hAnsi="Times New Roman"/>
          <w:i/>
          <w:sz w:val="20"/>
        </w:rPr>
      </w:pPr>
      <w:r>
        <w:rPr>
          <w:rFonts w:ascii="Times New Roman" w:hAnsi="Times New Roman"/>
          <w:i/>
          <w:sz w:val="20"/>
        </w:rPr>
        <w:t xml:space="preserve">Sell Out </w:t>
      </w:r>
    </w:p>
    <w:p>
      <w:pPr>
        <w:pStyle w:val="TextBody"/>
        <w:spacing w:before="120" w:after="0"/>
        <w:jc w:val="left"/>
        <w:rPr>
          <w:rFonts w:ascii="Times New Roman" w:hAnsi="Times New Roman"/>
          <w:sz w:val="20"/>
        </w:rPr>
      </w:pPr>
      <w:r>
        <w:rPr>
          <w:rFonts w:ascii="Times New Roman" w:hAnsi="Times New Roman"/>
          <w:sz w:val="20"/>
        </w:rPr>
        <w:t xml:space="preserve">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 </w:t>
      </w:r>
    </w:p>
    <w:p>
      <w:pPr>
        <w:pStyle w:val="TextBody"/>
        <w:spacing w:before="360" w:after="0"/>
        <w:jc w:val="left"/>
        <w:rPr>
          <w:rFonts w:ascii="Times New Roman" w:hAnsi="Times New Roman"/>
          <w:i/>
          <w:sz w:val="20"/>
        </w:rPr>
      </w:pPr>
      <w:r>
        <w:rPr>
          <w:rFonts w:ascii="Times New Roman" w:hAnsi="Times New Roman"/>
          <w:i/>
          <w:sz w:val="20"/>
        </w:rPr>
        <w:t xml:space="preserve">Disclosure of Interest in Shares </w:t>
      </w:r>
    </w:p>
    <w:p>
      <w:pPr>
        <w:pStyle w:val="TextBody"/>
        <w:spacing w:before="120" w:after="0"/>
        <w:jc w:val="left"/>
        <w:rPr>
          <w:rFonts w:ascii="Times New Roman" w:hAnsi="Times New Roman"/>
          <w:sz w:val="20"/>
        </w:rPr>
      </w:pPr>
      <w:r>
        <w:rPr>
          <w:rFonts w:ascii="Times New Roman" w:hAnsi="Times New Roman"/>
          <w:sz w:val="20"/>
        </w:rPr>
        <w:t xml:space="preserve">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 our Articles, if a person defaults in supplying us with the required particulars in relation to the shares in question (default shares), within the prescribed period, the directors may by notice direct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respect of the default shares, the relevant shareholder shall not be entitled to vote (either in person or by proxy) at any general meeting or to exercise any other right conferred by a shareholding in relation to 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 </w:t>
            </w:r>
          </w:p>
        </w:tc>
      </w:tr>
    </w:tbl>
    <w:p>
      <w:pPr>
        <w:pStyle w:val="TextBody"/>
        <w:spacing w:before="360" w:after="0"/>
        <w:jc w:val="left"/>
        <w:rPr>
          <w:rFonts w:ascii="Times New Roman" w:hAnsi="Times New Roman"/>
          <w:i/>
          <w:sz w:val="20"/>
        </w:rPr>
      </w:pPr>
      <w:r>
        <w:rPr>
          <w:rFonts w:ascii="Times New Roman" w:hAnsi="Times New Roman"/>
          <w:i/>
          <w:sz w:val="20"/>
        </w:rPr>
        <w:t xml:space="preserve">Purchase of Own Shares </w:t>
      </w:r>
    </w:p>
    <w:p>
      <w:pPr>
        <w:pStyle w:val="TextBody"/>
        <w:spacing w:before="120" w:after="0"/>
        <w:jc w:val="left"/>
        <w:rPr>
          <w:rFonts w:ascii="Times New Roman" w:hAnsi="Times New Roman"/>
          <w:sz w:val="20"/>
        </w:rPr>
      </w:pPr>
      <w:r>
        <w:rPr>
          <w:rFonts w:ascii="Times New Roman" w:hAnsi="Times New Roman"/>
          <w:sz w:val="20"/>
        </w:rPr>
        <w:t xml:space="preserve">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 </w:t>
      </w:r>
    </w:p>
    <w:p>
      <w:pPr>
        <w:pStyle w:val="TextBody"/>
        <w:spacing w:before="240" w:after="0"/>
        <w:jc w:val="left"/>
        <w:rPr>
          <w:rFonts w:ascii="Times New Roman" w:hAnsi="Times New Roman"/>
          <w:sz w:val="20"/>
        </w:rPr>
      </w:pPr>
      <w:r>
        <w:rPr>
          <w:rFonts w:ascii="Times New Roman" w:hAnsi="Times New Roman"/>
          <w:sz w:val="20"/>
        </w:rPr>
        <w:t xml:space="preserve">Subject to the above, we may purchase our own shares in the manner prescribed below. We may make a market purchase on a recognised investment exchange of our own fully paid shares pursuant to an ordinary resolution of shareholders. The resolution authorizing the purchase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specify the maximum number of shares authorized to be acquired;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determine the maximum and minimum prices that may be paid for the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specify a date, not being later than five years after the passing of the resolution, on which the authority to purchase is to expire.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Nasdaq Global Market is not a recognised investment exchange on which we may make market purchases. </w:t>
      </w:r>
    </w:p>
    <w:p>
      <w:pPr>
        <w:pStyle w:val="TextBody"/>
        <w:spacing w:before="240" w:after="0"/>
        <w:jc w:val="left"/>
        <w:rPr>
          <w:rFonts w:ascii="Times New Roman" w:hAnsi="Times New Roman"/>
          <w:sz w:val="20"/>
        </w:rPr>
      </w:pPr>
      <w:r>
        <w:rPr>
          <w:rFonts w:ascii="Times New Roman" w:hAnsi="Times New Roman"/>
          <w:sz w:val="20"/>
        </w:rPr>
        <w:t xml:space="preserve">We may purchase our own fully paid shares otherwise than on a recognised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 </w:t>
      </w:r>
    </w:p>
    <w:p>
      <w:pPr>
        <w:pStyle w:val="TextBody"/>
        <w:spacing w:before="360" w:after="0"/>
        <w:jc w:val="left"/>
        <w:rPr>
          <w:rFonts w:ascii="Times New Roman" w:hAnsi="Times New Roman"/>
          <w:i/>
          <w:sz w:val="20"/>
        </w:rPr>
      </w:pPr>
      <w:r>
        <w:rPr>
          <w:rFonts w:ascii="Times New Roman" w:hAnsi="Times New Roman"/>
          <w:i/>
          <w:sz w:val="20"/>
        </w:rPr>
        <w:t xml:space="preserve">Distributions and Dividends </w:t>
      </w:r>
    </w:p>
    <w:p>
      <w:pPr>
        <w:pStyle w:val="TextBody"/>
        <w:spacing w:before="120" w:after="0"/>
        <w:jc w:val="left"/>
        <w:rPr>
          <w:rFonts w:ascii="Times New Roman" w:hAnsi="Times New Roman"/>
          <w:sz w:val="20"/>
        </w:rPr>
      </w:pPr>
      <w:r>
        <w:rPr>
          <w:rFonts w:ascii="Times New Roman" w:hAnsi="Times New Roman"/>
          <w:sz w:val="20"/>
        </w:rPr>
        <w:t xml:space="preserve">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 </w:t>
      </w:r>
    </w:p>
    <w:p>
      <w:pPr>
        <w:pStyle w:val="TextBody"/>
        <w:spacing w:before="240" w:after="0"/>
        <w:jc w:val="left"/>
        <w:rPr>
          <w:rFonts w:ascii="Times New Roman" w:hAnsi="Times New Roman"/>
          <w:sz w:val="20"/>
        </w:rPr>
      </w:pPr>
      <w:r>
        <w:rPr>
          <w:rFonts w:ascii="Times New Roman" w:hAnsi="Times New Roman"/>
          <w:sz w:val="20"/>
        </w:rPr>
        <w:t xml:space="preserve">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 up share capital and undistributable reserves;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the net assets to less than that total. </w:t>
            </w:r>
          </w:p>
        </w:tc>
      </w:tr>
    </w:tbl>
    <w:p>
      <w:pPr>
        <w:pStyle w:val="TextBody"/>
        <w:spacing w:before="360" w:after="0"/>
        <w:jc w:val="left"/>
        <w:rPr>
          <w:rFonts w:ascii="Times New Roman" w:hAnsi="Times New Roman"/>
          <w:i/>
          <w:sz w:val="20"/>
        </w:rPr>
      </w:pPr>
      <w:r>
        <w:rPr>
          <w:rFonts w:ascii="Times New Roman" w:hAnsi="Times New Roman"/>
          <w:i/>
          <w:sz w:val="20"/>
        </w:rPr>
        <w:t xml:space="preserve">City Code on Takeovers and Mergers </w:t>
      </w:r>
    </w:p>
    <w:p>
      <w:pPr>
        <w:pStyle w:val="TextBody"/>
        <w:spacing w:before="120" w:after="0"/>
        <w:jc w:val="left"/>
        <w:rPr>
          <w:rFonts w:ascii="Times New Roman" w:hAnsi="Times New Roman"/>
          <w:sz w:val="20"/>
        </w:rPr>
      </w:pPr>
      <w:r>
        <w:rPr>
          <w:rFonts w:ascii="Times New Roman" w:hAnsi="Times New Roman"/>
          <w:sz w:val="20"/>
        </w:rPr>
        <w:t xml:space="preserve">Following the AIM Delisting, if at the time of a takeover offer the U.K. Panel on Takeovers and Mergers (the Takeover Panel) determines that we have our place of central management and control in the United Kingdom, we would be subject to the U.K. City Code on Takeovers and Mergers (the City Code), which is issued and administered by the Takeover Panel. The City Code provides a framework within which takeovers of companies subject to it are conducted. In particular, the City Code contains certain rules in respect of mandatory offers. Under Rule 9 of the City Code, if a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acquires an interest in our shares which, when taken together with shares in which he or she or persons acting in concert with him or her are interested, carries 30% or more of the voting rights of our shares; 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our outstanding shares at a price not less than the highest price paid for any interests in the shares by the acquirer or its concert parties during the previous 12 months. </w:t>
            </w:r>
          </w:p>
        </w:tc>
      </w:tr>
    </w:tbl>
    <w:p>
      <w:pPr>
        <w:pStyle w:val="TextBody"/>
        <w:spacing w:before="240" w:after="0"/>
        <w:jc w:val="left"/>
        <w:rPr>
          <w:rFonts w:ascii="Times New Roman" w:hAnsi="Times New Roman"/>
          <w:sz w:val="20"/>
        </w:rPr>
      </w:pPr>
      <w:r>
        <w:rPr>
          <w:rFonts w:ascii="Times New Roman" w:hAnsi="Times New Roman"/>
          <w:sz w:val="20"/>
        </w:rPr>
        <w:t xml:space="preserve">In November 2020, the Takeover Panel confirmed that, based on our current circumstances, following AIM Delisting we are not subject to the City Code. As a result, our shareholders are not entitled to the benefit of the takeover offer protections provided under the City Code. We believe that this position is unlikely to change at any time in the near future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 </w:t>
      </w:r>
    </w:p>
    <w:p>
      <w:pPr>
        <w:pStyle w:val="TextBody"/>
        <w:spacing w:before="360" w:after="0"/>
        <w:jc w:val="left"/>
        <w:rPr>
          <w:rFonts w:ascii="Times New Roman" w:hAnsi="Times New Roman"/>
          <w:i/>
          <w:sz w:val="20"/>
        </w:rPr>
      </w:pPr>
      <w:r>
        <w:rPr>
          <w:rFonts w:ascii="Times New Roman" w:hAnsi="Times New Roman"/>
          <w:i/>
          <w:sz w:val="20"/>
        </w:rPr>
        <w:t xml:space="preserve">Exchange Controls </w:t>
      </w:r>
    </w:p>
    <w:p>
      <w:pPr>
        <w:pStyle w:val="TextBody"/>
        <w:spacing w:before="120" w:after="0"/>
        <w:jc w:val="left"/>
        <w:rPr>
          <w:rFonts w:ascii="Times New Roman" w:hAnsi="Times New Roman"/>
          <w:sz w:val="20"/>
        </w:rPr>
      </w:pPr>
      <w:r>
        <w:rPr>
          <w:rFonts w:ascii="Times New Roman" w:hAnsi="Times New Roman"/>
          <w:sz w:val="20"/>
        </w:rPr>
        <w:t xml:space="preserve">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DESCRIPTION OF AMERICAN DEPOSITARY SHARES </w:t>
      </w:r>
    </w:p>
    <w:p>
      <w:pPr>
        <w:pStyle w:val="TextBody"/>
        <w:spacing w:before="240" w:after="0"/>
        <w:jc w:val="left"/>
        <w:rPr>
          <w:rFonts w:ascii="Times New Roman" w:hAnsi="Times New Roman"/>
          <w:b/>
          <w:sz w:val="20"/>
        </w:rPr>
      </w:pPr>
      <w:r>
        <w:rPr>
          <w:rFonts w:ascii="Times New Roman" w:hAnsi="Times New Roman"/>
          <w:b/>
          <w:sz w:val="20"/>
        </w:rPr>
        <w:t xml:space="preserve">American Depositary Shares </w:t>
      </w:r>
    </w:p>
    <w:p>
      <w:pPr>
        <w:pStyle w:val="TextBody"/>
        <w:spacing w:before="120" w:after="0"/>
        <w:jc w:val="left"/>
        <w:rPr>
          <w:rFonts w:ascii="Times New Roman" w:hAnsi="Times New Roman"/>
          <w:sz w:val="20"/>
        </w:rPr>
      </w:pPr>
      <w:r>
        <w:rPr>
          <w:rFonts w:ascii="Times New Roman" w:hAnsi="Times New Roman"/>
          <w:sz w:val="20"/>
        </w:rPr>
        <w:t xml:space="preserve">Citibank, N.A. (Citibank) acts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El4 5LB, United Kingdom. </w:t>
      </w:r>
    </w:p>
    <w:p>
      <w:pPr>
        <w:pStyle w:val="TextBody"/>
        <w:spacing w:before="240" w:after="0"/>
        <w:jc w:val="left"/>
        <w:rPr>
          <w:rFonts w:ascii="Times New Roman" w:hAnsi="Times New Roman"/>
          <w:sz w:val="20"/>
        </w:rPr>
      </w:pPr>
      <w:r>
        <w:rPr>
          <w:rFonts w:ascii="Times New Roman" w:hAnsi="Times New Roman"/>
          <w:sz w:val="20"/>
        </w:rPr>
        <w:t xml:space="preserve">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333-249338 when retrieving such copy.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t>
      </w:r>
      <w:r>
        <w:rPr>
          <w:rFonts w:ascii="Times New Roman" w:hAnsi="Times New Roman"/>
          <w:i/>
          <w:sz w:val="20"/>
        </w:rPr>
        <w:t>The portions of this summary description that are italicized describe matters that may be relevant to the ownership of ADSs but that may not be contained in the deposit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Holder means the person or persons in whose name an ADS is registered on the register maintained by the depository for such purpose. 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spacing w:before="240" w:after="0"/>
        <w:jc w:val="left"/>
        <w:rPr>
          <w:rFonts w:ascii="Times New Roman" w:hAnsi="Times New Roman"/>
          <w:sz w:val="20"/>
        </w:rPr>
      </w:pPr>
      <w:r>
        <w:rPr>
          <w:rFonts w:ascii="Times New Roman" w:hAnsi="Times New Roman"/>
          <w:sz w:val="20"/>
        </w:rPr>
        <w:t xml:space="preserve">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 </w:t>
      </w:r>
    </w:p>
    <w:p>
      <w:pPr>
        <w:pStyle w:val="TextBody"/>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spacing w:before="240" w:after="0"/>
        <w:jc w:val="left"/>
        <w:rPr>
          <w:rFonts w:ascii="Times New Roman" w:hAnsi="Times New Roman"/>
          <w:sz w:val="20"/>
        </w:rPr>
      </w:pPr>
      <w:r>
        <w:rPr>
          <w:rFonts w:ascii="Times New Roman" w:hAnsi="Times New Roman"/>
          <w:sz w:val="20"/>
        </w:rPr>
        <w:t xml:space="preserve">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t>
      </w:r>
    </w:p>
    <w:p>
      <w:pPr>
        <w:pStyle w:val="TextBody"/>
        <w:spacing w:before="240" w:after="0"/>
        <w:jc w:val="left"/>
        <w:rPr>
          <w:rFonts w:ascii="Times New Roman" w:hAnsi="Times New Roman"/>
          <w:sz w:val="20"/>
        </w:rPr>
      </w:pPr>
      <w:r>
        <w:rPr>
          <w:rFonts w:ascii="Times New Roman" w:hAnsi="Times New Roman"/>
          <w:sz w:val="20"/>
        </w:rPr>
        <w:t xml:space="preserve">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 </w:t>
      </w:r>
    </w:p>
    <w:p>
      <w:pPr>
        <w:pStyle w:val="TextBody"/>
        <w:spacing w:before="240" w:after="0"/>
        <w:jc w:val="left"/>
        <w:rPr>
          <w:rFonts w:ascii="Times New Roman" w:hAnsi="Times New Roman"/>
          <w:b/>
          <w:sz w:val="20"/>
        </w:rPr>
      </w:pPr>
      <w:r>
        <w:rPr>
          <w:rFonts w:ascii="Times New Roman" w:hAnsi="Times New Roman"/>
          <w:b/>
          <w:sz w:val="20"/>
        </w:rPr>
        <w:t xml:space="preserve">Dividends and Other Distributions </w:t>
      </w:r>
    </w:p>
    <w:p>
      <w:pPr>
        <w:pStyle w:val="TextBody"/>
        <w:spacing w:before="120" w:after="0"/>
        <w:jc w:val="left"/>
        <w:rPr>
          <w:rFonts w:ascii="Times New Roman" w:hAnsi="Times New Roman"/>
          <w:sz w:val="20"/>
        </w:rPr>
      </w:pPr>
      <w:r>
        <w:rPr>
          <w:rFonts w:ascii="Times New Roman" w:hAnsi="Times New Roman"/>
          <w:sz w:val="20"/>
        </w:rPr>
        <w:t xml:space="preserve">Holders generally have the right to receive the distributions we make on the securities deposited with the custodian. A Holders receipt of these distributions may be limited, however, by practical considerations and leg al limitations. Holders of ADSs will receive such distributions under the terms of the deposit agreement in proportion to the number of ADSs held as of the specified record date, after deduction the applicable fees, taxes, and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Distributions of Cash </w:t>
      </w:r>
    </w:p>
    <w:p>
      <w:pPr>
        <w:pStyle w:val="TextBody"/>
        <w:spacing w:before="120" w:after="0"/>
        <w:jc w:val="left"/>
        <w:rPr>
          <w:rFonts w:ascii="Times New Roman" w:hAnsi="Times New Roman"/>
          <w:sz w:val="20"/>
        </w:rPr>
      </w:pPr>
      <w:r>
        <w:rPr>
          <w:rFonts w:ascii="Times New Roman" w:hAnsi="Times New Roman"/>
          <w:sz w:val="20"/>
        </w:rPr>
        <w:t xml:space="preserve">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 </w:t>
      </w:r>
    </w:p>
    <w:p>
      <w:pPr>
        <w:pStyle w:val="TextBody"/>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spacing w:before="24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spacing w:before="360" w:after="0"/>
        <w:jc w:val="left"/>
        <w:rPr>
          <w:rFonts w:ascii="Times New Roman" w:hAnsi="Times New Roman"/>
          <w:b/>
          <w:i/>
          <w:sz w:val="20"/>
        </w:rPr>
      </w:pPr>
      <w:r>
        <w:rPr>
          <w:rFonts w:ascii="Times New Roman" w:hAnsi="Times New Roman"/>
          <w:b/>
          <w:i/>
          <w:sz w:val="20"/>
        </w:rPr>
        <w:t xml:space="preserve">Distributions of Shares </w:t>
      </w:r>
    </w:p>
    <w:p>
      <w:pPr>
        <w:pStyle w:val="TextBody"/>
        <w:spacing w:before="120" w:after="0"/>
        <w:jc w:val="left"/>
        <w:rPr>
          <w:rFonts w:ascii="Times New Roman" w:hAnsi="Times New Roman"/>
          <w:sz w:val="20"/>
        </w:rPr>
      </w:pPr>
      <w:r>
        <w:rPr>
          <w:rFonts w:ascii="Times New Roman" w:hAnsi="Times New Roman"/>
          <w:sz w:val="20"/>
        </w:rPr>
        <w:t xml:space="preserve">Whenever we make a free distribution of ordinary shares for the securities on deposit with the custodian, we will deposit the applicable number of ordinary shares with the custodian. Upon receipt of confirmation of such depos 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 </w:t>
      </w:r>
    </w:p>
    <w:p>
      <w:pPr>
        <w:pStyle w:val="TextBody"/>
        <w:spacing w:before="240" w:after="0"/>
        <w:jc w:val="left"/>
        <w:rPr>
          <w:rFonts w:ascii="Times New Roman" w:hAnsi="Times New Roman"/>
          <w:sz w:val="20"/>
        </w:rPr>
      </w:pPr>
      <w:r>
        <w:rPr>
          <w:rFonts w:ascii="Times New Roman" w:hAnsi="Times New Roman"/>
          <w:sz w:val="20"/>
        </w:rPr>
        <w:t xml:space="preserve">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 </w:t>
      </w:r>
    </w:p>
    <w:p>
      <w:pPr>
        <w:pStyle w:val="TextBody"/>
        <w:spacing w:before="240" w:after="0"/>
        <w:jc w:val="left"/>
        <w:rPr>
          <w:rFonts w:ascii="Times New Roman" w:hAnsi="Times New Roman"/>
          <w:sz w:val="20"/>
        </w:rPr>
      </w:pPr>
      <w:r>
        <w:rPr>
          <w:rFonts w:ascii="Times New Roman" w:hAnsi="Times New Roman"/>
          <w:sz w:val="20"/>
        </w:rPr>
        <w:t xml:space="preserve">No such distribution of new ADSs will be made if it would violate a law </w:t>
      </w:r>
      <w:r>
        <w:rPr>
          <w:rFonts w:ascii="Times New Roman" w:hAnsi="Times New Roman"/>
          <w:i/>
          <w:sz w:val="20"/>
        </w:rPr>
        <w:t xml:space="preserve">(e.g., </w:t>
      </w:r>
      <w:r>
        <w:rPr>
          <w:rFonts w:ascii="Times New Roman" w:hAnsi="Times New Roman"/>
          <w:sz w:val="20"/>
        </w:rPr>
        <w:t xml:space="preserve">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Distributions of Rights </w:t>
      </w:r>
    </w:p>
    <w:p>
      <w:pPr>
        <w:pStyle w:val="TextBody"/>
        <w:spacing w:before="120" w:after="0"/>
        <w:jc w:val="left"/>
        <w:rPr>
          <w:rFonts w:ascii="Times New Roman" w:hAnsi="Times New Roman"/>
          <w:sz w:val="20"/>
        </w:rPr>
      </w:pPr>
      <w:r>
        <w:rPr>
          <w:rFonts w:ascii="Times New Roman" w:hAnsi="Times New Roman"/>
          <w:sz w:val="20"/>
        </w:rPr>
        <w:t xml:space="preserve">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 </w:t>
      </w:r>
    </w:p>
    <w:p>
      <w:pPr>
        <w:pStyle w:val="TextBody"/>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 </w:t>
      </w:r>
    </w:p>
    <w:p>
      <w:pPr>
        <w:pStyle w:val="TextBody"/>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 xml:space="preserve">not </w:t>
      </w:r>
      <w:r>
        <w:rPr>
          <w:rFonts w:ascii="Times New Roman" w:hAnsi="Times New Roman"/>
          <w:sz w:val="20"/>
        </w:rPr>
        <w:t xml:space="preserve">distribute the rights to a Holder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timely request that the rights be distributed to such Holder or we request that the rights not be distributed to such Holder; or we fail to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 </w:t>
      </w:r>
    </w:p>
    <w:p>
      <w:pPr>
        <w:pStyle w:val="TextBody"/>
        <w:spacing w:before="360" w:after="0"/>
        <w:jc w:val="left"/>
        <w:rPr>
          <w:rFonts w:ascii="Times New Roman" w:hAnsi="Times New Roman"/>
          <w:b/>
          <w:i/>
          <w:sz w:val="20"/>
        </w:rPr>
      </w:pPr>
      <w:r>
        <w:rPr>
          <w:rFonts w:ascii="Times New Roman" w:hAnsi="Times New Roman"/>
          <w:b/>
          <w:i/>
          <w:sz w:val="20"/>
        </w:rPr>
        <w:t xml:space="preserve">Elective Distributions </w:t>
      </w:r>
    </w:p>
    <w:p>
      <w:pPr>
        <w:pStyle w:val="TextBody"/>
        <w:spacing w:before="120" w:after="0"/>
        <w:jc w:val="left"/>
        <w:rPr>
          <w:rFonts w:ascii="Times New Roman" w:hAnsi="Times New Roman"/>
          <w:sz w:val="20"/>
        </w:rPr>
      </w:pPr>
      <w:r>
        <w:rPr>
          <w:rFonts w:ascii="Times New Roman" w:hAnsi="Times New Roman"/>
          <w:sz w:val="20"/>
        </w:rPr>
        <w:t xml:space="preserve">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 </w:t>
      </w:r>
    </w:p>
    <w:p>
      <w:pPr>
        <w:pStyle w:val="TextBody"/>
        <w:spacing w:before="240" w:after="0"/>
        <w:jc w:val="left"/>
        <w:rPr>
          <w:rFonts w:ascii="Times New Roman" w:hAnsi="Times New Roman"/>
          <w:sz w:val="20"/>
        </w:rPr>
      </w:pPr>
      <w:r>
        <w:rPr>
          <w:rFonts w:ascii="Times New Roman" w:hAnsi="Times New Roman"/>
          <w:sz w:val="20"/>
        </w:rPr>
        <w:t xml:space="preserve">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 </w:t>
      </w:r>
    </w:p>
    <w:p>
      <w:pPr>
        <w:pStyle w:val="TextBody"/>
        <w:spacing w:before="240" w:after="0"/>
        <w:jc w:val="left"/>
        <w:rPr>
          <w:rFonts w:ascii="Times New Roman" w:hAnsi="Times New Roman"/>
          <w:sz w:val="20"/>
        </w:rPr>
      </w:pPr>
      <w:r>
        <w:rPr>
          <w:rFonts w:ascii="Times New Roman" w:hAnsi="Times New Roman"/>
          <w:sz w:val="20"/>
        </w:rPr>
        <w:t xml:space="preserve">If the election is not made available to a Holder, such Holder will receive either cash or additional ADSs, depending on what a shareholder in England and Wales would receive upon failing to make an election, as more fully described in the deposit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Other Distributions </w:t>
      </w:r>
    </w:p>
    <w:p>
      <w:pPr>
        <w:pStyle w:val="TextBody"/>
        <w:spacing w:before="120" w:after="0"/>
        <w:jc w:val="left"/>
        <w:rPr>
          <w:rFonts w:ascii="Times New Roman" w:hAnsi="Times New Roman"/>
          <w:sz w:val="20"/>
        </w:rPr>
      </w:pPr>
      <w:r>
        <w:rPr>
          <w:rFonts w:ascii="Times New Roman" w:hAnsi="Times New Roman"/>
          <w:sz w:val="20"/>
        </w:rPr>
        <w:t xml:space="preserve">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 </w:t>
      </w:r>
    </w:p>
    <w:p>
      <w:pPr>
        <w:pStyle w:val="TextBody"/>
        <w:spacing w:before="240" w:after="0"/>
        <w:jc w:val="left"/>
        <w:rPr>
          <w:rFonts w:ascii="Times New Roman" w:hAnsi="Times New Roman"/>
          <w:sz w:val="20"/>
        </w:rPr>
      </w:pPr>
      <w:r>
        <w:rPr>
          <w:rFonts w:ascii="Times New Roman" w:hAnsi="Times New Roman"/>
          <w:sz w:val="20"/>
        </w:rPr>
        <w:t xml:space="preserve">If it is reasonably practicable to distribute such property to a Holder and if we provide to the depositary all of the documentation contemplated in the deposit agreement, the depositary will distribute the property to the holders in a manner it deems practicable. </w:t>
      </w:r>
    </w:p>
    <w:p>
      <w:pPr>
        <w:pStyle w:val="TextBody"/>
        <w:spacing w:before="240" w:after="0"/>
        <w:jc w:val="left"/>
        <w:rPr>
          <w:rFonts w:ascii="Times New Roman" w:hAnsi="Times New Roman"/>
          <w:sz w:val="20"/>
        </w:rPr>
      </w:pPr>
      <w:r>
        <w:rPr>
          <w:rFonts w:ascii="Times New Roman" w:hAnsi="Times New Roman"/>
          <w:sz w:val="20"/>
        </w:rPr>
        <w:t xml:space="preserve">The distribution will be made net of fees, expenses, taxes, and governmental charges payable by holders under the terms of the deposit agreement. </w:t>
      </w:r>
    </w:p>
    <w:p>
      <w:pPr>
        <w:pStyle w:val="TextBody"/>
        <w:spacing w:before="240" w:after="0"/>
        <w:jc w:val="left"/>
        <w:rPr>
          <w:rFonts w:ascii="Times New Roman" w:hAnsi="Times New Roman"/>
          <w:sz w:val="20"/>
        </w:rPr>
      </w:pPr>
      <w:r>
        <w:rPr>
          <w:rFonts w:ascii="Times New Roman" w:hAnsi="Times New Roman"/>
          <w:sz w:val="20"/>
        </w:rPr>
        <w:t xml:space="preserve">In order to pay such taxes and governmental charges, the depositary may sell all or a portion of the property received. </w:t>
      </w:r>
    </w:p>
    <w:p>
      <w:pPr>
        <w:pStyle w:val="TextBody"/>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 xml:space="preserve">not </w:t>
      </w:r>
      <w:r>
        <w:rPr>
          <w:rFonts w:ascii="Times New Roman" w:hAnsi="Times New Roman"/>
          <w:sz w:val="20"/>
        </w:rPr>
        <w:t xml:space="preserve">distribute the property to a Holder and will sell the property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request that the property be distributed to such Holder or if we request that the property not be distributed to such 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such Holder is not reasonably practicable. The proceeds of such a sale will be distributed to holders as in the case of a cash distribution.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Redemption </w:t>
      </w:r>
    </w:p>
    <w:p>
      <w:pPr>
        <w:pStyle w:val="TextBody"/>
        <w:spacing w:before="120" w:after="0"/>
        <w:jc w:val="left"/>
        <w:rPr>
          <w:rFonts w:ascii="Times New Roman" w:hAnsi="Times New Roman"/>
          <w:sz w:val="20"/>
        </w:rPr>
      </w:pPr>
      <w:r>
        <w:rPr>
          <w:rFonts w:ascii="Times New Roman" w:hAnsi="Times New Roman"/>
          <w:sz w:val="20"/>
        </w:rPr>
        <w:t xml:space="preserve">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 </w:t>
      </w:r>
    </w:p>
    <w:p>
      <w:pPr>
        <w:pStyle w:val="TextBody"/>
        <w:spacing w:before="240" w:after="0"/>
        <w:jc w:val="left"/>
        <w:rPr>
          <w:rFonts w:ascii="Times New Roman" w:hAnsi="Times New Roman"/>
          <w:sz w:val="20"/>
        </w:rPr>
      </w:pPr>
      <w:r>
        <w:rPr>
          <w:rFonts w:ascii="Times New Roman" w:hAnsi="Times New Roman"/>
          <w:sz w:val="20"/>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Times New Roman" w:hAnsi="Times New Roman"/>
          <w:i/>
          <w:sz w:val="20"/>
        </w:rPr>
        <w:t xml:space="preserve">pro rata </w:t>
      </w:r>
      <w:r>
        <w:rPr>
          <w:rFonts w:ascii="Times New Roman" w:hAnsi="Times New Roman"/>
          <w:sz w:val="20"/>
        </w:rPr>
        <w:t xml:space="preserve">basis, as the depositary may determine.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Changes Affecting Ordinary Shares </w:t>
      </w:r>
    </w:p>
    <w:p>
      <w:pPr>
        <w:pStyle w:val="TextBody"/>
        <w:spacing w:before="120" w:after="0"/>
        <w:jc w:val="left"/>
        <w:rPr>
          <w:rFonts w:ascii="Times New Roman" w:hAnsi="Times New Roman"/>
          <w:sz w:val="20"/>
        </w:rPr>
      </w:pPr>
      <w:r>
        <w:rPr>
          <w:rFonts w:ascii="Times New Roman" w:hAnsi="Times New Roman"/>
          <w:sz w:val="20"/>
        </w:rPr>
        <w:t xml:space="preserve">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 </w:t>
      </w:r>
    </w:p>
    <w:p>
      <w:pPr>
        <w:pStyle w:val="TextBody"/>
        <w:spacing w:before="240" w:after="0"/>
        <w:jc w:val="left"/>
        <w:rPr>
          <w:rFonts w:ascii="Times New Roman" w:hAnsi="Times New Roman"/>
          <w:sz w:val="20"/>
        </w:rPr>
      </w:pPr>
      <w:r>
        <w:rPr>
          <w:rFonts w:ascii="Times New Roman" w:hAnsi="Times New Roman"/>
          <w:sz w:val="20"/>
        </w:rPr>
        <w:t xml:space="preserve">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 </w:t>
      </w:r>
    </w:p>
    <w:p>
      <w:pPr>
        <w:pStyle w:val="TextBody"/>
        <w:spacing w:before="360" w:after="0"/>
        <w:jc w:val="left"/>
        <w:rPr>
          <w:rFonts w:ascii="Times New Roman" w:hAnsi="Times New Roman"/>
          <w:b/>
          <w:sz w:val="20"/>
        </w:rPr>
      </w:pPr>
      <w:r>
        <w:rPr>
          <w:rFonts w:ascii="Times New Roman" w:hAnsi="Times New Roman"/>
          <w:b/>
          <w:sz w:val="20"/>
        </w:rPr>
        <w:t xml:space="preserve">Issuance of ADSs upon Deposit of Ordinary Shares </w:t>
      </w:r>
    </w:p>
    <w:p>
      <w:pPr>
        <w:pStyle w:val="TextBody"/>
        <w:spacing w:before="120" w:after="0"/>
        <w:jc w:val="left"/>
        <w:rPr>
          <w:rFonts w:ascii="Times New Roman" w:hAnsi="Times New Roman"/>
          <w:sz w:val="20"/>
        </w:rPr>
      </w:pPr>
      <w:r>
        <w:rPr>
          <w:rFonts w:ascii="Times New Roman" w:hAnsi="Times New Roman"/>
          <w:sz w:val="20"/>
        </w:rPr>
        <w:t xml:space="preserve">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 </w:t>
      </w:r>
    </w:p>
    <w:p>
      <w:pPr>
        <w:pStyle w:val="TextBody"/>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ordinary shares have been duly transferred to the custodian. The depositary will only issue ADSs in whole numbers. </w:t>
      </w:r>
    </w:p>
    <w:p>
      <w:pPr>
        <w:pStyle w:val="TextBody"/>
        <w:spacing w:before="240" w:after="0"/>
        <w:jc w:val="left"/>
        <w:rPr>
          <w:rFonts w:ascii="Times New Roman" w:hAnsi="Times New Roman"/>
          <w:sz w:val="20"/>
        </w:rPr>
      </w:pPr>
      <w:r>
        <w:rPr>
          <w:rFonts w:ascii="Times New Roman" w:hAnsi="Times New Roman"/>
          <w:sz w:val="20"/>
        </w:rPr>
        <w:t xml:space="preserve">When a Holder makes a deposit of ordinary shares, such Holder will be responsible for transferring good and valid title to the depositary. As such, a Holder will be deemed to represent and warrant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ordinary shares are duly authorized, validly allotted and issued, fully paid, not subject to any call for the payment of further capital, and legally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pre-emptive (and similar) rights, if any, with respect to such ordinary shares have been validly waived, disapplied or exercised; such Holder is duly authorized to deposit the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ordinary shares presented for deposit are free and clear of any lien, encumbrance, security interest, charge, mortgage, or adverse claim, and are not, and the ADSs issuable upon such deposit will not be, Restricted Securities (as defined in the deposit agreement);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ordinary shares presented for deposit have not been stripped of any rights or entitlements. </w:t>
            </w:r>
          </w:p>
        </w:tc>
      </w:tr>
    </w:tbl>
    <w:p>
      <w:pPr>
        <w:pStyle w:val="TextBody"/>
        <w:spacing w:before="240" w:after="0"/>
        <w:jc w:val="left"/>
        <w:rPr>
          <w:rFonts w:ascii="Times New Roman" w:hAnsi="Times New Roman"/>
          <w:sz w:val="20"/>
        </w:rPr>
      </w:pPr>
      <w:r>
        <w:rPr>
          <w:rFonts w:ascii="Times New Roman" w:hAnsi="Times New Roman"/>
          <w:sz w:val="20"/>
        </w:rPr>
        <w:t xml:space="preserve">If any of the representations or warranties is incorrect in any way, we and the depositary may, at such Holders cost and expense, take any and all actions necessary to correct the consequences of the misrepresentation. </w:t>
      </w:r>
    </w:p>
    <w:p>
      <w:pPr>
        <w:pStyle w:val="TextBody"/>
        <w:spacing w:before="360" w:after="0"/>
        <w:jc w:val="left"/>
        <w:rPr>
          <w:rFonts w:ascii="Times New Roman" w:hAnsi="Times New Roman"/>
          <w:b/>
          <w:sz w:val="20"/>
        </w:rPr>
      </w:pPr>
      <w:r>
        <w:rPr>
          <w:rFonts w:ascii="Times New Roman" w:hAnsi="Times New Roman"/>
          <w:b/>
          <w:sz w:val="20"/>
        </w:rPr>
        <w:t xml:space="preserve">Transfer, Combination and Split Up of ADRs </w:t>
      </w:r>
    </w:p>
    <w:p>
      <w:pPr>
        <w:pStyle w:val="TextBody"/>
        <w:spacing w:before="120" w:after="0"/>
        <w:jc w:val="left"/>
        <w:rPr>
          <w:rFonts w:ascii="Times New Roman" w:hAnsi="Times New Roman"/>
          <w:sz w:val="20"/>
        </w:rPr>
      </w:pPr>
      <w:r>
        <w:rPr>
          <w:rFonts w:ascii="Times New Roman" w:hAnsi="Times New Roman"/>
          <w:sz w:val="20"/>
        </w:rPr>
        <w:t xml:space="preserve">ADR holders will be entitled to transfer, combine, or split up such Holders ADRs and the ADSs evidenced thereby. For transfers of ADRs, a Holder will have to surrender the ADRs to be transferred to the depositary and also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United States;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ADRs. </w:t>
            </w:r>
          </w:p>
        </w:tc>
      </w:tr>
    </w:tbl>
    <w:p>
      <w:pPr>
        <w:pStyle w:val="TextBody"/>
        <w:spacing w:before="240" w:after="0"/>
        <w:jc w:val="left"/>
        <w:rPr>
          <w:rFonts w:ascii="Times New Roman" w:hAnsi="Times New Roman"/>
          <w:sz w:val="20"/>
        </w:rPr>
      </w:pPr>
      <w:r>
        <w:rPr>
          <w:rFonts w:ascii="Times New Roman" w:hAnsi="Times New Roman"/>
          <w:sz w:val="20"/>
        </w:rPr>
        <w:t xml:space="preserve">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 </w:t>
      </w:r>
    </w:p>
    <w:p>
      <w:pPr>
        <w:pStyle w:val="TextBody"/>
        <w:spacing w:before="360" w:after="0"/>
        <w:jc w:val="left"/>
        <w:rPr>
          <w:rFonts w:ascii="Times New Roman" w:hAnsi="Times New Roman"/>
          <w:b/>
          <w:sz w:val="20"/>
        </w:rPr>
      </w:pPr>
      <w:r>
        <w:rPr>
          <w:rFonts w:ascii="Times New Roman" w:hAnsi="Times New Roman"/>
          <w:b/>
          <w:sz w:val="20"/>
        </w:rPr>
        <w:t xml:space="preserve">Withdrawal of Ordinary Shares Upon Cancellation of ADSs </w:t>
      </w:r>
    </w:p>
    <w:p>
      <w:pPr>
        <w:pStyle w:val="TextBody"/>
        <w:spacing w:before="120" w:after="0"/>
        <w:jc w:val="left"/>
        <w:rPr>
          <w:rFonts w:ascii="Times New Roman" w:hAnsi="Times New Roman"/>
          <w:sz w:val="20"/>
        </w:rPr>
      </w:pPr>
      <w:r>
        <w:rPr>
          <w:rFonts w:ascii="Times New Roman" w:hAnsi="Times New Roman"/>
          <w:sz w:val="20"/>
        </w:rPr>
        <w:t xml:space="preserve">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 </w:t>
      </w:r>
    </w:p>
    <w:p>
      <w:pPr>
        <w:pStyle w:val="TextBody"/>
        <w:spacing w:before="240" w:after="0"/>
        <w:jc w:val="left"/>
        <w:rPr>
          <w:rFonts w:ascii="Times New Roman" w:hAnsi="Times New Roman"/>
          <w:sz w:val="20"/>
        </w:rPr>
      </w:pPr>
      <w:r>
        <w:rPr>
          <w:rFonts w:ascii="Times New Roman" w:hAnsi="Times New Roman"/>
          <w:sz w:val="20"/>
        </w:rPr>
        <w:t xml:space="preserve">A Holder assumes the risk for delivery of all funds and securities upon withdrawal. Once canceled, the ADSs will not have any rights under the deposit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spacing w:before="240" w:after="0"/>
        <w:jc w:val="left"/>
        <w:rPr>
          <w:rFonts w:ascii="Times New Roman" w:hAnsi="Times New Roman"/>
          <w:sz w:val="20"/>
        </w:rPr>
      </w:pPr>
      <w:r>
        <w:rPr>
          <w:rFonts w:ascii="Times New Roman" w:hAnsi="Times New Roman"/>
          <w:sz w:val="20"/>
        </w:rPr>
        <w:t xml:space="preserve">A Holder will have the right to withdraw the securities represented by such Holders ADSs at any time except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ordinary shares or ADSs are closed, or (ii) ordinary shares are immobilized on account of a shareholders meeting or a payment of dividends;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obligations to pay fees, taxes, and similar charges; and/or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w:t>
            </w:r>
          </w:p>
        </w:tc>
      </w:tr>
    </w:tbl>
    <w:p>
      <w:pPr>
        <w:pStyle w:val="TextBody"/>
        <w:spacing w:before="120" w:after="0"/>
        <w:jc w:val="left"/>
        <w:rPr>
          <w:rFonts w:ascii="Times New Roman" w:hAnsi="Times New Roman"/>
          <w:sz w:val="20"/>
        </w:rPr>
      </w:pPr>
      <w:r>
        <w:rPr>
          <w:rFonts w:ascii="Times New Roman" w:hAnsi="Times New Roman"/>
          <w:sz w:val="20"/>
        </w:rPr>
        <w:t xml:space="preserve">The deposit agreement may not be modified to impair a Holder right to withdraw the securities represented by such Holders ADSs except to comply with mandatory provisions of law.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A Holder generally has the right under the deposit agreement to instruct the depositary to exercise the voting rights for the ordinary shares represented by such Holders ADSs. The voting rights of holders of ordinary shares are described in Description of Share Capital and Articles of Association-Articles of Association in this Annual Report. </w:t>
      </w:r>
    </w:p>
    <w:p>
      <w:pPr>
        <w:pStyle w:val="TextBody"/>
        <w:spacing w:before="240" w:after="0"/>
        <w:jc w:val="left"/>
        <w:rPr>
          <w:rFonts w:ascii="Times New Roman" w:hAnsi="Times New Roman"/>
          <w:sz w:val="20"/>
        </w:rPr>
      </w:pPr>
      <w:r>
        <w:rPr>
          <w:rFonts w:ascii="Times New Roman" w:hAnsi="Times New Roman"/>
          <w:sz w:val="20"/>
        </w:rPr>
        <w:t xml:space="preserve">At our request, the depositary will distribute to a Holder any notice of shareholders meeting received from us together with information explaining how to instruct the depositary to exercise the voting rights of the securities represented by ADSs. </w:t>
      </w:r>
    </w:p>
    <w:p>
      <w:pPr>
        <w:pStyle w:val="TextBody"/>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it will endeavor to vote the securities (in person or by proxy) represented by the holders ADSs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in the event of voting by show of hands, </w:t>
            </w:r>
            <w:r>
              <w:rPr>
                <w:rFonts w:ascii="Times New Roman" w:hAnsi="Times New Roman"/>
                <w:sz w:val="20"/>
              </w:rPr>
              <w:t xml:space="preserve">the depositary will vote (or cause the custodian to vote) all ordinary held on deposit at that time in accordance with the voting instructions received from a majority of holders of ADSs who provide timely voting instructions.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in the event of voting by poll, </w:t>
            </w:r>
            <w:r>
              <w:rPr>
                <w:rFonts w:ascii="Times New Roman" w:hAnsi="Times New Roman"/>
                <w:sz w:val="20"/>
              </w:rPr>
              <w:t xml:space="preserve">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Securities for which no voting instructions have been received will not be voted (except as otherwise contemplated in the Deposit Agreement). </w:t>
      </w:r>
    </w:p>
    <w:p>
      <w:pPr>
        <w:pStyle w:val="TextBody"/>
        <w:spacing w:before="240" w:after="0"/>
        <w:jc w:val="left"/>
        <w:rPr>
          <w:rFonts w:ascii="Times New Roman" w:hAnsi="Times New Roman"/>
          <w:sz w:val="20"/>
        </w:rPr>
      </w:pPr>
      <w:r>
        <w:rPr>
          <w:rFonts w:ascii="Times New Roman" w:hAnsi="Times New Roman"/>
          <w:sz w:val="20"/>
        </w:rPr>
        <w:t xml:space="preserve">Please note that the ability of the depositary to carry out voting instructions may be limited by practical and legal limitations and the terms of the securities on deposit. We cannot assure a Holder that such Holder will receive voting materials in time to enable such Holder to return voting instructions to the depositary in a timely manner. </w:t>
      </w:r>
    </w:p>
    <w:p>
      <w:pPr>
        <w:pStyle w:val="TextBody"/>
        <w:spacing w:before="360" w:after="0"/>
        <w:jc w:val="left"/>
        <w:rPr>
          <w:rFonts w:ascii="Times New Roman" w:hAnsi="Times New Roman"/>
          <w:b/>
          <w:sz w:val="20"/>
        </w:rPr>
      </w:pPr>
      <w:r>
        <w:rPr>
          <w:rFonts w:ascii="Times New Roman" w:hAnsi="Times New Roman"/>
          <w:b/>
          <w:sz w:val="20"/>
        </w:rPr>
        <w:t xml:space="preserve">Fees and Charges </w:t>
      </w:r>
    </w:p>
    <w:p>
      <w:pPr>
        <w:pStyle w:val="TextBody"/>
        <w:spacing w:before="120" w:after="0"/>
        <w:jc w:val="left"/>
        <w:rPr>
          <w:rFonts w:ascii="Times New Roman" w:hAnsi="Times New Roman"/>
          <w:sz w:val="20"/>
        </w:rPr>
      </w:pPr>
      <w:r>
        <w:rPr>
          <w:rFonts w:ascii="Times New Roman" w:hAnsi="Times New Roman"/>
          <w:sz w:val="20"/>
        </w:rPr>
        <w:t xml:space="preserve">ADS holders will be required to pay the following fees under the terms of the deposit agreement: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89"/>
        <w:gridCol w:w="134"/>
        <w:gridCol w:w="5582"/>
      </w:tblGrid>
      <w:tr>
        <w:trPr/>
        <w:tc>
          <w:tcPr>
            <w:tcW w:w="44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5582" w:type="dxa"/>
            <w:tcBorders/>
            <w:shd w:fill="auto" w:val="clear"/>
            <w:vAlign w:val="center"/>
          </w:tcPr>
          <w:p>
            <w:pPr>
              <w:pStyle w:val="TableContents"/>
              <w:spacing w:before="0" w:after="283"/>
              <w:rPr>
                <w:sz w:val="4"/>
                <w:szCs w:val="4"/>
              </w:rPr>
            </w:pPr>
            <w:r>
              <w:rPr>
                <w:sz w:val="4"/>
                <w:szCs w:val="4"/>
              </w:rPr>
            </w:r>
          </w:p>
        </w:tc>
      </w:tr>
      <w:tr>
        <w:trPr/>
        <w:tc>
          <w:tcPr>
            <w:tcW w:w="448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Service</w:t>
            </w:r>
          </w:p>
        </w:tc>
        <w:tc>
          <w:tcPr>
            <w:tcW w:w="134" w:type="dxa"/>
            <w:tcBorders/>
            <w:shd w:fill="auto" w:val="clear"/>
            <w:vAlign w:val="bottom"/>
          </w:tcPr>
          <w:p>
            <w:pPr>
              <w:pStyle w:val="TableContents"/>
              <w:spacing w:before="0" w:after="283"/>
              <w:rPr/>
            </w:pPr>
            <w:r>
              <w:rPr/>
              <w:t>  </w:t>
            </w:r>
          </w:p>
        </w:tc>
        <w:tc>
          <w:tcPr>
            <w:tcW w:w="55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Fee</w:t>
            </w:r>
          </w:p>
        </w:tc>
      </w:tr>
      <w:tr>
        <w:trPr/>
        <w:tc>
          <w:tcPr>
            <w:tcW w:w="4489" w:type="dxa"/>
            <w:tcBorders/>
            <w:shd w:fill="CCEEFF" w:val="clear"/>
          </w:tcPr>
          <w:p>
            <w:pPr>
              <w:pStyle w:val="TableContents"/>
              <w:spacing w:before="0" w:after="283"/>
              <w:rPr/>
            </w:pPr>
            <w:r>
              <w:rPr/>
              <w:t>Issuance of ADSs (e.g., an issuance of ADS upon a deposit of ordinary shares or upon a change in the ADS(s)-to-ordinary shares ratio), excluding ADS issuances as a result of distributions of ordinary Shares</w:t>
            </w:r>
          </w:p>
        </w:tc>
        <w:tc>
          <w:tcPr>
            <w:tcW w:w="134" w:type="dxa"/>
            <w:tcBorders/>
            <w:shd w:fill="CCEEFF" w:val="clear"/>
            <w:vAlign w:val="bottom"/>
          </w:tcPr>
          <w:p>
            <w:pPr>
              <w:pStyle w:val="TableContents"/>
              <w:spacing w:before="0" w:after="283"/>
              <w:rPr/>
            </w:pPr>
            <w:r>
              <w:rPr/>
              <w:t>  </w:t>
            </w:r>
          </w:p>
        </w:tc>
        <w:tc>
          <w:tcPr>
            <w:tcW w:w="5582" w:type="dxa"/>
            <w:tcBorders/>
            <w:shd w:fill="CCEEFF" w:val="clear"/>
          </w:tcPr>
          <w:p>
            <w:pPr>
              <w:pStyle w:val="TableContents"/>
              <w:spacing w:before="0" w:after="283"/>
              <w:rPr/>
            </w:pPr>
            <w:r>
              <w:rPr/>
              <w:t>Up to $5.00 per 100 ADSs (or fraction thereof) issued</w:t>
            </w:r>
          </w:p>
        </w:tc>
      </w:tr>
      <w:tr>
        <w:trPr/>
        <w:tc>
          <w:tcPr>
            <w:tcW w:w="4489" w:type="dxa"/>
            <w:tcBorders/>
            <w:shd w:fill="auto" w:val="clear"/>
          </w:tcPr>
          <w:p>
            <w:pPr>
              <w:pStyle w:val="TableContents"/>
              <w:spacing w:before="0" w:after="283"/>
              <w:rPr/>
            </w:pPr>
            <w:r>
              <w:rPr/>
              <w:t>Cancellation of ADSs (e.g., a cancellation of ADSs for delivery of deposited property or upon a change in the ADS(s)-to-ordinary shares ratio)</w:t>
            </w:r>
          </w:p>
        </w:tc>
        <w:tc>
          <w:tcPr>
            <w:tcW w:w="134" w:type="dxa"/>
            <w:tcBorders/>
            <w:shd w:fill="auto" w:val="clear"/>
            <w:vAlign w:val="bottom"/>
          </w:tcPr>
          <w:p>
            <w:pPr>
              <w:pStyle w:val="TableContents"/>
              <w:spacing w:before="0" w:after="283"/>
              <w:rPr/>
            </w:pPr>
            <w:r>
              <w:rPr/>
              <w:t>  </w:t>
            </w:r>
          </w:p>
        </w:tc>
        <w:tc>
          <w:tcPr>
            <w:tcW w:w="5582" w:type="dxa"/>
            <w:tcBorders/>
            <w:shd w:fill="auto" w:val="clear"/>
          </w:tcPr>
          <w:p>
            <w:pPr>
              <w:pStyle w:val="TableContents"/>
              <w:spacing w:before="0" w:after="283"/>
              <w:rPr/>
            </w:pPr>
            <w:r>
              <w:rPr/>
              <w:t>Up to $5.00 per 100 ADSs (or fraction thereof) cancelled</w:t>
            </w:r>
          </w:p>
        </w:tc>
      </w:tr>
      <w:tr>
        <w:trPr/>
        <w:tc>
          <w:tcPr>
            <w:tcW w:w="4489" w:type="dxa"/>
            <w:tcBorders/>
            <w:shd w:fill="CCEEFF" w:val="clear"/>
          </w:tcPr>
          <w:p>
            <w:pPr>
              <w:pStyle w:val="TableContents"/>
              <w:spacing w:before="0" w:after="283"/>
              <w:rPr/>
            </w:pPr>
            <w:r>
              <w:rPr/>
              <w:t>Distribution of cash dividends or other cash distributions (e.g., upon a sale of rights and other entitlements)</w:t>
            </w:r>
          </w:p>
        </w:tc>
        <w:tc>
          <w:tcPr>
            <w:tcW w:w="134" w:type="dxa"/>
            <w:tcBorders/>
            <w:shd w:fill="CCEEFF" w:val="clear"/>
            <w:vAlign w:val="bottom"/>
          </w:tcPr>
          <w:p>
            <w:pPr>
              <w:pStyle w:val="TableContents"/>
              <w:spacing w:before="0" w:after="283"/>
              <w:rPr/>
            </w:pPr>
            <w:r>
              <w:rPr/>
              <w:t>  </w:t>
            </w:r>
          </w:p>
        </w:tc>
        <w:tc>
          <w:tcPr>
            <w:tcW w:w="5582" w:type="dxa"/>
            <w:tcBorders/>
            <w:shd w:fill="CCEEFF" w:val="clear"/>
          </w:tcPr>
          <w:p>
            <w:pPr>
              <w:pStyle w:val="TableContents"/>
              <w:spacing w:before="0" w:after="283"/>
              <w:rPr/>
            </w:pPr>
            <w:r>
              <w:rPr/>
              <w:t>Up to $5.00 per 100 ADSs (or fraction thereof) held</w:t>
            </w:r>
          </w:p>
        </w:tc>
      </w:tr>
      <w:tr>
        <w:trPr/>
        <w:tc>
          <w:tcPr>
            <w:tcW w:w="4489" w:type="dxa"/>
            <w:tcBorders/>
            <w:shd w:fill="auto" w:val="clear"/>
          </w:tcPr>
          <w:p>
            <w:pPr>
              <w:pStyle w:val="TableContents"/>
              <w:spacing w:before="0" w:after="283"/>
              <w:rPr/>
            </w:pPr>
            <w:r>
              <w:rPr/>
              <w:t>Distribution of ADSs pursuant to (i) stock dividends or other free stock distributions, or (ii) exercise of rights to purchase additional ADSs</w:t>
            </w:r>
          </w:p>
        </w:tc>
        <w:tc>
          <w:tcPr>
            <w:tcW w:w="134" w:type="dxa"/>
            <w:tcBorders/>
            <w:shd w:fill="auto" w:val="clear"/>
            <w:vAlign w:val="bottom"/>
          </w:tcPr>
          <w:p>
            <w:pPr>
              <w:pStyle w:val="TableContents"/>
              <w:spacing w:before="0" w:after="283"/>
              <w:rPr/>
            </w:pPr>
            <w:r>
              <w:rPr/>
              <w:t>  </w:t>
            </w:r>
          </w:p>
        </w:tc>
        <w:tc>
          <w:tcPr>
            <w:tcW w:w="5582" w:type="dxa"/>
            <w:tcBorders/>
            <w:shd w:fill="auto" w:val="clear"/>
          </w:tcPr>
          <w:p>
            <w:pPr>
              <w:pStyle w:val="TableContents"/>
              <w:spacing w:before="0" w:after="283"/>
              <w:rPr/>
            </w:pPr>
            <w:r>
              <w:rPr/>
              <w:t>Up to $5.00 per 100 ADSs (or fraction thereof) held</w:t>
            </w:r>
          </w:p>
        </w:tc>
      </w:tr>
      <w:tr>
        <w:trPr/>
        <w:tc>
          <w:tcPr>
            <w:tcW w:w="4489" w:type="dxa"/>
            <w:tcBorders/>
            <w:shd w:fill="CCEEFF" w:val="clear"/>
          </w:tcPr>
          <w:p>
            <w:pPr>
              <w:pStyle w:val="TableContents"/>
              <w:spacing w:before="0" w:after="283"/>
              <w:rPr/>
            </w:pPr>
            <w:r>
              <w:rPr/>
              <w:t>Distribution of securities other than ADSs or rights to purchase additional ADSs (e.g., upon a spin-off)</w:t>
            </w:r>
          </w:p>
        </w:tc>
        <w:tc>
          <w:tcPr>
            <w:tcW w:w="134" w:type="dxa"/>
            <w:tcBorders/>
            <w:shd w:fill="CCEEFF" w:val="clear"/>
            <w:vAlign w:val="bottom"/>
          </w:tcPr>
          <w:p>
            <w:pPr>
              <w:pStyle w:val="TableContents"/>
              <w:spacing w:before="0" w:after="283"/>
              <w:rPr/>
            </w:pPr>
            <w:r>
              <w:rPr/>
              <w:t>  </w:t>
            </w:r>
          </w:p>
        </w:tc>
        <w:tc>
          <w:tcPr>
            <w:tcW w:w="5582" w:type="dxa"/>
            <w:tcBorders/>
            <w:shd w:fill="CCEEFF" w:val="clear"/>
          </w:tcPr>
          <w:p>
            <w:pPr>
              <w:pStyle w:val="TableContents"/>
              <w:spacing w:before="0" w:after="283"/>
              <w:rPr/>
            </w:pPr>
            <w:r>
              <w:rPr/>
              <w:t>Up to $5.00 per 100 ADSs (or fraction thereof) held</w:t>
            </w:r>
          </w:p>
        </w:tc>
      </w:tr>
      <w:tr>
        <w:trPr/>
        <w:tc>
          <w:tcPr>
            <w:tcW w:w="4489" w:type="dxa"/>
            <w:tcBorders/>
            <w:shd w:fill="auto" w:val="clear"/>
          </w:tcPr>
          <w:p>
            <w:pPr>
              <w:pStyle w:val="TableContents"/>
              <w:spacing w:before="0" w:after="283"/>
              <w:rPr/>
            </w:pPr>
            <w:r>
              <w:rPr/>
              <w:t>ADS Services</w:t>
            </w:r>
          </w:p>
        </w:tc>
        <w:tc>
          <w:tcPr>
            <w:tcW w:w="134" w:type="dxa"/>
            <w:tcBorders/>
            <w:shd w:fill="auto" w:val="clear"/>
            <w:vAlign w:val="bottom"/>
          </w:tcPr>
          <w:p>
            <w:pPr>
              <w:pStyle w:val="TableContents"/>
              <w:spacing w:before="0" w:after="283"/>
              <w:rPr/>
            </w:pPr>
            <w:r>
              <w:rPr/>
              <w:t>  </w:t>
            </w:r>
          </w:p>
        </w:tc>
        <w:tc>
          <w:tcPr>
            <w:tcW w:w="5582" w:type="dxa"/>
            <w:tcBorders/>
            <w:shd w:fill="auto" w:val="clear"/>
          </w:tcPr>
          <w:p>
            <w:pPr>
              <w:pStyle w:val="TableContents"/>
              <w:spacing w:before="0" w:after="283"/>
              <w:rPr/>
            </w:pPr>
            <w:r>
              <w:rPr/>
              <w:t>Up to $5.00 per 100 ADSs (or fraction thereof) held on the applicable record date (s) established by the depositary</w:t>
            </w:r>
          </w:p>
        </w:tc>
      </w:tr>
      <w:tr>
        <w:trPr/>
        <w:tc>
          <w:tcPr>
            <w:tcW w:w="4489" w:type="dxa"/>
            <w:tcBorders/>
            <w:shd w:fill="CCEEFF" w:val="clear"/>
          </w:tcPr>
          <w:p>
            <w:pPr>
              <w:pStyle w:val="TableContents"/>
              <w:spacing w:before="0" w:after="283"/>
              <w:rPr/>
            </w:pPr>
            <w:r>
              <w:rPr/>
              <w:t>Registration of ADS Transfers (e.g., upon a registration of the transfer of registered ownership of ADSs, upon a transfer of ADSs into DTC and vice versa, or for any other reason)</w:t>
            </w:r>
          </w:p>
        </w:tc>
        <w:tc>
          <w:tcPr>
            <w:tcW w:w="134" w:type="dxa"/>
            <w:tcBorders/>
            <w:shd w:fill="CCEEFF" w:val="clear"/>
            <w:vAlign w:val="bottom"/>
          </w:tcPr>
          <w:p>
            <w:pPr>
              <w:pStyle w:val="TableContents"/>
              <w:spacing w:before="0" w:after="283"/>
              <w:rPr/>
            </w:pPr>
            <w:r>
              <w:rPr/>
              <w:t>  </w:t>
            </w:r>
          </w:p>
        </w:tc>
        <w:tc>
          <w:tcPr>
            <w:tcW w:w="5582" w:type="dxa"/>
            <w:tcBorders/>
            <w:shd w:fill="CCEEFF" w:val="clear"/>
          </w:tcPr>
          <w:p>
            <w:pPr>
              <w:pStyle w:val="TableContents"/>
              <w:spacing w:before="0" w:after="283"/>
              <w:rPr/>
            </w:pPr>
            <w:r>
              <w:rPr/>
              <w:t>Up to $5.00 per 100 ADSs (or fraction thereof) transferred</w:t>
            </w:r>
          </w:p>
        </w:tc>
      </w:tr>
      <w:tr>
        <w:trPr/>
        <w:tc>
          <w:tcPr>
            <w:tcW w:w="4489" w:type="dxa"/>
            <w:tcBorders/>
            <w:shd w:fill="auto" w:val="clear"/>
          </w:tcPr>
          <w:p>
            <w:pPr>
              <w:pStyle w:val="TableContents"/>
              <w:spacing w:before="0" w:after="283"/>
              <w:rPr/>
            </w:pPr>
            <w:r>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134" w:type="dxa"/>
            <w:tcBorders/>
            <w:shd w:fill="auto" w:val="clear"/>
            <w:vAlign w:val="bottom"/>
          </w:tcPr>
          <w:p>
            <w:pPr>
              <w:pStyle w:val="TableContents"/>
              <w:spacing w:before="0" w:after="283"/>
              <w:rPr/>
            </w:pPr>
            <w:r>
              <w:rPr/>
              <w:t>  </w:t>
            </w:r>
          </w:p>
        </w:tc>
        <w:tc>
          <w:tcPr>
            <w:tcW w:w="5582" w:type="dxa"/>
            <w:tcBorders/>
            <w:shd w:fill="auto" w:val="clear"/>
          </w:tcPr>
          <w:p>
            <w:pPr>
              <w:pStyle w:val="TableContents"/>
              <w:spacing w:before="0" w:after="283"/>
              <w:rPr/>
            </w:pPr>
            <w:r>
              <w:rPr/>
              <w:t>Up to $5.00 per 100 ADSs (or fraction thereof) converted</w:t>
            </w:r>
          </w:p>
        </w:tc>
      </w:tr>
    </w:tbl>
    <w:p>
      <w:pPr>
        <w:pStyle w:val="TextBody"/>
        <w:spacing w:before="240" w:after="0"/>
        <w:jc w:val="left"/>
        <w:rPr>
          <w:rFonts w:ascii="Times New Roman" w:hAnsi="Times New Roman"/>
          <w:sz w:val="20"/>
        </w:rPr>
      </w:pPr>
      <w:r>
        <w:rPr>
          <w:rFonts w:ascii="Times New Roman" w:hAnsi="Times New Roman"/>
          <w:sz w:val="20"/>
        </w:rPr>
        <w:t xml:space="preserve">ADS holders will also be responsible to pay certain charges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expenses and charges incurred by the depositary in the conversion of foreign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fees and expenses incurred by the depositary in connection with compliance with exchange control regulations and other regulatory requirements applicable to ordinary shares, ADSs, and ADRs;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w:t>
            </w:r>
          </w:p>
        </w:tc>
      </w:tr>
    </w:tbl>
    <w:p>
      <w:pPr>
        <w:pStyle w:val="TextBody"/>
        <w:spacing w:before="240" w:after="0"/>
        <w:jc w:val="left"/>
        <w:rPr>
          <w:rFonts w:ascii="Times New Roman" w:hAnsi="Times New Roman"/>
          <w:sz w:val="20"/>
        </w:rPr>
      </w:pPr>
      <w:r>
        <w:rPr>
          <w:rFonts w:ascii="Times New Roman" w:hAnsi="Times New Roman"/>
          <w:sz w:val="20"/>
        </w:rPr>
        <w:t xml:space="preserve">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 </w:t>
      </w:r>
    </w:p>
    <w:p>
      <w:pPr>
        <w:pStyle w:val="TextBody"/>
        <w:spacing w:before="360" w:after="0"/>
        <w:jc w:val="left"/>
        <w:rPr>
          <w:rFonts w:ascii="Times New Roman" w:hAnsi="Times New Roman"/>
          <w:b/>
          <w:sz w:val="20"/>
        </w:rPr>
      </w:pPr>
      <w:r>
        <w:rPr>
          <w:rFonts w:ascii="Times New Roman" w:hAnsi="Times New Roman"/>
          <w:b/>
          <w:sz w:val="20"/>
        </w:rPr>
        <w:t xml:space="preserve">Amendments and Termination </w:t>
      </w:r>
    </w:p>
    <w:p>
      <w:pPr>
        <w:pStyle w:val="TextBody"/>
        <w:spacing w:before="120" w:after="0"/>
        <w:jc w:val="left"/>
        <w:rPr>
          <w:rFonts w:ascii="Times New Roman" w:hAnsi="Times New Roman"/>
          <w:sz w:val="20"/>
        </w:rPr>
      </w:pPr>
      <w:r>
        <w:rPr>
          <w:rFonts w:ascii="Times New Roman" w:hAnsi="Times New Roman"/>
          <w:sz w:val="20"/>
        </w:rPr>
        <w:t xml:space="preserve">We may agree with the depositary to modify the deposit agreement at any time without a Holders consent. We undertake to give holders 30 days prior notice of any modifications that would materially prejudice any of their substantial rights under the deposit agreement. We will not consider to be materially prejudicial to a Holders substantial rights any modifications or supplements that are reasonably necessary for the ADSs to be registered under the Securities Act or to be eligible for book-entry settlement, in each case without imposing or increasing the fees and charges a Holder is required to pay. ln addition, we may not be able to provide a Holder with prior notice of any modifications or supplements that are required to accommodate compliance with applicable provisions of law. </w:t>
      </w:r>
    </w:p>
    <w:p>
      <w:pPr>
        <w:pStyle w:val="TextBody"/>
        <w:spacing w:before="240" w:after="0"/>
        <w:jc w:val="left"/>
        <w:rPr>
          <w:rFonts w:ascii="Times New Roman" w:hAnsi="Times New Roman"/>
          <w:sz w:val="20"/>
        </w:rPr>
      </w:pPr>
      <w:r>
        <w:rPr>
          <w:rFonts w:ascii="Times New Roman" w:hAnsi="Times New Roman"/>
          <w:sz w:val="20"/>
        </w:rPr>
        <w:t xml:space="preserve">A Holder will be bound by the modifications to the deposit agreement if a Holder continues to hold such Holders ADSs after the modifications to the deposit agreement become effective. The deposit agreement cannot be amended to prevent a Holder from withdrawing the ordinary shares represented by such Holders ADSs (except as permitted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a Holders rights under the deposit agreement will be unaffected. </w:t>
      </w:r>
    </w:p>
    <w:p>
      <w:pPr>
        <w:pStyle w:val="TextBody"/>
        <w:spacing w:before="360" w:after="0"/>
        <w:jc w:val="left"/>
        <w:rPr>
          <w:rFonts w:ascii="Times New Roman" w:hAnsi="Times New Roman"/>
          <w:b/>
          <w:sz w:val="20"/>
        </w:rPr>
      </w:pPr>
      <w:r>
        <w:rPr>
          <w:rFonts w:ascii="Times New Roman" w:hAnsi="Times New Roman"/>
          <w:b/>
          <w:sz w:val="20"/>
        </w:rPr>
        <w:t xml:space="preserve">Termination </w:t>
      </w:r>
    </w:p>
    <w:p>
      <w:pPr>
        <w:pStyle w:val="TextBody"/>
        <w:spacing w:before="12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a Holder requests the cancellation of such Holders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w:t>
      </w:r>
    </w:p>
    <w:p>
      <w:pPr>
        <w:pStyle w:val="TextBody"/>
        <w:spacing w:before="120" w:after="0"/>
        <w:jc w:val="left"/>
        <w:rPr>
          <w:rFonts w:ascii="Times New Roman" w:hAnsi="Times New Roman"/>
          <w:sz w:val="20"/>
        </w:rPr>
      </w:pPr>
      <w:r>
        <w:rPr>
          <w:rFonts w:ascii="Times New Roman" w:hAnsi="Times New Roman"/>
          <w:sz w:val="20"/>
        </w:rPr>
        <w:t xml:space="preserve">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 </w:t>
      </w:r>
    </w:p>
    <w:p>
      <w:pPr>
        <w:pStyle w:val="TextBody"/>
        <w:spacing w:before="360" w:after="0"/>
        <w:jc w:val="left"/>
        <w:rPr>
          <w:rFonts w:ascii="Times New Roman" w:hAnsi="Times New Roman"/>
          <w:b/>
          <w:sz w:val="20"/>
        </w:rPr>
      </w:pPr>
      <w:r>
        <w:rPr>
          <w:rFonts w:ascii="Times New Roman" w:hAnsi="Times New Roman"/>
          <w:b/>
          <w:sz w:val="20"/>
        </w:rPr>
        <w:t xml:space="preserve">Books of Depositary </w:t>
      </w:r>
    </w:p>
    <w:p>
      <w:pPr>
        <w:pStyle w:val="TextBody"/>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 </w:t>
      </w:r>
    </w:p>
    <w:p>
      <w:pPr>
        <w:pStyle w:val="TextBody"/>
        <w:spacing w:before="12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w:t>
      </w:r>
    </w:p>
    <w:p>
      <w:pPr>
        <w:pStyle w:val="TextBody"/>
        <w:spacing w:before="240" w:after="0"/>
        <w:jc w:val="left"/>
        <w:rPr>
          <w:rFonts w:ascii="Times New Roman" w:hAnsi="Times New Roman"/>
          <w:sz w:val="20"/>
        </w:rPr>
      </w:pPr>
      <w:r>
        <w:rPr>
          <w:rFonts w:ascii="Times New Roman" w:hAnsi="Times New Roman"/>
          <w:sz w:val="20"/>
        </w:rPr>
        <w:t xml:space="preserve">These facilities may be closed from time to time, to the extent not prohibited by law. </w:t>
      </w:r>
    </w:p>
    <w:p>
      <w:pPr>
        <w:pStyle w:val="TextBody"/>
        <w:spacing w:before="360" w:after="0"/>
        <w:jc w:val="left"/>
        <w:rPr>
          <w:rFonts w:ascii="Times New Roman" w:hAnsi="Times New Roman"/>
          <w:b/>
          <w:sz w:val="20"/>
        </w:rPr>
      </w:pPr>
      <w:r>
        <w:rPr>
          <w:rFonts w:ascii="Times New Roman" w:hAnsi="Times New Roman"/>
          <w:b/>
          <w:sz w:val="20"/>
        </w:rPr>
        <w:t xml:space="preserve">Transmission of Notices, Reports and Proxy Soliciting Material </w:t>
      </w:r>
    </w:p>
    <w:p>
      <w:pPr>
        <w:pStyle w:val="TextBody"/>
        <w:spacing w:before="120" w:after="0"/>
        <w:jc w:val="left"/>
        <w:rPr>
          <w:rFonts w:ascii="Times New Roman" w:hAnsi="Times New Roman"/>
          <w:sz w:val="20"/>
        </w:rPr>
      </w:pPr>
      <w:r>
        <w:rPr>
          <w:rFonts w:ascii="Times New Roman" w:hAnsi="Times New Roman"/>
          <w:sz w:val="20"/>
        </w:rPr>
        <w:t xml:space="preserve">The depositary will make available for a Holders inspection at its office all communications that it receives from us as a holder of deposited securities that we make generally available to holders of deposited securities. Subject to the terms of the deposit agreement, the depositary will send a Holder copies of those communications or otherwise make those communications available to such Holder if we ask it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Limitations on Obligations and Liabilities </w:t>
      </w:r>
    </w:p>
    <w:p>
      <w:pPr>
        <w:pStyle w:val="TextBody"/>
        <w:spacing w:before="120" w:after="0"/>
        <w:jc w:val="left"/>
        <w:rPr>
          <w:rFonts w:ascii="Times New Roman" w:hAnsi="Times New Roman"/>
          <w:sz w:val="20"/>
        </w:rPr>
      </w:pPr>
      <w:r>
        <w:rPr>
          <w:rFonts w:ascii="Times New Roman" w:hAnsi="Times New Roman"/>
          <w:sz w:val="20"/>
        </w:rPr>
        <w:t xml:space="preserve">The deposit agreement limits our obligations and the depositarys obligations to Holders. Please note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are obligated only to take the actions specifically stated in the deposit agreement without negligence or bad faith.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will not be obligated to perform any act that is inconsistent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disclaim any liability by reason of any exercise of, or failure to exercise, any discretion provided for in the deposit agreement or in our Articles or in any provisions of or governing the securities on deposit.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further disclaim any liability for any action or inaction in reliance on the advice or information received from legal counsel, account ants, any person presenting Shares for deposit, any holder of ADSs or authorized representatives thereof, or any other person believed by either of us in good faith to be competent to give such advice or in 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also disclaim liability for the inability by a holder to benefit from any distribution, offering, right or other benefit that is made available to holder s of ordinary shares but is not, under the terms of the deposit agreement, made available to Holders.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may rely without any liability upon any written notice, request or other document believed to be genuine and to have been signed or presented by the proper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and the depositary also disclaim liability for any consequential or punitive damages for any breach of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Mereo, the depositary and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 </w:t>
            </w:r>
          </w:p>
        </w:tc>
      </w:tr>
    </w:tbl>
    <w:p>
      <w:pPr>
        <w:pStyle w:val="TextBody"/>
        <w:spacing w:before="240" w:after="0"/>
        <w:jc w:val="left"/>
        <w:rPr>
          <w:rFonts w:ascii="Times New Roman" w:hAnsi="Times New Roman"/>
          <w:i/>
          <w:sz w:val="20"/>
        </w:rPr>
      </w:pPr>
      <w:r>
        <w:rPr>
          <w:rFonts w:ascii="Times New Roman" w:hAnsi="Times New Roman"/>
          <w:i/>
          <w:sz w:val="20"/>
        </w:rPr>
        <w:t xml:space="preserve">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 </w:t>
      </w:r>
    </w:p>
    <w:p>
      <w:pPr>
        <w:pStyle w:val="TextBody"/>
        <w:spacing w:before="240" w:after="0"/>
        <w:jc w:val="left"/>
        <w:rPr>
          <w:rFonts w:ascii="Times New Roman" w:hAnsi="Times New Roman"/>
          <w:i/>
          <w:sz w:val="20"/>
        </w:rPr>
      </w:pPr>
      <w:r>
        <w:rPr>
          <w:rFonts w:ascii="Times New Roman" w:hAnsi="Times New Roman"/>
          <w:i/>
          <w:sz w:val="20"/>
        </w:rPr>
        <w:t xml:space="preserve">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w:t>
      </w:r>
    </w:p>
    <w:p>
      <w:pPr>
        <w:pStyle w:val="TextBody"/>
        <w:spacing w:before="360" w:after="0"/>
        <w:jc w:val="left"/>
        <w:rPr>
          <w:rFonts w:ascii="Times New Roman" w:hAnsi="Times New Roman"/>
          <w:b/>
          <w:sz w:val="20"/>
        </w:rPr>
      </w:pPr>
      <w:r>
        <w:rPr>
          <w:rFonts w:ascii="Times New Roman" w:hAnsi="Times New Roman"/>
          <w:b/>
          <w:sz w:val="20"/>
        </w:rPr>
        <w:t xml:space="preserve">Taxes </w:t>
      </w:r>
    </w:p>
    <w:p>
      <w:pPr>
        <w:pStyle w:val="TextBody"/>
        <w:spacing w:before="120" w:after="0"/>
        <w:jc w:val="left"/>
        <w:rPr>
          <w:rFonts w:ascii="Times New Roman" w:hAnsi="Times New Roman"/>
          <w:sz w:val="20"/>
        </w:rPr>
      </w:pPr>
      <w:r>
        <w:rPr>
          <w:rFonts w:ascii="Times New Roman" w:hAnsi="Times New Roman"/>
          <w:sz w:val="20"/>
        </w:rPr>
        <w:t xml:space="preserve">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a Holders behalf. However, a Holder may be required to provide to the depositary and to the custodian proof of taxpayer status and residence and such other information as the depositary and the custodian may require to fulfill legal obligations. A Holder is required to indemnify us, the depositary and the custodian for any claims with respect to taxes based on any tax benefit obtained for such Holder. </w:t>
      </w:r>
    </w:p>
    <w:p>
      <w:pPr>
        <w:pStyle w:val="TextBody"/>
        <w:spacing w:before="360" w:after="0"/>
        <w:jc w:val="left"/>
        <w:rPr>
          <w:rFonts w:ascii="Times New Roman" w:hAnsi="Times New Roman"/>
          <w:b/>
          <w:sz w:val="20"/>
        </w:rPr>
      </w:pPr>
      <w:r>
        <w:rPr>
          <w:rFonts w:ascii="Times New Roman" w:hAnsi="Times New Roman"/>
          <w:b/>
          <w:sz w:val="20"/>
        </w:rPr>
        <w:t xml:space="preserve">Foreign Currency Conversion </w:t>
      </w:r>
    </w:p>
    <w:p>
      <w:pPr>
        <w:pStyle w:val="TextBody"/>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 </w:t>
      </w:r>
    </w:p>
    <w:p>
      <w:pPr>
        <w:pStyle w:val="TextBody"/>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holders for whom the conversion and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Distribute the foreign currency to holders for whom the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spacing w:before="360" w:after="0"/>
        <w:jc w:val="left"/>
        <w:rPr>
          <w:rFonts w:ascii="Times New Roman" w:hAnsi="Times New Roman"/>
          <w:b/>
          <w:sz w:val="20"/>
        </w:rPr>
      </w:pPr>
      <w:r>
        <w:rPr>
          <w:rFonts w:ascii="Times New Roman" w:hAnsi="Times New Roman"/>
          <w:b/>
          <w:sz w:val="20"/>
        </w:rPr>
        <w:t xml:space="preserve">Governing Law/Waiver of Jury Trial </w:t>
      </w:r>
    </w:p>
    <w:p>
      <w:pPr>
        <w:pStyle w:val="TextBody"/>
        <w:spacing w:before="120" w:after="0"/>
        <w:jc w:val="left"/>
        <w:rPr>
          <w:rFonts w:ascii="Times New Roman" w:hAnsi="Times New Roman"/>
          <w:sz w:val="20"/>
        </w:rPr>
      </w:pPr>
      <w:r>
        <w:rPr>
          <w:rFonts w:ascii="Times New Roman" w:hAnsi="Times New Roman"/>
          <w:sz w:val="20"/>
        </w:rPr>
        <w:t xml:space="preserve">The deposit agreement and the ADRs will be interpreted in accordance with the laws of the State of New York. The rights of holders of ordinary shares (including ordinary shares represented by ADSs) is governed by the laws of England and Wales. </w:t>
      </w:r>
    </w:p>
    <w:p>
      <w:pPr>
        <w:pStyle w:val="TextBody"/>
        <w:spacing w:before="240" w:after="0"/>
        <w:jc w:val="left"/>
        <w:rPr>
          <w:rFonts w:ascii="Times New Roman" w:hAnsi="Times New Roman"/>
          <w:sz w:val="20"/>
        </w:rPr>
      </w:pPr>
      <w:r>
        <w:rPr>
          <w:rFonts w:ascii="Times New Roman" w:hAnsi="Times New Roman"/>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spacing w:before="240" w:after="0"/>
        <w:jc w:val="left"/>
        <w:rPr>
          <w:rFonts w:ascii="Times New Roman" w:hAnsi="Times New Roman"/>
          <w:sz w:val="20"/>
        </w:rPr>
      </w:pPr>
      <w:r>
        <w:rPr>
          <w:rFonts w:ascii="Times New Roman" w:hAnsi="Times New Roman"/>
          <w:sz w:val="20"/>
        </w:rPr>
        <w:t xml:space="preserve">AS A PARTY TO THE DEPOSIT AGREEMENT, HOLDERS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TextBody"/>
        <w:spacing w:before="0" w:after="0"/>
        <w:jc w:val="right"/>
        <w:rPr>
          <w:rFonts w:ascii="Times New Roman" w:hAnsi="Times New Roman"/>
          <w:b/>
          <w:sz w:val="20"/>
        </w:rPr>
      </w:pPr>
      <w:bookmarkStart w:id="37" w:name="d430075dex417.htm"/>
      <w:bookmarkStart w:id="38" w:name="ksd430075dex417"/>
      <w:bookmarkEnd w:id="37"/>
      <w:bookmarkEnd w:id="38"/>
      <w:r>
        <w:rPr>
          <w:rFonts w:ascii="Times New Roman" w:hAnsi="Times New Roman"/>
          <w:b/>
          <w:sz w:val="20"/>
        </w:rPr>
        <w:t xml:space="preserve">Exhibit 4.17 </w:t>
      </w:r>
    </w:p>
    <w:p>
      <w:pPr>
        <w:pStyle w:val="TextBody"/>
        <w:spacing w:before="240" w:after="0"/>
        <w:jc w:val="left"/>
        <w:rPr>
          <w:rFonts w:ascii="Times New Roman" w:hAnsi="Times New Roman"/>
          <w:b/>
          <w:sz w:val="20"/>
        </w:rPr>
      </w:pPr>
      <w:r>
        <w:rPr>
          <w:rFonts w:ascii="Times New Roman" w:hAnsi="Times New Roman"/>
          <w:b/>
          <w:sz w:val="20"/>
        </w:rPr>
        <w:t xml:space="preserve">PRIVATE AND CONFIDENTIAL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name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address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Dear [</w:t>
      </w:r>
      <w:r>
        <w:rPr>
          <w:rFonts w:ascii="Times New Roman" w:hAnsi="Times New Roman"/>
          <w:i/>
          <w:sz w:val="20"/>
        </w:rPr>
        <w:t>name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Restated Letter of Appointment </w:t>
      </w:r>
    </w:p>
    <w:p>
      <w:pPr>
        <w:pStyle w:val="TextBody"/>
        <w:spacing w:before="120" w:after="0"/>
        <w:jc w:val="left"/>
        <w:rPr>
          <w:rFonts w:ascii="Times New Roman" w:hAnsi="Times New Roman"/>
          <w:sz w:val="20"/>
        </w:rPr>
      </w:pPr>
      <w:r>
        <w:rPr>
          <w:rFonts w:ascii="Times New Roman" w:hAnsi="Times New Roman"/>
          <w:sz w:val="20"/>
        </w:rPr>
        <w:t>The Board of Directors (</w:t>
      </w:r>
      <w:r>
        <w:rPr>
          <w:rFonts w:ascii="Times New Roman" w:hAnsi="Times New Roman"/>
          <w:b/>
          <w:sz w:val="20"/>
        </w:rPr>
        <w:t>Board</w:t>
      </w:r>
      <w:r>
        <w:rPr>
          <w:rFonts w:ascii="Times New Roman" w:hAnsi="Times New Roman"/>
          <w:sz w:val="20"/>
        </w:rPr>
        <w:t>) of Mereo BioPharma Group plc (</w:t>
      </w:r>
      <w:r>
        <w:rPr>
          <w:rFonts w:ascii="Times New Roman" w:hAnsi="Times New Roman"/>
          <w:b/>
          <w:sz w:val="20"/>
        </w:rPr>
        <w:t>Company</w:t>
      </w:r>
      <w:r>
        <w:rPr>
          <w:rFonts w:ascii="Times New Roman" w:hAnsi="Times New Roman"/>
          <w:sz w:val="20"/>
        </w:rPr>
        <w:t>) is pleased to confirm your appointment as an independent non-executive [director][chairman] effective as of [</w:t>
      </w:r>
      <w:r>
        <w:rPr>
          <w:rFonts w:ascii="Times New Roman" w:hAnsi="Times New Roman"/>
          <w:i/>
          <w:sz w:val="20"/>
        </w:rPr>
        <w:t>date</w:t>
      </w:r>
      <w:r>
        <w:rPr>
          <w:rFonts w:ascii="Times New Roman" w:hAnsi="Times New Roman"/>
          <w:sz w:val="20"/>
        </w:rPr>
        <w:t>] (</w:t>
      </w:r>
      <w:r>
        <w:rPr>
          <w:rFonts w:ascii="Times New Roman" w:hAnsi="Times New Roman"/>
          <w:b/>
          <w:sz w:val="20"/>
        </w:rPr>
        <w:t>Effective Date</w:t>
      </w:r>
      <w:r>
        <w:rPr>
          <w:rFonts w:ascii="Times New Roman" w:hAnsi="Times New Roman"/>
          <w:sz w:val="20"/>
        </w:rPr>
        <w:t xml:space="preserve">). Your restated terms pursuant to this letter will become effective on the Effective Date. </w:t>
      </w:r>
    </w:p>
    <w:p>
      <w:pPr>
        <w:pStyle w:val="TextBody"/>
        <w:spacing w:before="240" w:after="0"/>
        <w:jc w:val="left"/>
        <w:rPr>
          <w:rFonts w:ascii="Times New Roman" w:hAnsi="Times New Roman"/>
          <w:sz w:val="20"/>
        </w:rPr>
      </w:pPr>
      <w:r>
        <w:rPr>
          <w:rFonts w:ascii="Times New Roman" w:hAnsi="Times New Roman"/>
          <w:sz w:val="20"/>
        </w:rPr>
        <w:t xml:space="preserve">This letter sets out the main terms of your appointment from the Effective Date. By accepting this appointment, you agree that this letter is a contract for services and is not a contract of employment and you confirm that you are not subject to any restrictions which prevent you from holding office as a director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FEES AND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1.1</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shall be paid an annual fee of £[ ] gross, which shall be paid in equal instalments monthly in arrears through the payroll after deduction of any taxes and other amounts that are required by law. This fee covers all duties but does not include fees for service on any Board committee and any Boards of the Companys subsidiaries which will be notified to you separately in writing.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reimburse you for all reasonable and properly documented expenses that you incur in performing the duties of your office including travel and sundry expenses, in accordance with the Companys expense reimbursement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termination of your appointment, you shall only be entitled to such fees as may have accrued to the date of termination, together with reimbursement in the normal way of any expenses properly incurred before that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2.</w:t>
            </w:r>
          </w:p>
        </w:tc>
        <w:tc>
          <w:tcPr>
            <w:tcW w:w="96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ROLE AND DUTIES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2.1</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Board as a whole is collectively responsible for the success of the Company. Subject to and without limitation on the Companys articles of incorporation, bylaws and any charter or similar authorisation to the Board or any committee of the Board, the Boards role is to seek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promote the long-term sustainable success of the Company, generating value for shareholders and contributing to wider society;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 with integrity;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609"/>
        <w:gridCol w:w="9086"/>
      </w:tblGrid>
      <w:tr>
        <w:trPr/>
        <w:tc>
          <w:tcPr>
            <w:tcW w:w="510"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(c)</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necessary resources are in place for the Company to meet its objectives, and measure performance against them;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(d)</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a framework of prudent and effective controls, which enable risk to be assessed and managed;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(e)</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policies and practices are consistent with the Companys values and support its long-term sustainable success.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shall exercise your powers in your role as a non-executive director having regard to relevant obligations under prevailing law and regulation, including the Companies Act 2006 and, where applicable, the Market Abuse Regulation (596/2014/EU), the rules of the Securities and Exchange Commission, the Nasdaq Stock Market and Delaware General Corporation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shall have particular regard to the general duties of directors in Part 10 of the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(a)</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likely consequences of any decision in the long term;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interests of the Companys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(c)</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need to foster the Companys business relationships with suppliers, customers and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(d)</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the Companys operations on the community and the environment;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(e)</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desirability of the Company maintaining a reputation for high standards of business conduct;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3"/>
        <w:gridCol w:w="9084"/>
      </w:tblGrid>
      <w:tr>
        <w:trPr/>
        <w:tc>
          <w:tcPr>
            <w:tcW w:w="508"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(f)</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need to act fairly as between the members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when applicable, you shall have particular regard to the Nasdaqs Listed Company Rules and the Delaware General Corporation Law provisions applicable to the board of directors and committees thereof and their respective members and advisers. </w:t>
            </w:r>
          </w:p>
        </w:tc>
      </w:tr>
    </w:tbl>
    <w:p>
      <w:pPr>
        <w:pStyle w:val="TextBody"/>
        <w:spacing w:before="120" w:after="0"/>
        <w:jc w:val="left"/>
        <w:rPr>
          <w:rFonts w:ascii="Times New Roman" w:hAnsi="Times New Roman"/>
          <w:sz w:val="20"/>
        </w:rPr>
      </w:pPr>
      <w:r>
        <w:rPr>
          <w:rFonts w:ascii="Times New Roman" w:hAnsi="Times New Roman"/>
          <w:sz w:val="20"/>
        </w:rPr>
        <w:t xml:space="preserve">[ ] [In addition to the general legal responsibilities to the Company as any other director, in your role as chairman, you should seek to fulfil the following list of responsibilities: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chair the Board and general meetings of the Company and relevant committees of the Board and relevant Board and general meetings of any subsidiaries of the Company;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consultation with the Chief Executive, set the Boards agenda (primarily focused on strategy, performance, value creation and accountability) and strive to ensure that issues relevant to these areas are reserved for board decision and adequate time is available for discussion of all agenda items, in particular strategic issues;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create the conditions for overall board and individual director effectiveness, s    etting clear expectations concerning the style and tone of Board discussions;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Board determines the nature and extent of the significant risks that the Company is willing to embrace in implementing its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2"/>
        <w:gridCol w:w="9086"/>
      </w:tblGrid>
      <w:tr>
        <w:trPr/>
        <w:tc>
          <w:tcPr>
            <w:tcW w:w="5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(e)</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Board has effective decision-making processes and applies sufficient challenge to major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1"/>
        <w:gridCol w:w="9087"/>
      </w:tblGrid>
      <w:tr>
        <w:trPr/>
        <w:tc>
          <w:tcPr>
            <w:tcW w:w="5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(f)</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all directors are aware of their responsibilities and are able to discharge their statutory duties;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(g)</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Board committees are properly structured with appropriate terms of reference and that committee membership is periodically refreshed;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11"/>
        <w:gridCol w:w="9084"/>
      </w:tblGrid>
      <w:tr>
        <w:trPr/>
        <w:tc>
          <w:tcPr>
            <w:tcW w:w="51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(h)</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encourage all Board members to engage in Board and committee meetings by drawing on their skills, experience and knowledge;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sufficient time is allowed at the board for committees to report on the nature and content of discussion, on recommendations, and on actions to be taken;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(j)</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 meetings with the non-executive directors without the executives present to facilitate a full and frank airing of views;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(k)</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 productive working relationships with all executive directors and the chief executive to gain a detailed understanding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(l)</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demonstrate ethical leadership and promote the highest standards of integrity, probity and corporate governance throughout the Company and particularly at Board level;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(m)</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Board receives accurate, timely and clear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(n)</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demonstrate objective judgement and facilitate constructive board relations and the effective contribution of all non-executive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(o)</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new directors participate in a full, formal and tailored induction programme;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(p)</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performance of the Board, its committees and individual directors is evaluated at least once a year, select an effective approach and act on the results of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(q)</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periodically review, with the company secretary, whether the Board and Companys governance processes are fit for purpose and consider any improvements and initiatives that could strengthen the governance.]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2.6</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your role as a non-executive director, it is expected that you shall also be required to fulfil the following list of responsibilities, in the course of your good faith performance of services to the Company and in the exercise of your reasonable business judgment: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constructive challenge, strategic guidance, offer specialist advice hold management to account and help develop proposals on strategy;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(b)</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 the performance of senior management in meeting agreed goals and objectives and monitor the reporting of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satisfy yourself on the integrity of financial information and that financial controls and systems of risk management are robust and defensible;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2"/>
        <w:gridCol w:w="9086"/>
      </w:tblGrid>
      <w:tr>
        <w:trPr/>
        <w:tc>
          <w:tcPr>
            <w:tcW w:w="5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 responsible for determining appropriate levels of remuneration of executive directors and have a prime role in appointing and, where necessary, removing senior management and in succession planning;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(e)</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insist on receiving high-quality information sufficiently in advance of Board meetings and seek clarification or amplification if you consider the information provided is inadequate or lacks clarity;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1"/>
        <w:gridCol w:w="9087"/>
      </w:tblGrid>
      <w:tr>
        <w:trPr/>
        <w:tc>
          <w:tcPr>
            <w:tcW w:w="5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(f)</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sufficient time available to discharge your responsibilities effectively;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(g)</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exercise relevant powers under, and abide by,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(h)</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0"/>
        <w:gridCol w:w="9088"/>
      </w:tblGrid>
      <w:tr>
        <w:trPr/>
        <w:tc>
          <w:tcPr>
            <w:tcW w:w="507"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w:t>
            </w:r>
          </w:p>
        </w:tc>
        <w:tc>
          <w:tcPr>
            <w:tcW w:w="9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report your own wrongdoing or the wrongdoing or proposed wrongdoing of any employee or other director of the Company of which you become aware to the Chair of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(j)</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exercise your powers as a director in accordance with the Companys policies and procedures and the Bribery Act 2010;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(k)</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do anything that would cause you to be disqualified from acting as a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the Board specifically authorises you to do so, you shall not enter into any legal or other commitment or contract on behalf of or with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2.8</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shall be entitled to request all relevant information about the Companys affairs as is reasonably necessary to enable you to discharge your duties.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2.9</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are required to register yourself or your personal service company with HM Revenue and Customs as a Trust or Company Service Provider under the Money Laundering, Terrorist Financing and Transfer of Funds (Information on the Payer) Regulations 2017, you will be responsible for effecting such registration and for compliance with other requirements of the Money Laundering, Terrorist Financing and Transfer of Funds (Information on the Payer) Regulations 2017 and applicable legislation.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2.10</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anything to the contrary in this Article 2, you acknowledge and agree that in your capacity as director, you will have such duties, authorities and responsibilities and other obligations as provided under the Companys articles of incorporation and bylaws and charter documents, in each case, as in effect from time to time, and you will act in compliance with the applicable rules and regulations promulgated by the SEC and Nasdaq.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acknowledge and agree that in your capacity as director, you are acting solely as an independent contractor and not as an employee, legal representative or agent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acknowledge that all information acquired during your appointment is confidential to the Company and should not be released, communicated or disclosed to third parties or used for any reason other than in the interests of the Company, either during your appointment or following termination (by whatever means), without prior clearance from the Board (or a committee thereof). This restriction shall cease to apply to any confidential information which may (other than by reason of your breach) become available to the public generally.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acknowledge the need to hold and retain Company information (in whatever format you may receive it) under appropriately secure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this paragraph 3 shall prevent you from disclosing information which you are entitled to disclose under the Public Interest Disclosure Act 1998, provided that the disclosure is made in accordance with the provisions of that Act and you have complied with the Companys policy from time to time in force regarding such disclosures.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this Agreement shall be construed to prohibit you from reporting or disclosing information or reporting possible violations of federal or state law or regulations to any governmental agency or self-regulatory organisation with oversight responsibility for the Company, or making other disclosures that are protected under whistleblower or other provisions of any applicable federal or state law or regulations (it being understood that prior authorisation of the Company is not required to make any such reports or disclosures, and you are not required to notify the Company that you have made such reports or disclosures).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TIME COMMITMENT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will be expected to devote such time as is necessary for the proper performance of your duties. This will include attendance at Board meetings, Board committee meetings, the AGM, meetings with the other non-executive directors, meetings with shareholders, meetings forming part of the Board evaluation process and updating. In addition, you will be required to consider all relevant papers before each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overall time commitment stated in paragraph 4.1 will increase if you become a committee member or chair, or if you are given additional responsibilities, such as being appointed as non-executive director on the boards of any of the Companys subsidiaries. Details of the expected increase in time commitment will be covered in any relevant communication confirming the additional responsibility.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accepting this appointment, you confirm that, taking into account all of your other commitments, you are able to allocate sufficient time to the Company to discharge your responsibilities effectively. You should obtain the agreement of the Chairman and the Nomination Committee before accepting additional commitments that might affect the time you are able to devote to your role as a non-executive director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5.</w:t>
            </w:r>
          </w:p>
        </w:tc>
        <w:tc>
          <w:tcPr>
            <w:tcW w:w="96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APPOINTMENT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Subject to the provisions of this letter, including but not limited to clauses 5.2 and 5.4 below, your appointment shall be for a term of three years commencing on the Effective Date until the conclusion of the Companys annual general meeting (</w:t>
            </w:r>
            <w:r>
              <w:rPr>
                <w:rFonts w:ascii="Times New Roman" w:hAnsi="Times New Roman"/>
                <w:b/>
                <w:sz w:val="20"/>
              </w:rPr>
              <w:t>AGM</w:t>
            </w:r>
            <w:r>
              <w:rPr>
                <w:rFonts w:ascii="Times New Roman" w:hAnsi="Times New Roman"/>
                <w:sz w:val="20"/>
              </w:rPr>
              <w:t xml:space="preserve">) occurring approximately three years from that date, unless terminated earlier by either party giving to the other three months prior written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5.2</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Your appointment is subject to the Companys articles of association, as amended from time to time (</w:t>
            </w:r>
            <w:r>
              <w:rPr>
                <w:rFonts w:ascii="Times New Roman" w:hAnsi="Times New Roman"/>
                <w:b/>
                <w:sz w:val="20"/>
              </w:rPr>
              <w:t>Articles</w:t>
            </w:r>
            <w:r>
              <w:rPr>
                <w:rFonts w:ascii="Times New Roman" w:hAnsi="Times New Roman"/>
                <w:sz w:val="20"/>
              </w:rPr>
              <w:t xml:space="preserve">). Nothing in this letter shall be taken to exclude or vary the terms of the Articles as they apply to you as a director of the Company. Your appointment is subject to confirmation by the shareholders at the next AGM, and at any subsequent AGM as required by the Articles or as the Board resolves.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Continuation of your appointment is contingent on your continued satisfactory performance and any relevant statutory provisions relating to removal of a director. If the shareholders do not re-elect you as a director, or you are retired from office under the Articles, your appointment shall terminate automatically, with immediate effect and without compensation , other than earned but unpaid fees and unreimbursed business expense reasonably incurred, and except as otherwise provided in any equity compensation plan or award.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5.4</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term renewal is subject to Board review and AGM re-election. Notwithstanding any mutual expectation, there is no right to re-nomination by the Board, either annually or after any three-year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be required to serve on one or more Board committees. You will be provided with the relevant terms of reference on your appointment to such a committee. You may be required to serve as a non-executive director on the board of any of the Companys subsidiaries and will be provided with the relevant terms of reference on your appointment to such board(s). Except as otherwise determined by the Board or an authorised Board committee, you will not receive any additional compensation for service on any such Board committee or any subsidiary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5.6</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paragraph 5.1 to paragraph 5.5, the Company may terminate your appointment with immediate effect if you have: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610"/>
        <w:gridCol w:w="9085"/>
      </w:tblGrid>
      <w:tr>
        <w:trPr/>
        <w:tc>
          <w:tcPr>
            <w:tcW w:w="510"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committed a material breach of your obligations under this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committed any serious or repeated breach or non-observance of your obligations to the Company (which include an obligation not to breach your statutory, fiduciary or common-law duties);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been guilty of any fraud or dishonesty or acted in any manner which, in the Companys opinion, brings or is likely to bring you or the Company into disrepute or is materially adverse to the Companys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11"/>
        <w:gridCol w:w="9084"/>
      </w:tblGrid>
      <w:tr>
        <w:trPr/>
        <w:tc>
          <w:tcPr>
            <w:tcW w:w="51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(d)</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been convicted of an arrestable criminal offence other than a road traffic offence for which a fine or non-custodial penalty is imposed;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(e)</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been declared bankrupt or have made an arrangement with or for the benefit of your creditors, or if you have a county court administration order made against you under the County Court Act 1984;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(f)</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been disqualified from acting as a director;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(g)</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complied with the Companys anti-corruption and bribery policy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termination of your appointment, you shall, at the Companys request, resign from your office as non-executive director of the Company and any offices you hold in any of the Companys group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matters arise which cause you concern about your role, you should discuss these matters with the Chief Executive and Chairman (who may determine that discussion with the Board (or a committee thereof) is appropriate). If you have any concerns which cannot be resolved, and you choose to resign for that, or any other, reason, you should provide an appropriate written statement to the Chief Executive for circulation to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6.</w:t>
            </w:r>
          </w:p>
        </w:tc>
        <w:tc>
          <w:tcPr>
            <w:tcW w:w="96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INDEPENDENT PROFESSIONAL ADVICE </w:t>
            </w:r>
          </w:p>
        </w:tc>
      </w:tr>
    </w:tbl>
    <w:p>
      <w:pPr>
        <w:pStyle w:val="TextBody"/>
        <w:spacing w:before="120" w:after="0"/>
        <w:jc w:val="left"/>
        <w:rPr>
          <w:rFonts w:ascii="Times New Roman" w:hAnsi="Times New Roman"/>
          <w:sz w:val="20"/>
        </w:rPr>
      </w:pPr>
      <w:r>
        <w:rPr>
          <w:rFonts w:ascii="Times New Roman" w:hAnsi="Times New Roman"/>
          <w:sz w:val="20"/>
        </w:rPr>
        <w:t xml:space="preserve">In some circumstances you may consider that you need professional advice in the furtherance of your duties as a non-executive director and it may be appropriate for you to seek advice from independent advisers at the Companys expense. A copy of the Boards agreed procedure under which directors may obtain such independent advice is available from the Companys General Counsel. The Company shall reimburse the reasonable cost of expenditure incurred by you in accordance with its policy. For the avoidance of doubt, nothing in this paragraph 6 shall be construed to limit any right of the Board or any committee thereof, under any charter document or rule of any stock exchange or regulatory authority or otherwise, to retain and/or receive the advice of outside compensation consultants, legal counsel and other advisers or limit any obligation of the Company to provide appropriate funds for the compensation of any such outside advisers.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7.</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OUTSIDE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have already disclosed to the Board the significant commitments you have outside your role in the Company. You must inform the Chief Executive or the Nomination Committee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is accepted and acknowledged that you have business interests other than those of the Company and have declared any conflicts that are apparent at present. If you become aware of any further potential or actual conflicts of interest, these should be disclosed to the Chairman, the Chief Executive and the Nomination Committee as soon as you become aware of them and again you may have to seek the agreement of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INSIDE INFORMATION AND DEALING IN THE COMPANYS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attention is drawn to the requirements under both law and regulation as to the disclosure of inside information, in particular to the Market Abuse Regulation (596/2014/EU), section 52 of the Criminal Justice Act 1993 on insider dealing, as well as section 10(b) and section 16(b) of the US Exchange Act and SEC Rule 10b-5. You should avoid making any statements or taking any other action that might risk a breach of these requirements. If in doubt, please contact the Chief Executive or General Counsel.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your period of appointment you are required to comply with any applicable regulations or laws in relation to dealing in the Companys publicly traded or quoted securities including, section 10(b) and section 16(b) of the US Exchange Act and SEC Rule 10b-5, the Sarbanes-Oxley Act and any other code or policy as the Company may adopt from time to time which sets out the terms for dealings by directors in the Companys securities. A copy of the current share dealing code adopted by the Company will be provided to you separately.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9.</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REVIEW PROCESS </w:t>
            </w:r>
          </w:p>
        </w:tc>
      </w:tr>
    </w:tbl>
    <w:p>
      <w:pPr>
        <w:pStyle w:val="TextBody"/>
        <w:spacing w:before="120" w:after="0"/>
        <w:jc w:val="left"/>
        <w:rPr>
          <w:rFonts w:ascii="Times New Roman" w:hAnsi="Times New Roman"/>
          <w:sz w:val="20"/>
        </w:rPr>
      </w:pPr>
      <w:r>
        <w:rPr>
          <w:rFonts w:ascii="Times New Roman" w:hAnsi="Times New Roman"/>
          <w:sz w:val="20"/>
        </w:rPr>
        <w:t xml:space="preserve">The performance of individual directors and the whole Board and its committees is evaluated annually. If, in the interim, there are any matters which cause you concern about your role you should discuss them with the Chief Executive or the Nomination Committee as soon as you can.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10.</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INSURANCE AND INDEMNITY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1"/>
        <w:gridCol w:w="9754"/>
      </w:tblGrid>
      <w:tr>
        <w:trPr/>
        <w:tc>
          <w:tcPr>
            <w:tcW w:w="451" w:type="dxa"/>
            <w:tcBorders/>
            <w:shd w:fill="auto" w:val="clear"/>
          </w:tcPr>
          <w:p>
            <w:pPr>
              <w:pStyle w:val="TableContents"/>
              <w:spacing w:before="0" w:after="283"/>
              <w:jc w:val="left"/>
              <w:rPr/>
            </w:pPr>
            <w:r>
              <w:rPr/>
              <w:t>10.1</w:t>
            </w:r>
          </w:p>
        </w:tc>
        <w:tc>
          <w:tcPr>
            <w:tcW w:w="975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directors and officers liability insurance and it intends to maintain such cover for the full term of your appointment at a level customary for companies in the pharmaceutical industry of a similar size and stage of development. A copy of the policy document is available from the Companys General Counsel.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10.2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grant you a deed of indemnity against certain liabilities that may be incurred as a result of your office to the extent permitted by section 234 of the Companies Act 2006 and Delaware General Corporation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11.</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CHANGES TO PERSONAL DETAILS </w:t>
            </w:r>
          </w:p>
        </w:tc>
      </w:tr>
    </w:tbl>
    <w:p>
      <w:pPr>
        <w:pStyle w:val="TextBody"/>
        <w:spacing w:before="120" w:after="0"/>
        <w:jc w:val="left"/>
        <w:rPr>
          <w:rFonts w:ascii="Times New Roman" w:hAnsi="Times New Roman"/>
          <w:sz w:val="20"/>
        </w:rPr>
      </w:pPr>
      <w:r>
        <w:rPr>
          <w:rFonts w:ascii="Times New Roman" w:hAnsi="Times New Roman"/>
          <w:sz w:val="20"/>
        </w:rPr>
        <w:t xml:space="preserve">You shall advise the General Counsel promptly of any change in your address or other personal contact details.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12.</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RETURN OF PROPERTY </w:t>
            </w:r>
          </w:p>
        </w:tc>
      </w:tr>
    </w:tbl>
    <w:p>
      <w:pPr>
        <w:pStyle w:val="TextBody"/>
        <w:spacing w:before="120" w:after="0"/>
        <w:jc w:val="left"/>
        <w:rPr>
          <w:rFonts w:ascii="Times New Roman" w:hAnsi="Times New Roman"/>
          <w:sz w:val="20"/>
        </w:rPr>
      </w:pPr>
      <w:r>
        <w:rPr>
          <w:rFonts w:ascii="Times New Roman" w:hAnsi="Times New Roman"/>
          <w:sz w:val="20"/>
        </w:rPr>
        <w:t xml:space="preserve">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13.</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MORAL RIGHTS </w:t>
            </w:r>
          </w:p>
        </w:tc>
      </w:tr>
    </w:tbl>
    <w:p>
      <w:pPr>
        <w:pStyle w:val="TextBody"/>
        <w:spacing w:before="120" w:after="0"/>
        <w:jc w:val="left"/>
        <w:rPr>
          <w:rFonts w:ascii="Times New Roman" w:hAnsi="Times New Roman"/>
          <w:sz w:val="20"/>
        </w:rPr>
      </w:pPr>
      <w:r>
        <w:rPr>
          <w:rFonts w:ascii="Times New Roman" w:hAnsi="Times New Roman"/>
          <w:sz w:val="20"/>
        </w:rPr>
        <w:t xml:space="preserve">You hereby irrevocably waive any moral rights in all works prepared by you, in the provision of your services to the Company, to which you are now or may at any future time be entitled under Chapter IV of the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14.</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DATA PROTECTION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will hold, collect and otherwise process certain personal data as set out in the Companys privacy notice, which is available on the intranet or the Companys Human Resources department. All personal data will be treated in accordance with applicable data protection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15.</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THIRD PARTY RIGHTS </w:t>
            </w:r>
          </w:p>
        </w:tc>
      </w:tr>
    </w:tbl>
    <w:p>
      <w:pPr>
        <w:pStyle w:val="TextBody"/>
        <w:spacing w:before="120" w:after="0"/>
        <w:jc w:val="left"/>
        <w:rPr>
          <w:rFonts w:ascii="Times New Roman" w:hAnsi="Times New Roman"/>
          <w:sz w:val="20"/>
        </w:rPr>
      </w:pPr>
      <w:r>
        <w:rPr>
          <w:rFonts w:ascii="Times New Roman" w:hAnsi="Times New Roman"/>
          <w:sz w:val="20"/>
        </w:rPr>
        <w:t xml:space="preserve">No one other than you and the Company shall have any rights to enforce the terms of this letter.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16.</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ENTIRE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letter and any document referred to in it constitutes the entire terms and conditions of your appointment and supersedes and extinguishes all previous agreements, promises, assurances, warranties, representations and understandings between you and the Company, whether written or oral, relating to its subject matter.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16.2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agree that you shall have no remedies in respect of any representation, , assurance or warranty (whether made innocently or negligently) that is not set out in this letter and you shall not have any claim for innocent or negligent misrepresentation based on any statement in this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17.</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VARIATION </w:t>
            </w:r>
          </w:p>
        </w:tc>
      </w:tr>
    </w:tbl>
    <w:p>
      <w:pPr>
        <w:pStyle w:val="TextBody"/>
        <w:spacing w:before="120" w:after="0"/>
        <w:jc w:val="left"/>
        <w:rPr>
          <w:rFonts w:ascii="Times New Roman" w:hAnsi="Times New Roman"/>
          <w:sz w:val="20"/>
        </w:rPr>
      </w:pPr>
      <w:r>
        <w:rPr>
          <w:rFonts w:ascii="Times New Roman" w:hAnsi="Times New Roman"/>
          <w:sz w:val="20"/>
        </w:rPr>
        <w:t xml:space="preserve">No variation of this letter shall be effective unless it is in writing and signed by you and the Company (or respective authorised representatives).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18.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GOVERNING LAW AND JURISDICTION </w:t>
            </w:r>
          </w:p>
        </w:tc>
      </w:tr>
    </w:tbl>
    <w:p>
      <w:pPr>
        <w:pStyle w:val="TextBody"/>
        <w:spacing w:before="120" w:after="0"/>
        <w:jc w:val="left"/>
        <w:rPr>
          <w:rFonts w:ascii="Times New Roman" w:hAnsi="Times New Roman"/>
          <w:sz w:val="20"/>
        </w:rPr>
      </w:pPr>
      <w:r>
        <w:rPr>
          <w:rFonts w:ascii="Times New Roman" w:hAnsi="Times New Roman"/>
          <w:sz w:val="20"/>
        </w:rPr>
        <w:t xml:space="preserve">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19.</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19.1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Fees payable pursuant to this Appointment may be subject to deductions for UK income tax and National Insurance contributions as required by law.    You are responsible for the payment of all federal, state or local taxes payable in any other jurisdictions.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19.2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letter agreement is intended to comply with or be exempt from Section 409A of the Internal Revenue Code of 1986, as amended (</w:t>
            </w:r>
            <w:r>
              <w:rPr>
                <w:rFonts w:ascii="Times New Roman" w:hAnsi="Times New Roman"/>
                <w:b/>
                <w:sz w:val="20"/>
              </w:rPr>
              <w:t>Code</w:t>
            </w:r>
            <w:r>
              <w:rPr>
                <w:rFonts w:ascii="Times New Roman" w:hAnsi="Times New Roman"/>
                <w:sz w:val="20"/>
              </w:rPr>
              <w:t xml:space="preserve">) or an exception thereunder and shall be interpreted, construed and administered in accordance therewith. Notwithstanding the foregoing, the Company makes no representations that the payments or benefits provided under this letter comply with or are exempt from Code Section 409A and in no event shall the Company be liable for all or any portion of any taxes, penalties, interest or other expenses that may be incurred by the you as a result of this letter failing to comply with or be exempt from Code Section 409A. To the extent that any reimbursements are subject to Code Section 409A, any such reimbursement payment due to you shall be paid to you in all events on or before the last day of your taxable year following the taxable year in which the related expense was 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Please indicate your acceptance of these terms by signing and returning to the attached copy of this letter to Dr. Denise Scots-Knight, Chief Executive, Mereo BioPharma Group plc. </w:t>
      </w:r>
    </w:p>
    <w:p>
      <w:pPr>
        <w:pStyle w:val="TextBody"/>
        <w:spacing w:before="240" w:after="0"/>
        <w:jc w:val="left"/>
        <w:rPr>
          <w:rFonts w:ascii="Times New Roman" w:hAnsi="Times New Roman"/>
          <w:sz w:val="20"/>
        </w:rPr>
      </w:pPr>
      <w:r>
        <w:rPr>
          <w:rFonts w:ascii="Times New Roman" w:hAnsi="Times New Roman"/>
          <w:sz w:val="20"/>
        </w:rPr>
        <w:t xml:space="preserve">Yours sincerely </w:t>
      </w:r>
    </w:p>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p>
      <w:pPr>
        <w:pStyle w:val="TextBody"/>
        <w:spacing w:before="120" w:after="0"/>
        <w:jc w:val="left"/>
        <w:rPr>
          <w:rFonts w:ascii="Times New Roman" w:hAnsi="Times New Roman"/>
          <w:b/>
          <w:sz w:val="20"/>
        </w:rPr>
      </w:pPr>
      <w:r>
        <w:rPr>
          <w:rFonts w:ascii="Times New Roman" w:hAnsi="Times New Roman"/>
          <w:b/>
          <w:sz w:val="20"/>
        </w:rPr>
        <w:t xml:space="preserve">For and on behalf of Mereo BioPharma Group plc </w:t>
      </w:r>
    </w:p>
    <w:p>
      <w:pPr>
        <w:pStyle w:val="TextBody"/>
        <w:spacing w:before="240" w:after="0"/>
        <w:jc w:val="left"/>
        <w:rPr>
          <w:rFonts w:ascii="Times New Roman" w:hAnsi="Times New Roman"/>
          <w:sz w:val="20"/>
        </w:rPr>
      </w:pPr>
      <w:r>
        <w:rPr>
          <w:rFonts w:ascii="Times New Roman" w:hAnsi="Times New Roman"/>
          <w:sz w:val="20"/>
        </w:rPr>
        <w:t xml:space="preserve">I agree to the above terms of my appointment as a non-executive director of Mereo BioPharma Group plc as set out in this letter. </w:t>
      </w:r>
    </w:p>
    <w:p>
      <w:pPr>
        <w:pStyle w:val="TextBody"/>
        <w:spacing w:before="240" w:after="0"/>
        <w:jc w:val="left"/>
        <w:rPr>
          <w:rFonts w:ascii="Times New Roman" w:hAnsi="Times New Roman"/>
          <w:b/>
          <w:sz w:val="20"/>
        </w:rPr>
      </w:pPr>
      <w:r>
        <w:rPr>
          <w:rFonts w:ascii="Times New Roman" w:hAnsi="Times New Roman"/>
          <w:b/>
          <w:sz w:val="20"/>
        </w:rPr>
        <w:t xml:space="preserve">Signed on                                             by </w:t>
      </w:r>
    </w:p>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p>
      <w:pPr>
        <w:pStyle w:val="TextBody"/>
        <w:spacing w:before="120" w:after="0"/>
        <w:jc w:val="left"/>
        <w:rPr>
          <w:rFonts w:ascii="Times New Roman" w:hAnsi="Times New Roman"/>
          <w:sz w:val="20"/>
        </w:rPr>
      </w:pPr>
      <w:r>
        <w:rPr>
          <w:rFonts w:ascii="Times New Roman" w:hAnsi="Times New Roman"/>
          <w:b/>
          <w:sz w:val="20"/>
        </w:rPr>
        <w:t>[</w:t>
      </w:r>
      <w:r>
        <w:rPr>
          <w:rFonts w:ascii="Times New Roman" w:hAnsi="Times New Roman"/>
          <w:b/>
          <w:i/>
          <w:sz w:val="20"/>
        </w:rPr>
        <w:t>name</w:t>
      </w:r>
      <w:r>
        <w:rPr>
          <w:rFonts w:ascii="Times New Roman" w:hAnsi="Times New Roman"/>
          <w:b/>
          <w:sz w:val="20"/>
        </w:rPr>
        <w:t xml:space="preserve">] </w:t>
      </w:r>
      <w:r>
        <w:br w:type="page"/>
      </w:r>
    </w:p>
    <w:p>
      <w:pPr>
        <w:pStyle w:val="TextBody"/>
        <w:spacing w:before="0" w:after="0"/>
        <w:jc w:val="right"/>
        <w:rPr>
          <w:rFonts w:ascii="Times New Roman" w:hAnsi="Times New Roman"/>
          <w:b/>
          <w:sz w:val="20"/>
        </w:rPr>
      </w:pPr>
      <w:bookmarkStart w:id="39" w:name="d430075dex446.htm"/>
      <w:bookmarkStart w:id="40" w:name="ksd430075dex446"/>
      <w:bookmarkEnd w:id="39"/>
      <w:bookmarkEnd w:id="40"/>
      <w:r>
        <w:rPr>
          <w:rFonts w:ascii="Times New Roman" w:hAnsi="Times New Roman"/>
          <w:b/>
          <w:sz w:val="20"/>
        </w:rPr>
        <w:t xml:space="preserve">Exhibit 4.46 </w:t>
      </w:r>
    </w:p>
    <w:p>
      <w:pPr>
        <w:pStyle w:val="TextBody"/>
        <w:spacing w:before="240" w:after="0"/>
        <w:jc w:val="center"/>
        <w:rPr>
          <w:rFonts w:ascii="Times New Roman" w:hAnsi="Times New Roman"/>
          <w:b/>
          <w:sz w:val="20"/>
        </w:rPr>
      </w:pPr>
      <w:r>
        <w:rPr>
          <w:rFonts w:ascii="Times New Roman" w:hAnsi="Times New Roman"/>
          <w:b/>
          <w:sz w:val="20"/>
        </w:rPr>
        <w:t xml:space="preserve">DEED OF CONSENT AND AMENDMENT TO NOTE INSTRUMENT </w:t>
      </w:r>
    </w:p>
    <w:p>
      <w:pPr>
        <w:pStyle w:val="TextBody"/>
        <w:spacing w:before="240" w:after="0"/>
        <w:jc w:val="left"/>
        <w:rPr>
          <w:rFonts w:ascii="Times New Roman" w:hAnsi="Times New Roman"/>
          <w:sz w:val="20"/>
        </w:rPr>
      </w:pPr>
      <w:r>
        <w:rPr>
          <w:rFonts w:ascii="Times New Roman" w:hAnsi="Times New Roman"/>
          <w:b/>
          <w:sz w:val="20"/>
        </w:rPr>
        <w:t xml:space="preserve">THIS DEED </w:t>
      </w:r>
      <w:r>
        <w:rPr>
          <w:rFonts w:ascii="Times New Roman" w:hAnsi="Times New Roman"/>
          <w:sz w:val="20"/>
        </w:rPr>
        <w:t xml:space="preserve">is dated     February 2023 </w:t>
      </w:r>
    </w:p>
    <w:p>
      <w:pPr>
        <w:pStyle w:val="TextBody"/>
        <w:spacing w:before="120" w:after="0"/>
        <w:jc w:val="left"/>
        <w:rPr>
          <w:rFonts w:ascii="Times New Roman" w:hAnsi="Times New Roman"/>
          <w:b/>
          <w:sz w:val="20"/>
        </w:rPr>
      </w:pPr>
      <w:r>
        <w:rPr>
          <w:rFonts w:ascii="Times New Roman" w:hAnsi="Times New Roman"/>
          <w:b/>
          <w:sz w:val="20"/>
        </w:rPr>
        <w:t xml:space="preserve">BETWEEN: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MEREO BIOPHARMA GROUP PLC</w:t>
            </w:r>
            <w:r>
              <w:rPr>
                <w:rFonts w:ascii="Times New Roman" w:hAnsi="Times New Roman"/>
                <w:sz w:val="20"/>
              </w:rPr>
              <w:t>, a public limited company incorporated in England and Wales with company number 04206001 whose registered office is at 4th Floor, One Cavendish Place, London, England W1G 0QF (the </w:t>
            </w:r>
            <w:r>
              <w:rPr>
                <w:rFonts w:ascii="Times New Roman" w:hAnsi="Times New Roman"/>
                <w:b/>
                <w:sz w:val="20"/>
              </w:rPr>
              <w:t>Company</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NOVARTIS PHARMA AG</w:t>
            </w:r>
            <w:r>
              <w:rPr>
                <w:rFonts w:ascii="Times New Roman" w:hAnsi="Times New Roman"/>
                <w:sz w:val="20"/>
              </w:rPr>
              <w:t>, a company incorporated and registered in Switzerland whose registetered office is at Postfach, 4002 Basel Switzerland (</w:t>
            </w:r>
            <w:r>
              <w:rPr>
                <w:rFonts w:ascii="Times New Roman" w:hAnsi="Times New Roman"/>
                <w:b/>
                <w:sz w:val="20"/>
              </w:rPr>
              <w:t>Novartis</w:t>
            </w:r>
            <w:r>
              <w:rPr>
                <w:rFonts w:ascii="Times New Roman" w:hAnsi="Times New Roman"/>
                <w:sz w:val="20"/>
              </w:rPr>
              <w:t xml:space="preserve">). </w:t>
            </w:r>
          </w:p>
        </w:tc>
      </w:tr>
    </w:tbl>
    <w:p>
      <w:pPr>
        <w:pStyle w:val="TextBody"/>
        <w:spacing w:before="360" w:after="0"/>
        <w:jc w:val="left"/>
        <w:rPr>
          <w:rFonts w:ascii="Times New Roman" w:hAnsi="Times New Roman"/>
          <w:b/>
          <w:sz w:val="20"/>
        </w:rPr>
      </w:pPr>
      <w:r>
        <w:rPr>
          <w:rFonts w:ascii="Times New Roman" w:hAnsi="Times New Roman"/>
          <w:b/>
          <w:sz w:val="20"/>
        </w:rPr>
        <w:t xml:space="preserve">WHEREAS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adopted a convertible loan note instrument on 10 February 2020, as subsequently amended on 24 November 2020, a copy of which is appended hereto as Appendix 1 (the </w:t>
            </w:r>
            <w:r>
              <w:rPr>
                <w:rFonts w:ascii="Times New Roman" w:hAnsi="Times New Roman"/>
                <w:b/>
                <w:sz w:val="20"/>
              </w:rPr>
              <w:t>Note Instrument</w:t>
            </w:r>
            <w:r>
              <w:rPr>
                <w:rFonts w:ascii="Times New Roman" w:hAnsi="Times New Roman"/>
                <w:sz w:val="20"/>
              </w:rPr>
              <w:t>) constituting certain loan notes convertible into Ordinary Shares in the capital of the Company (the </w:t>
            </w:r>
            <w:r>
              <w:rPr>
                <w:rFonts w:ascii="Times New Roman" w:hAnsi="Times New Roman"/>
                <w:b/>
                <w:sz w:val="20"/>
              </w:rPr>
              <w:t>Notes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the Note Instrument the principal amount outstanding under the Notes (and any accrued and unpaid interest thereon) will become due and payable in full on 10 February 2023 (the </w:t>
            </w:r>
            <w:r>
              <w:rPr>
                <w:rFonts w:ascii="Times New Roman" w:hAnsi="Times New Roman"/>
                <w:b/>
                <w:sz w:val="20"/>
              </w:rPr>
              <w:t>Effective Date</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and Novartis have agreed, with effect from the Effective Date, to extend the Maturity Date of the Notes to 10 February 2025 (the </w:t>
            </w:r>
            <w:r>
              <w:rPr>
                <w:rFonts w:ascii="Times New Roman" w:hAnsi="Times New Roman"/>
                <w:b/>
                <w:sz w:val="20"/>
              </w:rPr>
              <w:t>Maturity</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w:t>
            </w:r>
            <w:r>
              <w:rPr>
                <w:rFonts w:ascii="Times New Roman" w:hAnsi="Times New Roman"/>
                <w:b/>
                <w:sz w:val="20"/>
              </w:rPr>
              <w:t>Extension</w:t>
            </w:r>
            <w:r>
              <w:rPr>
                <w:rFonts w:ascii="Times New Roman" w:hAnsi="Times New Roman"/>
                <w:sz w:val="20"/>
              </w:rPr>
              <w:t xml:space="preserve">) in consideration for: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09"/>
        <w:gridCol w:w="9189"/>
      </w:tblGrid>
      <w:tr>
        <w:trPr/>
        <w:tc>
          <w:tcPr>
            <w:tcW w:w="407"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(i)</w:t>
            </w:r>
          </w:p>
        </w:tc>
        <w:tc>
          <w:tcPr>
            <w:tcW w:w="91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issue by the Company to Novartis of 2,000,000 warrants to subscribe for ordinary shares of £0.003 each in the capital of the Company (the </w:t>
            </w:r>
            <w:r>
              <w:rPr>
                <w:rFonts w:ascii="Times New Roman" w:hAnsi="Times New Roman"/>
                <w:b/>
                <w:sz w:val="20"/>
              </w:rPr>
              <w:t>2023 Warrants</w:t>
            </w:r>
            <w:r>
              <w:rPr>
                <w:rFonts w:ascii="Times New Roman" w:hAnsi="Times New Roman"/>
                <w:sz w:val="20"/>
              </w:rPr>
              <w:t>), on the terms and subject to the conditions set out in the warrant instrument attached hereto at Appendix 2 (the </w:t>
            </w:r>
            <w:r>
              <w:rPr>
                <w:rFonts w:ascii="Times New Roman" w:hAnsi="Times New Roman"/>
                <w:b/>
                <w:sz w:val="20"/>
              </w:rPr>
              <w:t>2023 Warrant Instrument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12"/>
        <w:gridCol w:w="9187"/>
      </w:tblGrid>
      <w:tr>
        <w:trPr/>
        <w:tc>
          <w:tcPr>
            <w:tcW w:w="406"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w:t>
            </w:r>
          </w:p>
        </w:tc>
        <w:tc>
          <w:tcPr>
            <w:tcW w:w="91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payment by the Company to Novartis of a cash amount of £691,466.22, such amount being equal to the accrued and unpaid interest on the Notes up to and including 10 February 2023 (the </w:t>
            </w:r>
            <w:r>
              <w:rPr>
                <w:rFonts w:ascii="Times New Roman" w:hAnsi="Times New Roman"/>
                <w:b/>
                <w:sz w:val="20"/>
              </w:rPr>
              <w:t>Accrued Interest Sum</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11"/>
        <w:gridCol w:w="9188"/>
      </w:tblGrid>
      <w:tr>
        <w:trPr/>
        <w:tc>
          <w:tcPr>
            <w:tcW w:w="406"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(ii)</w:t>
            </w:r>
          </w:p>
        </w:tc>
        <w:tc>
          <w:tcPr>
            <w:tcW w:w="91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amendment of certain additional terms of the Note Instrument (together with the Maturity Date Extension, the </w:t>
            </w:r>
            <w:r>
              <w:rPr>
                <w:rFonts w:ascii="Times New Roman" w:hAnsi="Times New Roman"/>
                <w:b/>
                <w:sz w:val="20"/>
              </w:rPr>
              <w:t>Note</w:t>
            </w:r>
            <w:r>
              <w:rPr>
                <w:rFonts w:ascii="Times New Roman" w:hAnsi="Times New Roman"/>
                <w:sz w:val="20"/>
              </w:rPr>
              <w:t xml:space="preserve"> </w:t>
            </w:r>
            <w:r>
              <w:rPr>
                <w:rFonts w:ascii="Times New Roman" w:hAnsi="Times New Roman"/>
                <w:b/>
                <w:sz w:val="20"/>
              </w:rPr>
              <w:t>Amendment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parties are entering into this Deed to document the Note Amendment and the arrangements for issuance of the 2023 Warrants and payment of the Accrued Interest Sum. </w:t>
            </w:r>
          </w:p>
        </w:tc>
      </w:tr>
    </w:tbl>
    <w:p>
      <w:pPr>
        <w:pStyle w:val="TextBody"/>
        <w:spacing w:before="360" w:after="0"/>
        <w:jc w:val="left"/>
        <w:rPr>
          <w:rFonts w:ascii="Times New Roman" w:hAnsi="Times New Roman"/>
          <w:b/>
          <w:sz w:val="20"/>
        </w:rPr>
      </w:pPr>
      <w:r>
        <w:rPr>
          <w:rFonts w:ascii="Times New Roman" w:hAnsi="Times New Roman"/>
          <w:b/>
          <w:sz w:val="20"/>
        </w:rPr>
        <w:t xml:space="preserve">IT IS AGREED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spacing w:before="120" w:after="0"/>
        <w:jc w:val="left"/>
        <w:rPr>
          <w:rFonts w:ascii="Times New Roman" w:hAnsi="Times New Roman"/>
          <w:sz w:val="20"/>
        </w:rPr>
      </w:pPr>
      <w:r>
        <w:rPr>
          <w:rFonts w:ascii="Times New Roman" w:hAnsi="Times New Roman"/>
          <w:sz w:val="20"/>
        </w:rPr>
        <w:t xml:space="preserve">Terms defined in the Note Instrument shall have the same meanings as given therein when used in this Deed unless otherwise defined herein.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2.</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AMENDMENT CONSENT AND AGREEMENT TO ISSUE 2023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2.1</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Amendment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2.1.1</w:t>
            </w:r>
          </w:p>
        </w:tc>
        <w:tc>
          <w:tcPr>
            <w:tcW w:w="91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current definition of </w:t>
            </w:r>
            <w:r>
              <w:rPr>
                <w:rFonts w:ascii="Times New Roman" w:hAnsi="Times New Roman"/>
                <w:i/>
                <w:sz w:val="20"/>
              </w:rPr>
              <w:t>Interest Rate</w:t>
            </w:r>
            <w:r>
              <w:rPr>
                <w:rFonts w:ascii="Times New Roman" w:hAnsi="Times New Roman"/>
                <w:sz w:val="20"/>
              </w:rPr>
              <w:t xml:space="preserve"> at clause 1.1 of the Note Instrument shall, as of the Effective Date, be deleted in its entirety and replaced with the following wording </w:t>
            </w:r>
          </w:p>
        </w:tc>
      </w:tr>
    </w:tbl>
    <w:p>
      <w:pPr>
        <w:pStyle w:val="HorizontalLine"/>
        <w:pBdr>
          <w:bottom w:val="double" w:sz="6" w:space="0" w:color="808080"/>
        </w:pBdr>
        <w:rPr/>
      </w:pPr>
      <w:r>
        <w:br w:type="page"/>
      </w:r>
      <w:r>
        <w:rPr/>
      </w:r>
    </w:p>
    <w:tbl>
      <w:tblPr>
        <w:tblW w:w="4500" w:type="pct"/>
        <w:jc w:val="right"/>
        <w:tblInd w:w="0" w:type="dxa"/>
        <w:tblCellMar>
          <w:top w:w="0" w:type="dxa"/>
          <w:left w:w="0" w:type="dxa"/>
          <w:bottom w:w="0" w:type="dxa"/>
          <w:right w:w="0" w:type="dxa"/>
        </w:tblCellMar>
      </w:tblPr>
      <w:tblGrid>
        <w:gridCol w:w="4586"/>
        <w:gridCol w:w="120"/>
        <w:gridCol w:w="4478"/>
      </w:tblGrid>
      <w:tr>
        <w:trPr/>
        <w:tc>
          <w:tcPr>
            <w:tcW w:w="4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78" w:type="dxa"/>
            <w:tcBorders/>
            <w:shd w:fill="auto" w:val="clear"/>
            <w:vAlign w:val="center"/>
          </w:tcPr>
          <w:p>
            <w:pPr>
              <w:pStyle w:val="TableContents"/>
              <w:spacing w:before="0" w:after="283"/>
              <w:rPr>
                <w:sz w:val="4"/>
                <w:szCs w:val="4"/>
              </w:rPr>
            </w:pPr>
            <w:r>
              <w:rPr>
                <w:sz w:val="4"/>
                <w:szCs w:val="4"/>
              </w:rPr>
            </w:r>
          </w:p>
        </w:tc>
      </w:tr>
      <w:tr>
        <w:trPr/>
        <w:tc>
          <w:tcPr>
            <w:tcW w:w="4586" w:type="dxa"/>
            <w:tcBorders/>
            <w:shd w:fill="auto" w:val="clear"/>
          </w:tcPr>
          <w:p>
            <w:pPr>
              <w:pStyle w:val="TableContents"/>
              <w:spacing w:before="0" w:after="283"/>
              <w:rPr>
                <w:i/>
              </w:rPr>
            </w:pPr>
            <w:r>
              <w:rPr>
                <w:i/>
              </w:rPr>
              <w:t>Interest Rate</w:t>
            </w:r>
          </w:p>
        </w:tc>
        <w:tc>
          <w:tcPr>
            <w:tcW w:w="120" w:type="dxa"/>
            <w:tcBorders/>
            <w:shd w:fill="auto" w:val="clear"/>
            <w:vAlign w:val="bottom"/>
          </w:tcPr>
          <w:p>
            <w:pPr>
              <w:pStyle w:val="TableContents"/>
              <w:spacing w:before="0" w:after="283"/>
              <w:rPr/>
            </w:pPr>
            <w:r>
              <w:rPr/>
              <w:t>  </w:t>
            </w:r>
          </w:p>
        </w:tc>
        <w:tc>
          <w:tcPr>
            <w:tcW w:w="4478" w:type="dxa"/>
            <w:tcBorders/>
            <w:shd w:fill="auto" w:val="clear"/>
          </w:tcPr>
          <w:p>
            <w:pPr>
              <w:pStyle w:val="TableContents"/>
              <w:spacing w:before="0" w:after="283"/>
              <w:rPr>
                <w:i/>
              </w:rPr>
            </w:pPr>
            <w:r>
              <w:rPr>
                <w:i/>
              </w:rPr>
              <w:t>(i) from the date of this instrument to and including 10 February 2023, a rate of 6% per annum; and</w:t>
            </w:r>
          </w:p>
        </w:tc>
      </w:tr>
      <w:tr>
        <w:trPr>
          <w:trHeight w:val="120" w:hRule="atLeast"/>
        </w:trPr>
        <w:tc>
          <w:tcPr>
            <w:tcW w:w="4586" w:type="dxa"/>
            <w:tcBorders/>
            <w:shd w:fill="auto" w:val="clear"/>
            <w:vAlign w:val="center"/>
          </w:tcPr>
          <w:p>
            <w:pPr>
              <w:pStyle w:val="TableContents"/>
              <w:spacing w:before="0" w:after="283"/>
              <w:rPr>
                <w:sz w:val="4"/>
                <w:szCs w:val="4"/>
              </w:rPr>
            </w:pPr>
            <w:r>
              <w:rPr>
                <w:sz w:val="4"/>
                <w:szCs w:val="4"/>
              </w:rPr>
            </w:r>
          </w:p>
        </w:tc>
        <w:tc>
          <w:tcPr>
            <w:tcW w:w="4598" w:type="dxa"/>
            <w:gridSpan w:val="2"/>
            <w:tcBorders/>
            <w:shd w:fill="auto" w:val="clear"/>
            <w:vAlign w:val="center"/>
          </w:tcPr>
          <w:p>
            <w:pPr>
              <w:pStyle w:val="TableContents"/>
              <w:spacing w:before="0" w:after="283"/>
              <w:rPr>
                <w:sz w:val="4"/>
                <w:szCs w:val="4"/>
              </w:rPr>
            </w:pPr>
            <w:r>
              <w:rPr>
                <w:sz w:val="4"/>
                <w:szCs w:val="4"/>
              </w:rPr>
            </w:r>
          </w:p>
        </w:tc>
      </w:tr>
      <w:tr>
        <w:trPr/>
        <w:tc>
          <w:tcPr>
            <w:tcW w:w="458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478" w:type="dxa"/>
            <w:tcBorders/>
            <w:shd w:fill="auto" w:val="clear"/>
          </w:tcPr>
          <w:p>
            <w:pPr>
              <w:pStyle w:val="TableContents"/>
              <w:spacing w:before="0" w:after="283"/>
              <w:rPr>
                <w:i/>
              </w:rPr>
            </w:pPr>
            <w:r>
              <w:rPr>
                <w:i/>
              </w:rPr>
              <w:t>(ii) from 11 February 2023 to the Maturity Date, a rate of 9% per annum</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2.1.2</w:t>
            </w:r>
          </w:p>
        </w:tc>
        <w:tc>
          <w:tcPr>
            <w:tcW w:w="91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current definition of </w:t>
            </w:r>
            <w:r>
              <w:rPr>
                <w:rFonts w:ascii="Times New Roman" w:hAnsi="Times New Roman"/>
                <w:i/>
                <w:sz w:val="20"/>
              </w:rPr>
              <w:t>Maturity Date</w:t>
            </w:r>
            <w:r>
              <w:rPr>
                <w:rFonts w:ascii="Times New Roman" w:hAnsi="Times New Roman"/>
                <w:sz w:val="20"/>
              </w:rPr>
              <w:t xml:space="preserve"> at clause 1.1 of the Note Instrument, shall, as of the Effective Date, be deleted in its entirety and replaced with the following wording: </w:t>
            </w:r>
          </w:p>
        </w:tc>
      </w:tr>
    </w:tbl>
    <w:p>
      <w:pPr>
        <w:pStyle w:val="TextBody"/>
        <w:spacing w:before="0" w:after="0"/>
        <w:jc w:val="left"/>
        <w:rPr/>
      </w:pPr>
      <w:r>
        <w:rPr/>
        <w:t> </w:t>
      </w:r>
    </w:p>
    <w:tbl>
      <w:tblPr>
        <w:tblW w:w="4500" w:type="pct"/>
        <w:jc w:val="right"/>
        <w:tblInd w:w="0" w:type="dxa"/>
        <w:tblCellMar>
          <w:top w:w="0" w:type="dxa"/>
          <w:left w:w="0" w:type="dxa"/>
          <w:bottom w:w="0" w:type="dxa"/>
          <w:right w:w="0" w:type="dxa"/>
        </w:tblCellMar>
      </w:tblPr>
      <w:tblGrid>
        <w:gridCol w:w="4602"/>
        <w:gridCol w:w="120"/>
        <w:gridCol w:w="4462"/>
      </w:tblGrid>
      <w:tr>
        <w:trPr/>
        <w:tc>
          <w:tcPr>
            <w:tcW w:w="46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62" w:type="dxa"/>
            <w:tcBorders/>
            <w:shd w:fill="auto" w:val="clear"/>
            <w:vAlign w:val="center"/>
          </w:tcPr>
          <w:p>
            <w:pPr>
              <w:pStyle w:val="TableContents"/>
              <w:spacing w:before="0" w:after="283"/>
              <w:rPr>
                <w:sz w:val="4"/>
                <w:szCs w:val="4"/>
              </w:rPr>
            </w:pPr>
            <w:r>
              <w:rPr>
                <w:sz w:val="4"/>
                <w:szCs w:val="4"/>
              </w:rPr>
            </w:r>
          </w:p>
        </w:tc>
      </w:tr>
      <w:tr>
        <w:trPr/>
        <w:tc>
          <w:tcPr>
            <w:tcW w:w="4602" w:type="dxa"/>
            <w:tcBorders/>
            <w:shd w:fill="auto" w:val="clear"/>
            <w:vAlign w:val="bottom"/>
          </w:tcPr>
          <w:p>
            <w:pPr>
              <w:pStyle w:val="TableContents"/>
              <w:spacing w:before="0" w:after="283"/>
              <w:rPr>
                <w:i/>
              </w:rPr>
            </w:pPr>
            <w:r>
              <w:rPr>
                <w:i/>
              </w:rPr>
              <w:t>Maturity Date</w:t>
            </w:r>
          </w:p>
        </w:tc>
        <w:tc>
          <w:tcPr>
            <w:tcW w:w="120" w:type="dxa"/>
            <w:tcBorders/>
            <w:shd w:fill="auto" w:val="clear"/>
            <w:vAlign w:val="bottom"/>
          </w:tcPr>
          <w:p>
            <w:pPr>
              <w:pStyle w:val="TableContents"/>
              <w:spacing w:before="0" w:after="283"/>
              <w:rPr/>
            </w:pPr>
            <w:r>
              <w:rPr/>
              <w:t>  </w:t>
            </w:r>
          </w:p>
        </w:tc>
        <w:tc>
          <w:tcPr>
            <w:tcW w:w="4462" w:type="dxa"/>
            <w:tcBorders/>
            <w:shd w:fill="auto" w:val="clear"/>
            <w:vAlign w:val="bottom"/>
          </w:tcPr>
          <w:p>
            <w:pPr>
              <w:pStyle w:val="TableContents"/>
              <w:spacing w:before="0" w:after="283"/>
              <w:rPr>
                <w:i/>
              </w:rPr>
            </w:pPr>
            <w:r>
              <w:rPr>
                <w:i/>
              </w:rPr>
              <w:t>10 February 2025</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2.1.3</w:t>
            </w:r>
          </w:p>
        </w:tc>
        <w:tc>
          <w:tcPr>
            <w:tcW w:w="91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current paragraph 1 (</w:t>
            </w:r>
            <w:r>
              <w:rPr>
                <w:rFonts w:ascii="Times New Roman" w:hAnsi="Times New Roman"/>
                <w:i/>
                <w:sz w:val="20"/>
              </w:rPr>
              <w:t>Interest</w:t>
            </w:r>
            <w:r>
              <w:rPr>
                <w:rFonts w:ascii="Times New Roman" w:hAnsi="Times New Roman"/>
                <w:sz w:val="20"/>
              </w:rPr>
              <w:t xml:space="preserve">) at Schedule 2 to the Note Instrument shall, as of the Effective Date, be deleted in its entirety and replaced with the following wording: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408"/>
        <w:gridCol w:w="8778"/>
      </w:tblGrid>
      <w:tr>
        <w:trPr/>
        <w:tc>
          <w:tcPr>
            <w:tcW w:w="101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1.1</w:t>
            </w:r>
          </w:p>
        </w:tc>
        <w:tc>
          <w:tcPr>
            <w:tcW w:w="877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Interest shall be payable on any outstanding Notes (so far as not converted under Schedule 3) at the applicable Interest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408"/>
        <w:gridCol w:w="8778"/>
      </w:tblGrid>
      <w:tr>
        <w:trPr/>
        <w:tc>
          <w:tcPr>
            <w:tcW w:w="101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1.2</w:t>
            </w:r>
          </w:p>
        </w:tc>
        <w:tc>
          <w:tcPr>
            <w:tcW w:w="877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Any interest due under paragraph 1.1 of this Schedule 2 shall be payable in immediately available funds on the Maturity Date, unless the Noteholder elects to convert the accrued interest to Ordinary Shares in accordance with Part 2 of Schedule 3 (or such interest has otherwise been satisfied, whether by payment in cash or otherwise in a manner agreed between the Noteholder and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408"/>
        <w:gridCol w:w="8777"/>
      </w:tblGrid>
      <w:tr>
        <w:trPr/>
        <w:tc>
          <w:tcPr>
            <w:tcW w:w="1020"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1.3</w:t>
            </w:r>
          </w:p>
        </w:tc>
        <w:tc>
          <w:tcPr>
            <w:tcW w:w="877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Interest, if payable, shall accrue daily at the applicable Interest Rate and shall be calculated on the basis of a 365-day year and the actual number of days elapsed from and including 11 February 2023 to the Redemption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407"/>
        <w:gridCol w:w="8778"/>
      </w:tblGrid>
      <w:tr>
        <w:trPr/>
        <w:tc>
          <w:tcPr>
            <w:tcW w:w="1020"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1.4</w:t>
            </w:r>
          </w:p>
        </w:tc>
        <w:tc>
          <w:tcPr>
            <w:tcW w:w="877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If the Company fails to pay redemption monies when due, interest shall continue to accrue on the unpaid amount at the applicable Interest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2.1.1</w:t>
            </w:r>
          </w:p>
        </w:tc>
        <w:tc>
          <w:tcPr>
            <w:tcW w:w="91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current paragraph 4 (</w:t>
            </w:r>
            <w:r>
              <w:rPr>
                <w:rFonts w:ascii="Times New Roman" w:hAnsi="Times New Roman"/>
                <w:i/>
                <w:sz w:val="20"/>
              </w:rPr>
              <w:t>Redemption</w:t>
            </w:r>
            <w:r>
              <w:rPr>
                <w:rFonts w:ascii="Times New Roman" w:hAnsi="Times New Roman"/>
                <w:sz w:val="20"/>
              </w:rPr>
              <w:t xml:space="preserve">) at Schedule 2 to the Note Instrument shall, as of the Effective Date, be deleted in its entirety and replaced with the following wording: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408"/>
        <w:gridCol w:w="8778"/>
      </w:tblGrid>
      <w:tr>
        <w:trPr/>
        <w:tc>
          <w:tcPr>
            <w:tcW w:w="101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4.1</w:t>
            </w:r>
          </w:p>
        </w:tc>
        <w:tc>
          <w:tcPr>
            <w:tcW w:w="877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The Notes then in issue (so far as not converted under Schedule 3) shall, to the extent not previously converted, be redeemed at the principal amount together with interest on the Notes outstanding at the applicable Interest Rate on the Maturity Date (to the extent such interest has not already been satisfied, whether by payment in cash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408"/>
        <w:gridCol w:w="8778"/>
      </w:tblGrid>
      <w:tr>
        <w:trPr/>
        <w:tc>
          <w:tcPr>
            <w:tcW w:w="101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4.2</w:t>
            </w:r>
          </w:p>
        </w:tc>
        <w:tc>
          <w:tcPr>
            <w:tcW w:w="877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Within five Business Days of the Redemption Date, the Company shall repay to the Noteholder the principal amount of the Notes so redeemed, together with interest on such Notes outstanding at the Interest Rate (to the extent such interest has not already been satisfied, whether by payment in cash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2.2</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Consent, 2023 Warrants and Accrued Interest Sum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2.2.1</w:t>
            </w:r>
          </w:p>
        </w:tc>
        <w:tc>
          <w:tcPr>
            <w:tcW w:w="91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their execution of this Deed Novartis hereby grant consent to the Note Amendment and the provisions of this Deed (including the transactions contemplated herein) and in consideration for such consent, the Company undertakes that it shall: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407"/>
        <w:gridCol w:w="8779"/>
      </w:tblGrid>
      <w:tr>
        <w:trPr/>
        <w:tc>
          <w:tcPr>
            <w:tcW w:w="1019"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7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issue the 2023 Warrants to Novartis on the Effective Date in accordance with the terms of the 2023 Warrant Instrument, and deliver a duly executed copy of the 2023 Warrant Instrument to Novartis within 3 Business Days of such date; and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1020"/>
        <w:gridCol w:w="408"/>
        <w:gridCol w:w="8777"/>
      </w:tblGrid>
      <w:tr>
        <w:trPr/>
        <w:tc>
          <w:tcPr>
            <w:tcW w:w="1020"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7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the Accrued Interest Sum to the following bank account: </w:t>
            </w:r>
          </w:p>
        </w:tc>
      </w:tr>
    </w:tbl>
    <w:p>
      <w:pPr>
        <w:pStyle w:val="TextBody"/>
        <w:spacing w:before="240" w:after="0"/>
        <w:jc w:val="left"/>
        <w:rPr>
          <w:rFonts w:ascii="Times New Roman" w:hAnsi="Times New Roman"/>
          <w:sz w:val="20"/>
        </w:rPr>
      </w:pPr>
      <w:r>
        <w:rPr>
          <w:rFonts w:ascii="Times New Roman" w:hAnsi="Times New Roman"/>
          <w:sz w:val="20"/>
        </w:rPr>
        <w:t xml:space="preserve">Name: Novartis Pharma AG </w:t>
      </w:r>
    </w:p>
    <w:p>
      <w:pPr>
        <w:pStyle w:val="TextBody"/>
        <w:spacing w:before="240" w:after="0"/>
        <w:jc w:val="left"/>
        <w:rPr>
          <w:rFonts w:ascii="Times New Roman" w:hAnsi="Times New Roman"/>
          <w:sz w:val="20"/>
        </w:rPr>
      </w:pPr>
      <w:r>
        <w:rPr>
          <w:rFonts w:ascii="Times New Roman" w:hAnsi="Times New Roman"/>
          <w:sz w:val="20"/>
        </w:rPr>
        <w:t xml:space="preserve">Bank: HSBC Bank plc </w:t>
      </w:r>
    </w:p>
    <w:p>
      <w:pPr>
        <w:pStyle w:val="TextBody"/>
        <w:spacing w:before="240" w:after="0"/>
        <w:jc w:val="left"/>
        <w:rPr>
          <w:rFonts w:ascii="Times New Roman" w:hAnsi="Times New Roman"/>
          <w:sz w:val="20"/>
        </w:rPr>
      </w:pPr>
      <w:r>
        <w:rPr>
          <w:rFonts w:ascii="Times New Roman" w:hAnsi="Times New Roman"/>
          <w:sz w:val="20"/>
        </w:rPr>
        <w:t xml:space="preserve">Address: 8 Canada Square, Canary Wharf, London E14 5HQ </w:t>
      </w:r>
    </w:p>
    <w:p>
      <w:pPr>
        <w:pStyle w:val="TextBody"/>
        <w:spacing w:before="240" w:after="0"/>
        <w:jc w:val="left"/>
        <w:rPr>
          <w:rFonts w:ascii="Times New Roman" w:hAnsi="Times New Roman"/>
          <w:sz w:val="20"/>
        </w:rPr>
      </w:pPr>
      <w:r>
        <w:rPr>
          <w:rFonts w:ascii="Times New Roman" w:hAnsi="Times New Roman"/>
          <w:sz w:val="20"/>
        </w:rPr>
        <w:t xml:space="preserve">Account: 21343610 </w:t>
      </w:r>
    </w:p>
    <w:p>
      <w:pPr>
        <w:pStyle w:val="TextBody"/>
        <w:spacing w:before="240" w:after="0"/>
        <w:jc w:val="left"/>
        <w:rPr>
          <w:rFonts w:ascii="Times New Roman" w:hAnsi="Times New Roman"/>
          <w:sz w:val="20"/>
        </w:rPr>
      </w:pPr>
      <w:r>
        <w:rPr>
          <w:rFonts w:ascii="Times New Roman" w:hAnsi="Times New Roman"/>
          <w:sz w:val="20"/>
        </w:rPr>
        <w:t xml:space="preserve">Sort Code: 40-02-50 </w:t>
      </w:r>
    </w:p>
    <w:p>
      <w:pPr>
        <w:pStyle w:val="TextBody"/>
        <w:spacing w:before="240" w:after="0"/>
        <w:jc w:val="left"/>
        <w:rPr>
          <w:rFonts w:ascii="Times New Roman" w:hAnsi="Times New Roman"/>
          <w:sz w:val="20"/>
        </w:rPr>
      </w:pPr>
      <w:r>
        <w:rPr>
          <w:rFonts w:ascii="Times New Roman" w:hAnsi="Times New Roman"/>
          <w:sz w:val="20"/>
        </w:rPr>
        <w:t xml:space="preserve">BIC: MIDLGB22 </w:t>
      </w:r>
    </w:p>
    <w:p>
      <w:pPr>
        <w:pStyle w:val="TextBody"/>
        <w:spacing w:before="240" w:after="0"/>
        <w:jc w:val="left"/>
        <w:rPr>
          <w:rFonts w:ascii="Times New Roman" w:hAnsi="Times New Roman"/>
          <w:sz w:val="20"/>
        </w:rPr>
      </w:pPr>
      <w:r>
        <w:rPr>
          <w:rFonts w:ascii="Times New Roman" w:hAnsi="Times New Roman"/>
          <w:sz w:val="20"/>
        </w:rPr>
        <w:t xml:space="preserve">or such other bank account as is notified by Novartis to the Company in writing, within 3 Business Days of the Effective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ADDITIONAL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Ordinary Shares to be issued by the Company to Novartis or any permitted transferee under the 2023 Warrants shall be issued in accordance with Regulation S under the Securities Act or another exemption from the registration requirements of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2023 Warrant shall bear a legend stating that the warrant and the securities to be issued upon its exercise have not been registered under the Securities </w:t>
            </w:r>
            <w:r>
              <w:rPr>
                <w:rFonts w:ascii="Times New Roman" w:hAnsi="Times New Roman"/>
                <w:sz w:val="20"/>
                <w:u w:val="single"/>
              </w:rPr>
              <w:t>Act</w:t>
            </w:r>
            <w:r>
              <w:rPr>
                <w:rFonts w:ascii="Times New Roman" w:hAnsi="Times New Roman"/>
                <w:sz w:val="20"/>
              </w:rPr>
              <w:t xml:space="preserve"> and that the warrant may not be exercised by or on behalf of any U.S. person unless registered under the Securities </w:t>
            </w:r>
            <w:r>
              <w:rPr>
                <w:rFonts w:ascii="Times New Roman" w:hAnsi="Times New Roman"/>
                <w:sz w:val="20"/>
                <w:u w:val="single"/>
              </w:rPr>
              <w:t>Act</w:t>
            </w:r>
            <w:r>
              <w:rPr>
                <w:rFonts w:ascii="Times New Roman" w:hAnsi="Times New Roman"/>
                <w:sz w:val="20"/>
              </w:rPr>
              <w:t xml:space="preserve"> or an exemption from such registration is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exercising a 2023 Warrant is required to give: </w:t>
            </w:r>
          </w:p>
        </w:tc>
      </w:tr>
    </w:tbl>
    <w:p>
      <w:pPr>
        <w:pStyle w:val="TextBody"/>
        <w:spacing w:before="120" w:after="0"/>
        <w:jc w:val="left"/>
        <w:rPr>
          <w:rFonts w:ascii="Times New Roman" w:hAnsi="Times New Roman"/>
          <w:sz w:val="20"/>
        </w:rPr>
      </w:pPr>
      <w:r>
        <w:rPr>
          <w:rFonts w:ascii="Times New Roman" w:hAnsi="Times New Roman"/>
          <w:sz w:val="20"/>
        </w:rPr>
        <w:t xml:space="preserve">(i) a written certification that it is not a U.S. person and the warrant is not being exercised on behalf of a U.S. person; or </w:t>
      </w:r>
    </w:p>
    <w:p>
      <w:pPr>
        <w:pStyle w:val="TextBody"/>
        <w:spacing w:before="120" w:after="0"/>
        <w:jc w:val="left"/>
        <w:rPr>
          <w:rFonts w:ascii="Times New Roman" w:hAnsi="Times New Roman"/>
          <w:sz w:val="20"/>
        </w:rPr>
      </w:pPr>
      <w:r>
        <w:rPr>
          <w:rFonts w:ascii="Times New Roman" w:hAnsi="Times New Roman"/>
          <w:sz w:val="20"/>
        </w:rPr>
        <w:t xml:space="preserve">(ii) a written opinion of counsel to the effect that the warrant and the securities delivered upon exercise thereof have been registered under the Securities </w:t>
      </w:r>
      <w:r>
        <w:rPr>
          <w:rFonts w:ascii="Times New Roman" w:hAnsi="Times New Roman"/>
          <w:sz w:val="20"/>
          <w:u w:val="single"/>
        </w:rPr>
        <w:t>Act</w:t>
      </w:r>
      <w:r>
        <w:rPr>
          <w:rFonts w:ascii="Times New Roman" w:hAnsi="Times New Roman"/>
          <w:sz w:val="20"/>
        </w:rPr>
        <w:t xml:space="preserve"> or are exempt from registration thereunder.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2023 Warrants may not be exercised within the </w:t>
            </w:r>
            <w:r>
              <w:rPr>
                <w:rFonts w:ascii="Times New Roman" w:hAnsi="Times New Roman"/>
                <w:sz w:val="20"/>
                <w:u w:val="single"/>
              </w:rPr>
              <w:t>United States</w:t>
            </w:r>
            <w:r>
              <w:rPr>
                <w:rFonts w:ascii="Times New Roman" w:hAnsi="Times New Roman"/>
                <w:sz w:val="20"/>
              </w:rPr>
              <w:t>, and the Ordinary Shares issuable upon exercise thereof may not be delivered within the </w:t>
            </w:r>
            <w:r>
              <w:rPr>
                <w:rFonts w:ascii="Times New Roman" w:hAnsi="Times New Roman"/>
                <w:sz w:val="20"/>
                <w:u w:val="single"/>
              </w:rPr>
              <w:t>United States</w:t>
            </w:r>
            <w:r>
              <w:rPr>
                <w:rFonts w:ascii="Times New Roman" w:hAnsi="Times New Roman"/>
                <w:sz w:val="20"/>
              </w:rPr>
              <w:t xml:space="preserve"> unless registered under the </w:t>
            </w:r>
            <w:r>
              <w:rPr>
                <w:rFonts w:ascii="Times New Roman" w:hAnsi="Times New Roman"/>
                <w:sz w:val="20"/>
                <w:u w:val="single"/>
              </w:rPr>
              <w:t>Securities Act</w:t>
            </w:r>
            <w:r>
              <w:rPr>
                <w:rFonts w:ascii="Times New Roman" w:hAnsi="Times New Roman"/>
                <w:sz w:val="20"/>
              </w:rPr>
              <w:t xml:space="preserve"> or an exemption from such registration is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the terms of the any of the Note Instrument and the 2023 Warrant Instrument, the Company and Novartis shall promptly take all action reasonably advisable to enable all Underlying Securities to be deposited with the Depositary outside of any segregated ADS facility as may be imposed pursuant to Rule 144 of the Securities Act of 1933. For the avoidance of doubt, such actions shall include (i) the execution of any issuance and delivery instruction in a form substantially similar to that included in Schedule 3 of the 2023 Warrant Instrument and (ii) if the Depositary requires any opinion of counsel regarding the free tradability of the Underlying Securities, an opinion of external counsel of the Company in a form satisfactory to the Depositary. Novartis understands and agrees that Ordinary Shares issued upon exercise of 2023 Warrants will become eligible for deposit into the unrestricted ADS following the end of the Regulation S distribution compliance period of forty (40) days from the date of issuance. All expenses incurred in connection with the foregoing actions, including any opinion of counsel, shall be borne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covenants that by 31 December 2024, it shall cause to be registered on Form F-3 or Form S-3 and the related prospectus supplement all but not less than all of the securities issuable to Novartis or any permitted transferee under the 2023 Warrants and, to the extent such registration is no longer valid: (i) the Notes and (ii) the 1,449,614 warrants to subscribe for ordinary shares of 0.003 each in the capital of the Company (the </w:t>
            </w:r>
            <w:r>
              <w:rPr>
                <w:rFonts w:ascii="Times New Roman" w:hAnsi="Times New Roman"/>
                <w:b/>
                <w:sz w:val="20"/>
              </w:rPr>
              <w:t>2020 Warrants</w:t>
            </w:r>
            <w:r>
              <w:rPr>
                <w:rFonts w:ascii="Times New Roman" w:hAnsi="Times New Roman"/>
                <w:sz w:val="20"/>
              </w:rPr>
              <w:t>) issued to Novartis pursuant to the Warrant Instrument of by the Company dated 10 February 2020 (the </w:t>
            </w:r>
            <w:r>
              <w:rPr>
                <w:rFonts w:ascii="Times New Roman" w:hAnsi="Times New Roman"/>
                <w:b/>
                <w:sz w:val="20"/>
              </w:rPr>
              <w:t>2020 Warrant Instrument</w:t>
            </w:r>
            <w:r>
              <w:rPr>
                <w:rFonts w:ascii="Times New Roman" w:hAnsi="Times New Roman"/>
                <w:sz w:val="20"/>
              </w:rPr>
              <w:t xml:space="preserv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and all such securities referenced above, together the </w:t>
            </w:r>
            <w:r>
              <w:rPr>
                <w:b/>
              </w:rPr>
              <w:t>Underlying Securities</w:t>
            </w:r>
            <w:r>
              <w:rPr/>
              <w:t xml:space="preserve">) to be offered on a delayed or continuous basis pursuant to Rule 415 of the Securities Act. All expenses incurred in connection with the registration of the Underlying Securities on Form F-3 or Form S-3, including all registration, filing, and qualification fees, printers and accounting fees, and fees and disbursements of counsel for the Company, shall be borne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4.</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Deed shall be governed by and construed in accordance with English law and the parties submit to the exclusive jurisdiction of the English courts.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amounts payable by any party pursuant to this Deed and/or the Notes shall be paid free and clear of all withholdings or deductions, save as may be required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Deed may be executed in counterparts which together shall constitute one document.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Appendix 1 </w:t>
      </w:r>
    </w:p>
    <w:p>
      <w:pPr>
        <w:pStyle w:val="TextBody"/>
        <w:spacing w:before="240" w:after="0"/>
        <w:jc w:val="center"/>
        <w:rPr>
          <w:rFonts w:ascii="Times New Roman" w:hAnsi="Times New Roman"/>
          <w:b/>
          <w:sz w:val="20"/>
        </w:rPr>
      </w:pPr>
      <w:r>
        <w:rPr>
          <w:rFonts w:ascii="Times New Roman" w:hAnsi="Times New Roman"/>
          <w:b/>
          <w:sz w:val="20"/>
        </w:rPr>
        <w:t xml:space="preserve">Note Instrument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Appendix 2 </w:t>
      </w:r>
    </w:p>
    <w:p>
      <w:pPr>
        <w:pStyle w:val="TextBody"/>
        <w:spacing w:before="240" w:after="0"/>
        <w:jc w:val="center"/>
        <w:rPr>
          <w:rFonts w:ascii="Times New Roman" w:hAnsi="Times New Roman"/>
          <w:b/>
          <w:sz w:val="20"/>
        </w:rPr>
      </w:pPr>
      <w:r>
        <w:rPr>
          <w:rFonts w:ascii="Times New Roman" w:hAnsi="Times New Roman"/>
          <w:b/>
          <w:sz w:val="20"/>
        </w:rPr>
        <w:t xml:space="preserve">2023 Warrant Instrument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agreement has been executed as a deed and delivered by the parties on the date first above written.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pPr>
            <w:r>
              <w:rPr/>
              <w:t xml:space="preserve">Executed and delivered as a </w:t>
            </w:r>
            <w:r>
              <w:rPr>
                <w:b/>
              </w:rPr>
              <w:t>DEED</w:t>
            </w:r>
            <w:r>
              <w:rPr/>
              <w:t xml:space="preserve"> by </w:t>
            </w:r>
            <w:r>
              <w:rPr>
                <w:b/>
              </w:rPr>
              <w:t xml:space="preserve">MEREO BIOPHARMA GROUP PLC </w:t>
            </w:r>
            <w:r>
              <w:rPr/>
              <w:t>acting by</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u w:val="single"/>
              </w:rPr>
            </w:pPr>
            <w:r>
              <w:rPr>
                <w:u w:val="single"/>
              </w:rPr>
              <w:t>                                </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u w:val="single"/>
              </w:rPr>
              <w:t>                                </w:t>
            </w:r>
            <w:r>
              <w:rPr/>
              <w:t xml:space="preserve"> </w:t>
            </w:r>
            <w:r>
              <w:rPr>
                <w:i/>
              </w:rPr>
              <w:t>Director</w:t>
            </w:r>
          </w:p>
        </w:tc>
      </w:tr>
      <w:tr>
        <w:trPr/>
        <w:tc>
          <w:tcPr>
            <w:tcW w:w="4797" w:type="dxa"/>
            <w:tcBorders/>
            <w:shd w:fill="auto" w:val="clear"/>
          </w:tcPr>
          <w:p>
            <w:pPr>
              <w:pStyle w:val="TableContents"/>
              <w:spacing w:before="0" w:after="283"/>
              <w:rPr/>
            </w:pPr>
            <w:r>
              <w:rPr/>
              <w:t>a Director</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u w:val="single"/>
              </w:rPr>
            </w:pPr>
            <w:r>
              <w:rPr>
                <w:u w:val="single"/>
              </w:rPr>
              <w:t>                                </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u w:val="single"/>
              </w:rPr>
              <w:t>                                </w:t>
            </w:r>
            <w:r>
              <w:rPr/>
              <w:t xml:space="preserve"> </w:t>
            </w:r>
            <w:r>
              <w:rPr>
                <w:i/>
              </w:rPr>
              <w:t>Director/Company Secretary</w:t>
            </w:r>
          </w:p>
        </w:tc>
      </w:tr>
      <w:tr>
        <w:trPr/>
        <w:tc>
          <w:tcPr>
            <w:tcW w:w="4797" w:type="dxa"/>
            <w:tcBorders/>
            <w:shd w:fill="auto" w:val="clear"/>
          </w:tcPr>
          <w:p>
            <w:pPr>
              <w:pStyle w:val="TableContents"/>
              <w:spacing w:before="0" w:after="283"/>
              <w:rPr/>
            </w:pPr>
            <w:r>
              <w:rPr/>
              <w:t>Director/Company Secretary</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pPr>
            <w:r>
              <w:rPr/>
              <w:t xml:space="preserve">Executed and delivered as a </w:t>
            </w:r>
            <w:r>
              <w:rPr>
                <w:b/>
              </w:rPr>
              <w:t>DEED</w:t>
            </w:r>
            <w:r>
              <w:rPr/>
              <w:t xml:space="preserve"> by </w:t>
            </w:r>
            <w:r>
              <w:rPr>
                <w:b/>
              </w:rPr>
              <w:t xml:space="preserve">NOVARTIS PHARMA AG </w:t>
            </w:r>
            <w:r>
              <w:rPr/>
              <w:t>acting by</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u w:val="single"/>
              </w:rPr>
            </w:pPr>
            <w:r>
              <w:rPr>
                <w:u w:val="single"/>
              </w:rPr>
              <w:t>                                    </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u w:val="single"/>
              </w:rPr>
              <w:t>                                </w:t>
            </w:r>
            <w:r>
              <w:rPr/>
              <w:t xml:space="preserve"> </w:t>
            </w:r>
            <w:r>
              <w:rPr>
                <w:i/>
              </w:rPr>
              <w:t>Authorised Signatory</w:t>
            </w:r>
          </w:p>
        </w:tc>
      </w:tr>
      <w:tr>
        <w:trPr/>
        <w:tc>
          <w:tcPr>
            <w:tcW w:w="4797" w:type="dxa"/>
            <w:tcBorders/>
            <w:shd w:fill="auto" w:val="clear"/>
          </w:tcPr>
          <w:p>
            <w:pPr>
              <w:pStyle w:val="TableContents"/>
              <w:spacing w:before="0" w:after="283"/>
              <w:rPr/>
            </w:pPr>
            <w:r>
              <w:rPr/>
              <w:t>Authorised Signatory</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u w:val="single"/>
              </w:rPr>
            </w:pPr>
            <w:r>
              <w:rPr>
                <w:u w:val="single"/>
              </w:rPr>
              <w:t>                                    </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u w:val="single"/>
              </w:rPr>
              <w:t>                                </w:t>
            </w:r>
            <w:r>
              <w:rPr/>
              <w:t xml:space="preserve"> </w:t>
            </w:r>
            <w:r>
              <w:rPr>
                <w:i/>
              </w:rPr>
              <w:t>Authorised Signatory</w:t>
            </w:r>
          </w:p>
        </w:tc>
      </w:tr>
      <w:tr>
        <w:trPr/>
        <w:tc>
          <w:tcPr>
            <w:tcW w:w="4797" w:type="dxa"/>
            <w:tcBorders/>
            <w:shd w:fill="auto" w:val="clear"/>
          </w:tcPr>
          <w:p>
            <w:pPr>
              <w:pStyle w:val="TableContents"/>
              <w:spacing w:before="0" w:after="283"/>
              <w:rPr/>
            </w:pPr>
            <w:r>
              <w:rPr/>
              <w:t>Authorised Signatory</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20"/>
        </w:rPr>
      </w:pPr>
      <w:r>
        <w:br w:type="page"/>
      </w:r>
      <w:bookmarkStart w:id="41" w:name="d430075dex447.htm"/>
      <w:bookmarkStart w:id="42" w:name="ksd430075dex447"/>
      <w:bookmarkEnd w:id="41"/>
      <w:bookmarkEnd w:id="42"/>
      <w:r>
        <w:rPr>
          <w:rFonts w:ascii="Times New Roman" w:hAnsi="Times New Roman"/>
          <w:b/>
          <w:sz w:val="20"/>
        </w:rPr>
        <w:t xml:space="preserve">Exhibit 4.47 </w:t>
      </w:r>
    </w:p>
    <w:p>
      <w:pPr>
        <w:pStyle w:val="TextBody"/>
        <w:spacing w:before="240" w:after="0"/>
        <w:jc w:val="center"/>
        <w:rPr>
          <w:rFonts w:ascii="Times New Roman" w:hAnsi="Times New Roman"/>
          <w:sz w:val="20"/>
        </w:rPr>
      </w:pPr>
      <w:r>
        <w:rPr>
          <w:rFonts w:ascii="Times New Roman" w:hAnsi="Times New Roman"/>
          <w:sz w:val="20"/>
        </w:rPr>
        <w:t xml:space="preserve">DATED              2023 </w:t>
      </w:r>
    </w:p>
    <w:p>
      <w:pPr>
        <w:pStyle w:val="TextBody"/>
        <w:spacing w:before="240" w:after="0"/>
        <w:jc w:val="center"/>
        <w:rPr>
          <w:rFonts w:ascii="Times New Roman" w:hAnsi="Times New Roman"/>
          <w:b/>
          <w:sz w:val="20"/>
        </w:rPr>
      </w:pPr>
      <w:r>
        <w:rPr>
          <w:rFonts w:ascii="Times New Roman" w:hAnsi="Times New Roman"/>
          <w:b/>
          <w:sz w:val="20"/>
        </w:rPr>
        <w:t xml:space="preserve">MEREO BIOPHARMA GROUP PLC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WARRANT INSTRUMENT </w:t>
      </w:r>
    </w:p>
    <w:p>
      <w:pPr>
        <w:pStyle w:val="TextBody"/>
        <w:spacing w:before="0" w:after="0"/>
        <w:jc w:val="center"/>
        <w:rPr>
          <w:rFonts w:ascii="Times New Roman" w:hAnsi="Times New Roman"/>
          <w:sz w:val="20"/>
        </w:rPr>
      </w:pPr>
      <w:r>
        <w:rPr>
          <w:rFonts w:ascii="Times New Roman" w:hAnsi="Times New Roman"/>
          <w:sz w:val="20"/>
        </w:rPr>
        <w:t xml:space="preserve">relating to the issue of warrants entitling the holders to </w:t>
      </w:r>
    </w:p>
    <w:p>
      <w:pPr>
        <w:pStyle w:val="TextBody"/>
        <w:spacing w:before="0" w:after="0"/>
        <w:jc w:val="center"/>
        <w:rPr>
          <w:rFonts w:ascii="Times New Roman" w:hAnsi="Times New Roman"/>
          <w:sz w:val="20"/>
        </w:rPr>
      </w:pPr>
      <w:r>
        <w:rPr>
          <w:rFonts w:ascii="Times New Roman" w:hAnsi="Times New Roman"/>
          <w:sz w:val="20"/>
        </w:rPr>
        <w:t xml:space="preserve">subscribe for Warrant Shares in the capital of </w:t>
      </w:r>
    </w:p>
    <w:p>
      <w:pPr>
        <w:pStyle w:val="TextBody"/>
        <w:spacing w:before="0" w:after="0"/>
        <w:jc w:val="center"/>
        <w:rPr>
          <w:rFonts w:ascii="Times New Roman" w:hAnsi="Times New Roman"/>
          <w:b/>
          <w:sz w:val="20"/>
        </w:rPr>
      </w:pPr>
      <w:r>
        <w:rPr>
          <w:rFonts w:ascii="Times New Roman" w:hAnsi="Times New Roman"/>
          <w:b/>
          <w:sz w:val="20"/>
        </w:rPr>
        <w:t xml:space="preserve">MEREO BIOPHARMA GROUP PLC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7"/>
        <w:gridCol w:w="148"/>
        <w:gridCol w:w="9239"/>
        <w:gridCol w:w="148"/>
        <w:gridCol w:w="60"/>
        <w:gridCol w:w="260"/>
        <w:gridCol w:w="63"/>
      </w:tblGrid>
      <w:tr>
        <w:trPr/>
        <w:tc>
          <w:tcPr>
            <w:tcW w:w="28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923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DEFINITIONS AND INTERPRETATION</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2</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CONSTITUTION AND FORM OF WARRANTS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3</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NUMBER OF WARRANT SHARES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4</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CERTIFICATES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5</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TIMING FOR EXERCISE OF SUBSCRIPTION RIGHTS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6</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OF SUBSCRIPTION RIGHTS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7</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COMPLETION</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8</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TRANSFER OF WARRANTS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9</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MODIFICATION AND CESSATION OF RIGHTS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10</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INFORMATION AND RIGHTS OF WARRANTHOLDER(S)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11</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RESTRICTIONS ON AND UNDERTAKINGS OF THE COMPANY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12</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WARRANTIES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13</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NOTICES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14</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COSTS AND EXPENSES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15</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CONTRACTS (RIGHTS OF THIRD PARTIES) ACT 1999</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16</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FURTHER ASSURANCE</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17</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SEVERABILITY</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287" w:type="dxa"/>
            <w:tcBorders/>
            <w:shd w:fill="auto" w:val="clear"/>
            <w:vAlign w:val="center"/>
          </w:tcPr>
          <w:p>
            <w:pPr>
              <w:pStyle w:val="TableContents"/>
              <w:spacing w:before="0" w:after="283"/>
              <w:rPr>
                <w:sz w:val="4"/>
                <w:szCs w:val="4"/>
              </w:rPr>
            </w:pPr>
            <w:r>
              <w:rPr>
                <w:sz w:val="4"/>
                <w:szCs w:val="4"/>
              </w:rPr>
            </w:r>
          </w:p>
        </w:tc>
        <w:tc>
          <w:tcPr>
            <w:tcW w:w="9387" w:type="dxa"/>
            <w:gridSpan w:val="2"/>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Pr>
          <w:p>
            <w:pPr>
              <w:pStyle w:val="TableContents"/>
              <w:spacing w:before="0" w:after="0"/>
              <w:rPr>
                <w:rFonts w:ascii="Times New Roman" w:hAnsi="Times New Roman"/>
                <w:sz w:val="20"/>
              </w:rPr>
            </w:pPr>
            <w:r>
              <w:rPr>
                <w:rFonts w:ascii="Times New Roman" w:hAnsi="Times New Roman"/>
                <w:sz w:val="20"/>
              </w:rPr>
              <w:t>18</w:t>
            </w:r>
          </w:p>
        </w:tc>
        <w:tc>
          <w:tcPr>
            <w:tcW w:w="148" w:type="dxa"/>
            <w:tcBorders/>
            <w:shd w:fill="auto" w:val="clear"/>
            <w:vAlign w:val="bottom"/>
          </w:tcPr>
          <w:p>
            <w:pPr>
              <w:pStyle w:val="TableContents"/>
              <w:spacing w:before="0" w:after="283"/>
              <w:rPr/>
            </w:pPr>
            <w:r>
              <w:rPr/>
              <w:t>  </w:t>
            </w:r>
          </w:p>
        </w:tc>
        <w:tc>
          <w:tcPr>
            <w:tcW w:w="92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GOVERNING LAW</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9674" w:type="dxa"/>
            <w:gridSpan w:val="3"/>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9674"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SCHEDULE 1 FORM OF WARRANT CERTIFICATE</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120" w:hRule="atLeast"/>
        </w:trPr>
        <w:tc>
          <w:tcPr>
            <w:tcW w:w="9674" w:type="dxa"/>
            <w:gridSpan w:val="3"/>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9674"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SCHEDULE 2 CONDITIONS</w:t>
            </w:r>
          </w:p>
        </w:tc>
        <w:tc>
          <w:tcPr>
            <w:tcW w:w="1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b/>
          <w:sz w:val="20"/>
        </w:rPr>
        <w:t>THIS WARRANT INSTRUMENT</w:t>
      </w:r>
      <w:r>
        <w:rPr>
          <w:rFonts w:ascii="Times New Roman" w:hAnsi="Times New Roman"/>
          <w:sz w:val="20"/>
        </w:rPr>
        <w:t xml:space="preserve"> is made on              2023 </w:t>
      </w:r>
    </w:p>
    <w:p>
      <w:pPr>
        <w:pStyle w:val="TextBody"/>
        <w:spacing w:before="240" w:after="0"/>
        <w:jc w:val="left"/>
        <w:rPr>
          <w:rFonts w:ascii="Times New Roman" w:hAnsi="Times New Roman"/>
          <w:b/>
          <w:sz w:val="20"/>
        </w:rPr>
      </w:pPr>
      <w:r>
        <w:rPr>
          <w:rFonts w:ascii="Times New Roman" w:hAnsi="Times New Roman"/>
          <w:b/>
          <w:sz w:val="20"/>
        </w:rPr>
        <w:t xml:space="preserve">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MEREO BIOPHARMA GROUP PLC,</w:t>
            </w:r>
            <w:r>
              <w:rPr>
                <w:rFonts w:ascii="Times New Roman" w:hAnsi="Times New Roman"/>
                <w:sz w:val="20"/>
              </w:rPr>
              <w:t xml:space="preserve"> a public limited company incorporated in England and Wales with company number 04206001 whose registered office is at 4th Floor, One, Cavendish Place, London, England, W1G 0QF (</w:t>
            </w:r>
            <w:r>
              <w:rPr>
                <w:rFonts w:ascii="Times New Roman" w:hAnsi="Times New Roman"/>
                <w:b/>
                <w:sz w:val="20"/>
              </w:rPr>
              <w:t>Company</w:t>
            </w:r>
            <w:r>
              <w:rPr>
                <w:rFonts w:ascii="Times New Roman" w:hAnsi="Times New Roman"/>
                <w:sz w:val="20"/>
              </w:rPr>
              <w:t xml:space="preserve">). </w:t>
            </w:r>
          </w:p>
        </w:tc>
      </w:tr>
    </w:tbl>
    <w:p>
      <w:pPr>
        <w:pStyle w:val="TextBody"/>
        <w:spacing w:before="360" w:after="0"/>
        <w:jc w:val="left"/>
        <w:rPr>
          <w:rFonts w:ascii="Times New Roman" w:hAnsi="Times New Roman"/>
          <w:b/>
          <w:sz w:val="20"/>
        </w:rPr>
      </w:pPr>
      <w:r>
        <w:rPr>
          <w:rFonts w:ascii="Times New Roman" w:hAnsi="Times New Roman"/>
          <w:b/>
          <w:sz w:val="20"/>
        </w:rPr>
        <w:t xml:space="preserve">BACKGROUND: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by resolution of its directors, has agreed to issue 2023 Warrants to subscribe for Warrant Shares in the capital of the Company on the terms set out in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Either all of the registered holders of shares in the Company have irrevocably waived all pre-emption rights conferred on them (whether by the Companies Act, the Articles or otherwise) or such pre-emption rights have been validly disapplied in relation to the number of 2023 Warrants and shares in the Company issued pursuant to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(C)</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instrument has been executed by the Company as a deed in favour of the Warrantholder. </w:t>
            </w:r>
          </w:p>
        </w:tc>
      </w:tr>
    </w:tbl>
    <w:p>
      <w:pPr>
        <w:pStyle w:val="TextBody"/>
        <w:spacing w:before="360" w:after="0"/>
        <w:jc w:val="left"/>
        <w:rPr>
          <w:rFonts w:ascii="Times New Roman" w:hAnsi="Times New Roman"/>
          <w:b/>
          <w:sz w:val="20"/>
        </w:rPr>
      </w:pPr>
      <w:r>
        <w:rPr>
          <w:rFonts w:ascii="Times New Roman" w:hAnsi="Times New Roman"/>
          <w:b/>
          <w:sz w:val="20"/>
        </w:rPr>
        <w:t xml:space="preserve">IT IS AGREED: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DEFINITIONS AND INTERPRETATION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this instrument the following words and expressions shall (unless the context requires otherwise) have the following meanings: </w:t>
            </w:r>
          </w:p>
        </w:tc>
      </w:tr>
    </w:tbl>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1959"/>
        <w:gridCol w:w="195"/>
        <w:gridCol w:w="7642"/>
      </w:tblGrid>
      <w:tr>
        <w:trPr/>
        <w:tc>
          <w:tcPr>
            <w:tcW w:w="19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7642" w:type="dxa"/>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2023 Warrants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warrants of the Company constituted by this instrument and all rights conferred by it (including the Subscription Rights);</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ADS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means American Depositary Shares representing interests in the Ordinary Shares pursuant to a sponsored American Depositary Receipt facility with the Depositary;</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ADS Exchange Ratio</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means the ratio applicable to the exchange of Ordinary Shares for ADSs from time to time, which, as at the date of this instrument, is a ratio of 5 Ordinary Shares for each ADS;</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AIM</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AIM market operated by the London Stock Exchange;</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Articles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articles of association of the Company for the time being;</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Auditors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Companys auditors;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4800" w:type="pct"/>
        <w:jc w:val="right"/>
        <w:tblInd w:w="0" w:type="dxa"/>
        <w:tblCellMar>
          <w:top w:w="0" w:type="dxa"/>
          <w:left w:w="0" w:type="dxa"/>
          <w:bottom w:w="0" w:type="dxa"/>
          <w:right w:w="0" w:type="dxa"/>
        </w:tblCellMar>
      </w:tblPr>
      <w:tblGrid>
        <w:gridCol w:w="1958"/>
        <w:gridCol w:w="195"/>
        <w:gridCol w:w="7643"/>
      </w:tblGrid>
      <w:tr>
        <w:trPr/>
        <w:tc>
          <w:tcPr>
            <w:tcW w:w="195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7643" w:type="dxa"/>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Business Day</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a day (which for these purposes ends at 5.30 pm) on which banks are open for commercial business in the City of London and New York City other than a Saturday or Sunday;</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Companies Act</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Companies Act 2006;</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Competitor</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means any entity (other than a reputable financial institution) whose business directly competes with the business carried out by a Group Company;</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Conditions</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terms and conditions set out in Schedule 2 (subject to any alterations made in accordance with the provisions of this instrument);</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Consent</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consent in writing of the Warrantholder(s) for the time being holding outstanding 2023 Warrants subject to outstanding Subscription Rights;</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Depositary</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means the Depositary engaged by the Company for the issuance and transfer of ADSs;</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Directors</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board of directors of the Company (and/or, where relevant, a Group Company) for the time being;</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Effective Date</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has the meaning given in the Note Amendment Deed;</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Exercise Date</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date of delivery to the registered office of the Company of the items specified in clause 6.2 (and the date of such delivery shall be the date on which such items are received at the Companys registered office);</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Final Date</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5 years from the Effective Date;</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Issuance and Delivery Instruction</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means an issuance and delivery instruction in such form as notified from the Company to the Warrantholder from time to time, the current form of which is attached hereto at Schedule 3;</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Issue Date</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Effective Date;</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London Stock Exchange</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London Stock Exchange plc;</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Group</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 xml:space="preserve">(i) the Company and its subsidiaries (if any), (ii) any holding company of the Company, and (iii) any subsidiaries of such holding companies from time to time and </w:t>
            </w:r>
            <w:r>
              <w:rPr>
                <w:b/>
              </w:rPr>
              <w:t>Group Company</w:t>
            </w:r>
            <w:r>
              <w:rPr/>
              <w:t xml:space="preserve"> means any member of the Group;</w:t>
            </w:r>
          </w:p>
        </w:tc>
      </w:tr>
      <w:tr>
        <w:trPr>
          <w:trHeight w:val="120" w:hRule="atLeast"/>
        </w:trPr>
        <w:tc>
          <w:tcPr>
            <w:tcW w:w="1958"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tcPr>
          <w:p>
            <w:pPr>
              <w:pStyle w:val="TableContents"/>
              <w:spacing w:before="0" w:after="283"/>
              <w:rPr>
                <w:b/>
              </w:rPr>
            </w:pPr>
            <w:r>
              <w:rPr>
                <w:b/>
              </w:rPr>
              <w:t>Notice of Subscription</w:t>
            </w:r>
          </w:p>
        </w:tc>
        <w:tc>
          <w:tcPr>
            <w:tcW w:w="195"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the notice addressed to the Company by a Warrantholder exercising its Subscription Rights in the form, or substantially in the form, set out in the schedule to the Warrant Certificate;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4800" w:type="pct"/>
        <w:jc w:val="right"/>
        <w:tblInd w:w="0" w:type="dxa"/>
        <w:tblCellMar>
          <w:top w:w="0" w:type="dxa"/>
          <w:left w:w="0" w:type="dxa"/>
          <w:bottom w:w="0" w:type="dxa"/>
          <w:right w:w="0" w:type="dxa"/>
        </w:tblCellMar>
      </w:tblPr>
      <w:tblGrid>
        <w:gridCol w:w="1959"/>
        <w:gridCol w:w="195"/>
        <w:gridCol w:w="7642"/>
      </w:tblGrid>
      <w:tr>
        <w:trPr/>
        <w:tc>
          <w:tcPr>
            <w:tcW w:w="19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7642" w:type="dxa"/>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Note Amendment Deed</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a deed of consent and amendment between the Company and the Warrantholder dated on or about the date hereof;</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Ordinary Shares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ordinary shares in the capital of the Company and having the rights and privileges set out in the Articles;</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Permitted Transferee</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0"/>
              <w:rPr>
                <w:rFonts w:ascii="Times New Roman" w:hAnsi="Times New Roman"/>
                <w:sz w:val="20"/>
              </w:rPr>
            </w:pPr>
            <w:r>
              <w:rPr>
                <w:rFonts w:ascii="Times New Roman" w:hAnsi="Times New Roman"/>
                <w:sz w:val="20"/>
              </w:rPr>
              <w:t>are: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(a)   a nominee of the Warrantholder;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(b)   a subsidiary of the Warrantholder;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(c)   a holding company of the Warrantholder; and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(d)   any subsidiaries of such holding companies from time to time.</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Recognised Investment Exchange</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a recognised investment exchange or overseas investment exchange (within the meaning thereof given for the purposes of section 285 of the Financial Services and Markets Act 2000, and shall include, without limitation, AIM or NASDAQ);</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Register</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register of persons for the time being entitled to the benefit of the 2023 Warrants to be maintained pursuant to the Conditions;</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Registrars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registrars of the Company for the time being;</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Subscription Price</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implied price of one Ordinary Share (which shall be determined by dividing (x) being the volume weighted average price of one ADS on the trading day immediately prior to the Issue Date by (y) being the number of Ordinary Shares currently represented by a single ADS in accordance with the ADS Exchange Ratio, as converted into pounds sterling by the Company applying the relevant U.S. dollar to GBP sterling exchange rate using the closing rate published by Bloomberg at 9:00 P.M., London time, the day prior to the Issue Date;</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Subscription Rights</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the rights of the Warrantholder(s) to subscribe for Warrant Shares under clause 6;</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Warrant Certificate</w:t>
            </w:r>
          </w:p>
        </w:tc>
        <w:tc>
          <w:tcPr>
            <w:tcW w:w="195" w:type="dxa"/>
            <w:tcBorders/>
            <w:shd w:fill="auto" w:val="clear"/>
            <w:vAlign w:val="bottom"/>
          </w:tcPr>
          <w:p>
            <w:pPr>
              <w:pStyle w:val="TableContents"/>
              <w:spacing w:before="0" w:after="283"/>
              <w:rPr/>
            </w:pPr>
            <w:r>
              <w:rPr/>
              <w:t>  </w:t>
            </w:r>
          </w:p>
        </w:tc>
        <w:tc>
          <w:tcPr>
            <w:tcW w:w="7642" w:type="dxa"/>
            <w:tcBorders/>
            <w:shd w:fill="auto" w:val="clear"/>
          </w:tcPr>
          <w:p>
            <w:pPr>
              <w:pStyle w:val="TableContents"/>
              <w:spacing w:before="0" w:after="283"/>
              <w:rPr/>
            </w:pPr>
            <w:r>
              <w:rPr/>
              <w:t>a certificate evidencing a Warrantholders entitlement to 2023 Warrants in the form set out in Schedule 1;</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4800" w:type="pct"/>
        <w:jc w:val="right"/>
        <w:tblInd w:w="0" w:type="dxa"/>
        <w:tblCellMar>
          <w:top w:w="0" w:type="dxa"/>
          <w:left w:w="0" w:type="dxa"/>
          <w:bottom w:w="0" w:type="dxa"/>
          <w:right w:w="0" w:type="dxa"/>
        </w:tblCellMar>
      </w:tblPr>
      <w:tblGrid>
        <w:gridCol w:w="1959"/>
        <w:gridCol w:w="194"/>
        <w:gridCol w:w="7643"/>
      </w:tblGrid>
      <w:tr>
        <w:trPr/>
        <w:tc>
          <w:tcPr>
            <w:tcW w:w="19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7643" w:type="dxa"/>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Warrant Shares</w:t>
            </w:r>
          </w:p>
        </w:tc>
        <w:tc>
          <w:tcPr>
            <w:tcW w:w="194"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Ordinary Shares to be issued pursuant to the terms of the 2023 Warrants;</w:t>
            </w:r>
          </w:p>
        </w:tc>
      </w:tr>
      <w:tr>
        <w:trPr>
          <w:trHeight w:val="120" w:hRule="atLeast"/>
        </w:trPr>
        <w:tc>
          <w:tcPr>
            <w:tcW w:w="1959" w:type="dxa"/>
            <w:tcBorders/>
            <w:shd w:fill="auto" w:val="clear"/>
            <w:vAlign w:val="center"/>
          </w:tcPr>
          <w:p>
            <w:pPr>
              <w:pStyle w:val="TableContents"/>
              <w:spacing w:before="0" w:after="283"/>
              <w:rPr>
                <w:sz w:val="4"/>
                <w:szCs w:val="4"/>
              </w:rPr>
            </w:pPr>
            <w:r>
              <w:rPr>
                <w:sz w:val="4"/>
                <w:szCs w:val="4"/>
              </w:rPr>
            </w:r>
          </w:p>
        </w:tc>
        <w:tc>
          <w:tcPr>
            <w:tcW w:w="7837" w:type="dxa"/>
            <w:gridSpan w:val="2"/>
            <w:tcBorders/>
            <w:shd w:fill="auto" w:val="clear"/>
            <w:vAlign w:val="center"/>
          </w:tcPr>
          <w:p>
            <w:pPr>
              <w:pStyle w:val="TableContents"/>
              <w:spacing w:before="0" w:after="283"/>
              <w:rPr>
                <w:sz w:val="4"/>
                <w:szCs w:val="4"/>
              </w:rPr>
            </w:pPr>
            <w:r>
              <w:rPr>
                <w:sz w:val="4"/>
                <w:szCs w:val="4"/>
              </w:rPr>
            </w:r>
          </w:p>
        </w:tc>
      </w:tr>
      <w:tr>
        <w:trPr/>
        <w:tc>
          <w:tcPr>
            <w:tcW w:w="1959" w:type="dxa"/>
            <w:tcBorders/>
            <w:shd w:fill="auto" w:val="clear"/>
          </w:tcPr>
          <w:p>
            <w:pPr>
              <w:pStyle w:val="TableContents"/>
              <w:spacing w:before="0" w:after="283"/>
              <w:rPr>
                <w:b/>
              </w:rPr>
            </w:pPr>
            <w:r>
              <w:rPr>
                <w:b/>
              </w:rPr>
              <w:t>Warrantholder</w:t>
            </w:r>
          </w:p>
        </w:tc>
        <w:tc>
          <w:tcPr>
            <w:tcW w:w="194" w:type="dxa"/>
            <w:tcBorders/>
            <w:shd w:fill="auto" w:val="clear"/>
            <w:vAlign w:val="bottom"/>
          </w:tcPr>
          <w:p>
            <w:pPr>
              <w:pStyle w:val="TableContents"/>
              <w:spacing w:before="0" w:after="283"/>
              <w:rPr/>
            </w:pPr>
            <w:r>
              <w:rPr/>
              <w:t>  </w:t>
            </w:r>
          </w:p>
        </w:tc>
        <w:tc>
          <w:tcPr>
            <w:tcW w:w="7643" w:type="dxa"/>
            <w:tcBorders/>
            <w:shd w:fill="auto" w:val="clear"/>
          </w:tcPr>
          <w:p>
            <w:pPr>
              <w:pStyle w:val="TableContents"/>
              <w:spacing w:before="0" w:after="283"/>
              <w:rPr/>
            </w:pPr>
            <w:r>
              <w:rPr/>
              <w:t>in relation to a 2023 Warrant, the person whose name appears in the Register as the holder of the 2023 Warrant.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this instrument, unless the context otherwise requires: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1.2.1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words and expressions defined in the Companies Act or the Articles shall have the same meanings in this instrument (unless otherwise expressly defined in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1.2.2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headings are used for convenience only and shall be ignored in interpreting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6"/>
        <w:gridCol w:w="9283"/>
      </w:tblGrid>
      <w:tr>
        <w:trPr/>
        <w:tc>
          <w:tcPr>
            <w:tcW w:w="406" w:type="dxa"/>
            <w:tcBorders/>
            <w:shd w:fill="auto" w:val="clear"/>
            <w:vAlign w:val="center"/>
          </w:tcPr>
          <w:p>
            <w:pPr>
              <w:pStyle w:val="TableContents"/>
              <w:spacing w:before="0" w:after="283"/>
              <w:rPr/>
            </w:pPr>
            <w:r>
              <w:rPr/>
              <w:t> </w:t>
            </w:r>
          </w:p>
        </w:tc>
        <w:tc>
          <w:tcPr>
            <w:tcW w:w="516" w:type="dxa"/>
            <w:tcBorders/>
            <w:shd w:fill="auto" w:val="clear"/>
          </w:tcPr>
          <w:p>
            <w:pPr>
              <w:pStyle w:val="TableContents"/>
              <w:spacing w:before="0" w:after="283"/>
              <w:jc w:val="left"/>
              <w:rPr/>
            </w:pPr>
            <w:r>
              <w:rPr/>
              <w:t>1.2.3</w:t>
            </w:r>
          </w:p>
        </w:tc>
        <w:tc>
          <w:tcPr>
            <w:tcW w:w="92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 to a clause or schedule is a reference to a clause of, or schedule to,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1.2.4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22"/>
        <w:gridCol w:w="9277"/>
      </w:tblGrid>
      <w:tr>
        <w:trPr/>
        <w:tc>
          <w:tcPr>
            <w:tcW w:w="406"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left"/>
              <w:rPr/>
            </w:pPr>
            <w:r>
              <w:rPr/>
              <w:t>1.2.5</w:t>
            </w:r>
          </w:p>
        </w:tc>
        <w:tc>
          <w:tcPr>
            <w:tcW w:w="92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 to any gender includes all genders, references to the singular includes the plural (and vice versa) and reference to persons includes bodies corporate, unincorporated associations and partnerships (whether or not any of the same have a separate legal personality);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22"/>
        <w:gridCol w:w="9277"/>
      </w:tblGrid>
      <w:tr>
        <w:trPr/>
        <w:tc>
          <w:tcPr>
            <w:tcW w:w="406"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left"/>
              <w:rPr/>
            </w:pPr>
            <w:r>
              <w:rPr/>
              <w:t>1.2.6</w:t>
            </w:r>
          </w:p>
        </w:tc>
        <w:tc>
          <w:tcPr>
            <w:tcW w:w="92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 to a statutory provision includes reference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statute or statutory provision as modified or re-enacted from time to time;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subordinate legislation made under the statutory provision (as modified or re-enacted as set out in clause 1.2.6(a)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22"/>
        <w:gridCol w:w="9277"/>
      </w:tblGrid>
      <w:tr>
        <w:trPr/>
        <w:tc>
          <w:tcPr>
            <w:tcW w:w="406"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left"/>
              <w:rPr/>
            </w:pPr>
            <w:r>
              <w:rPr/>
              <w:t>1.2.7</w:t>
            </w:r>
          </w:p>
        </w:tc>
        <w:tc>
          <w:tcPr>
            <w:tcW w:w="92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words following the terms including, include, in particular, for example or any other similar expression shall be construed as illustrative and shall not limit the sense of the words, description, phrase or term preceding those words;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1.2.8</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references to statutory obligations include obligations arising under articles of the Treaty establishing the European Community, and regulations, directives and decisions of the European Union as well as United Kingdom Acts of Parliament and subordinate legislation.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instrument incorporates the schedules to 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CONSTITUTION AND FORM OF WARRANTS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instrument constitutes the 2023 Warrants, which in aggregate give the Warrantholder(s) the right, upon the terms and subject to the conditions set out in this instrument, to subscribe in cash at a price per share equal to the Subscription Price for such number of Warrant Shares as is set out in clause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Warrantholder shall be entitled to subscribe in cash at the Subscription Price for that number of Warrant Shares in respect of which it is entitled to be recorded as the holder in the Register on the terms set out in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2023 Warrants shall be in registered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2023 Warrants are issued subject to the Articles and otherwise on the terms of this instrument (including the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application will be made for the 2023 Warrants to be listed or dealt on any Recognised Investment Exchange (as that term is defined in the Financial Services and Markets Act 2000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NUMBER OF WARRANT SHARES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number of Warrant Shares over which 2023 Warrants will be issued is 2,000,000.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CERTIFICATES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issue to each Warrantholder a Warrant Certificate in respect of that number of 2023 Warrants to which it is entitled as soon as reasonably practicable following a Warrantholder becoming entitled to such 2023 Warrants in accordance with clause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Mutilated or defaced Warrant Certificates must be surrendered before replacements will be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TIMING FOR EXERCISE OF SUBSCRIPTION RIGHTS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Subscription Rights may be exercised at any time from the date of this instrument until 17:00 GMT on the Final Date and shall be exercised in accordance with clause 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failure by any Warrantholder to exercise its Subscription Rights ahead of such time on the Final Date shall mean that such Warrantholders outstanding 2023 Warrants shall immediately lapse and be cancelled and such Warrantholder shall have no further rights under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EXERCISE OF SUBSCRIPTION RIGHTS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Subscription Rights may be exercised in whole or in part at any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order to exercise its Subscription Rights validly, a Warrantholder must deliver the following items to the registered office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6.2.1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Warrant Certificate for the 2023 Warrants in respect of which the Subscription Rights are being exercised, together with the Notice of Subscription duly completed;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3"/>
        <w:gridCol w:w="9286"/>
      </w:tblGrid>
      <w:tr>
        <w:trPr/>
        <w:tc>
          <w:tcPr>
            <w:tcW w:w="406" w:type="dxa"/>
            <w:tcBorders/>
            <w:shd w:fill="auto" w:val="clear"/>
            <w:vAlign w:val="center"/>
          </w:tcPr>
          <w:p>
            <w:pPr>
              <w:pStyle w:val="TableContents"/>
              <w:spacing w:before="0" w:after="283"/>
              <w:rPr/>
            </w:pPr>
            <w:r>
              <w:rPr/>
              <w:t> </w:t>
            </w:r>
          </w:p>
        </w:tc>
        <w:tc>
          <w:tcPr>
            <w:tcW w:w="513" w:type="dxa"/>
            <w:tcBorders/>
            <w:shd w:fill="auto" w:val="clear"/>
          </w:tcPr>
          <w:p>
            <w:pPr>
              <w:pStyle w:val="TableContents"/>
              <w:spacing w:before="0" w:after="283"/>
              <w:jc w:val="left"/>
              <w:rPr/>
            </w:pPr>
            <w:r>
              <w:rPr/>
              <w:t>6.2.2</w:t>
            </w:r>
          </w:p>
        </w:tc>
        <w:tc>
          <w:tcPr>
            <w:tcW w:w="92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and address of the Warrantholder to which the Warrant Shares arising on an exercise of Subscription Rights are to be issued (or, if such shares are to be delivered as ADSs, the name and address of the custodian (or its nominee) of the Depositary;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6.2.3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6.3</w:t>
            </w:r>
          </w:p>
        </w:tc>
        <w:tc>
          <w:tcPr>
            <w:tcW w:w="9797"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3"/>
        <w:gridCol w:w="9286"/>
      </w:tblGrid>
      <w:tr>
        <w:trPr/>
        <w:tc>
          <w:tcPr>
            <w:tcW w:w="406" w:type="dxa"/>
            <w:tcBorders/>
            <w:shd w:fill="auto" w:val="clear"/>
            <w:vAlign w:val="center"/>
          </w:tcPr>
          <w:p>
            <w:pPr>
              <w:pStyle w:val="TableContents"/>
              <w:spacing w:before="0" w:after="283"/>
              <w:rPr/>
            </w:pPr>
            <w:r>
              <w:rPr/>
              <w:t> </w:t>
            </w:r>
          </w:p>
        </w:tc>
        <w:tc>
          <w:tcPr>
            <w:tcW w:w="513" w:type="dxa"/>
            <w:tcBorders/>
            <w:shd w:fill="auto" w:val="clear"/>
          </w:tcPr>
          <w:p>
            <w:pPr>
              <w:pStyle w:val="TableContents"/>
              <w:spacing w:before="0" w:after="283"/>
              <w:jc w:val="left"/>
              <w:rPr/>
            </w:pPr>
            <w:r>
              <w:rPr/>
              <w:t>6.3.1</w:t>
            </w:r>
          </w:p>
        </w:tc>
        <w:tc>
          <w:tcPr>
            <w:tcW w:w="92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Subscription Price for each of the Warrant Shares shall be made by electronic wire transfer of immediately available funds to such account as is notified by the Company within 3 Business Days of the relevant Notice of Subscription delivered pursuant to clause 6.2.1 and no Warrant Shares shall be issued to the Warrantholder (or, in the case of Ordinary Shares to be delivered as ADSs, issued to the custodian (or its nominee) of the Depositary) until the aggregate Subscription Price has been satisfied.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6.3.2</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of any failure by a Warrantholder to deliver a duly completed Issuance and Delivery Instruction within 3 Business Days of delivering its Notice of Subscription, the Company shall disregard the Warrantholders request for delivery of the relevant Ordinary Shares as ADSs and shall issue the number of Ordinary Shares specified in the Notice of Subscription to the Warrantholder in accordance with clause 7.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that a Warrantholder requires Ordinary Shares arising on exercise of the 2023 Warrants to be delivered as ADSs, the entitlement of such Warrantholder to ADSs shall be calculated using the ADS Exchange Ratio. No fractional ADSs will be issued, and any fractional entitlements to an ADS shall be issued to the relevant Warrantholder in the form of Ordinary Shares in accordance with clauses 6 and 7 of this instrument, rounded down to the nearest whole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COMPLETION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a valid exercise of Subscription Rights by a Warrantholder, the Company shall in accordance with clause 7.3: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3"/>
        <w:gridCol w:w="9286"/>
      </w:tblGrid>
      <w:tr>
        <w:trPr/>
        <w:tc>
          <w:tcPr>
            <w:tcW w:w="406" w:type="dxa"/>
            <w:tcBorders/>
            <w:shd w:fill="auto" w:val="clear"/>
            <w:vAlign w:val="center"/>
          </w:tcPr>
          <w:p>
            <w:pPr>
              <w:pStyle w:val="TableContents"/>
              <w:spacing w:before="0" w:after="283"/>
              <w:rPr/>
            </w:pPr>
            <w:r>
              <w:rPr/>
              <w:t> </w:t>
            </w:r>
          </w:p>
        </w:tc>
        <w:tc>
          <w:tcPr>
            <w:tcW w:w="513" w:type="dxa"/>
            <w:tcBorders/>
            <w:shd w:fill="auto" w:val="clear"/>
          </w:tcPr>
          <w:p>
            <w:pPr>
              <w:pStyle w:val="TableContents"/>
              <w:spacing w:before="0" w:after="283"/>
              <w:jc w:val="left"/>
              <w:rPr/>
            </w:pPr>
            <w:r>
              <w:rPr/>
              <w:t>7.1.1</w:t>
            </w:r>
          </w:p>
        </w:tc>
        <w:tc>
          <w:tcPr>
            <w:tcW w:w="92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allot and issue credited as fully paid the Warrant Shares to which the Warrantholder is entitled by exercising the Subscription Rights (the </w:t>
            </w:r>
            <w:r>
              <w:rPr>
                <w:rFonts w:ascii="Times New Roman" w:hAnsi="Times New Roman"/>
                <w:b/>
                <w:sz w:val="20"/>
              </w:rPr>
              <w:t>Allotted</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Warrantholder (or to its nominee or trustee as notified to the Company in the Notice of Subscription);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9"/>
        <w:gridCol w:w="8879"/>
      </w:tblGrid>
      <w:tr>
        <w:trPr/>
        <w:tc>
          <w:tcPr>
            <w:tcW w:w="917"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(b)</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that the Warrantholder has required pursuant to clause 6.2 that Ordinary Shares to be issued from the Exercise of Subscription Rights are to be delivered as ADSs and delivered a duly completed Issuance and Delivery Instruction, and there is an effective registration statement covering the Ordinary Shares to be issued on such exercise, issue to, deposit with (and otherwise register in the name of) the custodian of the Depositary (or its nominee), and following such issuance and deposit the Company will direct the Depositary to issue an amount of ADSs via DTC (with such ADSs being eligible for listing on Nasdaq) in accordance with the corresponding Issuance and Delivery Instruction;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7.1.2</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following allotment and issue in accordance with clause 7.1.1, enter, or procure that the Companys Registrars enter (i) the Warrantholders name (or its nominees or trustees name) or (ii) in the case of any Ordinary Shares to be delivered as ADSs, the name of the custodian (or its nominee) of the Depositary in the register of members of the Company as the holder of the Allotted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3"/>
        <w:gridCol w:w="9286"/>
      </w:tblGrid>
      <w:tr>
        <w:trPr/>
        <w:tc>
          <w:tcPr>
            <w:tcW w:w="406" w:type="dxa"/>
            <w:tcBorders/>
            <w:shd w:fill="auto" w:val="clear"/>
            <w:vAlign w:val="center"/>
          </w:tcPr>
          <w:p>
            <w:pPr>
              <w:pStyle w:val="TableContents"/>
              <w:spacing w:before="0" w:after="283"/>
              <w:rPr/>
            </w:pPr>
            <w:r>
              <w:rPr/>
              <w:t> </w:t>
            </w:r>
          </w:p>
        </w:tc>
        <w:tc>
          <w:tcPr>
            <w:tcW w:w="513" w:type="dxa"/>
            <w:tcBorders/>
            <w:shd w:fill="auto" w:val="clear"/>
          </w:tcPr>
          <w:p>
            <w:pPr>
              <w:pStyle w:val="TableContents"/>
              <w:spacing w:before="0" w:after="283"/>
              <w:jc w:val="left"/>
              <w:rPr/>
            </w:pPr>
            <w:r>
              <w:rPr/>
              <w:t>7.1.3</w:t>
            </w:r>
          </w:p>
        </w:tc>
        <w:tc>
          <w:tcPr>
            <w:tcW w:w="92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following entry into the register of members in accordance with clause 7.1.2, send to the person identified by the Warrantholder pursuant to clause 7.1.1 free of charge, share certificate(s) in respect of the Allotted Shares (other than any Allotted Shares delivered as ADSs, in respect of which no share certificate shall be issued to the custodian of the Depositary.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obligations of the Company under clause 7.1 shall be fulfilled: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7.2.1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Allotted Shares are to be delivered as Ordinary Shares, within ten (10) days after the Notice of Subscription is lodged at the registered office of the Company;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7.2.2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Allotted Shares are to be delivered as ADSs, within thirty (30) days after the Notice of Subscription is lodged at the registered office of the Company or as soon as reasonably practicable thereafter.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Allotted Shares shall: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7.3.1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 allotted and issued fully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26"/>
        <w:gridCol w:w="9272"/>
      </w:tblGrid>
      <w:tr>
        <w:trPr/>
        <w:tc>
          <w:tcPr>
            <w:tcW w:w="407"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7.3.2</w:t>
            </w:r>
          </w:p>
        </w:tc>
        <w:tc>
          <w:tcPr>
            <w:tcW w:w="92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rank pari passu with the Ordinary Shares of the Company then in issue;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7.3.3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21"/>
        <w:gridCol w:w="9277"/>
      </w:tblGrid>
      <w:tr>
        <w:trPr/>
        <w:tc>
          <w:tcPr>
            <w:tcW w:w="407" w:type="dxa"/>
            <w:tcBorders/>
            <w:shd w:fill="auto" w:val="clear"/>
            <w:vAlign w:val="center"/>
          </w:tcPr>
          <w:p>
            <w:pPr>
              <w:pStyle w:val="TableContents"/>
              <w:spacing w:before="0" w:after="283"/>
              <w:rPr/>
            </w:pPr>
            <w:r>
              <w:rPr/>
              <w:t> </w:t>
            </w:r>
          </w:p>
        </w:tc>
        <w:tc>
          <w:tcPr>
            <w:tcW w:w="521" w:type="dxa"/>
            <w:tcBorders/>
            <w:shd w:fill="auto" w:val="clear"/>
          </w:tcPr>
          <w:p>
            <w:pPr>
              <w:pStyle w:val="TableContents"/>
              <w:spacing w:before="0" w:after="283"/>
              <w:jc w:val="left"/>
              <w:rPr/>
            </w:pPr>
            <w:r>
              <w:rPr/>
              <w:t>7.3.4</w:t>
            </w:r>
          </w:p>
        </w:tc>
        <w:tc>
          <w:tcPr>
            <w:tcW w:w="92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 free from all claims, liens, charges, encumbrances, equities and third party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following allotment of shares pursuant to the exercise of some of the Subscription Rights, some Subscription Rights remain, the Company shall issue a Warrant Certificate to the Warrantholder within 15 Business Days for the balance of the Warrantholders Subscription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TRANSFER OF 2023 WARRANTS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clause 8.2, the 2023 Warrants may be transferred in whole by any Warrantholder to any person, provided that the Company has given its prior written consent to such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Warrantholder has the right, with prior written notice, but without the consent of the Company, to transfer the 2023 Warrants in whole to a Permitted Transferee, subject to compliance with the provisions of Schedule 2 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any other provisions of this instrument, no transfer shall be made to any person which is a Competitor of the Company or any other Group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of Schedule 2 to this instrument shall regulate any transfer of a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MODIFICATION AND CESSATION OF RIGHTS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instrument may be modified only with the prior sanction of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instrument ceases to have effect on the earlier 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9.2.1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upon which all Subscription Rights have been exercised in full;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9.2.2</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Final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10</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INFORMATION AND RIGHTS OF WARRANTHOLDER(S)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3"/>
        <w:gridCol w:w="9752"/>
      </w:tblGrid>
      <w:tr>
        <w:trPr/>
        <w:tc>
          <w:tcPr>
            <w:tcW w:w="453" w:type="dxa"/>
            <w:tcBorders/>
            <w:shd w:fill="auto" w:val="clear"/>
          </w:tcPr>
          <w:p>
            <w:pPr>
              <w:pStyle w:val="TableContents"/>
              <w:spacing w:before="0" w:after="283"/>
              <w:jc w:val="left"/>
              <w:rPr/>
            </w:pPr>
            <w:r>
              <w:rPr/>
              <w:t>10.1</w:t>
            </w:r>
          </w:p>
        </w:tc>
        <w:tc>
          <w:tcPr>
            <w:tcW w:w="97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33"/>
        <w:gridCol w:w="9170"/>
      </w:tblGrid>
      <w:tr>
        <w:trPr/>
        <w:tc>
          <w:tcPr>
            <w:tcW w:w="402" w:type="dxa"/>
            <w:tcBorders/>
            <w:shd w:fill="auto" w:val="clear"/>
            <w:vAlign w:val="center"/>
          </w:tcPr>
          <w:p>
            <w:pPr>
              <w:pStyle w:val="TableContents"/>
              <w:spacing w:before="0" w:after="283"/>
              <w:rPr/>
            </w:pPr>
            <w:r>
              <w:rPr/>
              <w:t> </w:t>
            </w:r>
          </w:p>
        </w:tc>
        <w:tc>
          <w:tcPr>
            <w:tcW w:w="633" w:type="dxa"/>
            <w:tcBorders/>
            <w:shd w:fill="auto" w:val="clear"/>
          </w:tcPr>
          <w:p>
            <w:pPr>
              <w:pStyle w:val="TableContents"/>
              <w:spacing w:before="0" w:after="283"/>
              <w:jc w:val="left"/>
              <w:rPr/>
            </w:pPr>
            <w:r>
              <w:rPr/>
              <w:t>10.1.1</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request of the Warrantholder, send to each Warrantholder a copy of its annual reports and audited accounts together with all documents required by law to be annexed to that report at the same time they are provided to the holders of the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33"/>
        <w:gridCol w:w="9170"/>
      </w:tblGrid>
      <w:tr>
        <w:trPr/>
        <w:tc>
          <w:tcPr>
            <w:tcW w:w="402" w:type="dxa"/>
            <w:tcBorders/>
            <w:shd w:fill="auto" w:val="clear"/>
            <w:vAlign w:val="center"/>
          </w:tcPr>
          <w:p>
            <w:pPr>
              <w:pStyle w:val="TableContents"/>
              <w:spacing w:before="0" w:after="283"/>
              <w:rPr/>
            </w:pPr>
            <w:r>
              <w:rPr/>
              <w:t> </w:t>
            </w:r>
          </w:p>
        </w:tc>
        <w:tc>
          <w:tcPr>
            <w:tcW w:w="633" w:type="dxa"/>
            <w:tcBorders/>
            <w:shd w:fill="auto" w:val="clear"/>
          </w:tcPr>
          <w:p>
            <w:pPr>
              <w:pStyle w:val="TableContents"/>
              <w:spacing w:before="0" w:after="283"/>
              <w:jc w:val="left"/>
              <w:rPr/>
            </w:pPr>
            <w:r>
              <w:rPr/>
              <w:t>10.1.2</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request of the Warrantholder, send to each Warrantholder copies of any statements, notices or circulars sent to the holders of the Ordinary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22"/>
        <w:gridCol w:w="9180"/>
      </w:tblGrid>
      <w:tr>
        <w:trPr/>
        <w:tc>
          <w:tcPr>
            <w:tcW w:w="403" w:type="dxa"/>
            <w:tcBorders/>
            <w:shd w:fill="auto" w:val="clear"/>
            <w:vAlign w:val="center"/>
          </w:tcPr>
          <w:p>
            <w:pPr>
              <w:pStyle w:val="TableContents"/>
              <w:spacing w:before="0" w:after="283"/>
              <w:rPr/>
            </w:pPr>
            <w:r>
              <w:rPr/>
              <w:t> </w:t>
            </w:r>
          </w:p>
        </w:tc>
        <w:tc>
          <w:tcPr>
            <w:tcW w:w="622" w:type="dxa"/>
            <w:tcBorders/>
            <w:shd w:fill="auto" w:val="clear"/>
          </w:tcPr>
          <w:p>
            <w:pPr>
              <w:pStyle w:val="TableContents"/>
              <w:spacing w:before="0" w:after="283"/>
              <w:jc w:val="left"/>
              <w:rPr/>
            </w:pPr>
            <w:r>
              <w:rPr/>
              <w:t>10.1.3</w:t>
            </w:r>
          </w:p>
        </w:tc>
        <w:tc>
          <w:tcPr>
            <w:tcW w:w="91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give to each Warrantholder written notice of its intention to declare or pay a dividend or other distribution on the Ordinary Shares no later than the date on which notice of the general meeting approving such dividend or distribution is sent to the holders of the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283"/>
              <w:jc w:val="left"/>
              <w:rPr/>
            </w:pPr>
            <w:r>
              <w:rPr/>
              <w:t>10.2</w:t>
            </w:r>
          </w:p>
        </w:tc>
        <w:tc>
          <w:tcPr>
            <w:tcW w:w="97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Warrantholder(s) may attend all general meetings of members of the Company and meetings of the holders of Ordinary Shares but may not vote at those meetings by virtue of or in respect of their holdings of 2023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0"/>
        <w:gridCol w:w="9745"/>
      </w:tblGrid>
      <w:tr>
        <w:trPr/>
        <w:tc>
          <w:tcPr>
            <w:tcW w:w="460" w:type="dxa"/>
            <w:tcBorders/>
            <w:shd w:fill="auto" w:val="clear"/>
          </w:tcPr>
          <w:p>
            <w:pPr>
              <w:pStyle w:val="TableContents"/>
              <w:spacing w:before="0" w:after="283"/>
              <w:jc w:val="left"/>
              <w:rPr/>
            </w:pPr>
            <w:r>
              <w:rPr/>
              <w:t>10.3</w:t>
            </w:r>
          </w:p>
        </w:tc>
        <w:tc>
          <w:tcPr>
            <w:tcW w:w="97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Warrantholder shall keep confidential any information received by it in its capacity as a Warrantholder which is of a confidential nature except: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620"/>
        <w:gridCol w:w="9180"/>
      </w:tblGrid>
      <w:tr>
        <w:trPr/>
        <w:tc>
          <w:tcPr>
            <w:tcW w:w="405" w:type="dxa"/>
            <w:tcBorders/>
            <w:shd w:fill="auto" w:val="clear"/>
            <w:vAlign w:val="center"/>
          </w:tcPr>
          <w:p>
            <w:pPr>
              <w:pStyle w:val="TableContents"/>
              <w:spacing w:before="0" w:after="283"/>
              <w:rPr/>
            </w:pPr>
            <w:r>
              <w:rPr/>
              <w:t> </w:t>
            </w:r>
          </w:p>
        </w:tc>
        <w:tc>
          <w:tcPr>
            <w:tcW w:w="620" w:type="dxa"/>
            <w:tcBorders/>
            <w:shd w:fill="auto" w:val="clear"/>
          </w:tcPr>
          <w:p>
            <w:pPr>
              <w:pStyle w:val="TableContents"/>
              <w:spacing w:before="0" w:after="283"/>
              <w:jc w:val="left"/>
              <w:rPr/>
            </w:pPr>
            <w:r>
              <w:rPr/>
              <w:t>10.3.1</w:t>
            </w:r>
          </w:p>
        </w:tc>
        <w:tc>
          <w:tcPr>
            <w:tcW w:w="91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required by law or any applicable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37"/>
        <w:gridCol w:w="9166"/>
      </w:tblGrid>
      <w:tr>
        <w:trPr/>
        <w:tc>
          <w:tcPr>
            <w:tcW w:w="402" w:type="dxa"/>
            <w:tcBorders/>
            <w:shd w:fill="auto" w:val="clear"/>
            <w:vAlign w:val="center"/>
          </w:tcPr>
          <w:p>
            <w:pPr>
              <w:pStyle w:val="TableContents"/>
              <w:spacing w:before="0" w:after="283"/>
              <w:rPr/>
            </w:pPr>
            <w:r>
              <w:rPr/>
              <w:t> </w:t>
            </w:r>
          </w:p>
        </w:tc>
        <w:tc>
          <w:tcPr>
            <w:tcW w:w="637" w:type="dxa"/>
            <w:tcBorders/>
            <w:shd w:fill="auto" w:val="clear"/>
          </w:tcPr>
          <w:p>
            <w:pPr>
              <w:pStyle w:val="TableContents"/>
              <w:spacing w:before="0" w:after="283"/>
              <w:jc w:val="left"/>
              <w:rPr/>
            </w:pPr>
            <w:r>
              <w:rPr/>
              <w:t>10.3.2</w:t>
            </w:r>
          </w:p>
        </w:tc>
        <w:tc>
          <w:tcPr>
            <w:tcW w:w="916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the information is in the public domain through no default of the Warrantholder;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44"/>
        <w:gridCol w:w="9159"/>
      </w:tblGrid>
      <w:tr>
        <w:trPr/>
        <w:tc>
          <w:tcPr>
            <w:tcW w:w="402" w:type="dxa"/>
            <w:tcBorders/>
            <w:shd w:fill="auto" w:val="clear"/>
            <w:vAlign w:val="center"/>
          </w:tcPr>
          <w:p>
            <w:pPr>
              <w:pStyle w:val="TableContents"/>
              <w:spacing w:before="0" w:after="283"/>
              <w:rPr/>
            </w:pPr>
            <w:r>
              <w:rPr/>
              <w:t> </w:t>
            </w:r>
          </w:p>
        </w:tc>
        <w:tc>
          <w:tcPr>
            <w:tcW w:w="644" w:type="dxa"/>
            <w:tcBorders/>
            <w:shd w:fill="auto" w:val="clear"/>
          </w:tcPr>
          <w:p>
            <w:pPr>
              <w:pStyle w:val="TableContents"/>
              <w:spacing w:before="0" w:after="283"/>
              <w:jc w:val="left"/>
              <w:rPr/>
            </w:pPr>
            <w:r>
              <w:rPr/>
              <w:t>10.3.3</w:t>
            </w:r>
          </w:p>
        </w:tc>
        <w:tc>
          <w:tcPr>
            <w:tcW w:w="915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Warrantholder will be entitled to divulge such information to any other Warrantholder and any proposed transferee of 2023 Warrants on the same terms as to confidentiality.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RESTRICTIONS ON AND UNDERTAKINGS OF THE COMPANY</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pPr>
            <w:r>
              <w:rPr/>
              <w:t>11.1</w:t>
            </w:r>
          </w:p>
        </w:tc>
        <w:tc>
          <w:tcPr>
            <w:tcW w:w="97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so long as the 2023 Warrants are outstanding, the Company will: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37"/>
        <w:gridCol w:w="9166"/>
      </w:tblGrid>
      <w:tr>
        <w:trPr/>
        <w:tc>
          <w:tcPr>
            <w:tcW w:w="402" w:type="dxa"/>
            <w:tcBorders/>
            <w:shd w:fill="auto" w:val="clear"/>
            <w:vAlign w:val="center"/>
          </w:tcPr>
          <w:p>
            <w:pPr>
              <w:pStyle w:val="TableContents"/>
              <w:spacing w:before="0" w:after="283"/>
              <w:rPr/>
            </w:pPr>
            <w:r>
              <w:rPr/>
              <w:t> </w:t>
            </w:r>
          </w:p>
        </w:tc>
        <w:tc>
          <w:tcPr>
            <w:tcW w:w="637" w:type="dxa"/>
            <w:tcBorders/>
            <w:shd w:fill="auto" w:val="clear"/>
          </w:tcPr>
          <w:p>
            <w:pPr>
              <w:pStyle w:val="TableContents"/>
              <w:spacing w:before="0" w:after="283"/>
              <w:jc w:val="left"/>
              <w:rPr/>
            </w:pPr>
            <w:r>
              <w:rPr/>
              <w:t>11.1.1</w:t>
            </w:r>
          </w:p>
        </w:tc>
        <w:tc>
          <w:tcPr>
            <w:tcW w:w="916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2"/>
        <w:gridCol w:w="640"/>
        <w:gridCol w:w="9163"/>
      </w:tblGrid>
      <w:tr>
        <w:trPr/>
        <w:tc>
          <w:tcPr>
            <w:tcW w:w="402" w:type="dxa"/>
            <w:tcBorders/>
            <w:shd w:fill="auto" w:val="clear"/>
            <w:vAlign w:val="center"/>
          </w:tcPr>
          <w:p>
            <w:pPr>
              <w:pStyle w:val="TableContents"/>
              <w:spacing w:before="0" w:after="283"/>
              <w:rPr/>
            </w:pPr>
            <w:r>
              <w:rPr/>
              <w:t> </w:t>
            </w:r>
          </w:p>
        </w:tc>
        <w:tc>
          <w:tcPr>
            <w:tcW w:w="640" w:type="dxa"/>
            <w:tcBorders/>
            <w:shd w:fill="auto" w:val="clear"/>
          </w:tcPr>
          <w:p>
            <w:pPr>
              <w:pStyle w:val="TableContents"/>
              <w:spacing w:before="0" w:after="283"/>
              <w:jc w:val="left"/>
              <w:rPr/>
            </w:pPr>
            <w:r>
              <w:rPr/>
              <w:t>11.1.2</w:t>
            </w:r>
          </w:p>
        </w:tc>
        <w:tc>
          <w:tcPr>
            <w:tcW w:w="91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Directors have all necessary authorisations and disapplications of pre-emption (including under the Companies Act) to allot such number of Warrant Shares as will enable the Subscription Rights of the Warrantholder(s) to be satisfied in full at any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22"/>
        <w:gridCol w:w="9180"/>
      </w:tblGrid>
      <w:tr>
        <w:trPr/>
        <w:tc>
          <w:tcPr>
            <w:tcW w:w="403" w:type="dxa"/>
            <w:tcBorders/>
            <w:shd w:fill="auto" w:val="clear"/>
            <w:vAlign w:val="center"/>
          </w:tcPr>
          <w:p>
            <w:pPr>
              <w:pStyle w:val="TableContents"/>
              <w:spacing w:before="0" w:after="283"/>
              <w:rPr/>
            </w:pPr>
            <w:r>
              <w:rPr/>
              <w:t> </w:t>
            </w:r>
          </w:p>
        </w:tc>
        <w:tc>
          <w:tcPr>
            <w:tcW w:w="622" w:type="dxa"/>
            <w:tcBorders/>
            <w:shd w:fill="auto" w:val="clear"/>
          </w:tcPr>
          <w:p>
            <w:pPr>
              <w:pStyle w:val="TableContents"/>
              <w:spacing w:before="0" w:after="283"/>
              <w:jc w:val="left"/>
              <w:rPr/>
            </w:pPr>
            <w:r>
              <w:rPr/>
              <w:t>11.1.3</w:t>
            </w:r>
          </w:p>
        </w:tc>
        <w:tc>
          <w:tcPr>
            <w:tcW w:w="91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notify the Warrantholder before cancelling the admission to trading of the Ordinary Shares on any Recognised Investment Exchange on which the Ordinary Shares are traded from time to time;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4"/>
        <w:gridCol w:w="654"/>
        <w:gridCol w:w="9147"/>
      </w:tblGrid>
      <w:tr>
        <w:trPr/>
        <w:tc>
          <w:tcPr>
            <w:tcW w:w="404" w:type="dxa"/>
            <w:tcBorders/>
            <w:shd w:fill="auto" w:val="clear"/>
            <w:vAlign w:val="center"/>
          </w:tcPr>
          <w:p>
            <w:pPr>
              <w:pStyle w:val="TableContents"/>
              <w:spacing w:before="0" w:after="283"/>
              <w:rPr/>
            </w:pPr>
            <w:r>
              <w:rPr/>
              <w:t> </w:t>
            </w:r>
          </w:p>
        </w:tc>
        <w:tc>
          <w:tcPr>
            <w:tcW w:w="654" w:type="dxa"/>
            <w:tcBorders/>
            <w:shd w:fill="auto" w:val="clear"/>
          </w:tcPr>
          <w:p>
            <w:pPr>
              <w:pStyle w:val="TableContents"/>
              <w:spacing w:before="0" w:after="283"/>
              <w:jc w:val="left"/>
              <w:rPr/>
            </w:pPr>
            <w:r>
              <w:rPr/>
              <w:t>11.1.4</w:t>
            </w:r>
          </w:p>
        </w:tc>
        <w:tc>
          <w:tcPr>
            <w:tcW w:w="91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make any issue, grant or distribution or take any other action the effect of which would be that on exercise of any of the Subscription Rights it would be required to issue Warrant Shares at a discount to their nominal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WARRANTIES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283"/>
              <w:jc w:val="left"/>
              <w:rPr/>
            </w:pPr>
            <w:r>
              <w:rPr/>
              <w:t>12.1</w:t>
            </w:r>
          </w:p>
        </w:tc>
        <w:tc>
          <w:tcPr>
            <w:tcW w:w="97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warrants to the Warrantholder(s) that: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624"/>
        <w:gridCol w:w="9176"/>
      </w:tblGrid>
      <w:tr>
        <w:trPr/>
        <w:tc>
          <w:tcPr>
            <w:tcW w:w="405" w:type="dxa"/>
            <w:tcBorders/>
            <w:shd w:fill="auto" w:val="clear"/>
            <w:vAlign w:val="center"/>
          </w:tcPr>
          <w:p>
            <w:pPr>
              <w:pStyle w:val="TableContents"/>
              <w:spacing w:before="0" w:after="283"/>
              <w:rPr/>
            </w:pPr>
            <w:r>
              <w:rPr/>
              <w:t> </w:t>
            </w:r>
          </w:p>
        </w:tc>
        <w:tc>
          <w:tcPr>
            <w:tcW w:w="624" w:type="dxa"/>
            <w:tcBorders/>
            <w:shd w:fill="auto" w:val="clear"/>
          </w:tcPr>
          <w:p>
            <w:pPr>
              <w:pStyle w:val="TableContents"/>
              <w:spacing w:before="0" w:after="283"/>
              <w:jc w:val="left"/>
              <w:rPr/>
            </w:pPr>
            <w:r>
              <w:rPr/>
              <w:t>12.1.1</w:t>
            </w:r>
          </w:p>
        </w:tc>
        <w:tc>
          <w:tcPr>
            <w:tcW w:w="91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has the power to execute and to perform its obligations under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646"/>
        <w:gridCol w:w="9155"/>
      </w:tblGrid>
      <w:tr>
        <w:trPr/>
        <w:tc>
          <w:tcPr>
            <w:tcW w:w="40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pPr>
            <w:r>
              <w:rPr/>
              <w:t>12.1.2</w:t>
            </w:r>
          </w:p>
        </w:tc>
        <w:tc>
          <w:tcPr>
            <w:tcW w:w="91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has taken all action necessary to authorise the execution of, and the performance of its obligations under this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50"/>
        <w:gridCol w:w="9152"/>
      </w:tblGrid>
      <w:tr>
        <w:trPr/>
        <w:tc>
          <w:tcPr>
            <w:tcW w:w="403" w:type="dxa"/>
            <w:tcBorders/>
            <w:shd w:fill="auto" w:val="clear"/>
            <w:vAlign w:val="center"/>
          </w:tcPr>
          <w:p>
            <w:pPr>
              <w:pStyle w:val="TableContents"/>
              <w:spacing w:before="0" w:after="283"/>
              <w:rPr/>
            </w:pPr>
            <w:r>
              <w:rPr/>
              <w:t> </w:t>
            </w:r>
          </w:p>
        </w:tc>
        <w:tc>
          <w:tcPr>
            <w:tcW w:w="650" w:type="dxa"/>
            <w:tcBorders/>
            <w:shd w:fill="auto" w:val="clear"/>
          </w:tcPr>
          <w:p>
            <w:pPr>
              <w:pStyle w:val="TableContents"/>
              <w:spacing w:before="0" w:after="283"/>
              <w:jc w:val="left"/>
              <w:rPr/>
            </w:pPr>
            <w:r>
              <w:rPr/>
              <w:t>12.1.3</w:t>
            </w:r>
          </w:p>
        </w:tc>
        <w:tc>
          <w:tcPr>
            <w:tcW w:w="91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Warrant Shares which may be issued upon the exercise of the rights represented by the 2023 Warrants will be, upon issuance, be duly authorised, validly issued and fully paid and free of any liens and encumbrances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NOTICES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Any notice to the Warrantholder(s) required for the purposes of any provision of this instrument shall be given in accordance with the provisions of paragraphs 10 to 13 (inclusive) of Schedule 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CONTRACTS (RIGHTS OF THIRD PARTIES) ACT 1999</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FURTHER ASSURANCE</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SEVERABILITY</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provisions of this instrument and the Conditions and any dispute or claim arising out of or in connection with them (including any dispute or claim relating to non-contractual obligations) shall be subject to and governed by English law and the Company and the Warrantholder(s) submit to the exclusive jurisdiction of the English Courts in relation to any such dispute or claim.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intends this instrument to be a deed poll and accordingly it or its duly authorised representatives execute and deliver it as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1 </w:t>
      </w:r>
    </w:p>
    <w:p>
      <w:pPr>
        <w:pStyle w:val="TextBody"/>
        <w:spacing w:before="0" w:after="0"/>
        <w:jc w:val="center"/>
        <w:rPr>
          <w:rFonts w:ascii="Times New Roman" w:hAnsi="Times New Roman"/>
          <w:b/>
          <w:sz w:val="20"/>
        </w:rPr>
      </w:pPr>
      <w:r>
        <w:rPr>
          <w:rFonts w:ascii="Times New Roman" w:hAnsi="Times New Roman"/>
          <w:b/>
          <w:sz w:val="20"/>
        </w:rPr>
        <w:t xml:space="preserve">Form Of Warrant Certificate </w:t>
      </w:r>
    </w:p>
    <w:p>
      <w:pPr>
        <w:pStyle w:val="TextBody"/>
        <w:spacing w:before="240" w:after="0"/>
        <w:jc w:val="center"/>
        <w:rPr>
          <w:rFonts w:ascii="Times New Roman" w:hAnsi="Times New Roman"/>
          <w:b/>
          <w:sz w:val="20"/>
        </w:rPr>
      </w:pPr>
      <w:r>
        <w:rPr>
          <w:rFonts w:ascii="Times New Roman" w:hAnsi="Times New Roman"/>
          <w:b/>
          <w:sz w:val="20"/>
        </w:rPr>
        <w:t xml:space="preserve">MEREO BIOPHARMA GROUP PLC (COMPANY) </w:t>
      </w:r>
    </w:p>
    <w:p>
      <w:pPr>
        <w:pStyle w:val="TextBody"/>
        <w:spacing w:before="0" w:after="0"/>
        <w:jc w:val="center"/>
        <w:rPr>
          <w:rFonts w:ascii="Times New Roman" w:hAnsi="Times New Roman"/>
          <w:b/>
          <w:sz w:val="20"/>
        </w:rPr>
      </w:pPr>
      <w:r>
        <w:rPr>
          <w:rFonts w:ascii="Times New Roman" w:hAnsi="Times New Roman"/>
          <w:b/>
          <w:sz w:val="20"/>
        </w:rPr>
        <w:t xml:space="preserve">A company registered in England and Wales </w:t>
      </w:r>
    </w:p>
    <w:p>
      <w:pPr>
        <w:pStyle w:val="TextBody"/>
        <w:spacing w:before="0" w:after="0"/>
        <w:jc w:val="center"/>
        <w:rPr>
          <w:rFonts w:ascii="Times New Roman" w:hAnsi="Times New Roman"/>
          <w:b/>
          <w:sz w:val="20"/>
        </w:rPr>
      </w:pPr>
      <w:r>
        <w:rPr>
          <w:rFonts w:ascii="Times New Roman" w:hAnsi="Times New Roman"/>
          <w:b/>
          <w:sz w:val="20"/>
        </w:rPr>
        <w:t xml:space="preserve">under Company number 04206001 </w:t>
      </w:r>
    </w:p>
    <w:p>
      <w:pPr>
        <w:pStyle w:val="TextBody"/>
        <w:spacing w:before="240" w:after="0"/>
        <w:jc w:val="center"/>
        <w:rPr>
          <w:rFonts w:ascii="Times New Roman" w:hAnsi="Times New Roman"/>
          <w:b/>
          <w:sz w:val="20"/>
        </w:rPr>
      </w:pPr>
      <w:r>
        <w:rPr>
          <w:rFonts w:ascii="Times New Roman" w:hAnsi="Times New Roman"/>
          <w:b/>
          <w:sz w:val="20"/>
        </w:rPr>
        <w:t xml:space="preserve">WARRANT CERTIFICATE </w:t>
      </w:r>
    </w:p>
    <w:p>
      <w:pPr>
        <w:pStyle w:val="TextBody"/>
        <w:spacing w:before="240" w:after="0"/>
        <w:jc w:val="left"/>
        <w:rPr>
          <w:rFonts w:ascii="Times New Roman" w:hAnsi="Times New Roman"/>
          <w:sz w:val="20"/>
        </w:rPr>
      </w:pPr>
      <w:r>
        <w:rPr>
          <w:rFonts w:ascii="Times New Roman" w:hAnsi="Times New Roman"/>
          <w:sz w:val="20"/>
        </w:rPr>
        <w:t xml:space="preserve">This certificate is issued pursuant to the warrant instrument issued by the Company on </w:t>
      </w:r>
      <w:r>
        <w:rPr>
          <w:rFonts w:ascii="Times New Roman" w:hAnsi="Times New Roman"/>
          <w:sz w:val="20"/>
          <w:u w:val="single"/>
        </w:rPr>
        <w:t>            </w:t>
      </w:r>
      <w:r>
        <w:rPr>
          <w:rFonts w:ascii="Times New Roman" w:hAnsi="Times New Roman"/>
          <w:sz w:val="20"/>
        </w:rPr>
        <w:t xml:space="preserve"> 2023 (</w:t>
      </w:r>
      <w:r>
        <w:rPr>
          <w:rFonts w:ascii="Times New Roman" w:hAnsi="Times New Roman"/>
          <w:b/>
          <w:sz w:val="20"/>
        </w:rPr>
        <w:t>Warrant Instrument</w:t>
      </w:r>
      <w:r>
        <w:rPr>
          <w:rFonts w:ascii="Times New Roman" w:hAnsi="Times New Roman"/>
          <w:sz w:val="20"/>
        </w:rPr>
        <w:t xml:space="preserve">). Words and expressions used in this certificate which are defined in the Warrant Instrument have the meanings given to them in the Warrant Instrument.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26"/>
        <w:gridCol w:w="110"/>
        <w:gridCol w:w="8069"/>
      </w:tblGrid>
      <w:tr>
        <w:trPr/>
        <w:tc>
          <w:tcPr>
            <w:tcW w:w="20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8069"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tcPr>
          <w:p>
            <w:pPr>
              <w:pStyle w:val="TableContents"/>
              <w:spacing w:before="0" w:after="283"/>
              <w:rPr/>
            </w:pPr>
            <w:r>
              <w:rPr/>
              <w:t>Certificate number:</w:t>
            </w:r>
          </w:p>
        </w:tc>
        <w:tc>
          <w:tcPr>
            <w:tcW w:w="110" w:type="dxa"/>
            <w:tcBorders/>
            <w:shd w:fill="auto" w:val="clear"/>
            <w:vAlign w:val="bottom"/>
          </w:tcPr>
          <w:p>
            <w:pPr>
              <w:pStyle w:val="TableContents"/>
              <w:spacing w:before="0" w:after="283"/>
              <w:rPr/>
            </w:pPr>
            <w:r>
              <w:rPr/>
              <w:t> </w:t>
            </w:r>
          </w:p>
        </w:tc>
        <w:tc>
          <w:tcPr>
            <w:tcW w:w="8069" w:type="dxa"/>
            <w:tcBorders/>
            <w:shd w:fill="auto" w:val="clear"/>
          </w:tcPr>
          <w:p>
            <w:pPr>
              <w:pStyle w:val="TableContents"/>
              <w:spacing w:before="0" w:after="283"/>
              <w:rPr/>
            </w:pPr>
            <w:r>
              <w:rPr/>
              <w:t>[●]</w:t>
            </w:r>
          </w:p>
        </w:tc>
      </w:tr>
      <w:tr>
        <w:trPr>
          <w:trHeight w:val="120" w:hRule="atLeast"/>
        </w:trPr>
        <w:tc>
          <w:tcPr>
            <w:tcW w:w="2026"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tcPr>
          <w:p>
            <w:pPr>
              <w:pStyle w:val="TableContents"/>
              <w:spacing w:before="0" w:after="283"/>
              <w:rPr/>
            </w:pPr>
            <w:r>
              <w:rPr/>
              <w:t>Date of issue:</w:t>
            </w:r>
          </w:p>
        </w:tc>
        <w:tc>
          <w:tcPr>
            <w:tcW w:w="110" w:type="dxa"/>
            <w:tcBorders/>
            <w:shd w:fill="auto" w:val="clear"/>
            <w:vAlign w:val="bottom"/>
          </w:tcPr>
          <w:p>
            <w:pPr>
              <w:pStyle w:val="TableContents"/>
              <w:spacing w:before="0" w:after="283"/>
              <w:rPr/>
            </w:pPr>
            <w:r>
              <w:rPr/>
              <w:t> </w:t>
            </w:r>
          </w:p>
        </w:tc>
        <w:tc>
          <w:tcPr>
            <w:tcW w:w="8069" w:type="dxa"/>
            <w:tcBorders/>
            <w:shd w:fill="auto" w:val="clear"/>
          </w:tcPr>
          <w:p>
            <w:pPr>
              <w:pStyle w:val="TableContents"/>
              <w:spacing w:before="0" w:after="283"/>
              <w:rPr/>
            </w:pPr>
            <w:r>
              <w:rPr>
                <w:u w:val="single"/>
              </w:rPr>
              <w:t>            </w:t>
            </w:r>
            <w:r>
              <w:rPr/>
              <w:t xml:space="preserve"> </w:t>
            </w:r>
            <w:r>
              <w:rPr/>
              <w:t>2023</w:t>
            </w:r>
          </w:p>
        </w:tc>
      </w:tr>
      <w:tr>
        <w:trPr>
          <w:trHeight w:val="120" w:hRule="atLeast"/>
        </w:trPr>
        <w:tc>
          <w:tcPr>
            <w:tcW w:w="2026"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tcPr>
          <w:p>
            <w:pPr>
              <w:pStyle w:val="TableContents"/>
              <w:spacing w:before="0" w:after="283"/>
              <w:rPr/>
            </w:pPr>
            <w:r>
              <w:rPr/>
              <w:t>Name and address of Warrantholder:</w:t>
            </w:r>
          </w:p>
        </w:tc>
        <w:tc>
          <w:tcPr>
            <w:tcW w:w="110" w:type="dxa"/>
            <w:tcBorders/>
            <w:shd w:fill="auto" w:val="clear"/>
            <w:vAlign w:val="bottom"/>
          </w:tcPr>
          <w:p>
            <w:pPr>
              <w:pStyle w:val="TableContents"/>
              <w:spacing w:before="0" w:after="283"/>
              <w:rPr/>
            </w:pPr>
            <w:r>
              <w:rPr/>
              <w:t> </w:t>
            </w:r>
          </w:p>
        </w:tc>
        <w:tc>
          <w:tcPr>
            <w:tcW w:w="8069" w:type="dxa"/>
            <w:tcBorders/>
            <w:shd w:fill="auto" w:val="clear"/>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Number of Warrant Shares for which the Warrantholder may subscribe: [●]. </w:t>
      </w:r>
    </w:p>
    <w:p>
      <w:pPr>
        <w:pStyle w:val="TextBody"/>
        <w:spacing w:before="240" w:after="0"/>
        <w:jc w:val="left"/>
        <w:rPr>
          <w:rFonts w:ascii="Times New Roman" w:hAnsi="Times New Roman"/>
          <w:sz w:val="20"/>
        </w:rPr>
      </w:pPr>
      <w:r>
        <w:rPr>
          <w:rFonts w:ascii="Times New Roman" w:hAnsi="Times New Roman"/>
          <w:sz w:val="20"/>
        </w:rPr>
        <w:t xml:space="preserve">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 </w:t>
      </w:r>
    </w:p>
    <w:p>
      <w:pPr>
        <w:pStyle w:val="TextBody"/>
        <w:spacing w:before="240" w:after="0"/>
        <w:jc w:val="left"/>
        <w:rPr>
          <w:rFonts w:ascii="Times New Roman" w:hAnsi="Times New Roman"/>
          <w:sz w:val="20"/>
        </w:rPr>
      </w:pPr>
      <w:r>
        <w:rPr>
          <w:rFonts w:ascii="Times New Roman" w:hAnsi="Times New Roman"/>
          <w:sz w:val="20"/>
        </w:rPr>
        <w:t xml:space="preserve">This Warrant and the ordinary shares of the Company to be issued upon its exercise have not been registered under the Securities Act of 1933, as amended (the Securities Act). This Warrant may not be exercised by or on behalf of any U.S. person unless registered under the Securities Act or an exemption from such registration is available. </w:t>
      </w:r>
    </w:p>
    <w:p>
      <w:pPr>
        <w:pStyle w:val="TextBody"/>
        <w:spacing w:before="240" w:after="0"/>
        <w:jc w:val="left"/>
        <w:rPr>
          <w:rFonts w:ascii="Times New Roman" w:hAnsi="Times New Roman"/>
          <w:sz w:val="20"/>
        </w:rPr>
      </w:pPr>
      <w:r>
        <w:rPr>
          <w:rFonts w:ascii="Times New Roman" w:hAnsi="Times New Roman"/>
          <w:sz w:val="20"/>
        </w:rPr>
        <w:t xml:space="preserve">By exercising this Warrant the Warrantholder hereby certifies that: </w:t>
      </w:r>
    </w:p>
    <w:p>
      <w:pPr>
        <w:pStyle w:val="TextBody"/>
        <w:spacing w:before="240" w:after="0"/>
        <w:jc w:val="left"/>
        <w:rPr>
          <w:rFonts w:ascii="Times New Roman" w:hAnsi="Times New Roman"/>
          <w:sz w:val="20"/>
        </w:rPr>
      </w:pPr>
      <w:r>
        <w:rPr>
          <w:rFonts w:ascii="Times New Roman" w:hAnsi="Times New Roman"/>
          <w:sz w:val="20"/>
        </w:rPr>
        <w:t xml:space="preserve">(A) It is not a U.S. person and the Warrant is not being exercised on behalf of a U.S. person; or </w:t>
      </w:r>
    </w:p>
    <w:p>
      <w:pPr>
        <w:pStyle w:val="TextBody"/>
        <w:spacing w:before="240" w:after="0"/>
        <w:jc w:val="left"/>
        <w:rPr>
          <w:rFonts w:ascii="Times New Roman" w:hAnsi="Times New Roman"/>
          <w:sz w:val="20"/>
        </w:rPr>
      </w:pPr>
      <w:r>
        <w:rPr>
          <w:rFonts w:ascii="Times New Roman" w:hAnsi="Times New Roman"/>
          <w:sz w:val="20"/>
        </w:rPr>
        <w:t xml:space="preserve">(B) Is providing a written opinion of counsel to the effect that the Warrant and the ordinary shares of the Company delivered upon exercise thereof have been registered under the Securities Act or are exempt from registration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82"/>
        <w:gridCol w:w="120"/>
        <w:gridCol w:w="4903"/>
      </w:tblGrid>
      <w:tr>
        <w:trPr/>
        <w:tc>
          <w:tcPr>
            <w:tcW w:w="51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03" w:type="dxa"/>
            <w:tcBorders/>
            <w:shd w:fill="auto" w:val="clear"/>
            <w:vAlign w:val="center"/>
          </w:tcPr>
          <w:p>
            <w:pPr>
              <w:pStyle w:val="TableContents"/>
              <w:spacing w:before="0" w:after="283"/>
              <w:rPr>
                <w:sz w:val="4"/>
                <w:szCs w:val="4"/>
              </w:rPr>
            </w:pPr>
            <w:r>
              <w:rPr>
                <w:sz w:val="4"/>
                <w:szCs w:val="4"/>
              </w:rPr>
            </w:r>
          </w:p>
        </w:tc>
      </w:tr>
      <w:tr>
        <w:trPr/>
        <w:tc>
          <w:tcPr>
            <w:tcW w:w="518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Executed as a </w:t>
            </w:r>
            <w:r>
              <w:rPr>
                <w:rFonts w:ascii="Times New Roman" w:hAnsi="Times New Roman"/>
                <w:b/>
                <w:sz w:val="20"/>
              </w:rPr>
              <w:t>DEED</w:t>
            </w:r>
            <w:r>
              <w:rPr>
                <w:rFonts w:ascii="Times New Roman" w:hAnsi="Times New Roman"/>
                <w:sz w:val="20"/>
              </w:rPr>
              <w:t>, but not delivered until the date specified on this instrument, by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b/>
                <w:sz w:val="20"/>
              </w:rPr>
              <w:t xml:space="preserve">MEREO BIOPHARMA GROUP PLC </w:t>
            </w:r>
            <w:r>
              <w:rPr>
                <w:rFonts w:ascii="Times New Roman" w:hAnsi="Times New Roman"/>
                <w:sz w:val="20"/>
              </w:rPr>
              <w:br/>
              <w:t>acting by</w:t>
            </w:r>
          </w:p>
          <w:p>
            <w:pPr>
              <w:pStyle w:val="TableContents"/>
              <w:spacing w:before="0" w:after="0"/>
              <w:rPr/>
            </w:pPr>
            <w:r>
              <w:rPr/>
              <w:t> </w:t>
            </w:r>
          </w:p>
          <w:p>
            <w:pPr>
              <w:pStyle w:val="TableContents"/>
              <w:spacing w:before="0" w:after="0"/>
              <w:rPr>
                <w:u w:val="single"/>
              </w:rPr>
            </w:pPr>
            <w:r>
              <w:rPr>
                <w:u w:val="single"/>
              </w:rPr>
              <w:t>                                 </w:t>
            </w:r>
          </w:p>
          <w:p>
            <w:pPr>
              <w:pStyle w:val="TableContents"/>
              <w:spacing w:before="0" w:after="0"/>
              <w:rPr>
                <w:rFonts w:ascii="Times New Roman" w:hAnsi="Times New Roman"/>
                <w:sz w:val="20"/>
              </w:rPr>
            </w:pPr>
            <w:r>
              <w:rPr>
                <w:rFonts w:ascii="Times New Roman" w:hAnsi="Times New Roman"/>
                <w:sz w:val="20"/>
              </w:rPr>
              <w:t>Director</w:t>
            </w:r>
          </w:p>
          <w:p>
            <w:pPr>
              <w:pStyle w:val="TableContents"/>
              <w:spacing w:before="0" w:after="0"/>
              <w:rPr/>
            </w:pPr>
            <w:r>
              <w:rPr/>
              <w:t> </w:t>
            </w:r>
          </w:p>
          <w:p>
            <w:pPr>
              <w:pStyle w:val="TableContents"/>
              <w:spacing w:before="0" w:after="0"/>
              <w:rPr>
                <w:u w:val="single"/>
              </w:rPr>
            </w:pPr>
            <w:r>
              <w:rPr>
                <w:u w:val="single"/>
              </w:rPr>
              <w:t>                                 </w:t>
            </w:r>
          </w:p>
          <w:p>
            <w:pPr>
              <w:pStyle w:val="TableContents"/>
              <w:spacing w:before="0" w:after="20"/>
              <w:rPr>
                <w:rFonts w:ascii="Times New Roman" w:hAnsi="Times New Roman"/>
                <w:sz w:val="20"/>
              </w:rPr>
            </w:pPr>
            <w:r>
              <w:rPr>
                <w:rFonts w:ascii="Times New Roman" w:hAnsi="Times New Roman"/>
                <w:sz w:val="20"/>
              </w:rPr>
              <w:t>Director/Company Secretary</w:t>
            </w:r>
          </w:p>
        </w:tc>
        <w:tc>
          <w:tcPr>
            <w:tcW w:w="120" w:type="dxa"/>
            <w:tcBorders/>
            <w:shd w:fill="auto" w:val="clear"/>
            <w:vAlign w:val="bottom"/>
          </w:tcPr>
          <w:p>
            <w:pPr>
              <w:pStyle w:val="TableContents"/>
              <w:spacing w:before="0" w:after="283"/>
              <w:rPr/>
            </w:pPr>
            <w:r>
              <w:rPr/>
              <w:t>  </w:t>
            </w:r>
          </w:p>
        </w:tc>
        <w:tc>
          <w:tcPr>
            <w:tcW w:w="4903"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u w:val="single"/>
              </w:rPr>
              <w:t xml:space="preserve">                                  </w:t>
            </w:r>
            <w:r>
              <w:rPr>
                <w:rFonts w:ascii="Times New Roman" w:hAnsi="Times New Roman"/>
                <w:i/>
                <w:sz w:val="20"/>
              </w:rPr>
              <w:t>Director</w:t>
            </w:r>
          </w:p>
          <w:p>
            <w:pPr>
              <w:pStyle w:val="TableContents"/>
              <w:spacing w:before="0" w:after="0"/>
              <w:rPr/>
            </w:pPr>
            <w:r>
              <w:rPr/>
              <w:t> </w:t>
            </w:r>
          </w:p>
          <w:p>
            <w:pPr>
              <w:pStyle w:val="TableContents"/>
              <w:spacing w:before="0" w:after="20"/>
              <w:rPr/>
            </w:pPr>
            <w:r>
              <w:rPr>
                <w:u w:val="single"/>
              </w:rPr>
              <w:t>                                 </w:t>
            </w:r>
            <w:r>
              <w:rPr>
                <w:rFonts w:ascii="Times New Roman" w:hAnsi="Times New Roman"/>
                <w:i/>
                <w:sz w:val="20"/>
              </w:rPr>
              <w:t>Director/Company Secretary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to the Warrant Certificate </w:t>
      </w:r>
    </w:p>
    <w:p>
      <w:pPr>
        <w:pStyle w:val="TextBody"/>
        <w:spacing w:before="240" w:after="0"/>
        <w:jc w:val="center"/>
        <w:rPr>
          <w:rFonts w:ascii="Times New Roman" w:hAnsi="Times New Roman"/>
          <w:b/>
          <w:sz w:val="20"/>
        </w:rPr>
      </w:pPr>
      <w:r>
        <w:rPr>
          <w:rFonts w:ascii="Times New Roman" w:hAnsi="Times New Roman"/>
          <w:b/>
          <w:sz w:val="20"/>
        </w:rPr>
        <w:t xml:space="preserve">Notice of Subscription </w:t>
      </w:r>
    </w:p>
    <w:p>
      <w:pPr>
        <w:pStyle w:val="TextBody"/>
        <w:spacing w:before="360" w:after="0"/>
        <w:jc w:val="left"/>
        <w:rPr>
          <w:rFonts w:ascii="Times New Roman" w:hAnsi="Times New Roman"/>
          <w:sz w:val="20"/>
        </w:rPr>
      </w:pPr>
      <w:r>
        <w:rPr>
          <w:rFonts w:ascii="Times New Roman" w:hAnsi="Times New Roman"/>
          <w:sz w:val="20"/>
        </w:rPr>
        <w:t xml:space="preserve">To: The Directors </w:t>
      </w:r>
    </w:p>
    <w:p>
      <w:pPr>
        <w:pStyle w:val="TextBody"/>
        <w:spacing w:before="240" w:after="0"/>
        <w:jc w:val="center"/>
        <w:rPr>
          <w:rFonts w:ascii="Times New Roman" w:hAnsi="Times New Roman"/>
          <w:b/>
          <w:sz w:val="20"/>
        </w:rPr>
      </w:pPr>
      <w:r>
        <w:rPr>
          <w:rFonts w:ascii="Times New Roman" w:hAnsi="Times New Roman"/>
          <w:b/>
          <w:sz w:val="20"/>
        </w:rPr>
        <w:t xml:space="preserve">MEREO BIOPHARMA GROUP PLC (Company) </w:t>
      </w:r>
    </w:p>
    <w:p>
      <w:pPr>
        <w:pStyle w:val="TextBody"/>
        <w:spacing w:before="240" w:after="0"/>
        <w:jc w:val="left"/>
        <w:rPr>
          <w:rFonts w:ascii="Times New Roman" w:hAnsi="Times New Roman"/>
          <w:sz w:val="20"/>
        </w:rPr>
      </w:pPr>
      <w:r>
        <w:rPr>
          <w:rFonts w:ascii="Times New Roman" w:hAnsi="Times New Roman"/>
          <w:sz w:val="20"/>
        </w:rPr>
        <w:t>This notice is issued pursuant to the warrant instrument issued by the Company on                      (</w:t>
      </w:r>
      <w:r>
        <w:rPr>
          <w:rFonts w:ascii="Times New Roman" w:hAnsi="Times New Roman"/>
          <w:b/>
          <w:sz w:val="20"/>
        </w:rPr>
        <w:t>Warrant Instrument</w:t>
      </w:r>
      <w:r>
        <w:rPr>
          <w:rFonts w:ascii="Times New Roman" w:hAnsi="Times New Roman"/>
          <w:sz w:val="20"/>
        </w:rPr>
        <w:t xml:space="preserve">). Words and expressions used in this notice which are defined in the Warrant Instrument have the meanings given to them in the Warrant Instrument. </w:t>
      </w:r>
    </w:p>
    <w:p>
      <w:pPr>
        <w:pStyle w:val="TextBody"/>
        <w:spacing w:before="120" w:after="0"/>
        <w:jc w:val="left"/>
        <w:rPr>
          <w:rFonts w:ascii="Times New Roman" w:hAnsi="Times New Roman"/>
          <w:sz w:val="20"/>
        </w:rPr>
      </w:pPr>
      <w:r>
        <w:rPr>
          <w:rFonts w:ascii="Times New Roman" w:hAnsi="Times New Roman"/>
          <w:sz w:val="20"/>
        </w:rPr>
        <w:t>We hereby irrevocably elect to exercise [</w:t>
      </w:r>
      <w:r>
        <w:rPr>
          <w:rFonts w:ascii="Times New Roman" w:hAnsi="Times New Roman"/>
          <w:i/>
          <w:sz w:val="20"/>
        </w:rPr>
        <w:t>number</w:t>
      </w:r>
      <w:r>
        <w:rPr>
          <w:rFonts w:ascii="Times New Roman" w:hAnsi="Times New Roman"/>
          <w:sz w:val="20"/>
        </w:rPr>
        <w:t xml:space="preserve">] 2023 Warrants issued to us by the Company pursuant to the Warrant Instrument and purchase thereunder (and surrender herewith the relevant warrant certificate) as follows: </w:t>
      </w:r>
    </w:p>
    <w:p>
      <w:pPr>
        <w:pStyle w:val="TextBody"/>
        <w:spacing w:before="240" w:after="0"/>
        <w:jc w:val="left"/>
        <w:rPr>
          <w:rFonts w:ascii="Times New Roman" w:hAnsi="Times New Roman"/>
          <w:sz w:val="20"/>
        </w:rPr>
      </w:pPr>
      <w:r>
        <w:rPr>
          <w:rFonts w:ascii="Times New Roman" w:hAnsi="Times New Roman"/>
          <w:sz w:val="20"/>
        </w:rPr>
        <w:t xml:space="preserve">(1)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Warrant Shares to be issued to the Warrantholder (or its nominee or trustee) as Ordinary Shares pursuant to the Warrant Instrument;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Warrant Shares to be issued to the custodian of the Depositary for delivery to the Warrantholder as ADSs pursuant to the Warrant Instrument. </w:t>
            </w:r>
          </w:p>
        </w:tc>
      </w:tr>
    </w:tbl>
    <w:p>
      <w:pPr>
        <w:pStyle w:val="TextBody"/>
        <w:spacing w:before="240" w:after="0"/>
        <w:jc w:val="left"/>
        <w:rPr>
          <w:rFonts w:ascii="Times New Roman" w:hAnsi="Times New Roman"/>
          <w:sz w:val="20"/>
        </w:rPr>
      </w:pPr>
      <w:r>
        <w:rPr>
          <w:rFonts w:ascii="Times New Roman" w:hAnsi="Times New Roman"/>
          <w:sz w:val="20"/>
        </w:rPr>
        <w:t>(2) We hereby confirm that we will procure payment in the sum of £[</w:t>
      </w:r>
      <w:r>
        <w:rPr>
          <w:rFonts w:ascii="Times New Roman" w:hAnsi="Times New Roman"/>
          <w:i/>
          <w:sz w:val="20"/>
        </w:rPr>
        <w:t>amount</w:t>
      </w:r>
      <w:r>
        <w:rPr>
          <w:rFonts w:ascii="Times New Roman" w:hAnsi="Times New Roman"/>
          <w:sz w:val="20"/>
        </w:rPr>
        <w:t xml:space="preserve">] being the aggregate Subscription Price for such Warrant Shares. </w:t>
      </w:r>
    </w:p>
    <w:p>
      <w:pPr>
        <w:pStyle w:val="TextBody"/>
        <w:spacing w:before="240" w:after="0"/>
        <w:jc w:val="left"/>
        <w:rPr>
          <w:rFonts w:ascii="Times New Roman" w:hAnsi="Times New Roman"/>
          <w:sz w:val="20"/>
        </w:rPr>
      </w:pPr>
      <w:r>
        <w:rPr>
          <w:rFonts w:ascii="Times New Roman" w:hAnsi="Times New Roman"/>
          <w:sz w:val="20"/>
        </w:rPr>
        <w:t xml:space="preserve">We direct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use for a request under option (1)(A) above</w:t>
      </w:r>
      <w:r>
        <w:rPr>
          <w:rFonts w:ascii="Times New Roman" w:hAnsi="Times New Roman"/>
          <w:sz w:val="20"/>
        </w:rPr>
        <w:t>] to issue [</w:t>
      </w:r>
      <w:r>
        <w:rPr>
          <w:rFonts w:ascii="Times New Roman" w:hAnsi="Times New Roman"/>
          <w:i/>
          <w:sz w:val="20"/>
        </w:rPr>
        <w:t>number</w:t>
      </w:r>
      <w:r>
        <w:rPr>
          <w:rFonts w:ascii="Times New Roman" w:hAnsi="Times New Roman"/>
          <w:sz w:val="20"/>
        </w:rPr>
        <w:t xml:space="preserve">] of Ordinary Shares to be issued pursuant to this exercise in the following numbers to the following proposed allottees, each of which is either a Warrantholder, a nominee or trustee of a Warrantholder or a transferee of one of those persons approved in accordance with clause 8.1 of the Warrant Instrument]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Number/percent age of</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shares                              </w:t>
            </w:r>
          </w:p>
        </w:tc>
        <w:tc>
          <w:tcPr>
            <w:tcW w:w="102"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 of proposed allottee</w:t>
            </w:r>
          </w:p>
        </w:tc>
        <w:tc>
          <w:tcPr>
            <w:tcW w:w="102"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Address of proposed</w:t>
            </w:r>
          </w:p>
          <w:p>
            <w:pPr>
              <w:pStyle w:val="TableContents"/>
              <w:spacing w:before="0" w:after="20"/>
              <w:jc w:val="center"/>
              <w:rPr>
                <w:rFonts w:ascii="Times New Roman" w:hAnsi="Times New Roman"/>
                <w:b/>
                <w:sz w:val="16"/>
              </w:rPr>
            </w:pPr>
            <w:r>
              <w:rPr>
                <w:rFonts w:ascii="Times New Roman" w:hAnsi="Times New Roman"/>
                <w:b/>
                <w:sz w:val="16"/>
              </w:rPr>
              <w:t>allottee</w:t>
            </w:r>
          </w:p>
        </w:tc>
      </w:tr>
      <w:tr>
        <w:trPr/>
        <w:tc>
          <w:tcPr>
            <w:tcW w:w="3469" w:type="dxa"/>
            <w:tcBorders/>
            <w:shd w:fill="auto" w:val="clear"/>
          </w:tcPr>
          <w:p>
            <w:pPr>
              <w:pStyle w:val="TableContents"/>
              <w:spacing w:before="0" w:after="283"/>
              <w:rPr/>
            </w:pPr>
            <w:r>
              <w:rPr/>
              <w:t>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AND/OR</w:t>
      </w:r>
      <w:r>
        <w:rPr>
          <w:rFonts w:ascii="Times New Roman" w:hAnsi="Times New Roman"/>
          <w:sz w:val="20"/>
        </w:rPr>
        <w:t xml:space="preserve">] </w:t>
      </w:r>
      <w:r>
        <w:rPr>
          <w:rFonts w:ascii="Times New Roman" w:hAnsi="Times New Roman"/>
          <w:i/>
          <w:sz w:val="20"/>
        </w:rPr>
        <w:t>use for a request under option (1)(B) above</w:t>
      </w:r>
      <w:r>
        <w:rPr>
          <w:rFonts w:ascii="Times New Roman" w:hAnsi="Times New Roman"/>
          <w:sz w:val="20"/>
        </w:rPr>
        <w:t>] to issue, allot, and deposit [</w:t>
      </w:r>
      <w:r>
        <w:rPr>
          <w:rFonts w:ascii="Times New Roman" w:hAnsi="Times New Roman"/>
          <w:i/>
          <w:sz w:val="20"/>
        </w:rPr>
        <w:t>number</w:t>
      </w:r>
      <w:r>
        <w:rPr>
          <w:rFonts w:ascii="Times New Roman" w:hAnsi="Times New Roman"/>
          <w:sz w:val="20"/>
        </w:rPr>
        <w:t xml:space="preserve">]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Warrantholder represents and warrants that this Notice of Subscription has been duly signed and constitutes a valid and binding act to exercise the said 2023 Warrants.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Place and date:</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Name of Warrantholder:</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u w:val="single"/>
              </w:rPr>
            </w:pPr>
            <w:r>
              <w:rPr>
                <w:u w:val="single"/>
              </w:rPr>
              <w:t>                                 </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The above exercise is acknowledged and accepted.</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Place and date:</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MEREO BIOPHARMA GROUP PLC</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u w:val="single"/>
              </w:rPr>
            </w:pPr>
            <w:r>
              <w:rPr>
                <w:u w:val="single"/>
              </w:rPr>
              <w:t>                                 </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2 </w:t>
      </w:r>
    </w:p>
    <w:p>
      <w:pPr>
        <w:pStyle w:val="TextBody"/>
        <w:spacing w:before="0" w:after="0"/>
        <w:jc w:val="center"/>
        <w:rPr>
          <w:rFonts w:ascii="Times New Roman" w:hAnsi="Times New Roman"/>
          <w:b/>
          <w:sz w:val="20"/>
        </w:rPr>
      </w:pPr>
      <w:r>
        <w:rPr>
          <w:rFonts w:ascii="Times New Roman" w:hAnsi="Times New Roman"/>
          <w:b/>
          <w:sz w:val="20"/>
        </w:rPr>
        <w:t xml:space="preserve">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accurate Register will be kept and maintained at all times by the Company at its registered office and there shall be entered in the Register: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names and addresses of the persons for the time being entitled to be registered as the holders of the 2023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2023 Warrants held for the time being by every registered 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name of every registered holder is entered in the Register in respect of the 2023 Warrants in its name.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be entitled to treat each Warrantholder as the absolute owner of a 2023 Warrant and accordingly shall not, except as ordered by a court of competent jurisdiction or as required by law, be bound to recognise any equitable or other claim to or interest in a 2023 Warrant on the part of any other person, whether or not it shall have express or other notice of such a claim.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Warrantholder will be recognised by the Company as entitled to the 2023 Warrants free from any equity, set-off or cross-claim on the part of the Company against the original or any intermediate holder of the 2023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transfer of a 2023 Warrant shall be made by an instrument of transfer in the usual or common form or in any other form which may be approved for the time being by 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of a 2023 Warrant shall be executed by or on behalf of the transferor but need not be executed by or on behalf of the transferee. The transferor shall be deemed to remain the holder of the 2023 Warrant until the name of the transferee is entered in the Register in respect of the 2023 Warrant being transferred.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decline to recognise any instrument of transfer of a 2023 Warrant unless the instrument is deposited at the registered office of the Company accompanied by the Warrant Certificate for the 2023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8</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shall be charged for any registration of a transfer of a 2023 Warrant or for the registration of any other documents which in the opinion of the Directors require registration.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of a transfer shall be conclusive evidence of the approval by the Directors of such a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Warrantholder shall register with the Company an address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notice or other communication given pursuant to the provisions of paragraph 11 of this Schedule 2 shall be deemed to have been served: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0"/>
        <w:gridCol w:w="9735"/>
      </w:tblGrid>
      <w:tr>
        <w:trPr/>
        <w:tc>
          <w:tcPr>
            <w:tcW w:w="470" w:type="dxa"/>
            <w:tcBorders/>
            <w:shd w:fill="auto" w:val="clear"/>
          </w:tcPr>
          <w:p>
            <w:pPr>
              <w:pStyle w:val="TableContents"/>
              <w:spacing w:before="0" w:after="283"/>
              <w:jc w:val="left"/>
              <w:rPr/>
            </w:pPr>
            <w:r>
              <w:rPr/>
              <w:t>12.1</w:t>
            </w:r>
          </w:p>
        </w:tc>
        <w:tc>
          <w:tcPr>
            <w:tcW w:w="973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time of delivery, if delivered personally to the registered address;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283"/>
              <w:jc w:val="left"/>
              <w:rPr/>
            </w:pPr>
            <w:r>
              <w:rPr/>
              <w:t>12.2</w:t>
            </w:r>
          </w:p>
        </w:tc>
        <w:tc>
          <w:tcPr>
            <w:tcW w:w="97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the second Business Day following its posting, if sent by prepaid letter by first class post to an address in the United Kingdom.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notices and other communications with respect to 2023 Warrants standing in the names of joint registered holders shall be given to whichever of such persons is named first in the Register and such notice so given shall be sufficient notice to all the registered holders of such 2023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person who, whether by operation of law, transfer or other means whatsoever, shall become entitled to any 2023 Warrant, shall be bound by every notice in respect of such 2023 Warrant which, prior to its name and address being entered on the Register, shall have been duly given to the person from which it derives its title to such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3 </w:t>
      </w:r>
    </w:p>
    <w:p>
      <w:pPr>
        <w:pStyle w:val="TextBody"/>
        <w:spacing w:before="240" w:after="0"/>
        <w:jc w:val="center"/>
        <w:rPr>
          <w:rFonts w:ascii="Times New Roman" w:hAnsi="Times New Roman"/>
          <w:b/>
          <w:sz w:val="20"/>
        </w:rPr>
      </w:pPr>
      <w:r>
        <w:rPr>
          <w:rFonts w:ascii="Times New Roman" w:hAnsi="Times New Roman"/>
          <w:b/>
          <w:sz w:val="20"/>
        </w:rPr>
        <w:t xml:space="preserve">ADS Issuance and Delivery Instruction </w:t>
      </w:r>
    </w:p>
    <w:p>
      <w:pPr>
        <w:pStyle w:val="TextBody"/>
        <w:spacing w:before="240" w:after="0"/>
        <w:jc w:val="left"/>
        <w:rPr>
          <w:rFonts w:ascii="Times New Roman" w:hAnsi="Times New Roman"/>
          <w:sz w:val="20"/>
        </w:rPr>
      </w:pPr>
      <w:r>
        <w:rPr>
          <w:rFonts w:ascii="Times New Roman" w:hAnsi="Times New Roman"/>
          <w:sz w:val="20"/>
        </w:rPr>
        <w:t xml:space="preserve">[DATE] </w:t>
      </w:r>
    </w:p>
    <w:p>
      <w:pPr>
        <w:pStyle w:val="TextBody"/>
        <w:spacing w:before="0" w:after="0"/>
        <w:jc w:val="left"/>
        <w:rPr>
          <w:rFonts w:ascii="Times New Roman" w:hAnsi="Times New Roman"/>
          <w:sz w:val="20"/>
        </w:rPr>
      </w:pPr>
      <w:r>
        <w:rPr>
          <w:rFonts w:ascii="Times New Roman" w:hAnsi="Times New Roman"/>
          <w:sz w:val="20"/>
        </w:rPr>
        <w:t xml:space="preserve">Citibank, N.A., as Depositary </w:t>
      </w:r>
    </w:p>
    <w:p>
      <w:pPr>
        <w:pStyle w:val="TextBody"/>
        <w:spacing w:before="0" w:after="0"/>
        <w:jc w:val="left"/>
        <w:rPr>
          <w:rFonts w:ascii="Times New Roman" w:hAnsi="Times New Roman"/>
          <w:sz w:val="20"/>
        </w:rPr>
      </w:pPr>
      <w:r>
        <w:rPr>
          <w:rFonts w:ascii="Times New Roman" w:hAnsi="Times New Roman"/>
          <w:sz w:val="20"/>
        </w:rPr>
        <w:t xml:space="preserve">388 Greenwich Street </w:t>
      </w:r>
    </w:p>
    <w:p>
      <w:pPr>
        <w:pStyle w:val="TextBody"/>
        <w:spacing w:before="0" w:after="0"/>
        <w:jc w:val="left"/>
        <w:rPr>
          <w:rFonts w:ascii="Times New Roman" w:hAnsi="Times New Roman"/>
          <w:sz w:val="20"/>
        </w:rPr>
      </w:pPr>
      <w:r>
        <w:rPr>
          <w:rFonts w:ascii="Times New Roman" w:hAnsi="Times New Roman"/>
          <w:sz w:val="20"/>
        </w:rPr>
        <w:t xml:space="preserve">New York, New York 10013 </w:t>
      </w:r>
    </w:p>
    <w:p>
      <w:pPr>
        <w:pStyle w:val="TextBody"/>
        <w:spacing w:before="0" w:after="0"/>
        <w:jc w:val="left"/>
        <w:rPr>
          <w:rFonts w:ascii="Times New Roman" w:hAnsi="Times New Roman"/>
          <w:sz w:val="20"/>
        </w:rPr>
      </w:pPr>
      <w:r>
        <w:rPr>
          <w:rFonts w:ascii="Times New Roman" w:hAnsi="Times New Roman"/>
          <w:sz w:val="20"/>
        </w:rPr>
        <w:t xml:space="preserve">Attn.: Mr. Brian M. Teitelbaum (brian.m.teitelbaum@citi.com) </w:t>
      </w:r>
    </w:p>
    <w:p>
      <w:pPr>
        <w:pStyle w:val="TextBody"/>
        <w:spacing w:before="0" w:after="0"/>
        <w:jc w:val="left"/>
        <w:rPr>
          <w:rFonts w:ascii="Times New Roman" w:hAnsi="Times New Roman"/>
          <w:sz w:val="20"/>
        </w:rPr>
      </w:pPr>
      <w:r>
        <w:rPr>
          <w:rFonts w:ascii="Times New Roman" w:hAnsi="Times New Roman"/>
          <w:sz w:val="20"/>
        </w:rPr>
        <w:t xml:space="preserve">With a copy simultaneously delivered to: </w:t>
      </w:r>
    </w:p>
    <w:p>
      <w:pPr>
        <w:pStyle w:val="TextBody"/>
        <w:spacing w:before="0" w:after="0"/>
        <w:jc w:val="left"/>
        <w:rPr>
          <w:rFonts w:ascii="Times New Roman" w:hAnsi="Times New Roman"/>
          <w:sz w:val="20"/>
        </w:rPr>
      </w:pPr>
      <w:r>
        <w:rPr>
          <w:rFonts w:ascii="Times New Roman" w:hAnsi="Times New Roman"/>
          <w:sz w:val="20"/>
        </w:rPr>
        <w:t xml:space="preserve">Citibank, N.A., London Branch </w:t>
      </w:r>
    </w:p>
    <w:p>
      <w:pPr>
        <w:pStyle w:val="TextBody"/>
        <w:spacing w:before="0" w:after="0"/>
        <w:jc w:val="left"/>
        <w:rPr>
          <w:rFonts w:ascii="Times New Roman" w:hAnsi="Times New Roman"/>
          <w:sz w:val="20"/>
        </w:rPr>
      </w:pPr>
      <w:r>
        <w:rPr>
          <w:rFonts w:ascii="Times New Roman" w:hAnsi="Times New Roman"/>
          <w:sz w:val="20"/>
        </w:rPr>
        <w:t xml:space="preserve">25 Canada Square </w:t>
      </w:r>
    </w:p>
    <w:p>
      <w:pPr>
        <w:pStyle w:val="TextBody"/>
        <w:spacing w:before="0" w:after="0"/>
        <w:jc w:val="left"/>
        <w:rPr>
          <w:rFonts w:ascii="Times New Roman" w:hAnsi="Times New Roman"/>
          <w:sz w:val="20"/>
        </w:rPr>
      </w:pPr>
      <w:r>
        <w:rPr>
          <w:rFonts w:ascii="Times New Roman" w:hAnsi="Times New Roman"/>
          <w:sz w:val="20"/>
        </w:rPr>
        <w:t xml:space="preserve">Canary Wharf </w:t>
      </w:r>
    </w:p>
    <w:p>
      <w:pPr>
        <w:pStyle w:val="TextBody"/>
        <w:spacing w:before="0" w:after="0"/>
        <w:jc w:val="left"/>
        <w:rPr>
          <w:rFonts w:ascii="Times New Roman" w:hAnsi="Times New Roman"/>
          <w:sz w:val="20"/>
        </w:rPr>
      </w:pPr>
      <w:r>
        <w:rPr>
          <w:rFonts w:ascii="Times New Roman" w:hAnsi="Times New Roman"/>
          <w:sz w:val="20"/>
        </w:rPr>
        <w:t xml:space="preserve">London E14 5LB, England </w:t>
      </w:r>
    </w:p>
    <w:p>
      <w:pPr>
        <w:pStyle w:val="TextBody"/>
        <w:spacing w:before="0" w:after="0"/>
        <w:jc w:val="left"/>
        <w:rPr>
          <w:rFonts w:ascii="Times New Roman" w:hAnsi="Times New Roman"/>
          <w:sz w:val="20"/>
        </w:rPr>
      </w:pPr>
      <w:r>
        <w:rPr>
          <w:rFonts w:ascii="Times New Roman" w:hAnsi="Times New Roman"/>
          <w:sz w:val="20"/>
        </w:rPr>
        <w:t xml:space="preserve">Attn.: UK Custody Settlements </w:t>
      </w:r>
    </w:p>
    <w:p>
      <w:pPr>
        <w:pStyle w:val="TextBody"/>
        <w:spacing w:before="0" w:after="0"/>
        <w:jc w:val="left"/>
        <w:rPr>
          <w:rFonts w:ascii="Times New Roman" w:hAnsi="Times New Roman"/>
          <w:sz w:val="20"/>
        </w:rPr>
      </w:pPr>
      <w:r>
        <w:rPr>
          <w:rFonts w:ascii="Times New Roman" w:hAnsi="Times New Roman"/>
          <w:sz w:val="20"/>
        </w:rPr>
        <w:t xml:space="preserve">Custody Team (uksettlements@citi.com) </w:t>
      </w:r>
    </w:p>
    <w:p>
      <w:pPr>
        <w:pStyle w:val="TextBody"/>
        <w:spacing w:before="240" w:after="0"/>
        <w:jc w:val="left"/>
        <w:rPr>
          <w:rFonts w:ascii="Times New Roman" w:hAnsi="Times New Roman"/>
          <w:sz w:val="20"/>
        </w:rPr>
      </w:pPr>
      <w:r>
        <w:rPr>
          <w:rFonts w:ascii="Times New Roman" w:hAnsi="Times New Roman"/>
          <w:sz w:val="20"/>
        </w:rPr>
        <w:t xml:space="preserve">Re: Issuance and Delivery Instruction - Mereo BioPharma Group plc (CUSIP No.: 589492107)  Deposit &amp; Hold </w:t>
      </w:r>
    </w:p>
    <w:p>
      <w:pPr>
        <w:pStyle w:val="TextBody"/>
        <w:spacing w:before="240" w:after="0"/>
        <w:jc w:val="left"/>
        <w:rPr>
          <w:rFonts w:ascii="Times New Roman" w:hAnsi="Times New Roman"/>
          <w:sz w:val="20"/>
        </w:rPr>
      </w:pPr>
      <w:r>
        <w:rPr>
          <w:rFonts w:ascii="Times New Roman" w:hAnsi="Times New Roman"/>
          <w:sz w:val="20"/>
        </w:rPr>
        <w:t xml:space="preserve">Dear Sirs: </w:t>
      </w:r>
    </w:p>
    <w:p>
      <w:pPr>
        <w:pStyle w:val="TextBody"/>
        <w:spacing w:before="240" w:after="0"/>
        <w:jc w:val="left"/>
        <w:rPr>
          <w:rFonts w:ascii="Times New Roman" w:hAnsi="Times New Roman"/>
          <w:sz w:val="20"/>
        </w:rPr>
      </w:pPr>
      <w:r>
        <w:rPr>
          <w:rFonts w:ascii="Times New Roman" w:hAnsi="Times New Roman"/>
          <w:sz w:val="20"/>
        </w:rPr>
        <w:t xml:space="preserve">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 </w:t>
      </w:r>
    </w:p>
    <w:p>
      <w:pPr>
        <w:pStyle w:val="TextBody"/>
        <w:spacing w:before="240" w:after="0"/>
        <w:jc w:val="left"/>
        <w:rPr>
          <w:rFonts w:ascii="Times New Roman" w:hAnsi="Times New Roman"/>
          <w:sz w:val="20"/>
        </w:rPr>
      </w:pPr>
      <w:r>
        <w:rPr>
          <w:rFonts w:ascii="Times New Roman" w:hAnsi="Times New Roman"/>
          <w:sz w:val="20"/>
        </w:rPr>
        <w:t xml:space="preserve">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 </w:t>
      </w:r>
    </w:p>
    <w:p>
      <w:pPr>
        <w:pStyle w:val="TextBody"/>
        <w:spacing w:before="240" w:after="0"/>
        <w:jc w:val="left"/>
        <w:rPr>
          <w:rFonts w:ascii="Times New Roman" w:hAnsi="Times New Roman"/>
          <w:sz w:val="20"/>
        </w:rPr>
      </w:pPr>
      <w:r>
        <w:rPr>
          <w:rFonts w:ascii="Times New Roman" w:hAnsi="Times New Roman"/>
          <w:sz w:val="20"/>
        </w:rPr>
        <w:t xml:space="preserve">(i) to promptly accept for deposit the number of Shares and issue the number of ADSs as specified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726"/>
        <w:gridCol w:w="97"/>
        <w:gridCol w:w="5382"/>
      </w:tblGrid>
      <w:tr>
        <w:trPr/>
        <w:tc>
          <w:tcPr>
            <w:tcW w:w="472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5382" w:type="dxa"/>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tcPr>
          <w:p>
            <w:pPr>
              <w:pStyle w:val="TableContents"/>
              <w:spacing w:before="0" w:after="283"/>
              <w:rPr/>
            </w:pPr>
            <w:r>
              <w:rPr/>
              <w:t>Number of Shares deposited:</w:t>
            </w:r>
          </w:p>
        </w:tc>
        <w:tc>
          <w:tcPr>
            <w:tcW w:w="97" w:type="dxa"/>
            <w:tcBorders/>
            <w:shd w:fill="auto" w:val="clear"/>
            <w:vAlign w:val="bottom"/>
          </w:tcPr>
          <w:p>
            <w:pPr>
              <w:pStyle w:val="TableContents"/>
              <w:spacing w:before="0" w:after="283"/>
              <w:rPr/>
            </w:pPr>
            <w:r>
              <w:rPr/>
              <w:t> </w:t>
            </w:r>
          </w:p>
        </w:tc>
        <w:tc>
          <w:tcPr>
            <w:tcW w:w="5382" w:type="dxa"/>
            <w:tcBorders/>
            <w:shd w:fill="auto" w:val="clear"/>
          </w:tcPr>
          <w:p>
            <w:pPr>
              <w:pStyle w:val="TableContents"/>
              <w:spacing w:before="0" w:after="283"/>
              <w:rPr/>
            </w:pPr>
            <w:r>
              <w:rPr>
                <w:u w:val="single"/>
              </w:rPr>
              <w:t xml:space="preserve">                         </w:t>
            </w:r>
            <w:r>
              <w:rPr/>
              <w:t>Shares</w:t>
            </w:r>
          </w:p>
        </w:tc>
      </w:tr>
      <w:tr>
        <w:trPr>
          <w:trHeight w:val="240" w:hRule="atLeast"/>
        </w:trPr>
        <w:tc>
          <w:tcPr>
            <w:tcW w:w="4726" w:type="dxa"/>
            <w:tcBorders/>
            <w:shd w:fill="auto" w:val="clear"/>
            <w:vAlign w:val="center"/>
          </w:tcPr>
          <w:p>
            <w:pPr>
              <w:pStyle w:val="TableContents"/>
              <w:spacing w:before="0" w:after="283"/>
              <w:rPr>
                <w:sz w:val="4"/>
                <w:szCs w:val="4"/>
              </w:rPr>
            </w:pPr>
            <w:r>
              <w:rPr>
                <w:sz w:val="4"/>
                <w:szCs w:val="4"/>
              </w:rPr>
            </w:r>
          </w:p>
        </w:tc>
        <w:tc>
          <w:tcPr>
            <w:tcW w:w="5479" w:type="dxa"/>
            <w:gridSpan w:val="2"/>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tcPr>
          <w:p>
            <w:pPr>
              <w:pStyle w:val="TableContents"/>
              <w:spacing w:before="0" w:after="283"/>
              <w:rPr/>
            </w:pPr>
            <w:r>
              <w:rPr/>
              <w:t>Number of ADSs (CUSIP No.: 589492107; each ADS representing five (5) Shares to be issued:</w:t>
            </w:r>
          </w:p>
        </w:tc>
        <w:tc>
          <w:tcPr>
            <w:tcW w:w="97" w:type="dxa"/>
            <w:tcBorders/>
            <w:shd w:fill="auto" w:val="clear"/>
            <w:vAlign w:val="bottom"/>
          </w:tcPr>
          <w:p>
            <w:pPr>
              <w:pStyle w:val="TableContents"/>
              <w:spacing w:before="0" w:after="283"/>
              <w:rPr/>
            </w:pPr>
            <w:r>
              <w:rPr/>
              <w:t> </w:t>
            </w:r>
          </w:p>
        </w:tc>
        <w:tc>
          <w:tcPr>
            <w:tcW w:w="5382" w:type="dxa"/>
            <w:tcBorders/>
            <w:shd w:fill="auto" w:val="clear"/>
          </w:tcPr>
          <w:p>
            <w:pPr>
              <w:pStyle w:val="TableContents"/>
              <w:spacing w:before="0" w:after="283"/>
              <w:rPr/>
            </w:pPr>
            <w:r>
              <w:rPr>
                <w:u w:val="single"/>
              </w:rPr>
              <w:t>                         </w:t>
            </w:r>
            <w:r>
              <w:rPr/>
              <w:t>ADSs</w:t>
            </w:r>
          </w:p>
        </w:tc>
      </w:tr>
    </w:tbl>
    <w:p>
      <w:pPr>
        <w:pStyle w:val="TextBody"/>
        <w:spacing w:before="240" w:after="0"/>
        <w:jc w:val="left"/>
        <w:rPr>
          <w:rFonts w:ascii="Times New Roman" w:hAnsi="Times New Roman"/>
          <w:sz w:val="20"/>
        </w:rPr>
      </w:pPr>
      <w:r>
        <w:rPr>
          <w:rFonts w:ascii="Times New Roman" w:hAnsi="Times New Roman"/>
          <w:sz w:val="20"/>
        </w:rPr>
        <w:t xml:space="preserve">and (ii) to promptly deliver such Program ADSs,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24"/>
        <w:gridCol w:w="397"/>
        <w:gridCol w:w="5884"/>
      </w:tblGrid>
      <w:tr>
        <w:trPr/>
        <w:tc>
          <w:tcPr>
            <w:tcW w:w="392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5884" w:type="dxa"/>
            <w:tcBorders/>
            <w:shd w:fill="auto" w:val="clear"/>
            <w:vAlign w:val="center"/>
          </w:tcPr>
          <w:p>
            <w:pPr>
              <w:pStyle w:val="TableContents"/>
              <w:spacing w:before="0" w:after="283"/>
              <w:rPr>
                <w:sz w:val="4"/>
                <w:szCs w:val="4"/>
              </w:rPr>
            </w:pPr>
            <w:r>
              <w:rPr>
                <w:sz w:val="4"/>
                <w:szCs w:val="4"/>
              </w:rPr>
            </w:r>
          </w:p>
        </w:tc>
      </w:tr>
      <w:tr>
        <w:trPr/>
        <w:tc>
          <w:tcPr>
            <w:tcW w:w="3924" w:type="dxa"/>
            <w:tcBorders/>
            <w:shd w:fill="auto" w:val="clear"/>
          </w:tcPr>
          <w:p>
            <w:pPr>
              <w:pStyle w:val="TableContents"/>
              <w:spacing w:before="0" w:after="0"/>
              <w:rPr>
                <w:rFonts w:ascii="Times New Roman" w:hAnsi="Times New Roman"/>
                <w:sz w:val="20"/>
              </w:rPr>
            </w:pPr>
            <w:r>
              <w:rPr>
                <w:rFonts w:ascii="Times New Roman" w:hAnsi="Times New Roman"/>
                <w:sz w:val="20"/>
              </w:rPr>
              <w:t>Name of DTC Participant to which the ADSs are to be delivered:</w:t>
            </w:r>
          </w:p>
          <w:p>
            <w:pPr>
              <w:pStyle w:val="TableContents"/>
              <w:spacing w:before="0" w:after="0"/>
              <w:rPr/>
            </w:pPr>
            <w:r>
              <w:rPr/>
              <w:t> </w:t>
            </w:r>
          </w:p>
          <w:p>
            <w:pPr>
              <w:pStyle w:val="TableContents"/>
              <w:spacing w:before="0" w:after="20"/>
              <w:rPr>
                <w:u w:val="single"/>
              </w:rPr>
            </w:pPr>
            <w:r>
              <w:rPr>
                <w:u w:val="single"/>
              </w:rPr>
              <w:t>                                                             </w:t>
            </w:r>
          </w:p>
        </w:tc>
        <w:tc>
          <w:tcPr>
            <w:tcW w:w="397" w:type="dxa"/>
            <w:tcBorders/>
            <w:shd w:fill="auto" w:val="clear"/>
            <w:vAlign w:val="bottom"/>
          </w:tcPr>
          <w:p>
            <w:pPr>
              <w:pStyle w:val="TableContents"/>
              <w:spacing w:before="0" w:after="283"/>
              <w:rPr/>
            </w:pPr>
            <w:r>
              <w:rPr/>
              <w:t>    </w:t>
            </w:r>
          </w:p>
        </w:tc>
        <w:tc>
          <w:tcPr>
            <w:tcW w:w="5884" w:type="dxa"/>
            <w:tcBorders/>
            <w:shd w:fill="auto" w:val="clear"/>
          </w:tcPr>
          <w:p>
            <w:pPr>
              <w:pStyle w:val="TableContents"/>
              <w:spacing w:before="0" w:after="283"/>
              <w:rPr>
                <w:sz w:val="4"/>
                <w:szCs w:val="4"/>
              </w:rPr>
            </w:pPr>
            <w:r>
              <w:rPr>
                <w:sz w:val="4"/>
                <w:szCs w:val="4"/>
              </w:rPr>
            </w:r>
          </w:p>
        </w:tc>
      </w:tr>
      <w:tr>
        <w:trPr>
          <w:trHeight w:val="240" w:hRule="atLeast"/>
        </w:trPr>
        <w:tc>
          <w:tcPr>
            <w:tcW w:w="3924" w:type="dxa"/>
            <w:tcBorders/>
            <w:shd w:fill="auto" w:val="clear"/>
            <w:vAlign w:val="center"/>
          </w:tcPr>
          <w:p>
            <w:pPr>
              <w:pStyle w:val="TableContents"/>
              <w:spacing w:before="0" w:after="283"/>
              <w:rPr>
                <w:sz w:val="4"/>
                <w:szCs w:val="4"/>
              </w:rPr>
            </w:pPr>
            <w:r>
              <w:rPr>
                <w:sz w:val="4"/>
                <w:szCs w:val="4"/>
              </w:rPr>
            </w:r>
          </w:p>
        </w:tc>
        <w:tc>
          <w:tcPr>
            <w:tcW w:w="6281" w:type="dxa"/>
            <w:gridSpan w:val="2"/>
            <w:tcBorders/>
            <w:shd w:fill="auto" w:val="clear"/>
            <w:vAlign w:val="center"/>
          </w:tcPr>
          <w:p>
            <w:pPr>
              <w:pStyle w:val="TableContents"/>
              <w:spacing w:before="0" w:after="283"/>
              <w:rPr>
                <w:sz w:val="4"/>
                <w:szCs w:val="4"/>
              </w:rPr>
            </w:pPr>
            <w:r>
              <w:rPr>
                <w:sz w:val="4"/>
                <w:szCs w:val="4"/>
              </w:rPr>
            </w:r>
          </w:p>
        </w:tc>
      </w:tr>
      <w:tr>
        <w:trPr/>
        <w:tc>
          <w:tcPr>
            <w:tcW w:w="3924" w:type="dxa"/>
            <w:tcBorders/>
            <w:shd w:fill="auto" w:val="clear"/>
          </w:tcPr>
          <w:p>
            <w:pPr>
              <w:pStyle w:val="TableContents"/>
              <w:spacing w:before="0" w:after="283"/>
              <w:rPr/>
            </w:pPr>
            <w:r>
              <w:rPr/>
              <w:t>DTC Participant Account No.:</w:t>
            </w:r>
          </w:p>
        </w:tc>
        <w:tc>
          <w:tcPr>
            <w:tcW w:w="397" w:type="dxa"/>
            <w:tcBorders/>
            <w:shd w:fill="auto" w:val="clear"/>
            <w:vAlign w:val="bottom"/>
          </w:tcPr>
          <w:p>
            <w:pPr>
              <w:pStyle w:val="TableContents"/>
              <w:spacing w:before="0" w:after="283"/>
              <w:rPr/>
            </w:pPr>
            <w:r>
              <w:rPr/>
              <w:t>    </w:t>
            </w:r>
          </w:p>
        </w:tc>
        <w:tc>
          <w:tcPr>
            <w:tcW w:w="5884" w:type="dxa"/>
            <w:tcBorders/>
            <w:shd w:fill="auto" w:val="clear"/>
          </w:tcPr>
          <w:p>
            <w:pPr>
              <w:pStyle w:val="TableContents"/>
              <w:spacing w:before="0" w:after="0"/>
              <w:rPr>
                <w:u w:val="single"/>
              </w:rPr>
            </w:pPr>
            <w:r>
              <w:rPr>
                <w:u w:val="single"/>
              </w:rPr>
              <w:t>                                                                  </w:t>
            </w:r>
          </w:p>
        </w:tc>
      </w:tr>
      <w:tr>
        <w:trPr>
          <w:trHeight w:val="120" w:hRule="atLeast"/>
        </w:trPr>
        <w:tc>
          <w:tcPr>
            <w:tcW w:w="3924" w:type="dxa"/>
            <w:tcBorders/>
            <w:shd w:fill="auto" w:val="clear"/>
            <w:vAlign w:val="center"/>
          </w:tcPr>
          <w:p>
            <w:pPr>
              <w:pStyle w:val="TableContents"/>
              <w:spacing w:before="0" w:after="283"/>
              <w:rPr>
                <w:sz w:val="4"/>
                <w:szCs w:val="4"/>
              </w:rPr>
            </w:pPr>
            <w:r>
              <w:rPr>
                <w:sz w:val="4"/>
                <w:szCs w:val="4"/>
              </w:rPr>
            </w:r>
          </w:p>
        </w:tc>
        <w:tc>
          <w:tcPr>
            <w:tcW w:w="6281" w:type="dxa"/>
            <w:gridSpan w:val="2"/>
            <w:tcBorders/>
            <w:shd w:fill="auto" w:val="clear"/>
            <w:vAlign w:val="center"/>
          </w:tcPr>
          <w:p>
            <w:pPr>
              <w:pStyle w:val="TableContents"/>
              <w:spacing w:before="0" w:after="283"/>
              <w:rPr>
                <w:sz w:val="4"/>
                <w:szCs w:val="4"/>
              </w:rPr>
            </w:pPr>
            <w:r>
              <w:rPr>
                <w:sz w:val="4"/>
                <w:szCs w:val="4"/>
              </w:rPr>
            </w:r>
          </w:p>
        </w:tc>
      </w:tr>
      <w:tr>
        <w:trPr/>
        <w:tc>
          <w:tcPr>
            <w:tcW w:w="3924" w:type="dxa"/>
            <w:tcBorders/>
            <w:shd w:fill="auto" w:val="clear"/>
          </w:tcPr>
          <w:p>
            <w:pPr>
              <w:pStyle w:val="TableContents"/>
              <w:spacing w:before="0" w:after="283"/>
              <w:rPr/>
            </w:pPr>
            <w:r>
              <w:rPr/>
              <w:t>Account No. for recipient of ADSs at DTC</w:t>
            </w:r>
          </w:p>
        </w:tc>
        <w:tc>
          <w:tcPr>
            <w:tcW w:w="397" w:type="dxa"/>
            <w:tcBorders/>
            <w:shd w:fill="auto" w:val="clear"/>
            <w:vAlign w:val="bottom"/>
          </w:tcPr>
          <w:p>
            <w:pPr>
              <w:pStyle w:val="TableContents"/>
              <w:spacing w:before="0" w:after="283"/>
              <w:rPr/>
            </w:pPr>
            <w:r>
              <w:rPr/>
              <w:t>    </w:t>
            </w:r>
          </w:p>
        </w:tc>
        <w:tc>
          <w:tcPr>
            <w:tcW w:w="5884"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057"/>
        <w:gridCol w:w="127"/>
        <w:gridCol w:w="6021"/>
      </w:tblGrid>
      <w:tr>
        <w:trPr/>
        <w:tc>
          <w:tcPr>
            <w:tcW w:w="405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021" w:type="dxa"/>
            <w:tcBorders/>
            <w:shd w:fill="auto" w:val="clear"/>
            <w:vAlign w:val="center"/>
          </w:tcPr>
          <w:p>
            <w:pPr>
              <w:pStyle w:val="TableContents"/>
              <w:spacing w:before="0" w:after="283"/>
              <w:rPr>
                <w:sz w:val="4"/>
                <w:szCs w:val="4"/>
              </w:rPr>
            </w:pPr>
            <w:r>
              <w:rPr>
                <w:sz w:val="4"/>
                <w:szCs w:val="4"/>
              </w:rPr>
            </w:r>
          </w:p>
        </w:tc>
      </w:tr>
      <w:tr>
        <w:trPr/>
        <w:tc>
          <w:tcPr>
            <w:tcW w:w="4057" w:type="dxa"/>
            <w:tcBorders/>
            <w:shd w:fill="auto" w:val="clear"/>
          </w:tcPr>
          <w:p>
            <w:pPr>
              <w:pStyle w:val="TableContents"/>
              <w:spacing w:before="0" w:after="0"/>
              <w:rPr>
                <w:rFonts w:ascii="Times New Roman" w:hAnsi="Times New Roman"/>
                <w:sz w:val="20"/>
              </w:rPr>
            </w:pPr>
            <w:r>
              <w:rPr>
                <w:rFonts w:ascii="Times New Roman" w:hAnsi="Times New Roman"/>
                <w:sz w:val="20"/>
              </w:rPr>
              <w:t>Participant (f/b/o/ information):</w:t>
            </w:r>
          </w:p>
          <w:p>
            <w:pPr>
              <w:pStyle w:val="TableContents"/>
              <w:spacing w:before="0" w:after="0"/>
              <w:rPr/>
            </w:pPr>
            <w:r>
              <w:rPr/>
              <w:t> </w:t>
            </w:r>
          </w:p>
          <w:p>
            <w:pPr>
              <w:pStyle w:val="TableContents"/>
              <w:spacing w:before="0" w:after="20"/>
              <w:rPr>
                <w:u w:val="single"/>
              </w:rPr>
            </w:pPr>
            <w:r>
              <w:rPr>
                <w:u w:val="single"/>
              </w:rPr>
              <w:t>                                                             </w:t>
            </w:r>
          </w:p>
        </w:tc>
        <w:tc>
          <w:tcPr>
            <w:tcW w:w="127" w:type="dxa"/>
            <w:tcBorders/>
            <w:shd w:fill="auto" w:val="clear"/>
            <w:vAlign w:val="bottom"/>
          </w:tcPr>
          <w:p>
            <w:pPr>
              <w:pStyle w:val="TableContents"/>
              <w:spacing w:before="0" w:after="283"/>
              <w:rPr/>
            </w:pPr>
            <w:r>
              <w:rPr/>
              <w:t>  </w:t>
            </w:r>
          </w:p>
        </w:tc>
        <w:tc>
          <w:tcPr>
            <w:tcW w:w="6021" w:type="dxa"/>
            <w:tcBorders/>
            <w:shd w:fill="auto" w:val="clear"/>
          </w:tcPr>
          <w:p>
            <w:pPr>
              <w:pStyle w:val="TableContents"/>
              <w:spacing w:before="0" w:after="283"/>
              <w:rPr>
                <w:sz w:val="4"/>
                <w:szCs w:val="4"/>
              </w:rPr>
            </w:pPr>
            <w:r>
              <w:rPr>
                <w:sz w:val="4"/>
                <w:szCs w:val="4"/>
              </w:rPr>
            </w:r>
          </w:p>
        </w:tc>
      </w:tr>
      <w:tr>
        <w:trPr>
          <w:trHeight w:val="240" w:hRule="atLeast"/>
        </w:trPr>
        <w:tc>
          <w:tcPr>
            <w:tcW w:w="4057" w:type="dxa"/>
            <w:tcBorders/>
            <w:shd w:fill="auto" w:val="clear"/>
            <w:vAlign w:val="center"/>
          </w:tcPr>
          <w:p>
            <w:pPr>
              <w:pStyle w:val="TableContents"/>
              <w:spacing w:before="0" w:after="283"/>
              <w:rPr>
                <w:sz w:val="4"/>
                <w:szCs w:val="4"/>
              </w:rPr>
            </w:pPr>
            <w:r>
              <w:rPr>
                <w:sz w:val="4"/>
                <w:szCs w:val="4"/>
              </w:rPr>
            </w:r>
          </w:p>
        </w:tc>
        <w:tc>
          <w:tcPr>
            <w:tcW w:w="6148" w:type="dxa"/>
            <w:gridSpan w:val="2"/>
            <w:tcBorders/>
            <w:shd w:fill="auto" w:val="clear"/>
            <w:vAlign w:val="center"/>
          </w:tcPr>
          <w:p>
            <w:pPr>
              <w:pStyle w:val="TableContents"/>
              <w:spacing w:before="0" w:after="283"/>
              <w:rPr>
                <w:sz w:val="4"/>
                <w:szCs w:val="4"/>
              </w:rPr>
            </w:pPr>
            <w:r>
              <w:rPr>
                <w:sz w:val="4"/>
                <w:szCs w:val="4"/>
              </w:rPr>
            </w:r>
          </w:p>
        </w:tc>
      </w:tr>
      <w:tr>
        <w:trPr/>
        <w:tc>
          <w:tcPr>
            <w:tcW w:w="4057" w:type="dxa"/>
            <w:tcBorders/>
            <w:shd w:fill="auto" w:val="clear"/>
          </w:tcPr>
          <w:p>
            <w:pPr>
              <w:pStyle w:val="TableContents"/>
              <w:spacing w:before="0" w:after="0"/>
              <w:rPr>
                <w:rFonts w:ascii="Times New Roman" w:hAnsi="Times New Roman"/>
                <w:sz w:val="20"/>
              </w:rPr>
            </w:pPr>
            <w:r>
              <w:rPr>
                <w:rFonts w:ascii="Times New Roman" w:hAnsi="Times New Roman"/>
                <w:sz w:val="20"/>
              </w:rPr>
              <w:t>Name on whose behalf the above number of ADSs are to be issued and delivered:</w:t>
            </w:r>
          </w:p>
          <w:p>
            <w:pPr>
              <w:pStyle w:val="TableContents"/>
              <w:spacing w:before="0" w:after="0"/>
              <w:rPr/>
            </w:pPr>
            <w:r>
              <w:rPr/>
              <w:t> </w:t>
            </w:r>
          </w:p>
          <w:p>
            <w:pPr>
              <w:pStyle w:val="TableContents"/>
              <w:spacing w:before="0" w:after="20"/>
              <w:rPr>
                <w:u w:val="single"/>
              </w:rPr>
            </w:pPr>
            <w:r>
              <w:rPr>
                <w:u w:val="single"/>
              </w:rPr>
              <w:t>                                                             </w:t>
            </w:r>
          </w:p>
        </w:tc>
        <w:tc>
          <w:tcPr>
            <w:tcW w:w="127" w:type="dxa"/>
            <w:tcBorders/>
            <w:shd w:fill="auto" w:val="clear"/>
            <w:vAlign w:val="bottom"/>
          </w:tcPr>
          <w:p>
            <w:pPr>
              <w:pStyle w:val="TableContents"/>
              <w:spacing w:before="0" w:after="283"/>
              <w:rPr/>
            </w:pPr>
            <w:r>
              <w:rPr/>
              <w:t>  </w:t>
            </w:r>
          </w:p>
        </w:tc>
        <w:tc>
          <w:tcPr>
            <w:tcW w:w="6021" w:type="dxa"/>
            <w:tcBorders/>
            <w:shd w:fill="auto" w:val="clear"/>
          </w:tcPr>
          <w:p>
            <w:pPr>
              <w:pStyle w:val="TableContents"/>
              <w:spacing w:before="0" w:after="283"/>
              <w:rPr>
                <w:sz w:val="4"/>
                <w:szCs w:val="4"/>
              </w:rPr>
            </w:pPr>
            <w:r>
              <w:rPr>
                <w:sz w:val="4"/>
                <w:szCs w:val="4"/>
              </w:rPr>
            </w:r>
          </w:p>
        </w:tc>
      </w:tr>
      <w:tr>
        <w:trPr>
          <w:trHeight w:val="240" w:hRule="atLeast"/>
        </w:trPr>
        <w:tc>
          <w:tcPr>
            <w:tcW w:w="4057" w:type="dxa"/>
            <w:tcBorders/>
            <w:shd w:fill="auto" w:val="clear"/>
            <w:vAlign w:val="center"/>
          </w:tcPr>
          <w:p>
            <w:pPr>
              <w:pStyle w:val="TableContents"/>
              <w:spacing w:before="0" w:after="283"/>
              <w:rPr>
                <w:sz w:val="4"/>
                <w:szCs w:val="4"/>
              </w:rPr>
            </w:pPr>
            <w:r>
              <w:rPr>
                <w:sz w:val="4"/>
                <w:szCs w:val="4"/>
              </w:rPr>
            </w:r>
          </w:p>
        </w:tc>
        <w:tc>
          <w:tcPr>
            <w:tcW w:w="6148" w:type="dxa"/>
            <w:gridSpan w:val="2"/>
            <w:tcBorders/>
            <w:shd w:fill="auto" w:val="clear"/>
            <w:vAlign w:val="center"/>
          </w:tcPr>
          <w:p>
            <w:pPr>
              <w:pStyle w:val="TableContents"/>
              <w:spacing w:before="0" w:after="283"/>
              <w:rPr>
                <w:sz w:val="4"/>
                <w:szCs w:val="4"/>
              </w:rPr>
            </w:pPr>
            <w:r>
              <w:rPr>
                <w:sz w:val="4"/>
                <w:szCs w:val="4"/>
              </w:rPr>
            </w:r>
          </w:p>
        </w:tc>
      </w:tr>
      <w:tr>
        <w:trPr/>
        <w:tc>
          <w:tcPr>
            <w:tcW w:w="4057" w:type="dxa"/>
            <w:tcBorders/>
            <w:shd w:fill="auto" w:val="clear"/>
          </w:tcPr>
          <w:p>
            <w:pPr>
              <w:pStyle w:val="TableContents"/>
              <w:spacing w:before="0" w:after="283"/>
              <w:rPr/>
            </w:pPr>
            <w:r>
              <w:rPr/>
              <w:t>Contact person at DTC Participant:</w:t>
            </w:r>
          </w:p>
        </w:tc>
        <w:tc>
          <w:tcPr>
            <w:tcW w:w="127" w:type="dxa"/>
            <w:tcBorders/>
            <w:shd w:fill="auto" w:val="clear"/>
            <w:vAlign w:val="bottom"/>
          </w:tcPr>
          <w:p>
            <w:pPr>
              <w:pStyle w:val="TableContents"/>
              <w:spacing w:before="0" w:after="283"/>
              <w:rPr/>
            </w:pPr>
            <w:r>
              <w:rPr/>
              <w:t>  </w:t>
            </w:r>
          </w:p>
        </w:tc>
        <w:tc>
          <w:tcPr>
            <w:tcW w:w="6021" w:type="dxa"/>
            <w:tcBorders/>
            <w:shd w:fill="auto" w:val="clear"/>
          </w:tcPr>
          <w:p>
            <w:pPr>
              <w:pStyle w:val="TableContents"/>
              <w:spacing w:before="0" w:after="0"/>
              <w:rPr>
                <w:u w:val="single"/>
              </w:rPr>
            </w:pPr>
            <w:r>
              <w:rPr>
                <w:u w:val="single"/>
              </w:rPr>
              <w:t>                                                                  </w:t>
            </w:r>
          </w:p>
        </w:tc>
      </w:tr>
      <w:tr>
        <w:trPr>
          <w:trHeight w:val="120" w:hRule="atLeast"/>
        </w:trPr>
        <w:tc>
          <w:tcPr>
            <w:tcW w:w="4057" w:type="dxa"/>
            <w:tcBorders/>
            <w:shd w:fill="auto" w:val="clear"/>
            <w:vAlign w:val="center"/>
          </w:tcPr>
          <w:p>
            <w:pPr>
              <w:pStyle w:val="TableContents"/>
              <w:spacing w:before="0" w:after="283"/>
              <w:rPr>
                <w:sz w:val="4"/>
                <w:szCs w:val="4"/>
              </w:rPr>
            </w:pPr>
            <w:r>
              <w:rPr>
                <w:sz w:val="4"/>
                <w:szCs w:val="4"/>
              </w:rPr>
            </w:r>
          </w:p>
        </w:tc>
        <w:tc>
          <w:tcPr>
            <w:tcW w:w="6148" w:type="dxa"/>
            <w:gridSpan w:val="2"/>
            <w:tcBorders/>
            <w:shd w:fill="auto" w:val="clear"/>
            <w:vAlign w:val="center"/>
          </w:tcPr>
          <w:p>
            <w:pPr>
              <w:pStyle w:val="TableContents"/>
              <w:spacing w:before="0" w:after="283"/>
              <w:rPr>
                <w:sz w:val="4"/>
                <w:szCs w:val="4"/>
              </w:rPr>
            </w:pPr>
            <w:r>
              <w:rPr>
                <w:sz w:val="4"/>
                <w:szCs w:val="4"/>
              </w:rPr>
            </w:r>
          </w:p>
        </w:tc>
      </w:tr>
      <w:tr>
        <w:trPr/>
        <w:tc>
          <w:tcPr>
            <w:tcW w:w="4057" w:type="dxa"/>
            <w:tcBorders/>
            <w:shd w:fill="auto" w:val="clear"/>
          </w:tcPr>
          <w:p>
            <w:pPr>
              <w:pStyle w:val="TableContents"/>
              <w:spacing w:before="0" w:after="283"/>
              <w:rPr/>
            </w:pPr>
            <w:r>
              <w:rPr/>
              <w:t>Daytime telephone number of contact person at</w:t>
            </w:r>
          </w:p>
        </w:tc>
        <w:tc>
          <w:tcPr>
            <w:tcW w:w="127" w:type="dxa"/>
            <w:tcBorders/>
            <w:shd w:fill="auto" w:val="clear"/>
            <w:vAlign w:val="bottom"/>
          </w:tcPr>
          <w:p>
            <w:pPr>
              <w:pStyle w:val="TableContents"/>
              <w:spacing w:before="0" w:after="283"/>
              <w:rPr/>
            </w:pPr>
            <w:r>
              <w:rPr/>
              <w:t>  </w:t>
            </w:r>
          </w:p>
        </w:tc>
        <w:tc>
          <w:tcPr>
            <w:tcW w:w="6021" w:type="dxa"/>
            <w:tcBorders/>
            <w:shd w:fill="auto" w:val="clear"/>
          </w:tcPr>
          <w:p>
            <w:pPr>
              <w:pStyle w:val="TableContents"/>
              <w:spacing w:before="0" w:after="283"/>
              <w:rPr>
                <w:sz w:val="4"/>
                <w:szCs w:val="4"/>
              </w:rPr>
            </w:pPr>
            <w:r>
              <w:rPr>
                <w:sz w:val="4"/>
                <w:szCs w:val="4"/>
              </w:rPr>
            </w:r>
          </w:p>
        </w:tc>
      </w:tr>
      <w:tr>
        <w:trPr>
          <w:trHeight w:val="120" w:hRule="atLeast"/>
        </w:trPr>
        <w:tc>
          <w:tcPr>
            <w:tcW w:w="4057" w:type="dxa"/>
            <w:tcBorders/>
            <w:shd w:fill="auto" w:val="clear"/>
            <w:vAlign w:val="center"/>
          </w:tcPr>
          <w:p>
            <w:pPr>
              <w:pStyle w:val="TableContents"/>
              <w:spacing w:before="0" w:after="283"/>
              <w:rPr>
                <w:sz w:val="4"/>
                <w:szCs w:val="4"/>
              </w:rPr>
            </w:pPr>
            <w:r>
              <w:rPr>
                <w:sz w:val="4"/>
                <w:szCs w:val="4"/>
              </w:rPr>
            </w:r>
          </w:p>
        </w:tc>
        <w:tc>
          <w:tcPr>
            <w:tcW w:w="6148" w:type="dxa"/>
            <w:gridSpan w:val="2"/>
            <w:tcBorders/>
            <w:shd w:fill="auto" w:val="clear"/>
            <w:vAlign w:val="center"/>
          </w:tcPr>
          <w:p>
            <w:pPr>
              <w:pStyle w:val="TableContents"/>
              <w:spacing w:before="0" w:after="283"/>
              <w:rPr>
                <w:sz w:val="4"/>
                <w:szCs w:val="4"/>
              </w:rPr>
            </w:pPr>
            <w:r>
              <w:rPr>
                <w:sz w:val="4"/>
                <w:szCs w:val="4"/>
              </w:rPr>
            </w:r>
          </w:p>
        </w:tc>
      </w:tr>
      <w:tr>
        <w:trPr/>
        <w:tc>
          <w:tcPr>
            <w:tcW w:w="4057" w:type="dxa"/>
            <w:tcBorders/>
            <w:shd w:fill="auto" w:val="clear"/>
          </w:tcPr>
          <w:p>
            <w:pPr>
              <w:pStyle w:val="TableContents"/>
              <w:spacing w:before="0" w:after="283"/>
              <w:rPr/>
            </w:pPr>
            <w:r>
              <w:rPr/>
              <w:t>DTC:</w:t>
            </w:r>
          </w:p>
        </w:tc>
        <w:tc>
          <w:tcPr>
            <w:tcW w:w="127" w:type="dxa"/>
            <w:tcBorders/>
            <w:shd w:fill="auto" w:val="clear"/>
            <w:vAlign w:val="bottom"/>
          </w:tcPr>
          <w:p>
            <w:pPr>
              <w:pStyle w:val="TableContents"/>
              <w:spacing w:before="0" w:after="283"/>
              <w:rPr/>
            </w:pPr>
            <w:r>
              <w:rPr/>
              <w:t>  </w:t>
            </w:r>
          </w:p>
        </w:tc>
        <w:tc>
          <w:tcPr>
            <w:tcW w:w="6021" w:type="dxa"/>
            <w:tcBorders/>
            <w:shd w:fill="auto" w:val="clear"/>
          </w:tcPr>
          <w:p>
            <w:pPr>
              <w:pStyle w:val="TableContents"/>
              <w:spacing w:before="0" w:after="0"/>
              <w:rPr>
                <w:u w:val="single"/>
              </w:rPr>
            </w:pPr>
            <w:r>
              <w:rPr>
                <w:u w:val="single"/>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hereby confirms and certifies that (A) the above Shares represented by ADSs may be resold without registration under the Securities Act of 1933, as amended (the Securities Act) pursuant to an exemption from the registration requirements of the Securities Act, or (B) a registration statement (the Registration Statement) has been filed with the U.S. Securities and Exchange Commission (the Commission) to register the resale of the above Shares represented by ADSs and is effective under the Securities Act and no stop order suspending the effectiveness of the Registration Statement has been issued and no proceedings for such purpose have been instituted or are pending or, to the best knowledge of the Company, are contemplated or threatened by the Commission, and such ADSs will be freely transferable following the issuance thereof by the Depositary, and there are no legal restrictions on subsequent transfers of the ADSs to be issued hereunder under the laws of England and Wales or the United States. </w:t>
      </w:r>
    </w:p>
    <w:p>
      <w:pPr>
        <w:pStyle w:val="TextBody"/>
        <w:spacing w:before="240" w:after="0"/>
        <w:jc w:val="left"/>
        <w:rPr>
          <w:rFonts w:ascii="Times New Roman" w:hAnsi="Times New Roman"/>
          <w:sz w:val="20"/>
        </w:rPr>
      </w:pPr>
      <w:r>
        <w:rPr>
          <w:rFonts w:ascii="Times New Roman" w:hAnsi="Times New Roman"/>
          <w:sz w:val="20"/>
        </w:rPr>
        <w:t xml:space="preserve">The Holder hereby represents and covenants to, and for the benefit of, the Depositary and Citibank, N.A. - 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 </w:t>
      </w:r>
    </w:p>
    <w:p>
      <w:pPr>
        <w:pStyle w:val="TextBody"/>
        <w:spacing w:before="240" w:after="0"/>
        <w:jc w:val="left"/>
        <w:rPr>
          <w:rFonts w:ascii="Times New Roman" w:hAnsi="Times New Roman"/>
          <w:sz w:val="20"/>
        </w:rPr>
      </w:pPr>
      <w:r>
        <w:rPr>
          <w:rFonts w:ascii="Times New Roman" w:hAnsi="Times New Roman"/>
          <w:sz w:val="20"/>
        </w:rPr>
        <w:t xml:space="preserve">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96"/>
        <w:gridCol w:w="111"/>
        <w:gridCol w:w="4107"/>
        <w:gridCol w:w="111"/>
        <w:gridCol w:w="351"/>
        <w:gridCol w:w="60"/>
        <w:gridCol w:w="23"/>
        <w:gridCol w:w="111"/>
        <w:gridCol w:w="597"/>
        <w:gridCol w:w="110"/>
        <w:gridCol w:w="4028"/>
      </w:tblGrid>
      <w:tr>
        <w:trPr/>
        <w:tc>
          <w:tcPr>
            <w:tcW w:w="59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10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028"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auto" w:val="clear"/>
            <w:vAlign w:val="bottom"/>
          </w:tcPr>
          <w:p>
            <w:pPr>
              <w:pStyle w:val="TableContents"/>
              <w:spacing w:before="0" w:after="283"/>
              <w:rPr/>
            </w:pPr>
            <w:r>
              <w:rPr/>
              <w:t>[HOLDER]</w:t>
            </w:r>
          </w:p>
        </w:tc>
        <w:tc>
          <w:tcPr>
            <w:tcW w:w="111"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735" w:type="dxa"/>
            <w:gridSpan w:val="3"/>
            <w:tcBorders/>
            <w:shd w:fill="auto" w:val="clear"/>
            <w:vAlign w:val="bottom"/>
          </w:tcPr>
          <w:p>
            <w:pPr>
              <w:pStyle w:val="TableContents"/>
              <w:spacing w:before="0" w:after="283"/>
              <w:rPr/>
            </w:pPr>
            <w:r>
              <w:rPr/>
              <w:t>MEREO BIOPHARMA GROUP PLC</w:t>
            </w:r>
          </w:p>
        </w:tc>
      </w:tr>
      <w:tr>
        <w:trPr>
          <w:trHeight w:val="240" w:hRule="atLeast"/>
        </w:trPr>
        <w:tc>
          <w:tcPr>
            <w:tcW w:w="596"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462"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4138" w:type="dxa"/>
            <w:gridSpan w:val="2"/>
            <w:tcBorders/>
            <w:shd w:fill="auto" w:val="clear"/>
            <w:vAlign w:val="center"/>
          </w:tcPr>
          <w:p>
            <w:pPr>
              <w:pStyle w:val="TableContents"/>
              <w:spacing w:before="0" w:after="283"/>
              <w:rPr>
                <w:sz w:val="4"/>
                <w:szCs w:val="4"/>
              </w:rPr>
            </w:pPr>
            <w:r>
              <w:rPr>
                <w:sz w:val="4"/>
                <w:szCs w:val="4"/>
              </w:rPr>
            </w:r>
          </w:p>
        </w:tc>
      </w:tr>
      <w:tr>
        <w:trPr/>
        <w:tc>
          <w:tcPr>
            <w:tcW w:w="596" w:type="dxa"/>
            <w:tcBorders/>
            <w:shd w:fill="auto" w:val="clear"/>
            <w:vAlign w:val="bottom"/>
          </w:tcPr>
          <w:p>
            <w:pPr>
              <w:pStyle w:val="TableContents"/>
              <w:spacing w:before="0" w:after="283"/>
              <w:rPr/>
            </w:pPr>
            <w:r>
              <w:rPr/>
              <w:t>By:</w:t>
            </w:r>
          </w:p>
        </w:tc>
        <w:tc>
          <w:tcPr>
            <w:tcW w:w="111" w:type="dxa"/>
            <w:tcBorders/>
            <w:shd w:fill="auto" w:val="clear"/>
            <w:vAlign w:val="bottom"/>
          </w:tcPr>
          <w:p>
            <w:pPr>
              <w:pStyle w:val="TableContents"/>
              <w:spacing w:before="0" w:after="283"/>
              <w:rPr/>
            </w:pPr>
            <w:r>
              <w:rPr/>
              <w:t> </w:t>
            </w:r>
          </w:p>
        </w:tc>
        <w:tc>
          <w:tcPr>
            <w:tcW w:w="4107" w:type="dxa"/>
            <w:tcBorders/>
            <w:shd w:fill="auto" w:val="clear"/>
            <w:vAlign w:val="bottom"/>
          </w:tcPr>
          <w:p>
            <w:pPr>
              <w:pStyle w:val="TableContents"/>
              <w:pBdr>
                <w:bottom w:val="single" w:sz="2" w:space="1" w:color="000000"/>
              </w:pBdr>
              <w:spacing w:before="0" w:after="20"/>
              <w:rPr/>
            </w:pPr>
            <w:r>
              <w:rPr/>
              <w:t xml:space="preserve">                     </w:t>
            </w:r>
          </w:p>
        </w:tc>
        <w:tc>
          <w:tcPr>
            <w:tcW w:w="111"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By:</w:t>
            </w:r>
          </w:p>
        </w:tc>
        <w:tc>
          <w:tcPr>
            <w:tcW w:w="110" w:type="dxa"/>
            <w:tcBorders/>
            <w:shd w:fill="auto" w:val="clear"/>
            <w:vAlign w:val="bottom"/>
          </w:tcPr>
          <w:p>
            <w:pPr>
              <w:pStyle w:val="TableContents"/>
              <w:spacing w:before="0" w:after="283"/>
              <w:rPr/>
            </w:pPr>
            <w:r>
              <w:rPr/>
              <w:t> </w:t>
            </w:r>
          </w:p>
        </w:tc>
        <w:tc>
          <w:tcPr>
            <w:tcW w:w="4028" w:type="dxa"/>
            <w:tcBorders/>
            <w:shd w:fill="auto" w:val="clear"/>
            <w:vAlign w:val="bottom"/>
          </w:tcPr>
          <w:p>
            <w:pPr>
              <w:pStyle w:val="TableContents"/>
              <w:pBdr>
                <w:bottom w:val="single" w:sz="2" w:space="1" w:color="000000"/>
              </w:pBdr>
              <w:spacing w:before="0" w:after="20"/>
              <w:rPr/>
            </w:pPr>
            <w:r>
              <w:rPr/>
              <w:t xml:space="preserve">                     </w:t>
            </w:r>
          </w:p>
        </w:tc>
      </w:tr>
      <w:tr>
        <w:trPr/>
        <w:tc>
          <w:tcPr>
            <w:tcW w:w="596" w:type="dxa"/>
            <w:tcBorders/>
            <w:shd w:fill="auto" w:val="clear"/>
            <w:vAlign w:val="bottom"/>
          </w:tcPr>
          <w:p>
            <w:pPr>
              <w:pStyle w:val="TableContents"/>
              <w:spacing w:before="0" w:after="283"/>
              <w:rPr/>
            </w:pPr>
            <w:r>
              <w:rPr/>
              <w:t>Name:</w:t>
            </w:r>
          </w:p>
        </w:tc>
        <w:tc>
          <w:tcPr>
            <w:tcW w:w="111" w:type="dxa"/>
            <w:tcBorders/>
            <w:shd w:fill="auto" w:val="clear"/>
            <w:vAlign w:val="bottom"/>
          </w:tcPr>
          <w:p>
            <w:pPr>
              <w:pStyle w:val="TableContents"/>
              <w:spacing w:before="0" w:after="283"/>
              <w:rPr/>
            </w:pPr>
            <w:r>
              <w:rPr/>
              <w:t> </w:t>
            </w:r>
          </w:p>
        </w:tc>
        <w:tc>
          <w:tcPr>
            <w:tcW w:w="410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Name:</w:t>
            </w:r>
          </w:p>
        </w:tc>
        <w:tc>
          <w:tcPr>
            <w:tcW w:w="110" w:type="dxa"/>
            <w:tcBorders/>
            <w:shd w:fill="auto" w:val="clear"/>
            <w:vAlign w:val="bottom"/>
          </w:tcPr>
          <w:p>
            <w:pPr>
              <w:pStyle w:val="TableContents"/>
              <w:spacing w:before="0" w:after="283"/>
              <w:rPr/>
            </w:pPr>
            <w:r>
              <w:rPr/>
              <w:t> </w:t>
            </w:r>
          </w:p>
        </w:tc>
        <w:tc>
          <w:tcPr>
            <w:tcW w:w="4028" w:type="dxa"/>
            <w:tcBorders/>
            <w:shd w:fill="auto" w:val="clear"/>
            <w:vAlign w:val="bottom"/>
          </w:tcPr>
          <w:p>
            <w:pPr>
              <w:pStyle w:val="TableContents"/>
              <w:spacing w:before="0" w:after="283"/>
              <w:rPr>
                <w:sz w:val="4"/>
                <w:szCs w:val="4"/>
              </w:rPr>
            </w:pPr>
            <w:r>
              <w:rPr>
                <w:sz w:val="4"/>
                <w:szCs w:val="4"/>
              </w:rPr>
            </w:r>
          </w:p>
        </w:tc>
      </w:tr>
      <w:tr>
        <w:trPr/>
        <w:tc>
          <w:tcPr>
            <w:tcW w:w="596" w:type="dxa"/>
            <w:tcBorders/>
            <w:shd w:fill="auto" w:val="clear"/>
            <w:vAlign w:val="bottom"/>
          </w:tcPr>
          <w:p>
            <w:pPr>
              <w:pStyle w:val="TableContents"/>
              <w:spacing w:before="0" w:after="283"/>
              <w:rPr/>
            </w:pPr>
            <w:r>
              <w:rPr/>
              <w:t>Title:</w:t>
            </w:r>
          </w:p>
        </w:tc>
        <w:tc>
          <w:tcPr>
            <w:tcW w:w="111" w:type="dxa"/>
            <w:tcBorders/>
            <w:shd w:fill="auto" w:val="clear"/>
            <w:vAlign w:val="bottom"/>
          </w:tcPr>
          <w:p>
            <w:pPr>
              <w:pStyle w:val="TableContents"/>
              <w:spacing w:before="0" w:after="283"/>
              <w:rPr/>
            </w:pPr>
            <w:r>
              <w:rPr/>
              <w:t> </w:t>
            </w:r>
          </w:p>
        </w:tc>
        <w:tc>
          <w:tcPr>
            <w:tcW w:w="410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Title:</w:t>
            </w:r>
          </w:p>
        </w:tc>
        <w:tc>
          <w:tcPr>
            <w:tcW w:w="110" w:type="dxa"/>
            <w:tcBorders/>
            <w:shd w:fill="auto" w:val="clear"/>
            <w:vAlign w:val="bottom"/>
          </w:tcPr>
          <w:p>
            <w:pPr>
              <w:pStyle w:val="TableContents"/>
              <w:spacing w:before="0" w:after="283"/>
              <w:rPr/>
            </w:pPr>
            <w:r>
              <w:rPr/>
              <w:t> </w:t>
            </w:r>
          </w:p>
        </w:tc>
        <w:tc>
          <w:tcPr>
            <w:tcW w:w="402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PAGE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262"/>
        <w:gridCol w:w="121"/>
        <w:gridCol w:w="5822"/>
      </w:tblGrid>
      <w:tr>
        <w:trPr/>
        <w:tc>
          <w:tcPr>
            <w:tcW w:w="42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822" w:type="dxa"/>
            <w:tcBorders/>
            <w:shd w:fill="auto" w:val="clear"/>
            <w:vAlign w:val="center"/>
          </w:tcPr>
          <w:p>
            <w:pPr>
              <w:pStyle w:val="TableContents"/>
              <w:spacing w:before="0" w:after="283"/>
              <w:rPr>
                <w:sz w:val="4"/>
                <w:szCs w:val="4"/>
              </w:rPr>
            </w:pPr>
            <w:r>
              <w:rPr>
                <w:sz w:val="4"/>
                <w:szCs w:val="4"/>
              </w:rPr>
            </w:r>
          </w:p>
        </w:tc>
      </w:tr>
      <w:tr>
        <w:trPr/>
        <w:tc>
          <w:tcPr>
            <w:tcW w:w="4262" w:type="dxa"/>
            <w:tcBorders/>
            <w:shd w:fill="auto" w:val="clear"/>
          </w:tcPr>
          <w:p>
            <w:pPr>
              <w:pStyle w:val="TableContents"/>
              <w:spacing w:before="0" w:after="0"/>
              <w:rPr>
                <w:rFonts w:ascii="Times New Roman" w:hAnsi="Times New Roman"/>
                <w:sz w:val="20"/>
              </w:rPr>
            </w:pPr>
            <w:r>
              <w:rPr>
                <w:rFonts w:ascii="Times New Roman" w:hAnsi="Times New Roman"/>
                <w:sz w:val="20"/>
              </w:rPr>
              <w:t>Executed as a </w:t>
            </w:r>
            <w:r>
              <w:rPr>
                <w:rFonts w:ascii="Times New Roman" w:hAnsi="Times New Roman"/>
                <w:b/>
                <w:sz w:val="20"/>
              </w:rPr>
              <w:t>DEED</w:t>
            </w:r>
            <w:r>
              <w:rPr>
                <w:rFonts w:ascii="Times New Roman" w:hAnsi="Times New Roman"/>
                <w:sz w:val="20"/>
              </w:rPr>
              <w:t>, but not delivered until the date specified on this instrument, by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b/>
                <w:sz w:val="20"/>
              </w:rPr>
              <w:t xml:space="preserve">MEREO BIOPHARMA GROUP PLC </w:t>
            </w:r>
            <w:r>
              <w:rPr>
                <w:rFonts w:ascii="Times New Roman" w:hAnsi="Times New Roman"/>
                <w:sz w:val="20"/>
              </w:rPr>
              <w:br/>
              <w:t>acting by</w:t>
            </w:r>
          </w:p>
          <w:p>
            <w:pPr>
              <w:pStyle w:val="TableContents"/>
              <w:spacing w:before="0" w:after="0"/>
              <w:rPr/>
            </w:pPr>
            <w:r>
              <w:rPr/>
              <w:t> </w:t>
            </w:r>
          </w:p>
          <w:p>
            <w:pPr>
              <w:pStyle w:val="TableContents"/>
              <w:spacing w:before="0" w:after="0"/>
              <w:rPr>
                <w:u w:val="single"/>
              </w:rPr>
            </w:pPr>
            <w:r>
              <w:rPr>
                <w:u w:val="single"/>
              </w:rPr>
              <w:t>                                 </w:t>
            </w:r>
          </w:p>
          <w:p>
            <w:pPr>
              <w:pStyle w:val="TableContents"/>
              <w:spacing w:before="0" w:after="0"/>
              <w:rPr>
                <w:rFonts w:ascii="Times New Roman" w:hAnsi="Times New Roman"/>
                <w:sz w:val="20"/>
              </w:rPr>
            </w:pPr>
            <w:r>
              <w:rPr>
                <w:rFonts w:ascii="Times New Roman" w:hAnsi="Times New Roman"/>
                <w:sz w:val="20"/>
              </w:rPr>
              <w:t>Director</w:t>
            </w:r>
          </w:p>
          <w:p>
            <w:pPr>
              <w:pStyle w:val="TableContents"/>
              <w:spacing w:before="0" w:after="0"/>
              <w:rPr/>
            </w:pPr>
            <w:r>
              <w:rPr/>
              <w:t> </w:t>
            </w:r>
          </w:p>
          <w:p>
            <w:pPr>
              <w:pStyle w:val="TableContents"/>
              <w:spacing w:before="0" w:after="0"/>
              <w:rPr>
                <w:u w:val="single"/>
              </w:rPr>
            </w:pPr>
            <w:r>
              <w:rPr>
                <w:u w:val="single"/>
              </w:rPr>
              <w:t>                                 </w:t>
            </w:r>
          </w:p>
          <w:p>
            <w:pPr>
              <w:pStyle w:val="TableContents"/>
              <w:spacing w:before="0" w:after="20"/>
              <w:rPr>
                <w:rFonts w:ascii="Times New Roman" w:hAnsi="Times New Roman"/>
                <w:sz w:val="20"/>
              </w:rPr>
            </w:pPr>
            <w:r>
              <w:rPr>
                <w:rFonts w:ascii="Times New Roman" w:hAnsi="Times New Roman"/>
                <w:sz w:val="20"/>
              </w:rPr>
              <w:t>Director/Company Secretary</w:t>
            </w:r>
          </w:p>
        </w:tc>
        <w:tc>
          <w:tcPr>
            <w:tcW w:w="121" w:type="dxa"/>
            <w:tcBorders/>
            <w:shd w:fill="auto" w:val="clear"/>
            <w:vAlign w:val="bottom"/>
          </w:tcPr>
          <w:p>
            <w:pPr>
              <w:pStyle w:val="TableContents"/>
              <w:spacing w:before="0" w:after="283"/>
              <w:rPr/>
            </w:pPr>
            <w:r>
              <w:rPr/>
              <w:t>  </w:t>
            </w:r>
          </w:p>
        </w:tc>
        <w:tc>
          <w:tcPr>
            <w:tcW w:w="5822"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u w:val="single"/>
              </w:rPr>
              <w:t>                                 </w:t>
            </w:r>
            <w:r>
              <w:rPr>
                <w:rFonts w:ascii="Times New Roman" w:hAnsi="Times New Roman"/>
                <w:i/>
                <w:sz w:val="20"/>
              </w:rPr>
              <w:t>Director</w:t>
            </w:r>
          </w:p>
          <w:p>
            <w:pPr>
              <w:pStyle w:val="TableContents"/>
              <w:spacing w:before="0" w:after="0"/>
              <w:rPr/>
            </w:pPr>
            <w:r>
              <w:rPr/>
              <w:t> </w:t>
            </w:r>
          </w:p>
          <w:p>
            <w:pPr>
              <w:pStyle w:val="TableContents"/>
              <w:spacing w:before="0" w:after="0"/>
              <w:rPr/>
            </w:pPr>
            <w:r>
              <w:rPr/>
              <w:t>    </w:t>
            </w:r>
          </w:p>
          <w:p>
            <w:pPr>
              <w:pStyle w:val="TableContents"/>
              <w:spacing w:before="0" w:after="20"/>
              <w:rPr/>
            </w:pPr>
            <w:r>
              <w:rPr>
                <w:u w:val="single"/>
              </w:rPr>
              <w:t>                                 </w:t>
            </w:r>
            <w:r>
              <w:rPr>
                <w:rFonts w:ascii="Times New Roman" w:hAnsi="Times New Roman"/>
                <w:i/>
                <w:sz w:val="20"/>
              </w:rPr>
              <w:t>Director/Company Secretary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TextBody"/>
        <w:spacing w:before="0" w:after="0"/>
        <w:jc w:val="right"/>
        <w:rPr>
          <w:rFonts w:ascii="Times New Roman" w:hAnsi="Times New Roman"/>
          <w:b/>
          <w:sz w:val="24"/>
        </w:rPr>
      </w:pPr>
      <w:bookmarkStart w:id="43" w:name="d430075dex81.htm"/>
      <w:bookmarkStart w:id="44" w:name="ksd430075dex81"/>
      <w:bookmarkEnd w:id="43"/>
      <w:bookmarkEnd w:id="44"/>
      <w:r>
        <w:rPr>
          <w:rFonts w:ascii="Times New Roman" w:hAnsi="Times New Roman"/>
          <w:b/>
          <w:sz w:val="24"/>
        </w:rPr>
        <w:t xml:space="preserve">Exhibit 8.1 </w:t>
      </w:r>
    </w:p>
    <w:p>
      <w:pPr>
        <w:pStyle w:val="TextBody"/>
        <w:spacing w:before="240" w:after="0"/>
        <w:jc w:val="center"/>
        <w:rPr>
          <w:rFonts w:ascii="Times New Roman" w:hAnsi="Times New Roman"/>
          <w:b/>
          <w:sz w:val="24"/>
        </w:rPr>
      </w:pPr>
      <w:r>
        <w:rPr>
          <w:rFonts w:ascii="Times New Roman" w:hAnsi="Times New Roman"/>
          <w:b/>
          <w:sz w:val="24"/>
        </w:rPr>
        <w:t xml:space="preserve">Subsidiaries of Mereo BioPharma Group plc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335"/>
        <w:gridCol w:w="205"/>
        <w:gridCol w:w="1665"/>
      </w:tblGrid>
      <w:tr>
        <w:trPr/>
        <w:tc>
          <w:tcPr>
            <w:tcW w:w="833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r>
      <w:tr>
        <w:trPr/>
        <w:tc>
          <w:tcPr>
            <w:tcW w:w="833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Legal Name of Subsidiary</w:t>
            </w:r>
          </w:p>
        </w:tc>
        <w:tc>
          <w:tcPr>
            <w:tcW w:w="205" w:type="dxa"/>
            <w:tcBorders/>
            <w:shd w:fill="auto" w:val="clear"/>
            <w:vAlign w:val="bottom"/>
          </w:tcPr>
          <w:p>
            <w:pPr>
              <w:pStyle w:val="TableContents"/>
              <w:spacing w:before="0" w:after="283"/>
              <w:rPr/>
            </w:pPr>
            <w:r>
              <w:rPr/>
              <w:t>  </w:t>
            </w:r>
          </w:p>
        </w:tc>
        <w:tc>
          <w:tcPr>
            <w:tcW w:w="1665"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Jurisdiction of</w:t>
            </w:r>
          </w:p>
          <w:p>
            <w:pPr>
              <w:pStyle w:val="TableContents"/>
              <w:spacing w:before="0" w:after="20"/>
              <w:jc w:val="center"/>
              <w:rPr>
                <w:rFonts w:ascii="Times New Roman" w:hAnsi="Times New Roman"/>
                <w:b/>
                <w:sz w:val="16"/>
              </w:rPr>
            </w:pPr>
            <w:r>
              <w:rPr>
                <w:rFonts w:ascii="Times New Roman" w:hAnsi="Times New Roman"/>
                <w:b/>
                <w:sz w:val="16"/>
              </w:rPr>
              <w:t>Organization</w:t>
            </w:r>
          </w:p>
        </w:tc>
      </w:tr>
      <w:tr>
        <w:trPr/>
        <w:tc>
          <w:tcPr>
            <w:tcW w:w="8335" w:type="dxa"/>
            <w:tcBorders/>
            <w:shd w:fill="auto" w:val="clear"/>
          </w:tcPr>
          <w:p>
            <w:pPr>
              <w:pStyle w:val="TableContents"/>
              <w:spacing w:before="0" w:after="283"/>
              <w:rPr>
                <w:sz w:val="24"/>
              </w:rPr>
            </w:pPr>
            <w:r>
              <w:rPr>
                <w:sz w:val="24"/>
              </w:rPr>
              <w:t>Mereo BioPharma 1 Limited</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United Kingdom</w:t>
            </w:r>
          </w:p>
        </w:tc>
      </w:tr>
      <w:tr>
        <w:trPr/>
        <w:tc>
          <w:tcPr>
            <w:tcW w:w="8335" w:type="dxa"/>
            <w:tcBorders/>
            <w:shd w:fill="auto" w:val="clear"/>
          </w:tcPr>
          <w:p>
            <w:pPr>
              <w:pStyle w:val="TableContents"/>
              <w:spacing w:before="0" w:after="283"/>
              <w:rPr>
                <w:sz w:val="24"/>
              </w:rPr>
            </w:pPr>
            <w:r>
              <w:rPr>
                <w:sz w:val="24"/>
              </w:rPr>
              <w:t>Mereo BioPharma 2 Limited</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United Kingdom</w:t>
            </w:r>
          </w:p>
        </w:tc>
      </w:tr>
      <w:tr>
        <w:trPr/>
        <w:tc>
          <w:tcPr>
            <w:tcW w:w="8335" w:type="dxa"/>
            <w:tcBorders/>
            <w:shd w:fill="auto" w:val="clear"/>
          </w:tcPr>
          <w:p>
            <w:pPr>
              <w:pStyle w:val="TableContents"/>
              <w:spacing w:before="0" w:after="283"/>
              <w:rPr>
                <w:sz w:val="24"/>
              </w:rPr>
            </w:pPr>
            <w:r>
              <w:rPr>
                <w:sz w:val="24"/>
              </w:rPr>
              <w:t>Mereo BioPharma 3 Limited</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United Kingdom</w:t>
            </w:r>
          </w:p>
        </w:tc>
      </w:tr>
      <w:tr>
        <w:trPr/>
        <w:tc>
          <w:tcPr>
            <w:tcW w:w="8335" w:type="dxa"/>
            <w:tcBorders/>
            <w:shd w:fill="auto" w:val="clear"/>
          </w:tcPr>
          <w:p>
            <w:pPr>
              <w:pStyle w:val="TableContents"/>
              <w:spacing w:before="0" w:after="283"/>
              <w:rPr>
                <w:sz w:val="24"/>
              </w:rPr>
            </w:pPr>
            <w:r>
              <w:rPr>
                <w:sz w:val="24"/>
              </w:rPr>
              <w:t>Mereo BioPharma 4 Limited</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United Kingdom</w:t>
            </w:r>
          </w:p>
        </w:tc>
      </w:tr>
      <w:tr>
        <w:trPr/>
        <w:tc>
          <w:tcPr>
            <w:tcW w:w="8335" w:type="dxa"/>
            <w:tcBorders/>
            <w:shd w:fill="auto" w:val="clear"/>
          </w:tcPr>
          <w:p>
            <w:pPr>
              <w:pStyle w:val="TableContents"/>
              <w:spacing w:before="0" w:after="283"/>
              <w:rPr>
                <w:sz w:val="24"/>
              </w:rPr>
            </w:pPr>
            <w:r>
              <w:rPr>
                <w:sz w:val="24"/>
              </w:rPr>
              <w:t>Mereo BioPharma Ireland Limited</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Ireland</w:t>
            </w:r>
          </w:p>
        </w:tc>
      </w:tr>
      <w:tr>
        <w:trPr/>
        <w:tc>
          <w:tcPr>
            <w:tcW w:w="8335" w:type="dxa"/>
            <w:tcBorders/>
            <w:shd w:fill="auto" w:val="clear"/>
          </w:tcPr>
          <w:p>
            <w:pPr>
              <w:pStyle w:val="TableContents"/>
              <w:spacing w:before="0" w:after="283"/>
              <w:rPr>
                <w:sz w:val="24"/>
              </w:rPr>
            </w:pPr>
            <w:r>
              <w:rPr>
                <w:sz w:val="24"/>
              </w:rPr>
              <w:t>Mereo US Holdings Inc.</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Delaware</w:t>
            </w:r>
          </w:p>
        </w:tc>
      </w:tr>
      <w:tr>
        <w:trPr/>
        <w:tc>
          <w:tcPr>
            <w:tcW w:w="8335" w:type="dxa"/>
            <w:tcBorders/>
            <w:shd w:fill="auto" w:val="clear"/>
          </w:tcPr>
          <w:p>
            <w:pPr>
              <w:pStyle w:val="TableContents"/>
              <w:spacing w:before="0" w:after="283"/>
              <w:rPr>
                <w:sz w:val="24"/>
              </w:rPr>
            </w:pPr>
            <w:r>
              <w:rPr>
                <w:sz w:val="24"/>
              </w:rPr>
              <w:t>Mereo BioPharma 5, Inc.</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Delaware</w:t>
            </w:r>
          </w:p>
        </w:tc>
      </w:tr>
      <w:tr>
        <w:trPr/>
        <w:tc>
          <w:tcPr>
            <w:tcW w:w="8335" w:type="dxa"/>
            <w:tcBorders/>
            <w:shd w:fill="auto" w:val="clear"/>
          </w:tcPr>
          <w:p>
            <w:pPr>
              <w:pStyle w:val="TableContents"/>
              <w:spacing w:before="0" w:after="283"/>
              <w:rPr>
                <w:sz w:val="24"/>
              </w:rPr>
            </w:pPr>
            <w:r>
              <w:rPr>
                <w:sz w:val="24"/>
              </w:rPr>
              <w:t>NAVI Subsidiary, Inc.</w:t>
            </w:r>
          </w:p>
        </w:tc>
        <w:tc>
          <w:tcPr>
            <w:tcW w:w="205" w:type="dxa"/>
            <w:tcBorders/>
            <w:shd w:fill="auto" w:val="clear"/>
            <w:vAlign w:val="bottom"/>
          </w:tcPr>
          <w:p>
            <w:pPr>
              <w:pStyle w:val="TableContents"/>
              <w:spacing w:before="0" w:after="283"/>
              <w:rPr/>
            </w:pPr>
            <w:r>
              <w:rPr/>
              <w:t>  </w:t>
            </w:r>
          </w:p>
        </w:tc>
        <w:tc>
          <w:tcPr>
            <w:tcW w:w="1665" w:type="dxa"/>
            <w:tcBorders/>
            <w:shd w:fill="auto" w:val="clear"/>
          </w:tcPr>
          <w:p>
            <w:pPr>
              <w:pStyle w:val="TableContents"/>
              <w:spacing w:before="0" w:after="283"/>
              <w:jc w:val="center"/>
              <w:rPr/>
            </w:pPr>
            <w:r>
              <w:rPr/>
              <w:t>Delaware</w:t>
            </w:r>
          </w:p>
        </w:tc>
      </w:tr>
    </w:tbl>
    <w:p>
      <w:pPr>
        <w:pStyle w:val="TextBody"/>
        <w:spacing w:before="0" w:after="0"/>
        <w:jc w:val="right"/>
        <w:rPr>
          <w:rFonts w:ascii="Times New Roman" w:hAnsi="Times New Roman"/>
          <w:b/>
          <w:sz w:val="20"/>
        </w:rPr>
      </w:pPr>
      <w:r>
        <w:br w:type="page"/>
      </w:r>
      <w:bookmarkStart w:id="45" w:name="d430075dex121.htm"/>
      <w:bookmarkStart w:id="46" w:name="ksd430075dex121"/>
      <w:bookmarkEnd w:id="45"/>
      <w:bookmarkEnd w:id="46"/>
      <w:r>
        <w:rPr>
          <w:rFonts w:ascii="Times New Roman" w:hAnsi="Times New Roman"/>
          <w:b/>
          <w:sz w:val="20"/>
        </w:rPr>
        <w:t xml:space="preserve">Exhibit 12.1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Denise Scots-Knight,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Mereo BioPharma Group plc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1"/>
        <w:gridCol w:w="9289"/>
      </w:tblGrid>
      <w:tr>
        <w:trPr/>
        <w:tc>
          <w:tcPr>
            <w:tcW w:w="40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4"/>
        <w:gridCol w:w="60"/>
        <w:gridCol w:w="3358"/>
      </w:tblGrid>
      <w:tr>
        <w:trPr/>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Denise Scots-Knight, Ph.D.</w:t>
            </w:r>
          </w:p>
        </w:tc>
      </w:tr>
      <w:tr>
        <w:trPr/>
        <w:tc>
          <w:tcPr>
            <w:tcW w:w="66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283"/>
              <w:rPr/>
            </w:pPr>
            <w:r>
              <w:rPr/>
              <w:t>Denise Scots-Knight, Ph.D.</w:t>
            </w:r>
          </w:p>
        </w:tc>
      </w:tr>
      <w:tr>
        <w:trPr/>
        <w:tc>
          <w:tcPr>
            <w:tcW w:w="66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283"/>
              <w:rPr/>
            </w:pPr>
            <w:r>
              <w:rPr/>
              <w:t>Chief Executive Officer</w:t>
            </w:r>
          </w:p>
        </w:tc>
      </w:tr>
    </w:tbl>
    <w:p>
      <w:pPr>
        <w:pStyle w:val="TextBody"/>
        <w:spacing w:before="0" w:after="0"/>
        <w:jc w:val="right"/>
        <w:rPr>
          <w:rFonts w:ascii="Times New Roman" w:hAnsi="Times New Roman"/>
          <w:b/>
          <w:sz w:val="20"/>
        </w:rPr>
      </w:pPr>
      <w:r>
        <w:br w:type="page"/>
      </w:r>
      <w:bookmarkStart w:id="47" w:name="d430075dex122.htm"/>
      <w:bookmarkStart w:id="48" w:name="ksd430075dex122"/>
      <w:bookmarkEnd w:id="47"/>
      <w:bookmarkEnd w:id="48"/>
      <w:r>
        <w:rPr>
          <w:rFonts w:ascii="Times New Roman" w:hAnsi="Times New Roman"/>
          <w:b/>
          <w:sz w:val="20"/>
        </w:rPr>
        <w:t xml:space="preserve">Exhibit 12.2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Christine Fox,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Mereo BioPharma Group plc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1"/>
        <w:gridCol w:w="9289"/>
      </w:tblGrid>
      <w:tr>
        <w:trPr/>
        <w:tc>
          <w:tcPr>
            <w:tcW w:w="40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1"/>
        <w:gridCol w:w="60"/>
        <w:gridCol w:w="3351"/>
      </w:tblGrid>
      <w:tr>
        <w:trPr/>
        <w:tc>
          <w:tcPr>
            <w:tcW w:w="6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Christine Fox</w:t>
            </w:r>
          </w:p>
        </w:tc>
      </w:tr>
      <w:tr>
        <w:trPr/>
        <w:tc>
          <w:tcPr>
            <w:tcW w:w="67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1" w:type="dxa"/>
            <w:tcBorders/>
            <w:shd w:fill="auto" w:val="clear"/>
          </w:tcPr>
          <w:p>
            <w:pPr>
              <w:pStyle w:val="TableContents"/>
              <w:spacing w:before="0" w:after="283"/>
              <w:rPr/>
            </w:pPr>
            <w:r>
              <w:rPr/>
              <w:t>Christine Fox</w:t>
            </w:r>
          </w:p>
        </w:tc>
      </w:tr>
      <w:tr>
        <w:trPr/>
        <w:tc>
          <w:tcPr>
            <w:tcW w:w="67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1" w:type="dxa"/>
            <w:tcBorders/>
            <w:shd w:fill="auto" w:val="clear"/>
          </w:tcPr>
          <w:p>
            <w:pPr>
              <w:pStyle w:val="TableContents"/>
              <w:spacing w:before="0" w:after="283"/>
              <w:rPr/>
            </w:pPr>
            <w:r>
              <w:rPr/>
              <w:t>Chief Financial Officer</w:t>
            </w:r>
          </w:p>
        </w:tc>
      </w:tr>
    </w:tbl>
    <w:p>
      <w:pPr>
        <w:pStyle w:val="TextBody"/>
        <w:spacing w:before="0" w:after="0"/>
        <w:jc w:val="right"/>
        <w:rPr>
          <w:rFonts w:ascii="Times New Roman" w:hAnsi="Times New Roman"/>
          <w:b/>
          <w:sz w:val="20"/>
        </w:rPr>
      </w:pPr>
      <w:r>
        <w:br w:type="page"/>
      </w:r>
      <w:bookmarkStart w:id="49" w:name="d430075dex131.htm"/>
      <w:bookmarkStart w:id="50" w:name="ksd430075dex131"/>
      <w:bookmarkEnd w:id="49"/>
      <w:bookmarkEnd w:id="50"/>
      <w:r>
        <w:rPr>
          <w:rFonts w:ascii="Times New Roman" w:hAnsi="Times New Roman"/>
          <w:b/>
          <w:sz w:val="20"/>
        </w:rPr>
        <w:t xml:space="preserve">Exhibit 13.1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Mereo BioPharma Group plc (the Company) on Form 20-F for the year ended December 31, 2022 as filed with the Securities and Exchange Commission on the date hereof (the Report), I, Denise Scots-Knight, Chief Executive Officer of the Company, certify, pursuant to 18 U.S.C. Section 1350, as adopted pursuant to Section 906 of the Sarbanes-Oxley Act of 2002, that to my knowledge: </w:t>
      </w:r>
    </w:p>
    <w:p>
      <w:pPr>
        <w:pStyle w:val="TextBody"/>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695"/>
        <w:gridCol w:w="60"/>
        <w:gridCol w:w="3327"/>
      </w:tblGrid>
      <w:tr>
        <w:trPr/>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27"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Denise Scots-Knight, Ph.D.</w:t>
            </w:r>
          </w:p>
        </w:tc>
      </w:tr>
      <w:tr>
        <w:trPr/>
        <w:tc>
          <w:tcPr>
            <w:tcW w:w="69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spacing w:before="0" w:after="283"/>
              <w:rPr/>
            </w:pPr>
            <w:r>
              <w:rPr/>
              <w:t>Denise Scots-Knight, Ph.D.</w:t>
            </w:r>
          </w:p>
        </w:tc>
      </w:tr>
      <w:tr>
        <w:trPr/>
        <w:tc>
          <w:tcPr>
            <w:tcW w:w="69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27" w:type="dxa"/>
            <w:tcBorders/>
            <w:shd w:fill="auto" w:val="clear"/>
          </w:tcPr>
          <w:p>
            <w:pPr>
              <w:pStyle w:val="TableContents"/>
              <w:spacing w:before="0" w:after="283"/>
              <w:rPr/>
            </w:pPr>
            <w:r>
              <w:rPr/>
              <w:t>Chief Executive Officer</w:t>
            </w:r>
          </w:p>
        </w:tc>
      </w:tr>
    </w:tbl>
    <w:p>
      <w:pPr>
        <w:pStyle w:val="TextBody"/>
        <w:spacing w:before="0" w:after="0"/>
        <w:jc w:val="right"/>
        <w:rPr>
          <w:rFonts w:ascii="Times New Roman" w:hAnsi="Times New Roman"/>
          <w:b/>
          <w:sz w:val="20"/>
        </w:rPr>
      </w:pPr>
      <w:r>
        <w:br w:type="page"/>
      </w:r>
      <w:bookmarkStart w:id="51" w:name="d430075dex132.htm"/>
      <w:bookmarkStart w:id="52" w:name="ksd430075dex132"/>
      <w:bookmarkEnd w:id="51"/>
      <w:bookmarkEnd w:id="52"/>
      <w:r>
        <w:rPr>
          <w:rFonts w:ascii="Times New Roman" w:hAnsi="Times New Roman"/>
          <w:b/>
          <w:sz w:val="20"/>
        </w:rPr>
        <w:t xml:space="preserve">Exhibit 13.2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Mereo BioPharma Group plc (the Company) on Form 20-F for the year ended December 31, 2022 as filed with the Securities and Exchange Commission on the date hereof (the Report), I, Christine Fox, Chief Financial Officer of the Company, certify, pursuant to 18 U.S.C. Section 1350, as adopted pursuant to Section 906 of the Sarbanes-Oxley Act of 2002, that to my knowledge: </w:t>
      </w:r>
    </w:p>
    <w:p>
      <w:pPr>
        <w:pStyle w:val="TextBody"/>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240" w:after="0"/>
        <w:jc w:val="left"/>
        <w:rPr>
          <w:rFonts w:ascii="Times New Roman" w:hAnsi="Times New Roman"/>
          <w:sz w:val="20"/>
        </w:rPr>
      </w:pPr>
      <w:r>
        <w:rPr>
          <w:rFonts w:ascii="Times New Roman" w:hAnsi="Times New Roman"/>
          <w:sz w:val="20"/>
        </w:rPr>
        <w:t xml:space="preserve">Date: March 28,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704"/>
        <w:gridCol w:w="60"/>
        <w:gridCol w:w="3318"/>
      </w:tblGrid>
      <w:tr>
        <w:trPr/>
        <w:tc>
          <w:tcPr>
            <w:tcW w:w="7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18" w:type="dxa"/>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1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Christine Fox</w:t>
            </w:r>
          </w:p>
        </w:tc>
      </w:tr>
      <w:tr>
        <w:trPr/>
        <w:tc>
          <w:tcPr>
            <w:tcW w:w="70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18" w:type="dxa"/>
            <w:tcBorders/>
            <w:shd w:fill="auto" w:val="clear"/>
          </w:tcPr>
          <w:p>
            <w:pPr>
              <w:pStyle w:val="TableContents"/>
              <w:spacing w:before="0" w:after="283"/>
              <w:rPr/>
            </w:pPr>
            <w:r>
              <w:rPr/>
              <w:t>Christine Fox</w:t>
            </w:r>
          </w:p>
        </w:tc>
      </w:tr>
      <w:tr>
        <w:trPr/>
        <w:tc>
          <w:tcPr>
            <w:tcW w:w="70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18" w:type="dxa"/>
            <w:tcBorders/>
            <w:shd w:fill="auto" w:val="clear"/>
          </w:tcPr>
          <w:p>
            <w:pPr>
              <w:pStyle w:val="TableContents"/>
              <w:spacing w:before="0" w:after="283"/>
              <w:rPr/>
            </w:pPr>
            <w:r>
              <w:rPr/>
              <w:t>Chief Financial Officer</w:t>
            </w:r>
          </w:p>
        </w:tc>
      </w:tr>
    </w:tbl>
    <w:p>
      <w:pPr>
        <w:pStyle w:val="TextBody"/>
        <w:spacing w:before="0" w:after="0"/>
        <w:jc w:val="right"/>
        <w:rPr>
          <w:rFonts w:ascii="Times New Roman" w:hAnsi="Times New Roman"/>
          <w:b/>
          <w:sz w:val="20"/>
        </w:rPr>
      </w:pPr>
      <w:r>
        <w:br w:type="page"/>
      </w:r>
      <w:bookmarkStart w:id="53" w:name="d430075dex151.htm"/>
      <w:bookmarkStart w:id="54" w:name="ksd430075dex151"/>
      <w:bookmarkEnd w:id="53"/>
      <w:bookmarkEnd w:id="54"/>
      <w:r>
        <w:rPr>
          <w:rFonts w:ascii="Times New Roman" w:hAnsi="Times New Roman"/>
          <w:b/>
          <w:sz w:val="20"/>
        </w:rPr>
        <w:t xml:space="preserve">Exhibit 15.1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spacing w:before="360" w:after="0"/>
        <w:jc w:val="left"/>
        <w:rPr>
          <w:rFonts w:ascii="Times New Roman" w:hAnsi="Times New Roman"/>
          <w:sz w:val="20"/>
        </w:rPr>
      </w:pPr>
      <w:r>
        <w:rPr>
          <w:rFonts w:ascii="Times New Roman" w:hAnsi="Times New Roman"/>
          <w:sz w:val="20"/>
        </w:rPr>
        <w:t xml:space="preserve">Mereo BioPharma Group plc </w:t>
      </w:r>
    </w:p>
    <w:p>
      <w:pPr>
        <w:pStyle w:val="TextBody"/>
        <w:spacing w:before="0" w:after="0"/>
        <w:jc w:val="left"/>
        <w:rPr>
          <w:rFonts w:ascii="Times New Roman" w:hAnsi="Times New Roman"/>
          <w:sz w:val="20"/>
        </w:rPr>
      </w:pPr>
      <w:r>
        <w:rPr>
          <w:rFonts w:ascii="Times New Roman" w:hAnsi="Times New Roman"/>
          <w:sz w:val="20"/>
        </w:rPr>
        <w:t xml:space="preserve">London, United Kingdom </w:t>
      </w:r>
    </w:p>
    <w:p>
      <w:pPr>
        <w:pStyle w:val="TextBody"/>
        <w:spacing w:before="120" w:after="0"/>
        <w:jc w:val="left"/>
        <w:rPr>
          <w:rFonts w:ascii="Times New Roman" w:hAnsi="Times New Roman"/>
          <w:sz w:val="20"/>
        </w:rPr>
      </w:pPr>
      <w:r>
        <w:rPr>
          <w:rFonts w:ascii="Times New Roman" w:hAnsi="Times New Roman"/>
          <w:sz w:val="20"/>
        </w:rPr>
        <w:t xml:space="preserve">We hereby consent to the incorporation by reference in the Registration Statements on Form F-3 (No. 333-239708 and No. 333-258495) and Form S-8 (No. 333-231636 and No. 333-236498 and No. 333-252147 and No. 333-262151 and No. 333-269388) of Mereo BioPharma Group plc of our report dated March 28, 2023, relating to the consolidated financial statements which appears in this Annual Report on Form 20-F. </w:t>
      </w:r>
    </w:p>
    <w:p>
      <w:pPr>
        <w:pStyle w:val="TextBody"/>
        <w:spacing w:before="240" w:after="0"/>
        <w:jc w:val="left"/>
        <w:rPr>
          <w:rFonts w:ascii="Times New Roman" w:hAnsi="Times New Roman"/>
          <w:sz w:val="20"/>
        </w:rPr>
      </w:pPr>
      <w:r>
        <w:rPr>
          <w:rFonts w:ascii="Times New Roman" w:hAnsi="Times New Roman"/>
          <w:sz w:val="20"/>
        </w:rPr>
        <w:t xml:space="preserve">/s/ BDO LLP </w:t>
      </w:r>
    </w:p>
    <w:p>
      <w:pPr>
        <w:pStyle w:val="TextBody"/>
        <w:spacing w:before="240" w:after="0"/>
        <w:jc w:val="left"/>
        <w:rPr>
          <w:rFonts w:ascii="Times New Roman" w:hAnsi="Times New Roman"/>
          <w:sz w:val="20"/>
        </w:rPr>
      </w:pPr>
      <w:r>
        <w:rPr>
          <w:rFonts w:ascii="Times New Roman" w:hAnsi="Times New Roman"/>
          <w:sz w:val="20"/>
        </w:rPr>
        <w:t xml:space="preserve">Reading, United Kingdom </w:t>
      </w:r>
    </w:p>
    <w:p>
      <w:pPr>
        <w:pStyle w:val="TextBody"/>
        <w:spacing w:before="240" w:after="0"/>
        <w:jc w:val="left"/>
        <w:rPr>
          <w:rFonts w:ascii="Times New Roman" w:hAnsi="Times New Roman"/>
          <w:sz w:val="20"/>
        </w:rPr>
      </w:pPr>
      <w:r>
        <w:rPr>
          <w:rFonts w:ascii="Times New Roman" w:hAnsi="Times New Roman"/>
          <w:sz w:val="20"/>
        </w:rPr>
        <w:t xml:space="preserve">March 28, 2023 </w:t>
      </w:r>
      <w:r>
        <w:br w:type="page"/>
      </w:r>
    </w:p>
    <w:p>
      <w:pPr>
        <w:pStyle w:val="TextBody"/>
        <w:spacing w:before="0" w:after="0"/>
        <w:jc w:val="right"/>
        <w:rPr>
          <w:rFonts w:ascii="Times New Roman" w:hAnsi="Times New Roman"/>
          <w:b/>
          <w:sz w:val="20"/>
        </w:rPr>
      </w:pPr>
      <w:bookmarkStart w:id="55" w:name="d430075dex152.htm"/>
      <w:bookmarkStart w:id="56" w:name="ksd430075dex152"/>
      <w:bookmarkEnd w:id="55"/>
      <w:bookmarkEnd w:id="56"/>
      <w:r>
        <w:rPr>
          <w:rFonts w:ascii="Times New Roman" w:hAnsi="Times New Roman"/>
          <w:b/>
          <w:sz w:val="20"/>
        </w:rPr>
        <w:t xml:space="preserve">Exhibit 15.2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the following Registration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S-8 (No. 333-269388) pertaining to both the Mereo BioPharma Group plc 2019 Equity Incentive Plan, as amended, and the Mereo BioPharma Group plc 2019 Non-Employee Equity Incentive Plan,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S-8 (No. 333-231636) pertaining to both the Mereo BioPharma Group plc 2019 Equity Incentive Plan and the Mereo BioPharma Group plc 2019 Non-Employee Equity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S-8 (No. 333-236498) pertaining to both the Mereo BioPharma Group plc 2019 Equity Incentive Plan and the Mereo BioPharma Group plc 2019 Non-Employee Equity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S-8 (No. 333-252147) pertaining to i) Mereo BioPharma Group plc 2019 Equity Incentive Plan, as amended; ii) Mereo BioPharma Group plc 2019 Non-Employee Equity Incentive Plan, as amended, iii) Mereo BioPharma Group plc Share Option Scheme 2016, as amended; iv) Mereo BioPharma Group plc Deferred Bonus Share Plan 2016, as amended; v) Mereo BioPharma Group plc Long Term Incentive Plan 2016, as amended and vi) Mereo BioPharma Group Share Option Scheme 2015,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S-8 (No. 333-262151) pertaining to both the Mereo BioPharma Group plc 2019 Equity Incentive Plan, as amended, and the Mereo BioPharma Group plc 2019 Non-Employee Equity Incentive Plan, as amended;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Statements on Form F-3 (No. 333-239708 and No. 333-258495) of Mereo BioPharma Group plc and in the related Prospectuses; </w:t>
            </w:r>
          </w:p>
        </w:tc>
      </w:tr>
    </w:tbl>
    <w:p>
      <w:pPr>
        <w:pStyle w:val="TextBody"/>
        <w:spacing w:before="240" w:after="0"/>
        <w:jc w:val="left"/>
        <w:rPr>
          <w:rFonts w:ascii="Times New Roman" w:hAnsi="Times New Roman"/>
          <w:sz w:val="20"/>
        </w:rPr>
      </w:pPr>
      <w:r>
        <w:rPr>
          <w:rFonts w:ascii="Times New Roman" w:hAnsi="Times New Roman"/>
          <w:sz w:val="20"/>
        </w:rPr>
        <w:t xml:space="preserve">of our report dated March 31, 2021, with respect to the consolidated financial statements of Mereo BioPharma Group plc included in this Annual Report (Form 20-F)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0" w:after="0"/>
        <w:jc w:val="left"/>
        <w:rPr>
          <w:rFonts w:ascii="Times New Roman" w:hAnsi="Times New Roman"/>
          <w:sz w:val="20"/>
        </w:rPr>
      </w:pPr>
      <w:r>
        <w:rPr>
          <w:rFonts w:ascii="Times New Roman" w:hAnsi="Times New Roman"/>
          <w:sz w:val="20"/>
        </w:rPr>
        <w:t xml:space="preserve">Reading, United Kingdom </w:t>
      </w:r>
    </w:p>
    <w:p>
      <w:pPr>
        <w:pStyle w:val="TextBody"/>
        <w:spacing w:before="0" w:after="0"/>
        <w:jc w:val="left"/>
        <w:rPr>
          <w:rFonts w:ascii="Times New Roman" w:hAnsi="Times New Roman"/>
          <w:sz w:val="20"/>
        </w:rPr>
      </w:pPr>
      <w:r>
        <w:rPr>
          <w:rFonts w:ascii="Times New Roman" w:hAnsi="Times New Roman"/>
          <w:sz w:val="20"/>
        </w:rPr>
        <w:t xml:space="preserve">March 28, 2023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19714/000119312522152523/d362863dex31.htm" TargetMode="External"/><Relationship Id="rId4" Type="http://schemas.openxmlformats.org/officeDocument/2006/relationships/hyperlink" Target="http://www.sec.gov/Archives/edgar/data/1719714/000119312519016112/d680874dex42.htm" TargetMode="External"/><Relationship Id="rId5" Type="http://schemas.openxmlformats.org/officeDocument/2006/relationships/hyperlink" Target="http://www.sec.gov/Archives/edgar/data/1719714/000119312519016112/d680874dex1020.htm" TargetMode="External"/><Relationship Id="rId6" Type="http://schemas.openxmlformats.org/officeDocument/2006/relationships/hyperlink" Target="http://www.sec.gov/Archives/edgar/data/1719714/000119312519016112/d680874dex10201.htm" TargetMode="External"/><Relationship Id="rId7" Type="http://schemas.openxmlformats.org/officeDocument/2006/relationships/hyperlink" Target="http://www.sec.gov/Archives/edgar/data/1719714/000119312519016112/d680874dex10202.htm" TargetMode="External"/><Relationship Id="rId8" Type="http://schemas.openxmlformats.org/officeDocument/2006/relationships/hyperlink" Target="http://www.sec.gov/Archives/edgar/data/1719714/000119312519016112/d680874dex10203.htm" TargetMode="External"/><Relationship Id="rId9" Type="http://schemas.openxmlformats.org/officeDocument/2006/relationships/hyperlink" Target="http://www.sec.gov/Archives/edgar/data/1719714/000119312519016112/d680874dex1021.htm" TargetMode="External"/><Relationship Id="rId10" Type="http://schemas.openxmlformats.org/officeDocument/2006/relationships/hyperlink" Target="http://www.sec.gov/Archives/edgar/data/1719714/000119312519016112/d680874dex10211.htm" TargetMode="External"/><Relationship Id="rId11" Type="http://schemas.openxmlformats.org/officeDocument/2006/relationships/hyperlink" Target="http://www.sec.gov/Archives/edgar/data/1719714/000119312519016112/d680874dex10212.htm" TargetMode="External"/><Relationship Id="rId12" Type="http://schemas.openxmlformats.org/officeDocument/2006/relationships/hyperlink" Target="http://www.sec.gov/Archives/edgar/data/1719714/000119312519016112/d680874dex1022.htm" TargetMode="External"/><Relationship Id="rId13" Type="http://schemas.openxmlformats.org/officeDocument/2006/relationships/hyperlink" Target="http://www.sec.gov/Archives/edgar/data/1719714/000119312519016112/d680874dex10221.htm" TargetMode="External"/><Relationship Id="rId14" Type="http://schemas.openxmlformats.org/officeDocument/2006/relationships/hyperlink" Target="http://www.sec.gov/Archives/edgar/data/1719714/000119312519016112/d680874dex10222.htm" TargetMode="External"/><Relationship Id="rId15" Type="http://schemas.openxmlformats.org/officeDocument/2006/relationships/hyperlink" Target="http://www.sec.gov/Archives/edgar/data/1719714/000119312519016112/d680874dex1023.htm" TargetMode="External"/><Relationship Id="rId16" Type="http://schemas.openxmlformats.org/officeDocument/2006/relationships/hyperlink" Target="http://www.sec.gov/Archives/edgar/data/1719714/000119312519016112/d680874dex1024.htm" TargetMode="External"/><Relationship Id="rId17" Type="http://schemas.openxmlformats.org/officeDocument/2006/relationships/hyperlink" Target="http://www.sec.gov/Archives/edgar/data/1719714/000119312519016112/d680874dex1026.htm" TargetMode="External"/><Relationship Id="rId18" Type="http://schemas.openxmlformats.org/officeDocument/2006/relationships/hyperlink" Target="http://www.sec.gov/Archives/edgar/data/1719714/000119312520161012/d935734dex103.htm" TargetMode="External"/><Relationship Id="rId19" Type="http://schemas.openxmlformats.org/officeDocument/2006/relationships/hyperlink" Target="http://www.sec.gov/Archives/edgar/data/1719714/000119312520161012/d935734dex104.htm" TargetMode="External"/><Relationship Id="rId20" Type="http://schemas.openxmlformats.org/officeDocument/2006/relationships/hyperlink" Target="http://www.sec.gov/Archives/edgar/data/1719714/000119312521102416/d60415dex421.htm" TargetMode="External"/><Relationship Id="rId21" Type="http://schemas.openxmlformats.org/officeDocument/2006/relationships/hyperlink" Target="http://www.sec.gov/Archives/edgar/data/1719714/000119312521102416/d60415dex422.htm" TargetMode="External"/><Relationship Id="rId22" Type="http://schemas.openxmlformats.org/officeDocument/2006/relationships/hyperlink" Target="http://www.sec.gov/Archives/edgar/data/1719714/000119312521102416/d60415dex423.htm" TargetMode="External"/><Relationship Id="rId23" Type="http://schemas.openxmlformats.org/officeDocument/2006/relationships/hyperlink" Target="http://www.sec.gov/Archives/edgar/data/1719714/000119312521102416/d60415dex424.htm" TargetMode="External"/><Relationship Id="rId24" Type="http://schemas.openxmlformats.org/officeDocument/2006/relationships/hyperlink" Target="http://www.sec.gov/Archives/edgar/data/1719714/000119312521102416/d60415dex425.htm" TargetMode="External"/><Relationship Id="rId25" Type="http://schemas.openxmlformats.org/officeDocument/2006/relationships/hyperlink" Target="http://www.sec.gov/Archives/edgar/data/1719714/000119312522091822/d237872dex426.htm" TargetMode="External"/><Relationship Id="rId26" Type="http://schemas.openxmlformats.org/officeDocument/2006/relationships/hyperlink" Target="http://www.sec.gov/Archives/edgar/data/1719714/000119312521102416/d60415dex427.htm" TargetMode="External"/><Relationship Id="rId27" Type="http://schemas.openxmlformats.org/officeDocument/2006/relationships/hyperlink" Target="http://www.sec.gov/Archives/edgar/data/1719714/000119312521102416/d60415dex428.htm" TargetMode="External"/><Relationship Id="rId28" Type="http://schemas.openxmlformats.org/officeDocument/2006/relationships/hyperlink" Target="http://www.sec.gov/Archives/edgar/data/1719714/000119312521102416/d60415dex429.htm" TargetMode="External"/><Relationship Id="rId29" Type="http://schemas.openxmlformats.org/officeDocument/2006/relationships/hyperlink" Target="http://www.sec.gov/Archives/edgar/data/1719714/000119312521102416/d60415dex430.htm" TargetMode="External"/><Relationship Id="rId30" Type="http://schemas.openxmlformats.org/officeDocument/2006/relationships/hyperlink" Target="http://www.sec.gov/Archives/edgar/data/1719714/000119312521102416/d60415dex431.htm" TargetMode="External"/><Relationship Id="rId31" Type="http://schemas.openxmlformats.org/officeDocument/2006/relationships/hyperlink" Target="http://www.sec.gov/Archives/edgar/data/1719714/000119312521102416/d60415dex432.htm" TargetMode="External"/><Relationship Id="rId32" Type="http://schemas.openxmlformats.org/officeDocument/2006/relationships/hyperlink" Target="http://www.sec.gov/Archives/edgar/data/1719714/000119312522091822/d237872dex433.htm" TargetMode="External"/><Relationship Id="rId33" Type="http://schemas.openxmlformats.org/officeDocument/2006/relationships/hyperlink" Target="http://www.sec.gov/Archives/edgar/data/1719714/000119312522091822/d237872dex434.htm" TargetMode="External"/><Relationship Id="rId34" Type="http://schemas.openxmlformats.org/officeDocument/2006/relationships/hyperlink" Target="http://www.sec.gov/Archives/edgar/data/1719714/000119312522091822/d237872dex436.htm" TargetMode="External"/><Relationship Id="rId35" Type="http://schemas.openxmlformats.org/officeDocument/2006/relationships/hyperlink" Target="http://www.sec.gov/Archives/edgar/data/1719714/000119312522091822/d237872dex437.htm" TargetMode="External"/><Relationship Id="rId36" Type="http://schemas.openxmlformats.org/officeDocument/2006/relationships/hyperlink" Target="http://www.sec.gov/Archives/edgar/data/1719714/000119312522091822/d237872dex438.htm" TargetMode="External"/><Relationship Id="rId37" Type="http://schemas.openxmlformats.org/officeDocument/2006/relationships/hyperlink" Target="http://www.sec.gov/Archives/edgar/data/1719714/000119312522091822/d237872dex439.htm" TargetMode="External"/><Relationship Id="rId38" Type="http://schemas.openxmlformats.org/officeDocument/2006/relationships/hyperlink" Target="http://www.sec.gov/Archives/edgar/data/1719714/000119312522091822/d237872dex440.htm" TargetMode="External"/><Relationship Id="rId39" Type="http://schemas.openxmlformats.org/officeDocument/2006/relationships/hyperlink" Target="http://www.sec.gov/Archives/edgar/data/1719714/000119312522091822/d237872dex444.htm" TargetMode="External"/><Relationship Id="rId40" Type="http://schemas.openxmlformats.org/officeDocument/2006/relationships/hyperlink" Target="http://www.sec.gov/Archives/edgar/data/1719714/000119312522091822/d237872dex445.htm" TargetMode="External"/><Relationship Id="rId41" Type="http://schemas.openxmlformats.org/officeDocument/2006/relationships/hyperlink" Target="http://www.sec.gov/Archives/edgar/data/1719714/000119312523014256/d421215dex44.htm" TargetMode="External"/><Relationship Id="rId42" Type="http://schemas.openxmlformats.org/officeDocument/2006/relationships/hyperlink" Target="http://www.sec.gov/Archives/edgar/data/1719714/000119312523014256/d421215dex45.htm" TargetMode="External"/><Relationship Id="rId43" Type="http://schemas.openxmlformats.org/officeDocument/2006/relationships/hyperlink" Target="http://www.sec.gov/Archives/edgar/data/1719714/000119312520161012/d935734dex101.htm" TargetMode="External"/><Relationship Id="rId44" Type="http://schemas.openxmlformats.org/officeDocument/2006/relationships/hyperlink" Target="http://www.sec.gov/Archives/edgar/data/1719714/000119312520161012/d935734dex102.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233</Pages>
  <Words>158328</Words>
  <CharactersWithSpaces>1024869</CharactersWithSpaces>
  <Paragraphs>21237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EX-15.2</dc:title>
</cp:coreProperties>
</file>