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Scots-Knight Denise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6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28,611</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4.4727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868,967</w:t>
            </w:r>
            <w:r>
              <w:rPr>
                <w:rFonts w:ascii="Times New Roman" w:cs="Times New Roman" w:eastAsia="Times New Roman" w:hAnsi="Times New Roman"/>
                <w:sz w:val="22"/>
                <w:szCs w:val="22"/>
                <w:color w:val="008000"/>
                <w:vertAlign w:val="superscript"/>
              </w:rPr>
              <w:t>(6)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(1)(2)</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09/13/2024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60,046</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4.221</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808,921</w:t>
            </w:r>
            <w:r>
              <w:rPr>
                <w:rFonts w:ascii="Times New Roman" w:cs="Times New Roman" w:eastAsia="Times New Roman" w:hAnsi="Times New Roman"/>
                <w:sz w:val="22"/>
                <w:szCs w:val="22"/>
                <w:color w:val="008000"/>
                <w:vertAlign w:val="superscript"/>
              </w:rPr>
              <w:t>(6)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also beneficially owns 4 ordinary shares, nominal value of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September 11,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$4.37 to $4.62,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$4.01 to $4.43,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1,200 ADSs jointly owned by Reporting person and her spouse.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09/16/2024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7000"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2024-09-16T19:57:36Z</dcterms:created>
  <dcterms:modified xsi:type="dcterms:W3CDTF">2024-09-16T19:57:36Z</dcterms:modified>
</cp:coreProperties>
</file>