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7451d8k.htm"/>
      <w:bookmarkStart w:id="1" w:name="ksd80745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March 27,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MEREO BIOPHARMA GROUP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85" w:type="dxa"/>
        <w:jc w:val="left"/>
        <w:tblInd w:w="0" w:type="dxa"/>
        <w:tblLayout w:type="fixed"/>
        <w:tblCellMar>
          <w:top w:w="0" w:type="dxa"/>
          <w:left w:w="0" w:type="dxa"/>
          <w:bottom w:w="0" w:type="dxa"/>
          <w:right w:w="0" w:type="dxa"/>
        </w:tblCellMar>
      </w:tblPr>
      <w:tblGrid>
        <w:gridCol w:w="2030"/>
        <w:gridCol w:w="60"/>
        <w:gridCol w:w="1055"/>
        <w:gridCol w:w="60"/>
        <w:gridCol w:w="1880"/>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bookmarkStart w:id="2" w:name="Fact_2"/>
            <w:bookmarkEnd w:id="2"/>
            <w:r>
              <w:rPr>
                <w:b/>
              </w:rPr>
              <w:t>Not Applicable</w:t>
            </w:r>
          </w:p>
        </w:tc>
      </w:tr>
      <w:tr>
        <w:trPr/>
        <w:tc>
          <w:tcPr>
            <w:tcW w:w="203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4th Floor, One Cavendish Place,</w:t>
      </w:r>
    </w:p>
    <w:p>
      <w:pPr>
        <w:pStyle w:val="TextBody"/>
        <w:bidi w:val="0"/>
        <w:spacing w:before="0" w:after="0"/>
        <w:jc w:val="center"/>
        <w:rPr>
          <w:rFonts w:ascii="Times New Roman" w:hAnsi="Times New Roman"/>
          <w:b/>
          <w:sz w:val="20"/>
        </w:rPr>
      </w:pPr>
      <w:r>
        <w:rPr>
          <w:rFonts w:ascii="Times New Roman" w:hAnsi="Times New Roman"/>
          <w:b/>
          <w:sz w:val="20"/>
        </w:rPr>
        <w:t>London, W1G 0QF</w:t>
      </w:r>
    </w:p>
    <w:p>
      <w:pPr>
        <w:pStyle w:val="TextBody"/>
        <w:bidi w:val="0"/>
        <w:spacing w:before="0" w:after="0"/>
        <w:jc w:val="center"/>
        <w:rPr>
          <w:rFonts w:ascii="Times New Roman" w:hAnsi="Times New Roman"/>
          <w:b/>
          <w:sz w:val="20"/>
        </w:rPr>
      </w:pPr>
      <w:r>
        <w:rPr>
          <w:rFonts w:ascii="Times New Roman" w:hAnsi="Times New Roman"/>
          <w:b/>
          <w:sz w:val="20"/>
        </w:rPr>
        <w:t>United Kingdom</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+44-333-023-7300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48"/>
        <w:gridCol w:w="60"/>
        <w:gridCol w:w="725"/>
        <w:gridCol w:w="60"/>
        <w:gridCol w:w="2412"/>
      </w:tblGrid>
      <w:tr>
        <w:trPr/>
        <w:tc>
          <w:tcPr>
            <w:tcW w:w="6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69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41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948" w:type="dxa"/>
            <w:tcBorders/>
            <w:vAlign w:val="center"/>
          </w:tcPr>
          <w:p>
            <w:pPr>
              <w:pStyle w:val="TableContents"/>
              <w:bidi w:val="0"/>
              <w:spacing w:before="0" w:after="283"/>
              <w:jc w:val="center"/>
              <w:rPr/>
            </w:pPr>
            <w:r>
              <w:rPr/>
              <w:t>American Depositary Shares, each representing five Ordinary Shares, par value £0.003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MREO</w:t>
            </w:r>
          </w:p>
        </w:tc>
        <w:tc>
          <w:tcPr>
            <w:tcW w:w="60" w:type="dxa"/>
            <w:tcBorders/>
            <w:vAlign w:val="center"/>
          </w:tcPr>
          <w:p>
            <w:pPr>
              <w:pStyle w:val="TableContents"/>
              <w:bidi w:val="0"/>
              <w:spacing w:before="0" w:after="283"/>
              <w:jc w:val="left"/>
              <w:rPr/>
            </w:pPr>
            <w:r>
              <w:rPr/>
              <w:t> </w:t>
            </w:r>
          </w:p>
        </w:tc>
        <w:tc>
          <w:tcPr>
            <w:tcW w:w="2412" w:type="dxa"/>
            <w:tcBorders/>
            <w:vAlign w:val="center"/>
          </w:tcPr>
          <w:p>
            <w:pPr>
              <w:pStyle w:val="TableContents"/>
              <w:bidi w:val="0"/>
              <w:spacing w:before="0" w:after="283"/>
              <w:jc w:val="center"/>
              <w:rPr/>
            </w:pPr>
            <w:r>
              <w:rPr/>
              <w:t>The Nasdaq Stock Market LLC</w:t>
            </w:r>
          </w:p>
        </w:tc>
      </w:tr>
      <w:tr>
        <w:trPr/>
        <w:tc>
          <w:tcPr>
            <w:tcW w:w="6948" w:type="dxa"/>
            <w:tcBorders/>
            <w:vAlign w:val="center"/>
          </w:tcPr>
          <w:p>
            <w:pPr>
              <w:pStyle w:val="TableContents"/>
              <w:bidi w:val="0"/>
              <w:spacing w:before="0" w:after="283"/>
              <w:jc w:val="center"/>
              <w:rPr/>
            </w:pPr>
            <w:r>
              <w:rPr/>
              <w:t>Ordinary Shares, nominal value £0.003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412" w:type="dxa"/>
            <w:tcBorders/>
            <w:vAlign w:val="center"/>
          </w:tcPr>
          <w:p>
            <w:pPr>
              <w:pStyle w:val="TableContents"/>
              <w:bidi w:val="0"/>
              <w:spacing w:before="0" w:after="283"/>
              <w:jc w:val="center"/>
              <w:rPr/>
            </w:pPr>
            <w:r>
              <w:rPr/>
              <w:t>The Nasdaq Stock Market LLC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for trading, but only in connection with the listing of the American Depositary Shares on 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120" w:after="0"/>
        <w:jc w:val="left"/>
        <w:rPr>
          <w:rFonts w:ascii="Times New Roman" w:hAnsi="Times New Roman"/>
          <w:sz w:val="20"/>
        </w:rPr>
      </w:pPr>
      <w:r>
        <w:rPr>
          <w:rFonts w:ascii="Times New Roman" w:hAnsi="Times New Roman"/>
          <w:sz w:val="20"/>
        </w:rPr>
        <w:t>On March 27, 2024, Mereo BioPharma Group plc announced its financial results for the year ended December 31, 2023. The full text of the press release issued in connection with the announcement is furnished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240" w:after="0"/>
        <w:jc w:val="left"/>
        <w:rPr>
          <w:rFonts w:ascii="Times New Roman" w:hAnsi="Times New Roman"/>
          <w:sz w:val="20"/>
        </w:rPr>
      </w:pPr>
      <w:r>
        <w:rPr>
          <w:rFonts w:ascii="Times New Roman" w:hAnsi="Times New Roman"/>
          <w:sz w:val="20"/>
        </w:rPr>
        <w:t>The following exhibit relating to Item 2.02 shall be deemed to be furnished, and not filed:</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807451dex991.htm">
              <w:r>
                <w:rPr>
                  <w:rStyle w:val="InternetLink"/>
                </w:rPr>
                <w:t xml:space="preserve">Press Release, dated March 27,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6092" w:type="dxa"/>
        <w:jc w:val="left"/>
        <w:tblInd w:w="0" w:type="dxa"/>
        <w:tblLayout w:type="fixed"/>
        <w:tblCellMar>
          <w:top w:w="0" w:type="dxa"/>
          <w:left w:w="0" w:type="dxa"/>
          <w:bottom w:w="0" w:type="dxa"/>
          <w:right w:w="0" w:type="dxa"/>
        </w:tblCellMar>
      </w:tblPr>
      <w:tblGrid>
        <w:gridCol w:w="2120"/>
        <w:gridCol w:w="60"/>
        <w:gridCol w:w="23"/>
        <w:gridCol w:w="60"/>
        <w:gridCol w:w="848"/>
        <w:gridCol w:w="78"/>
        <w:gridCol w:w="2903"/>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29" w:type="dxa"/>
            <w:gridSpan w:val="3"/>
            <w:tcBorders/>
            <w:vAlign w:val="center"/>
          </w:tcPr>
          <w:p>
            <w:pPr>
              <w:pStyle w:val="TableContents"/>
              <w:bidi w:val="0"/>
              <w:spacing w:before="0" w:after="283"/>
              <w:jc w:val="left"/>
              <w:rPr/>
            </w:pPr>
            <w:r>
              <w:rPr/>
              <w:t>MEREO BIOPHARMA GROUP PLC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2981"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27,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By:</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Christine Fox</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Name:</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Christine Fox</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Title:</w:t>
            </w:r>
          </w:p>
        </w:tc>
        <w:tc>
          <w:tcPr>
            <w:tcW w:w="78" w:type="dxa"/>
            <w:tcBorders/>
            <w:vAlign w:val="center"/>
          </w:tcPr>
          <w:p>
            <w:pPr>
              <w:pStyle w:val="TableContents"/>
              <w:bidi w:val="0"/>
              <w:spacing w:before="0" w:after="283"/>
              <w:jc w:val="left"/>
              <w:rPr/>
            </w:pPr>
            <w:r>
              <w:rPr/>
              <w:t> </w:t>
            </w:r>
          </w:p>
        </w:tc>
        <w:tc>
          <w:tcPr>
            <w:tcW w:w="2903"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3" w:name="d807451dex991.htm"/>
      <w:bookmarkStart w:id="4" w:name="ksd807451dex991"/>
      <w:bookmarkEnd w:id="3"/>
      <w:bookmarkEnd w:id="4"/>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Mereo BioPharma Reports Full Year 2023 Financial Results and Provides Corporate Update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Phase 2/3 Orbit Study and Phase 3 Cosmic Study of setrusumab in Osteogenesis Imperfecta expected to complete enrollment around the end of first quarter and in the first half of 2024, respectively </w:t>
      </w:r>
    </w:p>
    <w:p>
      <w:pPr>
        <w:pStyle w:val="TextBody"/>
        <w:bidi w:val="0"/>
        <w:spacing w:before="240" w:after="0"/>
        <w:jc w:val="center"/>
        <w:rPr>
          <w:rFonts w:ascii="Times New Roman" w:hAnsi="Times New Roman"/>
          <w:i/>
          <w:sz w:val="20"/>
        </w:rPr>
      </w:pPr>
      <w:r>
        <w:rPr>
          <w:rFonts w:ascii="Times New Roman" w:hAnsi="Times New Roman"/>
          <w:i/>
          <w:sz w:val="20"/>
        </w:rPr>
        <w:t xml:space="preserve">Partnering discussions for alvelestat progressing with plans to initiate Phase 3 with a partner around the end of 2024 </w:t>
      </w:r>
    </w:p>
    <w:p>
      <w:pPr>
        <w:pStyle w:val="TextBody"/>
        <w:bidi w:val="0"/>
        <w:spacing w:before="240" w:after="0"/>
        <w:jc w:val="center"/>
        <w:rPr>
          <w:rFonts w:ascii="Times New Roman" w:hAnsi="Times New Roman"/>
          <w:i/>
          <w:sz w:val="20"/>
        </w:rPr>
      </w:pPr>
      <w:r>
        <w:rPr>
          <w:rFonts w:ascii="Times New Roman" w:hAnsi="Times New Roman"/>
          <w:i/>
          <w:sz w:val="20"/>
        </w:rPr>
        <w:t xml:space="preserve">Cash of $57.4 million as of December 31, 2023 expected to fund operations into 2026 </w:t>
      </w:r>
    </w:p>
    <w:p>
      <w:pPr>
        <w:pStyle w:val="TextBody"/>
        <w:bidi w:val="0"/>
        <w:spacing w:before="240" w:after="0"/>
        <w:jc w:val="left"/>
        <w:rPr>
          <w:rFonts w:ascii="Times New Roman" w:hAnsi="Times New Roman"/>
          <w:sz w:val="20"/>
        </w:rPr>
      </w:pPr>
      <w:r>
        <w:rPr>
          <w:rFonts w:ascii="Times New Roman" w:hAnsi="Times New Roman"/>
          <w:b/>
          <w:sz w:val="20"/>
        </w:rPr>
        <w:t>London, March 27, 2024</w:t>
      </w:r>
      <w:r>
        <w:rPr>
          <w:rFonts w:ascii="Times New Roman" w:hAnsi="Times New Roman"/>
          <w:sz w:val="20"/>
        </w:rPr>
        <w:t xml:space="preserve"> - Mereo BioPharma Group plc (NASDAQ: MREO) (Mereo or the Company), a clinical-stage biopharmaceutical company focused on rare diseases, today announced its financial results for the full year ended December 31, 2023, and provided an update on recent corporate highlights. </w:t>
      </w:r>
    </w:p>
    <w:p>
      <w:pPr>
        <w:pStyle w:val="TextBody"/>
        <w:bidi w:val="0"/>
        <w:spacing w:before="240" w:after="0"/>
        <w:jc w:val="left"/>
        <w:rPr>
          <w:rFonts w:ascii="Times New Roman" w:hAnsi="Times New Roman"/>
          <w:sz w:val="20"/>
        </w:rPr>
      </w:pPr>
      <w:r>
        <w:rPr>
          <w:rFonts w:ascii="Times New Roman" w:hAnsi="Times New Roman"/>
          <w:sz w:val="20"/>
        </w:rPr>
        <w:t xml:space="preserve">We reached a number of important milestones in 2023, which have set the stage for a potentially transformative 2024, said Dr. Denise Scots-Knight, Chief Executive Officer of Mereo. Both Orbit and Cosmic, the two Phase 3 studies of setrusumab in Osteogenesis Imperfecta (OI) being conducted by our partner Ultragenyx, are on-track to complete enrollment shortly. Our pre-launch activities are continuing to progress well. We have gained a solid understanding of the patient journey and pathways to market in the five key European markets, as well as a clear understanding of OI epidemiology in pediatrics and adults. We continue to believe that the European market for setrusumab in OI represents a significant opportunity. </w:t>
      </w:r>
    </w:p>
    <w:p>
      <w:pPr>
        <w:pStyle w:val="TextBody"/>
        <w:bidi w:val="0"/>
        <w:spacing w:before="240" w:after="0"/>
        <w:jc w:val="left"/>
        <w:rPr>
          <w:rFonts w:ascii="Times New Roman" w:hAnsi="Times New Roman"/>
          <w:sz w:val="20"/>
        </w:rPr>
      </w:pPr>
      <w:r>
        <w:rPr>
          <w:rFonts w:ascii="Times New Roman" w:hAnsi="Times New Roman"/>
          <w:sz w:val="20"/>
        </w:rPr>
        <w:t xml:space="preserve">Dr. Scots-Knight continued, In addition, with the clear regulatory guidance from the FDA and the EMA for alvelestat in Alpha-1 Antitrypsin Deficiency-associated Lung Disease (AATD-LD), we are continuing our partnering discussions in parallel with all the preparatory work needed to initiate the Phase 3 global pivotal study with a partner by the end of the year. Alvelestat has the potential to become the first approved oral therapy for the treatment of AATD-LD and potentially the first to demonstrate positive clinical outcomes, especially in earlier stage patients. We maintained a strong cash position through prudent financial management and believe that Mereo remains well positioned to deliver on multiple inflection points in the year ahead. </w:t>
      </w:r>
    </w:p>
    <w:p>
      <w:pPr>
        <w:pStyle w:val="TextBody"/>
        <w:bidi w:val="0"/>
        <w:spacing w:before="360" w:after="0"/>
        <w:jc w:val="left"/>
        <w:rPr>
          <w:rFonts w:ascii="Times New Roman" w:hAnsi="Times New Roman"/>
          <w:b/>
          <w:sz w:val="20"/>
        </w:rPr>
      </w:pPr>
      <w:r>
        <w:rPr>
          <w:rFonts w:ascii="Times New Roman" w:hAnsi="Times New Roman"/>
          <w:b/>
          <w:sz w:val="20"/>
        </w:rPr>
        <w:t xml:space="preserve">2023 Highlights, Recent Developments and 2024 Anticipated Milestones </w:t>
      </w:r>
    </w:p>
    <w:p>
      <w:pPr>
        <w:pStyle w:val="TextBody"/>
        <w:bidi w:val="0"/>
        <w:spacing w:before="120" w:after="0"/>
        <w:jc w:val="left"/>
        <w:rPr>
          <w:rFonts w:ascii="Times New Roman" w:hAnsi="Times New Roman"/>
          <w:b/>
          <w:sz w:val="20"/>
        </w:rPr>
      </w:pPr>
      <w:r>
        <w:rPr>
          <w:rFonts w:ascii="Times New Roman" w:hAnsi="Times New Roman"/>
          <w:b/>
          <w:sz w:val="20"/>
        </w:rPr>
        <w:t xml:space="preserve">Setrusumab (UX143)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in two global studies, Orbit (Phase 2/3) and Cosmic (Phase 3), of setrusumab in OI patients, conducted by our partner Ultragenyx.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3 portion of the Orbit Phase 2/3 trial was initiated in mid-2023 and the study is expected to be fully enrolled around the end of the first quarter of 2024. The pivotal study will include approximately 150 patients aged 5 to &lt;26 years randomized 2:1 to receive setrusumab or placebo, with a primary efficacy endpoint of annualized clinical fracture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Cosmic was initiated in the second half of 2023 and is anticipated to be fully enrolled in the first half of 2024. Cosmic is a Phase 3 open-label, randomized study in approximately 60 patients aged 2 to &lt;7 years evaluating setrusumab compared to bisphosphonates on reduction in total annualized clinical fracture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2023, data from the Phase 2 portion of the Phase 2/3 Orbit study showed that setrusumab treatment reduced the annualized fracture rate by 67% in patients with OI who had been treated for at least 6 months. This reduction was associated with improvements in bone mineral density (BMD). Setrusumab was well-tolerated with no serious adverse events or drug-related hypersensitivity reported. Additional data from the Phase 2 portion of the Orbit study are expected in the second half of 2024.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continues to invest in pre-launch activities and other studies to generate further evidence that will inform coverage, pricing and reimbursement decisions in the EU and the UK. These include patient identification in the key European markets, interrogation of the data from IMPACT, the largest ever burden of disease survey on the impact of OI on people, their caregivers and physicians, and Project SATURN, an interrogation of existing registries in European centers of excellence, to provide a baseline of disease for OI in the current population and downstream real world evidence on the effect of treatment with setrusumab.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continues to build a compelling evidence base to support productive pricing and reimbursement discussions in the EU and the UK based on rolling interactions with the HTA and payor decision-makers.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To-date, the Company has identified 5,000 pediatric patients and 5,000 adult patients across the five largest European markets (Germany, Italy, Spain, France and the UK) and continues to believe that the European market for setrusumab in OI represents a significant commercial opportunity based on the size of the patient population and magnitude of unmet medical need.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Alvelestat (MPH-966)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extensive discussions with the Division of Pulmonology, Allergy and Critical Care (DPACC) and the Division of Clinical Outcome Assessment (DCOA) of the FDA throughout 2023, the Company has aligned on a Phase 3 study design using a patient-reported outcome (PRO) tool, the St. Georges Respiratory Questionnaire (SGRQ) Total Score, as the primary efficacy endpoint, with a functional assessment as a key secondary endpoint, in the upcoming Phase 3 trial of alvelestat in AATD-lung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Mereo plans to submit the initial validation work supporting the use of SGRQ-Total Score in the AATD population, as the primary efficacy endpoint in the study alongside the detailed study protocol, to the FDA in the first half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Europe, the Company will use lung density measured by CT scan as the primary endpoint for potential regulatory approval. The European Medicines Agency has indicated that a p value of &lt;0.1 may be sufficient for full regulatory approval if the study is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Phase 3 study is expected to enroll approximately 220 early- and late-stage patients with the severe Pi*ZZ genotype and confirmed emphysema, with a treatment period of 18 months. If the Phase 3 trial is successful, it is expected to support full approvals of alvelestat in the US and Europe.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Phase 3 study design is supported by positive results from the ATALANTa and ASTRAEUS studies, including those with early-stage disease who may not qualify for the current standard of care nor for participation in clinical trials of other investigational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Mereo continues to actively engage with multiple potential partners for the development and commercialization of alvelestat and aims to initiate the Phase 3 study with a partner around the end of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Etigilimab (MPH-313)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Etigilimab in combination with nivolumab, is being studied in an ongoing investigator-led single-arm, two-stage, open-label Phase 1b/2 trial in a subtype of platinum-resistant recurrent ovarian cancer (clear cell ovarian cancer) at the MD Anderson Cancer Center, financed by the Cancer Focus Fund. Based on the results to-date, the study has been expanded from the initial 10 patients to 20 patients and an update may be provided by the investigator in the second half of 2024 or early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Leflutrozole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2023, the Company entered into an exclusive global license agreement with ReproNovo SA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$64.25 million in future clinical, regulatory and commercial milestones as well as tiered mid-single digit royalties on global annual net sales of leflutrozole.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Navicixizumab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fourth quarter of 2023, Feng Biosciences, Inc. completed a restructuring-and recapitalization and closed on a refinancing. Feng Biosciences is a clinical stage therapeutics company advancing precision medicine for people with cancer. The company will continue to utilize its XernaTM platform to progress navicixizumab. For additional information on navicixizumab and our partner, please refer to the discussions on pages 1 and 13 of our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global licensing agreement with Feng Biosciences, Mereo is eligible to receive up to $300 million in future clinical, regulatory and commercial milestones, and tiered sales royalties.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Full Year 2023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2024, the Company began complying with and reporting under the SEC rules and Nasdaq listing requirements applicable to U.S. domestic filers. Accordingly, the full year 2023 financial results are presented in accordance with accounting principles generally accepted in the United States (U.S. GAAP) and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Revenue of $10.0 million for the year ended December 31, 2023, comprised a one-time milestone payment upon dosing of the first patient in the Phase 3 portion of the Orbit study in patients aged 5 to under 26 in accordance with the collaboration and license agreement with Ultragenyx and a $1.0 million up-front payment from the global license agreement with ReproNovo for the development and commercialization of leflutrozole.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 for the year ended December 31, 2023 was $2.6 million, representing amounts payable pursuant to our 2015 agreement with Novartis, under which the Company pays a percentage of proceeds resulting from milestone revenue received, subject to certain deductions. </w:t>
      </w:r>
    </w:p>
    <w:p>
      <w:pPr>
        <w:pStyle w:val="TextBody"/>
        <w:bidi w:val="0"/>
        <w:spacing w:before="240" w:after="0"/>
        <w:jc w:val="left"/>
        <w:rPr>
          <w:rFonts w:ascii="Times New Roman" w:hAnsi="Times New Roman"/>
          <w:sz w:val="20"/>
        </w:rPr>
      </w:pPr>
      <w:r>
        <w:rPr>
          <w:rFonts w:ascii="Times New Roman" w:hAnsi="Times New Roman"/>
          <w:sz w:val="20"/>
        </w:rPr>
        <w:t xml:space="preserve">Total research and development expenses decreased by $12.0 million, or 41%, from $29.5 million in 2022 to $17.4 million in 2023. The decrease was primarily due to a $12.4 million reduction in R&amp;D expenses for etigilimab, partially offset by an increase of $0.7 million in expenses for setrusumab. The reduction in etigilimab expenses was primarily due to the winding down and completion of the open label Phase 1b/2 basket study in combination with an anti-PD-1 in a range of tumor types. Program expenses for setrusumab are in relation to ongoing activities in Europe, and input into development, regulatory and manufacturing plans with our partner, Ultragenyx, as the global development of the program is funded by Ultragenyx pursuant to our license and collaboration agreement. Program expenses for alvelestat primarily include the preparatory work for the Phase 3 study, including CMC and drug formulation activities, SGRQ validation activities and regulatory interactions.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$7.7 million, or 29%, from $26.1 million in 2022 to $18.4 million in 2023. The decrease is primarily related to overall reductions in staff costs, professional fees and corporate costs of $7.1 million, in addition to $3.6 million received from our depositary to reimburse certain expenses incurred by us in respect of our ADR program in the current and prior years and $2.0 million received under a claim on our Directors and Officers insurance policy to reimburse us for certain legal and professional costs incurred in prior years. General and administrative expenses included $2.7 million in 2023 (2022: $2.6 million) related to pre-commercial activities, including those to support pricing and reimbursement by HTA authorities and payor decision-makers in Europe. </w:t>
      </w:r>
    </w:p>
    <w:p>
      <w:pPr>
        <w:pStyle w:val="TextBody"/>
        <w:bidi w:val="0"/>
        <w:spacing w:before="240" w:after="0"/>
        <w:jc w:val="left"/>
        <w:rPr>
          <w:rFonts w:ascii="Times New Roman" w:hAnsi="Times New Roman"/>
          <w:sz w:val="20"/>
        </w:rPr>
      </w:pPr>
      <w:r>
        <w:rPr>
          <w:rFonts w:ascii="Times New Roman" w:hAnsi="Times New Roman"/>
          <w:sz w:val="20"/>
        </w:rPr>
        <w:t xml:space="preserve">Net loss for the full year ended December 31, 2023 was $29.5 million, compared to $42.2 million during the comparable period in 2022, primarily reflecting an operating loss of $28.4 million.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 had cash and cash equivalents of $57.4 million. Net cash burn during the fourth quarter of 2023 amounted to $6.7 million. The Companys guidance remains unchanged, and it continues to expect, based on current operational plans, that its existing cash and cash equivalents balance will enable it to fund its currently committed clinical trials, operating expenses, and capital expenditure requirements into 2026. This guidance does not include any potential upfront payments associated with a partnership for alvelestat or business development activity around any of the Companys non-core programs. </w:t>
      </w:r>
    </w:p>
    <w:p>
      <w:pPr>
        <w:pStyle w:val="TextBody"/>
        <w:bidi w:val="0"/>
        <w:spacing w:before="120" w:after="0"/>
        <w:jc w:val="left"/>
        <w:rPr>
          <w:rFonts w:ascii="Times New Roman" w:hAnsi="Times New Roman"/>
          <w:sz w:val="20"/>
        </w:rPr>
      </w:pPr>
      <w:r>
        <w:rPr>
          <w:rFonts w:ascii="Times New Roman" w:hAnsi="Times New Roman"/>
          <w:sz w:val="20"/>
        </w:rPr>
        <w:t xml:space="preserve">Total ordinary shares issued as of December 31, 2023 were 701,217,089. Total ADS equivalents as of December 31, 2023 were 140,243,417, with each ADS representing five ordinary shares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Mereo BioPharma </w:t>
      </w:r>
    </w:p>
    <w:p>
      <w:pPr>
        <w:pStyle w:val="TextBody"/>
        <w:bidi w:val="0"/>
        <w:spacing w:before="120" w:after="0"/>
        <w:jc w:val="left"/>
        <w:rPr>
          <w:rFonts w:ascii="Times New Roman" w:hAnsi="Times New Roman"/>
          <w:sz w:val="20"/>
        </w:rPr>
      </w:pPr>
      <w:r>
        <w:rPr>
          <w:rFonts w:ascii="Times New Roman" w:hAnsi="Times New Roman"/>
          <w:sz w:val="20"/>
        </w:rPr>
        <w:t xml:space="preserve">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alpha-1-antitrypsin deficiency-associated lung disease (AATD-LD). The Companys partner, Ultragenyx Pharmaceutical, Inc., has initiated the Phase 3 portion of a pivotal Phase 2/3 pediatric study in young adults (5 to &lt;26 years old) for setrusumab in OI and a Phase 3 study in pediatric patients (2 to &lt;7 years old) in the first half of 2023. The partnership with Ultragenyx includes potential milestone payments of up to $245 million (following the recent $9 million milestone)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  cervical, ovarian, and endometrial and is an ongoing Phase 1b/2 investigator led study at the MD Anderson Cancer Center in clear cell ovarian cancer; Navicixizumab, for the treatment of late line ovarian cancer, has completed a Phase 1 study and has been partnered with Feng Biosciences Inc. in a global licensing agreement that includes milestone payments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1"/>
        <w:gridCol w:w="120"/>
        <w:gridCol w:w="5134"/>
      </w:tblGrid>
      <w:tr>
        <w:trPr/>
        <w:tc>
          <w:tcPr>
            <w:tcW w:w="4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34" w:type="dxa"/>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Mereo BioPharma Contacts:</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Mereo</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b/>
              </w:rPr>
            </w:pPr>
            <w:r>
              <w:rPr>
                <w:b/>
              </w:rPr>
              <w:t>+44 (0)333 023 7300</w:t>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Denise Scots-Knight, Chief Executive Officer</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Christine Fox, Chief Financial Officer</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Burns McClellan (Investor Relations Adviser to Mereo)</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b/>
              </w:rPr>
            </w:pPr>
            <w:r>
              <w:rPr>
                <w:b/>
              </w:rPr>
              <w:t>+01 646 930 4406</w:t>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pPr>
            <w:r>
              <w:rPr/>
              <w:t>Lee Roth</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sz w:val="4"/>
                <w:szCs w:val="4"/>
              </w:rPr>
            </w:pPr>
            <w:r>
              <w:rPr>
                <w:sz w:val="4"/>
                <w:szCs w:val="4"/>
              </w:rPr>
            </w:r>
          </w:p>
        </w:tc>
      </w:tr>
      <w:tr>
        <w:trPr>
          <w:trHeight w:val="120" w:hRule="atLeast"/>
        </w:trPr>
        <w:tc>
          <w:tcPr>
            <w:tcW w:w="4951" w:type="dxa"/>
            <w:tcBorders/>
            <w:vAlign w:val="center"/>
          </w:tcPr>
          <w:p>
            <w:pPr>
              <w:pStyle w:val="TableContents"/>
              <w:bidi w:val="0"/>
              <w:spacing w:before="0" w:after="283"/>
              <w:jc w:val="left"/>
              <w:rPr>
                <w:sz w:val="4"/>
                <w:szCs w:val="4"/>
              </w:rPr>
            </w:pPr>
            <w:r>
              <w:rPr>
                <w:sz w:val="4"/>
                <w:szCs w:val="4"/>
              </w:rPr>
            </w:r>
          </w:p>
        </w:tc>
        <w:tc>
          <w:tcPr>
            <w:tcW w:w="5254" w:type="dxa"/>
            <w:gridSpan w:val="2"/>
            <w:tcBorders/>
            <w:vAlign w:val="center"/>
          </w:tcPr>
          <w:p>
            <w:pPr>
              <w:pStyle w:val="TableContents"/>
              <w:bidi w:val="0"/>
              <w:spacing w:before="0" w:after="283"/>
              <w:jc w:val="left"/>
              <w:rPr>
                <w:sz w:val="4"/>
                <w:szCs w:val="4"/>
              </w:rPr>
            </w:pPr>
            <w:r>
              <w:rPr>
                <w:sz w:val="4"/>
                <w:szCs w:val="4"/>
              </w:rPr>
            </w:r>
          </w:p>
        </w:tc>
      </w:tr>
      <w:tr>
        <w:trPr/>
        <w:tc>
          <w:tcPr>
            <w:tcW w:w="4951" w:type="dxa"/>
            <w:tcBorders/>
          </w:tcPr>
          <w:p>
            <w:pPr>
              <w:pStyle w:val="TableContents"/>
              <w:bidi w:val="0"/>
              <w:spacing w:before="0" w:after="283"/>
              <w:jc w:val="left"/>
              <w:rPr>
                <w:b/>
              </w:rPr>
            </w:pPr>
            <w:r>
              <w:rPr>
                <w:b/>
              </w:rPr>
              <w:t>Investors</w:t>
            </w:r>
          </w:p>
        </w:tc>
        <w:tc>
          <w:tcPr>
            <w:tcW w:w="120" w:type="dxa"/>
            <w:tcBorders/>
            <w:vAlign w:val="bottom"/>
          </w:tcPr>
          <w:p>
            <w:pPr>
              <w:pStyle w:val="TableContents"/>
              <w:bidi w:val="0"/>
              <w:spacing w:before="0" w:after="283"/>
              <w:jc w:val="left"/>
              <w:rPr/>
            </w:pPr>
            <w:r>
              <w:rPr/>
              <w:t>  </w:t>
            </w:r>
          </w:p>
        </w:tc>
        <w:tc>
          <w:tcPr>
            <w:tcW w:w="5134" w:type="dxa"/>
            <w:tcBorders/>
          </w:tcPr>
          <w:p>
            <w:pPr>
              <w:pStyle w:val="TableContents"/>
              <w:bidi w:val="0"/>
              <w:spacing w:before="0" w:after="283"/>
              <w:jc w:val="left"/>
              <w:rPr>
                <w:u w:val="single"/>
              </w:rPr>
            </w:pPr>
            <w:r>
              <w:rPr>
                <w:u w:val="single"/>
              </w:rPr>
              <w:t>investors@mereobiopharma.com</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center"/>
        <w:rPr>
          <w:rFonts w:ascii="Times New Roman" w:hAnsi="Times New Roman"/>
          <w:sz w:val="20"/>
        </w:rPr>
      </w:pPr>
      <w:r>
        <w:rPr>
          <w:rFonts w:ascii="Times New Roman" w:hAnsi="Times New Roman"/>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24"/>
        <w:gridCol w:w="234"/>
        <w:gridCol w:w="140"/>
        <w:gridCol w:w="879"/>
        <w:gridCol w:w="155"/>
        <w:gridCol w:w="196"/>
        <w:gridCol w:w="140"/>
        <w:gridCol w:w="879"/>
        <w:gridCol w:w="158"/>
      </w:tblGrid>
      <w:tr>
        <w:trPr/>
        <w:tc>
          <w:tcPr>
            <w:tcW w:w="7424"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2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57,421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68,182</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5,156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5,446</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incentives receivables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1,183</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1,569</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63,760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75,197</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551</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1,665</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1,089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66,499</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77,413</w:t>
            </w:r>
          </w:p>
        </w:tc>
        <w:tc>
          <w:tcPr>
            <w:tcW w:w="158" w:type="dxa"/>
            <w:tcBorders/>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2,346</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3,492</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5,467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5,436</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notes  current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13,326</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  current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486</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 current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564</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1,021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1,071</w:t>
            </w:r>
          </w:p>
        </w:tc>
        <w:tc>
          <w:tcPr>
            <w:tcW w:w="158" w:type="dxa"/>
            <w:tcBorders/>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9,486</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24,375</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 notes  non current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4,394</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  non current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412</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157</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 current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906</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1,479</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764</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15,962</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26,011</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19)</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par value £0.003 per share; 701,217,089 shares issued at December 31, 2023 (2022: 624,928,519).</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2,775</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2,478</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(1,230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(1,335</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486,107</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476,521</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(419,630</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(404,575</w:t>
            </w:r>
          </w:p>
        </w:tc>
        <w:tc>
          <w:tcPr>
            <w:tcW w:w="158" w:type="dxa"/>
            <w:tcBorders/>
            <w:vAlign w:val="bottom"/>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(17,485</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(21,687</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50,537</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51,402</w:t>
            </w:r>
          </w:p>
        </w:tc>
        <w:tc>
          <w:tcPr>
            <w:tcW w:w="158" w:type="dxa"/>
            <w:tcBorders/>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66,499</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77,413</w:t>
            </w:r>
          </w:p>
        </w:tc>
        <w:tc>
          <w:tcPr>
            <w:tcW w:w="158" w:type="dxa"/>
            <w:tcBorders/>
            <w:shd w:fill="CCEEFF" w:val="clear"/>
            <w:vAlign w:val="bottom"/>
          </w:tcPr>
          <w:p>
            <w:pPr>
              <w:pStyle w:val="TableContents"/>
              <w:bidi w:val="0"/>
              <w:spacing w:before="0" w:after="283"/>
              <w:jc w:val="left"/>
              <w:rPr/>
            </w:pPr>
            <w:r>
              <w:rPr/>
              <w:t> </w:t>
            </w:r>
          </w:p>
        </w:tc>
      </w:tr>
      <w:tr>
        <w:trPr/>
        <w:tc>
          <w:tcPr>
            <w:tcW w:w="7424"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center"/>
        <w:rPr>
          <w:rFonts w:ascii="Times New Roman" w:hAnsi="Times New Roman"/>
          <w:sz w:val="20"/>
        </w:rPr>
      </w:pPr>
      <w:r>
        <w:rPr>
          <w:rFonts w:ascii="Times New Roman" w:hAnsi="Times New Roman"/>
          <w:sz w:val="20"/>
        </w:rPr>
        <w:t xml:space="preserve">CONSOLIDATED STATEMENTS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59"/>
        <w:gridCol w:w="369"/>
        <w:gridCol w:w="140"/>
        <w:gridCol w:w="1228"/>
        <w:gridCol w:w="155"/>
        <w:gridCol w:w="326"/>
        <w:gridCol w:w="140"/>
        <w:gridCol w:w="1228"/>
        <w:gridCol w:w="160"/>
      </w:tblGrid>
      <w:tr>
        <w:trPr/>
        <w:tc>
          <w:tcPr>
            <w:tcW w:w="6459"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59"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32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1,146</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(17,418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(29,465</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(18,424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(26,107</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(28,416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(54,426</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2,131</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840</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(2,881</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(4,175</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the fair value of financial instruments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9,286</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transaction (loss)/gain, net</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(2,347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2,723</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(expenses)/income, net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1,086</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research and development tax credit</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1,280</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1,728</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before income tax</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(29,998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(42,938</w:t>
            </w:r>
          </w:p>
        </w:tc>
        <w:tc>
          <w:tcPr>
            <w:tcW w:w="160" w:type="dxa"/>
            <w:tcBorders/>
            <w:vAlign w:val="bottom"/>
          </w:tcPr>
          <w:p>
            <w:pPr>
              <w:pStyle w:val="TableContents"/>
              <w:bidi w:val="0"/>
              <w:spacing w:before="0" w:after="283"/>
              <w:jc w:val="left"/>
              <w:rPr/>
            </w:pPr>
            <w:r>
              <w:rPr/>
              <w:t>) </w:t>
            </w:r>
          </w:p>
        </w:tc>
      </w:tr>
      <w:tr>
        <w:trPr/>
        <w:tc>
          <w:tcPr>
            <w:tcW w:w="6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718</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(29,466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(42,220</w:t>
            </w:r>
          </w:p>
        </w:tc>
        <w:tc>
          <w:tcPr>
            <w:tcW w:w="160" w:type="dxa"/>
            <w:tcBorders/>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per share  basic and diluted</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(0.07</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659,453,921</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603,196,403</w:t>
            </w:r>
          </w:p>
        </w:tc>
        <w:tc>
          <w:tcPr>
            <w:tcW w:w="160" w:type="dxa"/>
            <w:tcBorders/>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(29,466</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(42,220</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income/(loss)  Foreign currency transaction adjustments, net of tax</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4,202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(10,660</w:t>
            </w:r>
          </w:p>
        </w:tc>
        <w:tc>
          <w:tcPr>
            <w:tcW w:w="160" w:type="dxa"/>
            <w:tcBorders/>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(25,264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(52,880</w:t>
            </w:r>
          </w:p>
        </w:tc>
        <w:tc>
          <w:tcPr>
            <w:tcW w:w="160" w:type="dxa"/>
            <w:tcBorders/>
            <w:shd w:fill="CCEEFF" w:val="clear"/>
            <w:vAlign w:val="bottom"/>
          </w:tcPr>
          <w:p>
            <w:pPr>
              <w:pStyle w:val="TableContents"/>
              <w:bidi w:val="0"/>
              <w:spacing w:before="0" w:after="283"/>
              <w:jc w:val="left"/>
              <w:rPr/>
            </w:pPr>
            <w:r>
              <w:rPr/>
              <w:t>) </w:t>
            </w:r>
          </w:p>
        </w:tc>
      </w:tr>
      <w:tr>
        <w:trPr/>
        <w:tc>
          <w:tcPr>
            <w:tcW w:w="6459"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3758</Words>
  <Characters>20490</Characters>
  <CharactersWithSpaces>24505</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