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Sermon Charles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20"/>
        <w:spacing w:after="0" w:line="365" w:lineRule="auto"/>
        <w:rPr>
          <w:sz w:val="20"/>
          <w:szCs w:val="20"/>
          <w:color w:val="auto"/>
        </w:rPr>
      </w:pPr>
      <w:r>
        <w:rPr>
          <w:rFonts w:ascii="Times New Roman" w:cs="Times New Roman" w:eastAsia="Times New Roman" w:hAnsi="Times New Roman"/>
          <w:sz w:val="17"/>
          <w:szCs w:val="17"/>
          <w:color w:val="0000FF"/>
        </w:rPr>
        <w:t>C/O MEREO BIOPHARMA GROUP PLC 4TH FLOOR, ONE CAVENDISH PLACE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W1G 0QF</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Mereo BioPharma Group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5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06/25/2024</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0000FF"/>
              </w:rPr>
              <w:t>General Counsel</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06/25/2024</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right"/>
              <w:ind w:right="72"/>
              <w:spacing w:after="0"/>
              <w:rPr>
                <w:sz w:val="20"/>
                <w:szCs w:val="20"/>
                <w:color w:val="auto"/>
              </w:rPr>
            </w:pPr>
            <w:r>
              <w:rPr>
                <w:rFonts w:ascii="Times New Roman" w:cs="Times New Roman" w:eastAsia="Times New Roman" w:hAnsi="Times New Roman"/>
                <w:sz w:val="17"/>
                <w:szCs w:val="17"/>
                <w:color w:val="0000FF"/>
              </w:rPr>
              <w:t>14,202</w:t>
            </w:r>
            <w:r>
              <w:rPr>
                <w:rFonts w:ascii="Times New Roman" w:cs="Times New Roman" w:eastAsia="Times New Roman" w:hAnsi="Times New Roman"/>
                <w:sz w:val="22"/>
                <w:szCs w:val="22"/>
                <w:color w:val="008000"/>
                <w:vertAlign w:val="superscript"/>
              </w:rPr>
              <w:t>(3)</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3.6939</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216,574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(1)(2)</w:t>
            </w: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40" w:type="dxa"/>
            <w:vAlign w:val="bottom"/>
            <w:tcBorders>
              <w:bottom w:val="single" w:sz="8" w:color="2C2C2C"/>
            </w:tcBorders>
            <w:gridSpan w:val="3"/>
            <w:vMerge w:val="continue"/>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06/26/2024</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right"/>
              <w:ind w:right="72"/>
              <w:spacing w:after="0"/>
              <w:rPr>
                <w:sz w:val="20"/>
                <w:szCs w:val="20"/>
                <w:color w:val="auto"/>
              </w:rPr>
            </w:pPr>
            <w:r>
              <w:rPr>
                <w:rFonts w:ascii="Times New Roman" w:cs="Times New Roman" w:eastAsia="Times New Roman" w:hAnsi="Times New Roman"/>
                <w:sz w:val="17"/>
                <w:szCs w:val="17"/>
                <w:color w:val="0000FF"/>
              </w:rPr>
              <w:t>32,187</w:t>
            </w:r>
            <w:r>
              <w:rPr>
                <w:rFonts w:ascii="Times New Roman" w:cs="Times New Roman" w:eastAsia="Times New Roman" w:hAnsi="Times New Roman"/>
                <w:sz w:val="22"/>
                <w:szCs w:val="22"/>
                <w:color w:val="008000"/>
                <w:vertAlign w:val="superscript"/>
              </w:rPr>
              <w:t>(3)</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3.3932</w:t>
            </w:r>
            <w:r>
              <w:rPr>
                <w:rFonts w:ascii="Times New Roman" w:cs="Times New Roman" w:eastAsia="Times New Roman" w:hAnsi="Times New Roman"/>
                <w:sz w:val="22"/>
                <w:szCs w:val="22"/>
                <w:color w:val="008000"/>
                <w:vertAlign w:val="superscript"/>
              </w:rPr>
              <w:t>(5)</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184,387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w:t>
            </w: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2640" w:type="dxa"/>
            <w:vAlign w:val="bottom"/>
            <w:tcBorders>
              <w:bottom w:val="single" w:sz="8" w:color="2C2C2C"/>
            </w:tcBorders>
            <w:gridSpan w:val="3"/>
            <w:vMerge w:val="continue"/>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five ordinary shares, nominal value GBP 0.003 per ordinary share,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also beneficially owns 4 ordinary shares, nominal value of GBP 0.003 per ordinary share, of the Issuer.</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ADSs required to be sold by the Reporting Person to cover tax withholding obligations in connection with the vesting of Performance-based restricted stock units under the issuer's 2019 Employee Incentive Plan (the "Plan"), that vested on June 21, 2024. These sales are mandated by the Issuer's election under its Plan to require the satisfaction of a tax withholding obligation to be funded by a "sell to cover" transaction and do not represent discretionary trades by the Reporting Person.</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sold in multiple transactions at prices ranging from $3.60 to $3.805, inclusive. The Reporting Person undertakes to provide to Mereo BioPharma Group plc ("Mereo"), any security holder of Mereo, or the staff of the Securities and Exchange Commission, upon request, full information regarding the number of ADSs sold at each separate price within the ranges set forth in footnotes (4) and (5)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sold in multiple transactions at prices ranging from $3.28 to $3.51,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Christine Fox, by power of  </w:t>
      </w:r>
      <w:r>
        <w:rPr>
          <w:rFonts w:ascii="Times New Roman" w:cs="Times New Roman" w:eastAsia="Times New Roman" w:hAnsi="Times New Roman"/>
          <w:sz w:val="34"/>
          <w:szCs w:val="34"/>
          <w:color w:val="0000FF"/>
          <w:vertAlign w:val="subscript"/>
        </w:rPr>
        <w:t>06/27/2024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60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7318" TargetMode="External"/><Relationship Id="rId13"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2024-06-27T15:53:02Z</dcterms:created>
  <dcterms:modified xsi:type="dcterms:W3CDTF">2024-06-27T15:53:02Z</dcterms:modified>
</cp:coreProperties>
</file>