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-226060</wp:posOffset>
            </wp:positionV>
            <wp:extent cx="120015" cy="1200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-565785</wp:posOffset>
            </wp:positionV>
            <wp:extent cx="120015" cy="1200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6"/>
        </w:trPr>
        <w:tc>
          <w:tcPr>
            <w:tcW w:w="622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5218430</wp:posOffset>
            </wp:positionH>
            <wp:positionV relativeFrom="paragraph">
              <wp:posOffset>-612775</wp:posOffset>
            </wp:positionV>
            <wp:extent cx="57150" cy="6261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3936365</wp:posOffset>
            </wp:positionH>
            <wp:positionV relativeFrom="paragraph">
              <wp:posOffset>-612775</wp:posOffset>
            </wp:positionV>
            <wp:extent cx="57150" cy="6261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725805</wp:posOffset>
            </wp:positionV>
            <wp:extent cx="7047865" cy="52660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5266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60"/>
            <w:col w:w="8440"/>
          </w:cols>
          <w:pgMar w:left="460" w:top="215" w:right="359" w:bottom="1440" w:gutter="0" w:footer="0" w:header="0"/>
        </w:sectPr>
      </w:pP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Lewicki John A.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 w:right="300"/>
        <w:spacing w:after="0" w:line="36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MEREO BIOPHARMA GROUP PLC 4TH FLOOR, ONE CAVENDISH PLACE</w:t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LONDON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X0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W1G 0QF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202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Mereo BioPharma Group plc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MREO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Chief Scientific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02/01/2026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60" w:space="580"/>
            <w:col w:w="7240"/>
          </w:cols>
          <w:pgMar w:left="460" w:top="21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American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139,913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0.44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02/01/2026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1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139,913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02/01/2036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Depositary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139,913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American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46,637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1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02/01/2026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1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46,637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02/01/2036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Depository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46,637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American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145,000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0.44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02/01/2026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1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145,000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02/01/2036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Depository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145,000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of the shares underlying this share option will vest and become exercisable on February 1, 2027, with the remainder vesting in equal monthly installments for the three years thereafter.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American Depositary Share ("ADS") represents five ordinary shares, nominal value GBP 0.003 per ordinary share, of the Issuer.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Vests in substantially equal monthly installments over a one year period from the February 1, 2026 grant date.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Christine Fox, by power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02/02/2026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5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attorney</w:t>
            </w:r>
          </w:p>
        </w:tc>
        <w:tc>
          <w:tcPr>
            <w:tcW w:w="1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5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760" w:hanging="1"/>
        <w:spacing w:after="0" w:line="32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53352" TargetMode="External"/><Relationship Id="rId14" Type="http://schemas.openxmlformats.org/officeDocument/2006/relationships/hyperlink" Target="http://www.sec.gov/cgi-bin/browse-edgar?action=getcompany&amp;CIK=00017197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2026-02-02T15:40:06Z</dcterms:created>
  <dcterms:modified xsi:type="dcterms:W3CDTF">2026-02-02T15:40:06Z</dcterms:modified>
</cp:coreProperties>
</file>