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60" w:right="100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February, 2021</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MEREO BIOPHARMA GROUP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5"/>
          <w:szCs w:val="15"/>
          <w:b w:val="1"/>
          <w:bCs w:val="1"/>
          <w:color w:val="auto"/>
        </w:rPr>
        <w:t>th</w:t>
      </w:r>
      <w:r>
        <w:rPr>
          <w:rFonts w:ascii="Times New Roman" w:cs="Times New Roman" w:eastAsia="Times New Roman" w:hAnsi="Times New Roman"/>
          <w:sz w:val="18"/>
          <w:szCs w:val="18"/>
          <w:b w:val="1"/>
          <w:bCs w:val="1"/>
          <w:color w:val="auto"/>
        </w:rPr>
        <w:t xml:space="preserve"> Floor, One Cavendish Place,</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180"/>
        <w:spacing w:after="0" w:line="207" w:lineRule="exact"/>
        <w:tabs>
          <w:tab w:leader="none" w:pos="57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181610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224155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Submission of Matters to a Vote of Security Holders.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Mereo BioPharma Group plc (the “Company”) held a general meeting (the “General Meeting”) on February 1, 2021. There were approximately 342,851,308 ordinary shares entitled to vote at the General Meeting based on the number of issued ordinary shares outstanding as of January 30, 2021, of which approximately 99.8% were held in the name of Citibank, N.A., which issues Company-sponsored American Depositary Shares each of which, in turn, represents five ordinary shares. Of the ordinary shares entitled to vote, holders representing 229,573,628 shares, or approximately 67%, were present in person or by proxy at the General Meeting. The presence, in person or by proxy, of two or more members would constitute a quorum for the transaction of business at the General Meeting.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matters set forth below were voted on at the General Meeting. Detailed descriptions of these matters and voting procedures applicable to these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at the General Meeting are contained in the Company’s shareholder circular for the General Meeting a copy of which was published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January 14, 2021. All matters were approved by a show of hands in accordance with the Company’s Articles of Association. Set forth below are the total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proxy votes received for and against each matter, as well as the total number of proxy abstentions (or votes withheld).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Resolution 1 – Authority to allot shares</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Proposed as an ordinary resolution, the authority sought in respect of Resolution 1 would allow the Directors to allot new shares or grant rights to subscribe for, or convert other securities into, shares up to an aggregate maximum nominal amount of £1,540,760.28, representing 150% of the issued share capital of the Company, as at January 13, 2021, being the latest practicable date prior to publication of the shareholder circular for the General Meeting.</w:t>
      </w:r>
    </w:p>
    <w:p>
      <w:pPr>
        <w:spacing w:after="0" w:line="180" w:lineRule="exact"/>
        <w:rPr>
          <w:sz w:val="20"/>
          <w:szCs w:val="20"/>
          <w:color w:val="auto"/>
        </w:rPr>
      </w:pPr>
    </w:p>
    <w:p>
      <w:pPr>
        <w:spacing w:after="0"/>
        <w:tabs>
          <w:tab w:leader="none" w:pos="2400" w:val="left"/>
          <w:tab w:leader="none" w:pos="5020" w:val="left"/>
        </w:tabs>
        <w:rPr>
          <w:sz w:val="20"/>
          <w:szCs w:val="20"/>
          <w:color w:val="auto"/>
        </w:rPr>
      </w:pPr>
      <w:r>
        <w:rPr>
          <w:rFonts w:ascii="Times New Roman" w:cs="Times New Roman" w:eastAsia="Times New Roman" w:hAnsi="Times New Roman"/>
          <w:sz w:val="18"/>
          <w:szCs w:val="18"/>
          <w:color w:val="auto"/>
        </w:rPr>
        <w:t>Proxy votes for 198,589,170</w:t>
      </w:r>
      <w:r>
        <w:rPr>
          <w:sz w:val="20"/>
          <w:szCs w:val="20"/>
          <w:color w:val="auto"/>
        </w:rPr>
        <w:tab/>
      </w:r>
      <w:r>
        <w:rPr>
          <w:rFonts w:ascii="Times New Roman" w:cs="Times New Roman" w:eastAsia="Times New Roman" w:hAnsi="Times New Roman"/>
          <w:sz w:val="18"/>
          <w:szCs w:val="18"/>
          <w:color w:val="auto"/>
        </w:rPr>
        <w:t>Proxy votes against 30,846,543</w:t>
      </w:r>
      <w:r>
        <w:rPr>
          <w:sz w:val="20"/>
          <w:szCs w:val="20"/>
          <w:color w:val="auto"/>
        </w:rPr>
        <w:tab/>
      </w:r>
      <w:r>
        <w:rPr>
          <w:rFonts w:ascii="Times New Roman" w:cs="Times New Roman" w:eastAsia="Times New Roman" w:hAnsi="Times New Roman"/>
          <w:sz w:val="17"/>
          <w:szCs w:val="17"/>
          <w:color w:val="auto"/>
        </w:rPr>
        <w:t>Proxy votes withheld 137,915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Resolution 2 – Disapplication of pre-emption rights</w:t>
      </w:r>
    </w:p>
    <w:p>
      <w:pPr>
        <w:spacing w:after="0" w:line="11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Proposed as a special resolution, Resolution 2 would allow the Directors to allot equity securities for cash pursuant to the authority given by Resolution 1 without first being required to offer them to existing ordinary shareholders. If approved, the resolution would authorize the Directors to allot ordinary shares, or grant rights to subscribe for, or convert securities into, ordinary shares up to an aggregate maximum nominal amount of £1,540,760.28 (which includes, for this purpose, the sale on a non-pre-emptive basis of any shares held in treasury), representing 150% of the issued share capital of the Company calculated as at January 13, 2021, the latest practicable date prior to the publication of the shareholder circular for the General Meeting, as if section 561(1) of the Companies Act 2006 did not apply to such allotment or grant or sale of treasury shares. If approved, the power would expire on June 30, 2023, unless renewed, varied or revoked by the Company prior to that date.</w:t>
      </w:r>
    </w:p>
    <w:p>
      <w:pPr>
        <w:spacing w:after="0" w:line="189" w:lineRule="exact"/>
        <w:rPr>
          <w:sz w:val="20"/>
          <w:szCs w:val="20"/>
          <w:color w:val="auto"/>
        </w:rPr>
      </w:pPr>
    </w:p>
    <w:p>
      <w:pPr>
        <w:spacing w:after="0"/>
        <w:tabs>
          <w:tab w:leader="none" w:pos="2440" w:val="left"/>
          <w:tab w:leader="none" w:pos="5060" w:val="left"/>
        </w:tabs>
        <w:rPr>
          <w:sz w:val="20"/>
          <w:szCs w:val="20"/>
          <w:color w:val="auto"/>
        </w:rPr>
      </w:pPr>
      <w:r>
        <w:rPr>
          <w:rFonts w:ascii="Times New Roman" w:cs="Times New Roman" w:eastAsia="Times New Roman" w:hAnsi="Times New Roman"/>
          <w:sz w:val="18"/>
          <w:szCs w:val="18"/>
          <w:color w:val="auto"/>
        </w:rPr>
        <w:t>Proxy votes for 184,681,850</w:t>
      </w:r>
      <w:r>
        <w:rPr>
          <w:sz w:val="20"/>
          <w:szCs w:val="20"/>
          <w:color w:val="auto"/>
        </w:rPr>
        <w:tab/>
      </w:r>
      <w:r>
        <w:rPr>
          <w:rFonts w:ascii="Times New Roman" w:cs="Times New Roman" w:eastAsia="Times New Roman" w:hAnsi="Times New Roman"/>
          <w:sz w:val="18"/>
          <w:szCs w:val="18"/>
          <w:color w:val="auto"/>
        </w:rPr>
        <w:t>Proxy votes against 44,595,913</w:t>
      </w:r>
      <w:r>
        <w:rPr>
          <w:sz w:val="20"/>
          <w:szCs w:val="20"/>
          <w:color w:val="auto"/>
        </w:rPr>
        <w:tab/>
      </w:r>
      <w:r>
        <w:rPr>
          <w:rFonts w:ascii="Times New Roman" w:cs="Times New Roman" w:eastAsia="Times New Roman" w:hAnsi="Times New Roman"/>
          <w:sz w:val="17"/>
          <w:szCs w:val="17"/>
          <w:color w:val="auto"/>
        </w:rPr>
        <w:t>Proxy votes withheld 295,865</w:t>
      </w:r>
    </w:p>
    <w:p>
      <w:pPr>
        <w:sectPr>
          <w:pgSz w:w="11900" w:h="16838" w:orient="portrait"/>
          <w:cols w:equalWidth="0" w:num="1">
            <w:col w:w="11000"/>
          </w:cols>
          <w:pgMar w:left="440" w:top="266" w:right="45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 2021</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Charles Sermon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tabs>
          <w:tab w:leader="none" w:pos="762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Charles Sermon</w:t>
      </w:r>
    </w:p>
    <w:p>
      <w:pPr>
        <w:spacing w:after="0" w:line="23" w:lineRule="exact"/>
        <w:rPr>
          <w:sz w:val="20"/>
          <w:szCs w:val="20"/>
          <w:color w:val="auto"/>
        </w:rPr>
      </w:pPr>
    </w:p>
    <w:p>
      <w:pPr>
        <w:ind w:left="6980"/>
        <w:spacing w:after="0"/>
        <w:tabs>
          <w:tab w:leader="none" w:pos="7600" w:val="left"/>
        </w:tabs>
        <w:rPr>
          <w:sz w:val="20"/>
          <w:szCs w:val="20"/>
          <w:color w:val="auto"/>
        </w:rPr>
      </w:pPr>
      <w:r>
        <w:rPr>
          <w:rFonts w:ascii="Times New Roman" w:cs="Times New Roman" w:eastAsia="Times New Roman" w:hAnsi="Times New Roman"/>
          <w:sz w:val="18"/>
          <w:szCs w:val="18"/>
          <w:color w:val="auto"/>
        </w:rPr>
        <w:t>Title:</w:t>
        <w:tab/>
        <w:t>General Counsel</w:t>
      </w:r>
    </w:p>
    <w:sectPr>
      <w:pgSz w:w="11900" w:h="16838" w:orient="portrait"/>
      <w:cols w:equalWidth="0" w:num="1">
        <w:col w:w="10700"/>
      </w:cols>
      <w:pgMar w:left="440" w:top="266"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2021-02-01T16:08:02Z</dcterms:created>
  <dcterms:modified xsi:type="dcterms:W3CDTF">2021-02-01T16:08:02Z</dcterms:modified>
</cp:coreProperties>
</file>