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0.003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8,503,780.00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8,503,780.00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8,503,780.00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8,503,780.00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19"/>
        <w:spacing w:after="0"/>
        <w:rPr>
          <w:sz w:val="20"/>
          <w:szCs w:val="20"/>
          <w:color w:val="auto"/>
        </w:rPr>
      </w:pPr>
      <w:r>
        <w:rPr>
          <w:rFonts w:ascii="Times New Roman" w:cs="Times New Roman" w:eastAsia="Times New Roman" w:hAnsi="Times New Roman"/>
          <w:sz w:val="22"/>
          <w:szCs w:val="22"/>
          <w:color w:val="auto"/>
        </w:rPr>
        <w:t>One Cavendish Place, 4th Floor, London, United Kingdom W1G 0QF</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ordinary shares, nominal value 0.003 GBP per share (the "Ordinary Shares") of Mereo BioPharma Group plc, a U.K. public limited company (the "Company") underlying the ADSs (as defined below)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w:t>
      </w:r>
    </w:p>
    <w:p>
      <w:pPr>
        <w:spacing w:after="0" w:line="6" w:lineRule="exact"/>
        <w:rPr>
          <w:sz w:val="20"/>
          <w:szCs w:val="20"/>
          <w:color w:val="auto"/>
        </w:rPr>
      </w:pPr>
    </w:p>
    <w:p>
      <w:pPr>
        <w:ind w:left="920" w:right="60" w:hanging="912"/>
        <w:spacing w:after="0" w:line="21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 of ACP and (2) managing member of Adage Capital Partners LLC, a Delaware limited liability company ("ACPLLC"), general partner of ACM, with respect to the Ordinary Shares underlying the ADSs directly held by ACP; and (iii) Phillip Gross ("Mr. Gross"), as (1) managing member of ACA, managing member of ACPGP and (2) managing member of ACPLLC, general partner of ACM, with respect to the Ordinary Shares underlying the ADSs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 There is no CUSIP number assigned to the Ordinary Shares. The CUSIP number 589492107 has been assigned to the American Depositary Shares ("ADSs") of the Company, which are quoted on Nasdaq under the symbol "MREO." Each ADS represents 5 Ordinary Shares.</w:t>
      </w:r>
    </w:p>
    <w:p>
      <w:pPr>
        <w:spacing w:after="0" w:line="19"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ACM is a limited partnership organized under the laws of the State of Delaware. Messrs. Gross and Atchinson are citizens of the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0.003 GBP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795,001,444 Ordinary Shares outstanding as of March 25, 2025, as reported in the Company's Annual Report on Form 10-K for the fiscal year ended December 31, 2024, filed with the Securities and Exchange Commission on March 26,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 %</w:t>
      </w:r>
    </w:p>
    <w:p>
      <w:pPr>
        <w:sectPr>
          <w:pgSz w:w="11900" w:h="16838" w:orient="portrait"/>
          <w:cols w:equalWidth="0" w:num="1">
            <w:col w:w="11120"/>
          </w:cols>
          <w:pgMar w:left="360" w:top="112" w:right="419" w:bottom="0" w:gutter="0" w:footer="0" w:header="0"/>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2025-05-12T08:14:42Z</dcterms:created>
  <dcterms:modified xsi:type="dcterms:W3CDTF">2025-05-12T08:14:42Z</dcterms:modified>
</cp:coreProperties>
</file>