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2)*</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 nominal value £0.003, represented by American Depository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60" w:right="9320" w:hanging="4"/>
        <w:spacing w:after="0" w:line="224" w:lineRule="exact"/>
        <w:tabs>
          <w:tab w:leader="none" w:pos="91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0" w:lineRule="exact"/>
        <w:rPr>
          <w:sz w:val="24"/>
          <w:szCs w:val="24"/>
          <w:color w:val="auto"/>
        </w:rPr>
      </w:pP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**There is no CUSIP number assigned to the Ordinary Shares. CUSIP number 589492107 has been assigned to the American Depositary Shares (“ADSs”) of the Issuer, which are quoted on the Nasdaq Global Market under the symbol “MREO.” Each ADS represents 5 Ordinary Shares.</w:t>
      </w:r>
    </w:p>
    <w:p>
      <w:pPr>
        <w:spacing w:after="0" w:line="14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589492107</w:t>
            </w:r>
          </w:p>
        </w:tc>
        <w:tc>
          <w:tcPr>
            <w:tcW w:w="580" w:type="dxa"/>
            <w:vAlign w:val="bottom"/>
            <w:tcBorders>
              <w:top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2 of 8 Pages</w:t>
            </w:r>
          </w:p>
        </w:tc>
        <w:tc>
          <w:tcPr>
            <w:tcW w:w="0" w:type="dxa"/>
            <w:vAlign w:val="bottom"/>
          </w:tcPr>
          <w:p>
            <w:pPr>
              <w:spacing w:after="0"/>
              <w:rPr>
                <w:sz w:val="1"/>
                <w:szCs w:val="1"/>
                <w:color w:val="auto"/>
              </w:rPr>
            </w:pPr>
          </w:p>
        </w:tc>
      </w:tr>
      <w:tr>
        <w:trPr>
          <w:trHeight w:val="111"/>
        </w:trPr>
        <w:tc>
          <w:tcPr>
            <w:tcW w:w="40" w:type="dxa"/>
            <w:vAlign w:val="bottom"/>
            <w:tcBorders>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78"/>
        </w:trPr>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spacing w:after="0"/>
              <w:rPr>
                <w:sz w:val="24"/>
                <w:szCs w:val="24"/>
                <w:color w:val="auto"/>
              </w:rPr>
            </w:pPr>
          </w:p>
        </w:tc>
        <w:tc>
          <w:tcPr>
            <w:tcW w:w="508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1</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7100" w:type="dxa"/>
            <w:vAlign w:val="bottom"/>
            <w:gridSpan w:val="5"/>
            <w:vMerge w:val="restart"/>
          </w:tcPr>
          <w:p>
            <w:pPr>
              <w:ind w:left="40"/>
              <w:spacing w:after="0"/>
              <w:rPr>
                <w:sz w:val="20"/>
                <w:szCs w:val="20"/>
                <w:color w:val="auto"/>
              </w:rPr>
            </w:pPr>
            <w:r>
              <w:rPr>
                <w:rFonts w:ascii="Arial" w:cs="Arial" w:eastAsia="Arial" w:hAnsi="Arial"/>
                <w:sz w:val="18"/>
                <w:szCs w:val="18"/>
                <w:color w:val="auto"/>
              </w:rPr>
              <w:t>OrbiMed Capital GP VII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7100" w:type="dxa"/>
            <w:vAlign w:val="bottom"/>
            <w:gridSpan w:val="5"/>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2</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760" w:type="dxa"/>
            <w:vAlign w:val="bottom"/>
            <w:tcBorders>
              <w:right w:val="single" w:sz="8" w:color="auto"/>
            </w:tcBorders>
            <w:vMerge w:val="continue"/>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(a) o</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(b) o</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3</w:t>
            </w: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spacing w:after="0"/>
              <w:rPr>
                <w:sz w:val="18"/>
                <w:szCs w:val="18"/>
                <w:color w:val="auto"/>
              </w:rPr>
            </w:pPr>
          </w:p>
        </w:tc>
        <w:tc>
          <w:tcPr>
            <w:tcW w:w="508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4</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Delaware</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5</w:t>
            </w:r>
          </w:p>
        </w:tc>
        <w:tc>
          <w:tcPr>
            <w:tcW w:w="5080" w:type="dxa"/>
            <w:vAlign w:val="bottom"/>
            <w:gridSpan w:val="2"/>
          </w:tcPr>
          <w:p>
            <w:pPr>
              <w:ind w:left="6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56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2040" w:type="dxa"/>
            <w:vAlign w:val="bottom"/>
            <w:tcBorders>
              <w:right w:val="single" w:sz="8" w:color="auto"/>
            </w:tcBorders>
            <w:gridSpan w:val="2"/>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204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SHARES</w:t>
            </w:r>
          </w:p>
        </w:tc>
        <w:tc>
          <w:tcPr>
            <w:tcW w:w="160" w:type="dxa"/>
            <w:vAlign w:val="bottom"/>
          </w:tcPr>
          <w:p>
            <w:pPr>
              <w:spacing w:after="0"/>
              <w:rPr>
                <w:sz w:val="18"/>
                <w:szCs w:val="18"/>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6</w:t>
            </w:r>
          </w:p>
        </w:tc>
        <w:tc>
          <w:tcPr>
            <w:tcW w:w="508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8,302,904 (1)</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OWNED BY</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508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760" w:type="dxa"/>
            <w:vAlign w:val="bottom"/>
          </w:tcPr>
          <w:p>
            <w:pPr>
              <w:spacing w:after="0"/>
              <w:rPr>
                <w:sz w:val="17"/>
                <w:szCs w:val="17"/>
                <w:color w:val="auto"/>
              </w:rPr>
            </w:pPr>
          </w:p>
        </w:tc>
        <w:tc>
          <w:tcPr>
            <w:tcW w:w="1280" w:type="dxa"/>
            <w:vAlign w:val="bottom"/>
            <w:tcBorders>
              <w:right w:val="single" w:sz="8" w:color="auto"/>
            </w:tcBorders>
          </w:tcPr>
          <w:p>
            <w:pPr>
              <w:jc w:val="center"/>
              <w:ind w:right="710"/>
              <w:spacing w:after="0" w:line="202" w:lineRule="exact"/>
              <w:rPr>
                <w:sz w:val="20"/>
                <w:szCs w:val="20"/>
                <w:color w:val="auto"/>
              </w:rPr>
            </w:pPr>
            <w:r>
              <w:rPr>
                <w:rFonts w:ascii="Arial" w:cs="Arial" w:eastAsia="Arial" w:hAnsi="Arial"/>
                <w:sz w:val="18"/>
                <w:szCs w:val="18"/>
                <w:color w:val="auto"/>
                <w:w w:val="95"/>
              </w:rPr>
              <w:t>EACH</w:t>
            </w:r>
          </w:p>
        </w:tc>
        <w:tc>
          <w:tcPr>
            <w:tcW w:w="160" w:type="dxa"/>
            <w:vAlign w:val="bottom"/>
          </w:tcPr>
          <w:p>
            <w:pPr>
              <w:spacing w:after="0"/>
              <w:rPr>
                <w:sz w:val="17"/>
                <w:szCs w:val="17"/>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7</w:t>
            </w:r>
          </w:p>
        </w:tc>
        <w:tc>
          <w:tcPr>
            <w:tcW w:w="508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PERSON</w:t>
            </w:r>
          </w:p>
        </w:tc>
        <w:tc>
          <w:tcPr>
            <w:tcW w:w="1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760" w:type="dxa"/>
            <w:vAlign w:val="bottom"/>
          </w:tcPr>
          <w:p>
            <w:pPr>
              <w:spacing w:after="0"/>
              <w:rPr>
                <w:sz w:val="8"/>
                <w:szCs w:val="8"/>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Arial" w:cs="Arial" w:eastAsia="Arial" w:hAnsi="Arial"/>
                <w:sz w:val="18"/>
                <w:szCs w:val="18"/>
                <w:color w:val="auto"/>
              </w:rPr>
              <w:t>WITH</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760" w:type="dxa"/>
            <w:vAlign w:val="bottom"/>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8</w:t>
            </w: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760" w:type="dxa"/>
            <w:vAlign w:val="bottom"/>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508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8,302,904 (1)</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508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9</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8,302,904 (1)</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10</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36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5"/>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11</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4.74%</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12</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OO</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60" w:right="180" w:hanging="328"/>
        <w:spacing w:after="0" w:line="238" w:lineRule="auto"/>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This total consists of: (i) 4,621,799 ordinary shares represented by American Depository Shares (the “Ordinary Shares”) of Mereo BioPharma Group plc (the “Issuer”) and (ii) 3,681,105 Ordinary Shares issuable upon the exercise of warrants, the exercise of which is subject to a beneficial ownership limitation of 9.99% of the Issuer’s outstanding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573405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589492107</w:t>
            </w:r>
          </w:p>
        </w:tc>
        <w:tc>
          <w:tcPr>
            <w:tcW w:w="580" w:type="dxa"/>
            <w:vAlign w:val="bottom"/>
            <w:tcBorders>
              <w:top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3 of 8 Pages</w:t>
            </w:r>
          </w:p>
        </w:tc>
        <w:tc>
          <w:tcPr>
            <w:tcW w:w="0" w:type="dxa"/>
            <w:vAlign w:val="bottom"/>
          </w:tcPr>
          <w:p>
            <w:pPr>
              <w:spacing w:after="0"/>
              <w:rPr>
                <w:sz w:val="1"/>
                <w:szCs w:val="1"/>
                <w:color w:val="auto"/>
              </w:rPr>
            </w:pPr>
          </w:p>
        </w:tc>
      </w:tr>
      <w:tr>
        <w:trPr>
          <w:trHeight w:val="111"/>
        </w:trPr>
        <w:tc>
          <w:tcPr>
            <w:tcW w:w="40" w:type="dxa"/>
            <w:vAlign w:val="bottom"/>
            <w:tcBorders>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78"/>
        </w:trPr>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spacing w:after="0"/>
              <w:rPr>
                <w:sz w:val="24"/>
                <w:szCs w:val="24"/>
                <w:color w:val="auto"/>
              </w:rPr>
            </w:pPr>
          </w:p>
        </w:tc>
        <w:tc>
          <w:tcPr>
            <w:tcW w:w="508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1</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7100" w:type="dxa"/>
            <w:vAlign w:val="bottom"/>
            <w:gridSpan w:val="5"/>
            <w:vMerge w:val="restart"/>
          </w:tcPr>
          <w:p>
            <w:pPr>
              <w:ind w:left="40"/>
              <w:spacing w:after="0"/>
              <w:rPr>
                <w:sz w:val="20"/>
                <w:szCs w:val="20"/>
                <w:color w:val="auto"/>
              </w:rPr>
            </w:pPr>
            <w:r>
              <w:rPr>
                <w:rFonts w:ascii="Arial" w:cs="Arial" w:eastAsia="Arial" w:hAnsi="Arial"/>
                <w:sz w:val="18"/>
                <w:szCs w:val="18"/>
                <w:color w:val="auto"/>
              </w:rPr>
              <w:t>OrbiMed Advisors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7100" w:type="dxa"/>
            <w:vAlign w:val="bottom"/>
            <w:gridSpan w:val="5"/>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2</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760" w:type="dxa"/>
            <w:vAlign w:val="bottom"/>
            <w:tcBorders>
              <w:right w:val="single" w:sz="8" w:color="auto"/>
            </w:tcBorders>
            <w:vMerge w:val="continue"/>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(a) o</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(b) o</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3</w:t>
            </w: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spacing w:after="0"/>
              <w:rPr>
                <w:sz w:val="18"/>
                <w:szCs w:val="18"/>
                <w:color w:val="auto"/>
              </w:rPr>
            </w:pPr>
          </w:p>
        </w:tc>
        <w:tc>
          <w:tcPr>
            <w:tcW w:w="508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4</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Delaware</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5</w:t>
            </w:r>
          </w:p>
        </w:tc>
        <w:tc>
          <w:tcPr>
            <w:tcW w:w="5080" w:type="dxa"/>
            <w:vAlign w:val="bottom"/>
            <w:gridSpan w:val="2"/>
          </w:tcPr>
          <w:p>
            <w:pPr>
              <w:ind w:left="6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56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2040" w:type="dxa"/>
            <w:vAlign w:val="bottom"/>
            <w:tcBorders>
              <w:right w:val="single" w:sz="8" w:color="auto"/>
            </w:tcBorders>
            <w:gridSpan w:val="2"/>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204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SHARES</w:t>
            </w:r>
          </w:p>
        </w:tc>
        <w:tc>
          <w:tcPr>
            <w:tcW w:w="160" w:type="dxa"/>
            <w:vAlign w:val="bottom"/>
          </w:tcPr>
          <w:p>
            <w:pPr>
              <w:spacing w:after="0"/>
              <w:rPr>
                <w:sz w:val="18"/>
                <w:szCs w:val="18"/>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6</w:t>
            </w:r>
          </w:p>
        </w:tc>
        <w:tc>
          <w:tcPr>
            <w:tcW w:w="508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10,378,591 (1)</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OWNED BY</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508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760" w:type="dxa"/>
            <w:vAlign w:val="bottom"/>
          </w:tcPr>
          <w:p>
            <w:pPr>
              <w:spacing w:after="0"/>
              <w:rPr>
                <w:sz w:val="17"/>
                <w:szCs w:val="17"/>
                <w:color w:val="auto"/>
              </w:rPr>
            </w:pPr>
          </w:p>
        </w:tc>
        <w:tc>
          <w:tcPr>
            <w:tcW w:w="1280" w:type="dxa"/>
            <w:vAlign w:val="bottom"/>
            <w:tcBorders>
              <w:right w:val="single" w:sz="8" w:color="auto"/>
            </w:tcBorders>
          </w:tcPr>
          <w:p>
            <w:pPr>
              <w:jc w:val="center"/>
              <w:ind w:right="710"/>
              <w:spacing w:after="0" w:line="202" w:lineRule="exact"/>
              <w:rPr>
                <w:sz w:val="20"/>
                <w:szCs w:val="20"/>
                <w:color w:val="auto"/>
              </w:rPr>
            </w:pPr>
            <w:r>
              <w:rPr>
                <w:rFonts w:ascii="Arial" w:cs="Arial" w:eastAsia="Arial" w:hAnsi="Arial"/>
                <w:sz w:val="18"/>
                <w:szCs w:val="18"/>
                <w:color w:val="auto"/>
                <w:w w:val="95"/>
              </w:rPr>
              <w:t>EACH</w:t>
            </w:r>
          </w:p>
        </w:tc>
        <w:tc>
          <w:tcPr>
            <w:tcW w:w="160" w:type="dxa"/>
            <w:vAlign w:val="bottom"/>
          </w:tcPr>
          <w:p>
            <w:pPr>
              <w:spacing w:after="0"/>
              <w:rPr>
                <w:sz w:val="17"/>
                <w:szCs w:val="17"/>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7</w:t>
            </w:r>
          </w:p>
        </w:tc>
        <w:tc>
          <w:tcPr>
            <w:tcW w:w="508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PERSON</w:t>
            </w:r>
          </w:p>
        </w:tc>
        <w:tc>
          <w:tcPr>
            <w:tcW w:w="1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760" w:type="dxa"/>
            <w:vAlign w:val="bottom"/>
          </w:tcPr>
          <w:p>
            <w:pPr>
              <w:spacing w:after="0"/>
              <w:rPr>
                <w:sz w:val="8"/>
                <w:szCs w:val="8"/>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Arial" w:cs="Arial" w:eastAsia="Arial" w:hAnsi="Arial"/>
                <w:sz w:val="18"/>
                <w:szCs w:val="18"/>
                <w:color w:val="auto"/>
              </w:rPr>
              <w:t>WITH</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760" w:type="dxa"/>
            <w:vAlign w:val="bottom"/>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8</w:t>
            </w: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760" w:type="dxa"/>
            <w:vAlign w:val="bottom"/>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508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10,378,591 (1)</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508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9</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10,378,591 (1)</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10</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36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5"/>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11</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5.92%</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12</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IA</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60" w:right="600" w:hanging="328"/>
        <w:spacing w:after="0" w:line="253"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This total consists of: (i) 5,777,210 Ordinary Shares and (ii) 4,601,381 Ordinary Shares issuable upon the exercise of warrants, the exercise of which is subject to a beneficial ownership limitation of 9.99% of the Issuer’s outstanding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4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5777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777865"/>
                    </a:xfrm>
                    <a:prstGeom prst="rect">
                      <a:avLst/>
                    </a:prstGeom>
                    <a:noFill/>
                  </pic:spPr>
                </pic:pic>
              </a:graphicData>
            </a:graphic>
          </wp:anchor>
        </w:drawing>
      </w:r>
    </w:p>
    <w:p>
      <w:pPr>
        <w:spacing w:after="0" w:line="26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NAME OF REPORTING PERSONS</w:t>
      </w:r>
    </w:p>
    <w:p>
      <w:pPr>
        <w:ind w:left="400"/>
        <w:spacing w:after="0" w:line="211" w:lineRule="auto"/>
        <w:rPr>
          <w:sz w:val="20"/>
          <w:szCs w:val="20"/>
          <w:color w:val="auto"/>
        </w:rPr>
      </w:pPr>
      <w:r>
        <w:rPr>
          <w:rFonts w:ascii="Arial" w:cs="Arial" w:eastAsia="Arial" w:hAnsi="Arial"/>
          <w:sz w:val="25"/>
          <w:szCs w:val="25"/>
          <w:color w:val="auto"/>
        </w:rPr>
        <w:t>1</w:t>
      </w:r>
    </w:p>
    <w:p>
      <w:pPr>
        <w:ind w:left="960"/>
        <w:spacing w:after="0"/>
        <w:rPr>
          <w:sz w:val="20"/>
          <w:szCs w:val="20"/>
          <w:color w:val="auto"/>
        </w:rPr>
      </w:pPr>
      <w:r>
        <w:rPr>
          <w:rFonts w:ascii="Arial" w:cs="Arial" w:eastAsia="Arial" w:hAnsi="Arial"/>
          <w:sz w:val="18"/>
          <w:szCs w:val="18"/>
          <w:color w:val="auto"/>
        </w:rPr>
        <w:t>OrbiMed Capital LLC</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CHECK THE APPROPRIATE BOX IF A MEMBER OF A GROUP</w:t>
      </w:r>
    </w:p>
    <w:p>
      <w:pPr>
        <w:ind w:left="960" w:hanging="563"/>
        <w:spacing w:after="0" w:line="209" w:lineRule="auto"/>
        <w:tabs>
          <w:tab w:leader="none" w:pos="960" w:val="left"/>
        </w:tabs>
        <w:numPr>
          <w:ilvl w:val="0"/>
          <w:numId w:val="4"/>
        </w:numPr>
        <w:rPr>
          <w:rFonts w:ascii="Arial" w:cs="Arial" w:eastAsia="Arial" w:hAnsi="Arial"/>
          <w:sz w:val="25"/>
          <w:szCs w:val="25"/>
          <w:color w:val="auto"/>
        </w:rPr>
      </w:pPr>
      <w:r>
        <w:rPr>
          <w:rFonts w:ascii="Arial" w:cs="Arial" w:eastAsia="Arial" w:hAnsi="Arial"/>
          <w:sz w:val="18"/>
          <w:szCs w:val="18"/>
          <w:color w:val="auto"/>
        </w:rPr>
        <w:t>(a) o</w:t>
      </w:r>
    </w:p>
    <w:p>
      <w:pPr>
        <w:spacing w:after="0" w:line="2" w:lineRule="exact"/>
        <w:rPr>
          <w:rFonts w:ascii="Arial" w:cs="Arial" w:eastAsia="Arial" w:hAnsi="Arial"/>
          <w:sz w:val="25"/>
          <w:szCs w:val="25"/>
          <w:color w:val="auto"/>
        </w:rPr>
      </w:pPr>
    </w:p>
    <w:p>
      <w:pPr>
        <w:ind w:left="960"/>
        <w:spacing w:after="0"/>
        <w:rPr>
          <w:rFonts w:ascii="Arial" w:cs="Arial" w:eastAsia="Arial" w:hAnsi="Arial"/>
          <w:sz w:val="25"/>
          <w:szCs w:val="25"/>
          <w:color w:val="auto"/>
        </w:rPr>
      </w:pPr>
      <w:r>
        <w:rPr>
          <w:rFonts w:ascii="Arial" w:cs="Arial" w:eastAsia="Arial" w:hAnsi="Arial"/>
          <w:sz w:val="18"/>
          <w:szCs w:val="18"/>
          <w:color w:val="auto"/>
        </w:rPr>
        <w:t>(b) o</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Borders>
              <w:right w:val="single" w:sz="8" w:color="auto"/>
            </w:tcBorders>
            <w:shd w:val="clear" w:color="auto" w:fill="000000"/>
          </w:tcPr>
          <w:p>
            <w:pPr>
              <w:spacing w:after="0"/>
              <w:rPr>
                <w:sz w:val="24"/>
                <w:szCs w:val="24"/>
                <w:color w:val="auto"/>
              </w:rPr>
            </w:pPr>
          </w:p>
        </w:tc>
        <w:tc>
          <w:tcPr>
            <w:tcW w:w="8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3</w:t>
            </w:r>
          </w:p>
        </w:tc>
        <w:tc>
          <w:tcPr>
            <w:tcW w:w="13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6"/>
              </w:rPr>
              <w:t>SEC USE ONLY</w:t>
            </w:r>
          </w:p>
        </w:tc>
        <w:tc>
          <w:tcPr>
            <w:tcW w:w="1000" w:type="dxa"/>
            <w:vAlign w:val="bottom"/>
            <w:tcBorders>
              <w:top w:val="single" w:sz="8" w:color="auto"/>
            </w:tcBorders>
          </w:tcPr>
          <w:p>
            <w:pPr>
              <w:spacing w:after="0"/>
              <w:rPr>
                <w:sz w:val="24"/>
                <w:szCs w:val="24"/>
                <w:color w:val="auto"/>
              </w:rPr>
            </w:pPr>
          </w:p>
        </w:tc>
        <w:tc>
          <w:tcPr>
            <w:tcW w:w="586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1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8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4</w:t>
            </w:r>
          </w:p>
        </w:tc>
        <w:tc>
          <w:tcPr>
            <w:tcW w:w="8220" w:type="dxa"/>
            <w:vAlign w:val="bottom"/>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Delaware</w:t>
            </w:r>
          </w:p>
        </w:tc>
        <w:tc>
          <w:tcPr>
            <w:tcW w:w="1000" w:type="dxa"/>
            <w:vAlign w:val="bottom"/>
          </w:tcPr>
          <w:p>
            <w:pPr>
              <w:spacing w:after="0"/>
              <w:rPr>
                <w:sz w:val="23"/>
                <w:szCs w:val="23"/>
                <w:color w:val="auto"/>
              </w:rPr>
            </w:pPr>
          </w:p>
        </w:tc>
        <w:tc>
          <w:tcPr>
            <w:tcW w:w="58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86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88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1000" w:type="dxa"/>
            <w:vAlign w:val="bottom"/>
            <w:tcBorders>
              <w:right w:val="single" w:sz="8" w:color="auto"/>
            </w:tcBorders>
            <w:vMerge w:val="restart"/>
          </w:tcPr>
          <w:p>
            <w:pPr>
              <w:jc w:val="right"/>
              <w:ind w:right="314"/>
              <w:spacing w:after="0"/>
              <w:rPr>
                <w:sz w:val="20"/>
                <w:szCs w:val="20"/>
                <w:color w:val="auto"/>
              </w:rPr>
            </w:pPr>
            <w:r>
              <w:rPr>
                <w:rFonts w:ascii="Arial" w:cs="Arial" w:eastAsia="Arial" w:hAnsi="Arial"/>
                <w:sz w:val="25"/>
                <w:szCs w:val="25"/>
                <w:color w:val="auto"/>
              </w:rPr>
              <w:t>5</w:t>
            </w:r>
          </w:p>
        </w:tc>
        <w:tc>
          <w:tcPr>
            <w:tcW w:w="586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88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1000" w:type="dxa"/>
            <w:vAlign w:val="bottom"/>
            <w:tcBorders>
              <w:right w:val="single" w:sz="8" w:color="auto"/>
            </w:tcBorders>
            <w:vMerge w:val="continue"/>
          </w:tcPr>
          <w:p>
            <w:pPr>
              <w:spacing w:after="0"/>
              <w:rPr>
                <w:sz w:val="23"/>
                <w:szCs w:val="23"/>
                <w:color w:val="auto"/>
              </w:rPr>
            </w:pPr>
          </w:p>
        </w:tc>
        <w:tc>
          <w:tcPr>
            <w:tcW w:w="5860" w:type="dxa"/>
            <w:vAlign w:val="bottom"/>
            <w:vMerge w:val="restart"/>
          </w:tcPr>
          <w:p>
            <w:pPr>
              <w:ind w:left="40"/>
              <w:spacing w:after="0"/>
              <w:rPr>
                <w:sz w:val="20"/>
                <w:szCs w:val="20"/>
                <w:color w:val="auto"/>
              </w:rPr>
            </w:pPr>
            <w:r>
              <w:rPr>
                <w:rFonts w:ascii="Arial" w:cs="Arial" w:eastAsia="Arial" w:hAnsi="Arial"/>
                <w:sz w:val="18"/>
                <w:szCs w:val="18"/>
                <w:color w:val="auto"/>
              </w:rPr>
              <w:t>7,129,003 (1)</w:t>
            </w: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22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1000" w:type="dxa"/>
            <w:vAlign w:val="bottom"/>
            <w:tcBorders>
              <w:right w:val="single" w:sz="8" w:color="auto"/>
            </w:tcBorders>
          </w:tcPr>
          <w:p>
            <w:pPr>
              <w:spacing w:after="0"/>
              <w:rPr>
                <w:sz w:val="14"/>
                <w:szCs w:val="14"/>
                <w:color w:val="auto"/>
              </w:rPr>
            </w:pPr>
          </w:p>
        </w:tc>
        <w:tc>
          <w:tcPr>
            <w:tcW w:w="5860" w:type="dxa"/>
            <w:vAlign w:val="bottom"/>
            <w:vMerge w:val="continue"/>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vMerge w:val="restart"/>
            <w:shd w:val="clear" w:color="auto" w:fill="000000"/>
          </w:tcPr>
          <w:p>
            <w:pPr>
              <w:spacing w:after="0"/>
              <w:rPr>
                <w:sz w:val="4"/>
                <w:szCs w:val="4"/>
                <w:color w:val="auto"/>
              </w:rPr>
            </w:pPr>
          </w:p>
        </w:tc>
        <w:tc>
          <w:tcPr>
            <w:tcW w:w="2240" w:type="dxa"/>
            <w:vAlign w:val="bottom"/>
            <w:tcBorders>
              <w:right w:val="single" w:sz="8" w:color="auto"/>
            </w:tcBorders>
            <w:gridSpan w:val="2"/>
            <w:vMerge w:val="continue"/>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586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vMerge w:val="continue"/>
            <w:shd w:val="clear" w:color="auto" w:fill="000000"/>
          </w:tcPr>
          <w:p>
            <w:pPr>
              <w:spacing w:after="0"/>
              <w:rPr>
                <w:sz w:val="6"/>
                <w:szCs w:val="6"/>
                <w:color w:val="auto"/>
              </w:rPr>
            </w:pPr>
          </w:p>
        </w:tc>
        <w:tc>
          <w:tcPr>
            <w:tcW w:w="2240" w:type="dxa"/>
            <w:vAlign w:val="bottom"/>
            <w:tcBorders>
              <w:right w:val="single" w:sz="8" w:color="auto"/>
            </w:tcBorders>
            <w:gridSpan w:val="2"/>
            <w:vMerge w:val="continue"/>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58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4"/>
              </w:rPr>
              <w:t>SHARES</w:t>
            </w:r>
          </w:p>
        </w:tc>
        <w:tc>
          <w:tcPr>
            <w:tcW w:w="1000" w:type="dxa"/>
            <w:vAlign w:val="bottom"/>
            <w:tcBorders>
              <w:right w:val="single" w:sz="8" w:color="auto"/>
            </w:tcBorders>
            <w:vMerge w:val="restart"/>
          </w:tcPr>
          <w:p>
            <w:pPr>
              <w:jc w:val="right"/>
              <w:ind w:right="314"/>
              <w:spacing w:after="0"/>
              <w:rPr>
                <w:sz w:val="20"/>
                <w:szCs w:val="20"/>
                <w:color w:val="auto"/>
              </w:rPr>
            </w:pPr>
            <w:r>
              <w:rPr>
                <w:rFonts w:ascii="Arial" w:cs="Arial" w:eastAsia="Arial" w:hAnsi="Arial"/>
                <w:sz w:val="25"/>
                <w:szCs w:val="25"/>
                <w:color w:val="auto"/>
              </w:rPr>
              <w:t>6</w:t>
            </w:r>
          </w:p>
        </w:tc>
        <w:tc>
          <w:tcPr>
            <w:tcW w:w="586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BENEFICIALLY</w:t>
            </w:r>
          </w:p>
        </w:tc>
        <w:tc>
          <w:tcPr>
            <w:tcW w:w="1000" w:type="dxa"/>
            <w:vAlign w:val="bottom"/>
            <w:tcBorders>
              <w:right w:val="single" w:sz="8" w:color="auto"/>
            </w:tcBorders>
            <w:vMerge w:val="continue"/>
          </w:tcPr>
          <w:p>
            <w:pPr>
              <w:spacing w:after="0"/>
              <w:rPr>
                <w:sz w:val="18"/>
                <w:szCs w:val="18"/>
                <w:color w:val="auto"/>
              </w:rPr>
            </w:pPr>
          </w:p>
        </w:tc>
        <w:tc>
          <w:tcPr>
            <w:tcW w:w="58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22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OWNED BY</w:t>
            </w:r>
          </w:p>
        </w:tc>
        <w:tc>
          <w:tcPr>
            <w:tcW w:w="1000" w:type="dxa"/>
            <w:vAlign w:val="bottom"/>
            <w:tcBorders>
              <w:bottom w:val="single" w:sz="8" w:color="auto"/>
              <w:right w:val="single" w:sz="8" w:color="auto"/>
            </w:tcBorders>
          </w:tcPr>
          <w:p>
            <w:pPr>
              <w:spacing w:after="0"/>
              <w:rPr>
                <w:sz w:val="19"/>
                <w:szCs w:val="19"/>
                <w:color w:val="auto"/>
              </w:rPr>
            </w:pPr>
          </w:p>
        </w:tc>
        <w:tc>
          <w:tcPr>
            <w:tcW w:w="5860" w:type="dxa"/>
            <w:vAlign w:val="bottom"/>
            <w:tcBorders>
              <w:bottom w:val="single" w:sz="8" w:color="auto"/>
            </w:tcBorders>
            <w:vMerge w:val="continue"/>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88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1000" w:type="dxa"/>
            <w:vAlign w:val="bottom"/>
            <w:tcBorders>
              <w:right w:val="single" w:sz="8" w:color="auto"/>
            </w:tcBorders>
            <w:vMerge w:val="restart"/>
          </w:tcPr>
          <w:p>
            <w:pPr>
              <w:jc w:val="right"/>
              <w:ind w:right="314"/>
              <w:spacing w:after="0"/>
              <w:rPr>
                <w:sz w:val="20"/>
                <w:szCs w:val="20"/>
                <w:color w:val="auto"/>
              </w:rPr>
            </w:pPr>
            <w:r>
              <w:rPr>
                <w:rFonts w:ascii="Arial" w:cs="Arial" w:eastAsia="Arial" w:hAnsi="Arial"/>
                <w:sz w:val="25"/>
                <w:szCs w:val="25"/>
                <w:color w:val="auto"/>
              </w:rPr>
              <w:t>7</w:t>
            </w:r>
          </w:p>
        </w:tc>
        <w:tc>
          <w:tcPr>
            <w:tcW w:w="586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1000" w:type="dxa"/>
            <w:vAlign w:val="bottom"/>
            <w:tcBorders>
              <w:right w:val="single" w:sz="8" w:color="auto"/>
            </w:tcBorders>
            <w:vMerge w:val="continue"/>
          </w:tcPr>
          <w:p>
            <w:pPr>
              <w:spacing w:after="0"/>
              <w:rPr>
                <w:sz w:val="18"/>
                <w:szCs w:val="18"/>
                <w:color w:val="auto"/>
              </w:rPr>
            </w:pPr>
          </w:p>
        </w:tc>
        <w:tc>
          <w:tcPr>
            <w:tcW w:w="58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PERSON</w:t>
            </w:r>
          </w:p>
        </w:tc>
        <w:tc>
          <w:tcPr>
            <w:tcW w:w="1000" w:type="dxa"/>
            <w:vAlign w:val="bottom"/>
            <w:tcBorders>
              <w:right w:val="single" w:sz="8" w:color="auto"/>
            </w:tcBorders>
          </w:tcPr>
          <w:p>
            <w:pPr>
              <w:spacing w:after="0"/>
              <w:rPr>
                <w:sz w:val="18"/>
                <w:szCs w:val="18"/>
                <w:color w:val="auto"/>
              </w:rPr>
            </w:pPr>
          </w:p>
        </w:tc>
        <w:tc>
          <w:tcPr>
            <w:tcW w:w="5860" w:type="dxa"/>
            <w:vAlign w:val="bottom"/>
          </w:tcPr>
          <w:p>
            <w:pPr>
              <w:ind w:left="40"/>
              <w:spacing w:after="0"/>
              <w:rPr>
                <w:sz w:val="20"/>
                <w:szCs w:val="20"/>
                <w:color w:val="auto"/>
              </w:rPr>
            </w:pPr>
            <w:r>
              <w:rPr>
                <w:rFonts w:ascii="Arial" w:cs="Arial" w:eastAsia="Arial" w:hAnsi="Arial"/>
                <w:sz w:val="18"/>
                <w:szCs w:val="18"/>
                <w:color w:val="auto"/>
              </w:rPr>
              <w:t>7,129,003 (1)</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88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1000" w:type="dxa"/>
            <w:vAlign w:val="bottom"/>
            <w:tcBorders>
              <w:bottom w:val="single" w:sz="8" w:color="auto"/>
              <w:right w:val="single" w:sz="8" w:color="auto"/>
            </w:tcBorders>
          </w:tcPr>
          <w:p>
            <w:pPr>
              <w:spacing w:after="0"/>
              <w:rPr>
                <w:sz w:val="8"/>
                <w:szCs w:val="8"/>
                <w:color w:val="auto"/>
              </w:rPr>
            </w:pPr>
          </w:p>
        </w:tc>
        <w:tc>
          <w:tcPr>
            <w:tcW w:w="586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88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restart"/>
          </w:tcPr>
          <w:p>
            <w:pPr>
              <w:jc w:val="right"/>
              <w:ind w:right="314"/>
              <w:spacing w:after="0"/>
              <w:rPr>
                <w:sz w:val="20"/>
                <w:szCs w:val="20"/>
                <w:color w:val="auto"/>
              </w:rPr>
            </w:pPr>
            <w:r>
              <w:rPr>
                <w:rFonts w:ascii="Arial" w:cs="Arial" w:eastAsia="Arial" w:hAnsi="Arial"/>
                <w:sz w:val="25"/>
                <w:szCs w:val="25"/>
                <w:color w:val="auto"/>
              </w:rPr>
              <w:t>8</w:t>
            </w:r>
          </w:p>
        </w:tc>
        <w:tc>
          <w:tcPr>
            <w:tcW w:w="586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88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5860" w:type="dxa"/>
            <w:vAlign w:val="bottom"/>
            <w:vMerge w:val="continue"/>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88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1000" w:type="dxa"/>
            <w:vAlign w:val="bottom"/>
            <w:tcBorders>
              <w:right w:val="single" w:sz="8" w:color="auto"/>
            </w:tcBorders>
            <w:vMerge w:val="continue"/>
          </w:tcPr>
          <w:p>
            <w:pPr>
              <w:spacing w:after="0"/>
              <w:rPr>
                <w:sz w:val="23"/>
                <w:szCs w:val="23"/>
                <w:color w:val="auto"/>
              </w:rPr>
            </w:pPr>
          </w:p>
        </w:tc>
        <w:tc>
          <w:tcPr>
            <w:tcW w:w="58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88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5860" w:type="dxa"/>
            <w:vAlign w:val="bottom"/>
            <w:vMerge w:val="continue"/>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586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9</w:t>
            </w:r>
          </w:p>
        </w:tc>
        <w:tc>
          <w:tcPr>
            <w:tcW w:w="822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7,129,003 (1)</w:t>
            </w:r>
          </w:p>
        </w:tc>
        <w:tc>
          <w:tcPr>
            <w:tcW w:w="1000" w:type="dxa"/>
            <w:vAlign w:val="bottom"/>
          </w:tcPr>
          <w:p>
            <w:pPr>
              <w:spacing w:after="0"/>
              <w:rPr>
                <w:sz w:val="23"/>
                <w:szCs w:val="23"/>
                <w:color w:val="auto"/>
              </w:rPr>
            </w:pPr>
          </w:p>
        </w:tc>
        <w:tc>
          <w:tcPr>
            <w:tcW w:w="58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220" w:type="dxa"/>
            <w:vAlign w:val="bottom"/>
            <w:tcBorders>
              <w:bottom w:val="single" w:sz="8" w:color="auto"/>
            </w:tcBorders>
            <w:gridSpan w:val="3"/>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10</w:t>
            </w:r>
          </w:p>
        </w:tc>
        <w:tc>
          <w:tcPr>
            <w:tcW w:w="8220" w:type="dxa"/>
            <w:vAlign w:val="bottom"/>
            <w:gridSpan w:val="3"/>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2100" w:type="dxa"/>
            <w:vAlign w:val="bottom"/>
          </w:tcPr>
          <w:p>
            <w:pPr>
              <w:ind w:left="154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1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8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8220" w:type="dxa"/>
            <w:vAlign w:val="bottom"/>
            <w:tcBorders>
              <w:bottom w:val="single" w:sz="8" w:color="auto"/>
            </w:tcBorders>
            <w:gridSpan w:val="3"/>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11</w:t>
            </w:r>
          </w:p>
        </w:tc>
        <w:tc>
          <w:tcPr>
            <w:tcW w:w="822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4.07%</w:t>
            </w:r>
          </w:p>
        </w:tc>
        <w:tc>
          <w:tcPr>
            <w:tcW w:w="1000" w:type="dxa"/>
            <w:vAlign w:val="bottom"/>
          </w:tcPr>
          <w:p>
            <w:pPr>
              <w:spacing w:after="0"/>
              <w:rPr>
                <w:sz w:val="23"/>
                <w:szCs w:val="23"/>
                <w:color w:val="auto"/>
              </w:rPr>
            </w:pPr>
          </w:p>
        </w:tc>
        <w:tc>
          <w:tcPr>
            <w:tcW w:w="58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220" w:type="dxa"/>
            <w:vAlign w:val="bottom"/>
            <w:tcBorders>
              <w:bottom w:val="single" w:sz="8" w:color="auto"/>
            </w:tcBorders>
            <w:gridSpan w:val="3"/>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12</w:t>
            </w:r>
          </w:p>
        </w:tc>
        <w:tc>
          <w:tcPr>
            <w:tcW w:w="822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w:t>
            </w: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IA</w:t>
            </w:r>
          </w:p>
        </w:tc>
        <w:tc>
          <w:tcPr>
            <w:tcW w:w="1000" w:type="dxa"/>
            <w:vAlign w:val="bottom"/>
          </w:tcPr>
          <w:p>
            <w:pPr>
              <w:spacing w:after="0"/>
              <w:rPr>
                <w:sz w:val="23"/>
                <w:szCs w:val="23"/>
                <w:color w:val="auto"/>
              </w:rPr>
            </w:pPr>
          </w:p>
        </w:tc>
        <w:tc>
          <w:tcPr>
            <w:tcW w:w="58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86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ind w:left="580" w:right="40" w:hanging="329"/>
        <w:spacing w:after="0" w:line="253" w:lineRule="auto"/>
        <w:tabs>
          <w:tab w:leader="none" w:pos="5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This total consists of: (i) 4,828,312 Ordinary Shares and (ii) 2,300,691 Ordinary Shares issuable upon the exercise of warrants, the exercise of which is subject to a beneficial ownership limitation of 9.99% of the Issuer’s outstanding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5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Mereo BioPharma Group plc</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4th Floor, One Cavendish Place</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London, W1G 0QF, United Kingdom</w:t>
      </w:r>
    </w:p>
    <w:p>
      <w:pPr>
        <w:spacing w:after="0" w:line="11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r>
        <w:rPr>
          <w:rFonts w:ascii="Arial" w:cs="Arial" w:eastAsia="Arial" w:hAnsi="Arial"/>
          <w:sz w:val="15"/>
          <w:szCs w:val="15"/>
          <w:color w:val="auto"/>
        </w:rPr>
        <w: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OrbiMed Capital GP VII LLC</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OrbiMed Capital LLC</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OrbiMed Advisors LLC</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 Address of Principal Business Office: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601 Lexington Avenue, 54th Floor</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New York, NY 10022</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 Citizenship</w:t>
      </w:r>
      <w:r>
        <w:rPr>
          <w:rFonts w:ascii="Arial" w:cs="Arial" w:eastAsia="Arial" w:hAnsi="Arial"/>
          <w:sz w:val="18"/>
          <w:szCs w:val="18"/>
          <w:color w:val="auto"/>
        </w:rPr>
        <w: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Please refer to Item 4 on each cover page for each Reporting Person.</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 Title of Class of Securities:</w:t>
      </w:r>
    </w:p>
    <w:p>
      <w:pPr>
        <w:spacing w:after="0" w:line="148" w:lineRule="exact"/>
        <w:rPr>
          <w:sz w:val="20"/>
          <w:szCs w:val="20"/>
          <w:color w:val="auto"/>
        </w:rPr>
      </w:pPr>
    </w:p>
    <w:p>
      <w:pPr>
        <w:ind w:left="700" w:right="4480" w:firstLine="103"/>
        <w:spacing w:after="0" w:line="391" w:lineRule="auto"/>
        <w:rPr>
          <w:sz w:val="20"/>
          <w:szCs w:val="20"/>
          <w:color w:val="auto"/>
        </w:rPr>
      </w:pPr>
      <w:r>
        <w:rPr>
          <w:rFonts w:ascii="Arial" w:cs="Arial" w:eastAsia="Arial" w:hAnsi="Arial"/>
          <w:sz w:val="18"/>
          <w:szCs w:val="18"/>
          <w:color w:val="auto"/>
        </w:rPr>
        <w:t xml:space="preserve">Ordinary Share, nominal value £0.003, represented by American Depository Share </w:t>
      </w:r>
      <w:r>
        <w:rPr>
          <w:rFonts w:ascii="Arial" w:cs="Arial" w:eastAsia="Arial" w:hAnsi="Arial"/>
          <w:sz w:val="18"/>
          <w:szCs w:val="18"/>
          <w:b w:val="1"/>
          <w:bCs w:val="1"/>
          <w:color w:val="auto"/>
        </w:rPr>
        <w:t>(e) CUSIP No.:</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589492107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6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229" w:lineRule="exact"/>
        <w:rPr>
          <w:sz w:val="20"/>
          <w:szCs w:val="20"/>
          <w:color w:val="auto"/>
        </w:rPr>
      </w:pPr>
    </w:p>
    <w:p>
      <w:pPr>
        <w:jc w:val="both"/>
        <w:ind w:left="800"/>
        <w:spacing w:after="0" w:line="263" w:lineRule="auto"/>
        <w:rPr>
          <w:sz w:val="20"/>
          <w:szCs w:val="20"/>
          <w:color w:val="auto"/>
        </w:rPr>
      </w:pPr>
      <w:r>
        <w:rPr>
          <w:rFonts w:ascii="Arial" w:cs="Arial" w:eastAsia="Arial" w:hAnsi="Arial"/>
          <w:sz w:val="18"/>
          <w:szCs w:val="18"/>
          <w:color w:val="auto"/>
        </w:rPr>
        <w:t>OrbiMed Capital GP VII LLC (“GP VII”) is the general partner of OrbiMed Private Investments VII, LP. OrbiMed Advisors LLC (“Advisors”) and OrbiMed Capital LLC (“Capital”) are investment advisors in accordance with ss.240.13d-1(b)(1)(ii)(E) and Advisors is the managing member of GP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7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7" w:lineRule="exact"/>
        <w:rPr>
          <w:sz w:val="20"/>
          <w:szCs w:val="20"/>
          <w:color w:val="auto"/>
        </w:rPr>
      </w:pPr>
    </w:p>
    <w:p>
      <w:pPr>
        <w:jc w:val="both"/>
        <w:ind w:left="800"/>
        <w:spacing w:after="0" w:line="260" w:lineRule="auto"/>
        <w:rPr>
          <w:sz w:val="20"/>
          <w:szCs w:val="20"/>
          <w:color w:val="auto"/>
        </w:rPr>
      </w:pPr>
      <w:r>
        <w:rPr>
          <w:rFonts w:ascii="Arial" w:cs="Arial" w:eastAsia="Arial" w:hAnsi="Arial"/>
          <w:sz w:val="18"/>
          <w:szCs w:val="18"/>
          <w:color w:val="auto"/>
        </w:rPr>
        <w:t>Information with respect to the Reporting Person’s ownership as of December 31, 2021 is incorporated by reference to items (5) - (9) and (11) of the cover page for the Reporting Person.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7" w:lineRule="exact"/>
        <w:rPr>
          <w:sz w:val="20"/>
          <w:szCs w:val="20"/>
          <w:color w:val="auto"/>
        </w:rPr>
      </w:pPr>
    </w:p>
    <w:p>
      <w:pPr>
        <w:jc w:val="both"/>
        <w:ind w:left="800"/>
        <w:spacing w:after="0" w:line="226"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r>
        <w:rPr>
          <w:rFonts w:ascii="Arial" w:cs="Arial" w:eastAsia="Arial" w:hAnsi="Arial"/>
          <w:sz w:val="18"/>
          <w:szCs w:val="18"/>
          <w:color w:val="auto"/>
        </w:rPr>
        <w:t>.</w:t>
      </w:r>
    </w:p>
    <w:p>
      <w:pPr>
        <w:spacing w:after="0" w:line="27" w:lineRule="exact"/>
        <w:rPr>
          <w:sz w:val="20"/>
          <w:szCs w:val="20"/>
          <w:color w:val="auto"/>
        </w:rPr>
      </w:pPr>
    </w:p>
    <w:p>
      <w:pPr>
        <w:jc w:val="both"/>
        <w:ind w:left="800"/>
        <w:spacing w:after="0" w:line="253" w:lineRule="auto"/>
        <w:rPr>
          <w:sz w:val="20"/>
          <w:szCs w:val="20"/>
          <w:color w:val="auto"/>
        </w:rPr>
      </w:pPr>
      <w:r>
        <w:rPr>
          <w:rFonts w:ascii="Arial" w:cs="Arial" w:eastAsia="Arial" w:hAnsi="Arial"/>
          <w:sz w:val="18"/>
          <w:szCs w:val="18"/>
          <w:color w:val="auto"/>
        </w:rPr>
        <w:t>The Reporting Persons are holding 9.99% of the shares in the aggregate on behalf of other persons who have the right to receive or the power to direct the receipt of dividends from, or proceeds from the sale of, such securities. No one such other person's interest in the securities whose ownership is reported here relates to more than five percent of the class. Advisors and Capital exercise investment and voting power over the shares through a management committee comprised of Carl L. Gordon, Sven H. Borho, and W. Carter Neild, each of whom disclaims beneficial ownership of the Common Stock reported herein.</w:t>
      </w:r>
    </w:p>
    <w:p>
      <w:pPr>
        <w:spacing w:after="0" w:line="79" w:lineRule="exact"/>
        <w:rPr>
          <w:sz w:val="20"/>
          <w:szCs w:val="20"/>
          <w:color w:val="auto"/>
        </w:rPr>
      </w:pPr>
    </w:p>
    <w:p>
      <w:pPr>
        <w:ind w:left="1300" w:hanging="1295"/>
        <w:spacing w:after="0" w:line="261"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r>
        <w:rPr>
          <w:rFonts w:ascii="Arial" w:cs="Arial" w:eastAsia="Arial" w:hAnsi="Arial"/>
          <w:sz w:val="18"/>
          <w:szCs w:val="18"/>
          <w:color w:val="auto"/>
        </w:rPr>
        <w:t>.</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r>
        <w:rPr>
          <w:rFonts w:ascii="Arial" w:cs="Arial" w:eastAsia="Arial" w:hAnsi="Arial"/>
          <w:sz w:val="18"/>
          <w:szCs w:val="18"/>
          <w:color w:val="auto"/>
        </w:rPr>
        <w:t>.</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7" w:lineRule="exact"/>
        <w:rPr>
          <w:sz w:val="20"/>
          <w:szCs w:val="20"/>
          <w:color w:val="auto"/>
        </w:rPr>
      </w:pPr>
    </w:p>
    <w:p>
      <w:pPr>
        <w:jc w:val="both"/>
        <w:ind w:left="800"/>
        <w:spacing w:after="0" w:line="30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802005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8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2023</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OrbiMed Advisors LLC</w:t>
      </w:r>
    </w:p>
    <w:p>
      <w:pPr>
        <w:spacing w:after="0" w:line="2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/s/Carl L. Gordon</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Member</w:t>
      </w:r>
    </w:p>
    <w:p>
      <w:pPr>
        <w:spacing w:after="0" w:line="274"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OrbiMed Capital LLC</w:t>
      </w:r>
    </w:p>
    <w:p>
      <w:pPr>
        <w:spacing w:after="0" w:line="28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Carl L. Gordon</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Member</w:t>
      </w:r>
    </w:p>
    <w:p>
      <w:pPr>
        <w:spacing w:after="0" w:line="24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OrbiMed Capital GP VII LLC</w:t>
      </w:r>
    </w:p>
    <w:p>
      <w:pPr>
        <w:spacing w:after="0" w:line="2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OrbiMed Advisors LLC, its Managing Member</w:t>
      </w:r>
    </w:p>
    <w:p>
      <w:pPr>
        <w:spacing w:after="0" w:line="23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Carl L. Gordon</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Member of OrbiMed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862965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JOINT FILING AGREEMENT</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undersigned hereby agree that the Statement on this Schedule 13G dated December 31, 2022 (the “Schedule 13G”), with respect to the Ordinary Share, par value £0.003 per share, of Mereo BioPharma Group plc is filed on behalf of each of us pursuant to and in accordance with the provisions of Rule 13d-1(k) under the Securities Exchange Act of 1934, as amended, and that this Agreement shall be included as an Exhibit to this Schedule 13G. Each of the undersigned agrees to be responsible for the timely filing of the Schedule 13G, and for the completeness and accuracy of the information concerning itself contained therein. This Agreement may be executed in any number of counterparts, all of which taken together shall constitute one and the same instrument.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executed this Agreement as of February 14, 2023.</w:t>
      </w:r>
    </w:p>
    <w:p>
      <w:pPr>
        <w:spacing w:after="0" w:line="221"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OrbiMed Advisors LLC</w:t>
      </w:r>
    </w:p>
    <w:p>
      <w:pPr>
        <w:spacing w:after="0" w:line="28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 /s/ Carl L. Gordon</w:t>
      </w:r>
    </w:p>
    <w:p>
      <w:pPr>
        <w:spacing w:after="0" w:line="50"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-130175</wp:posOffset>
            </wp:positionV>
            <wp:extent cx="31375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6300"/>
        <w:spacing w:after="0"/>
        <w:tabs>
          <w:tab w:leader="none" w:pos="6900" w:val="left"/>
        </w:tabs>
        <w:rPr>
          <w:sz w:val="20"/>
          <w:szCs w:val="20"/>
          <w:color w:val="auto"/>
        </w:rPr>
      </w:pPr>
      <w:r>
        <w:rPr>
          <w:rFonts w:ascii="Arial" w:cs="Arial" w:eastAsia="Arial" w:hAnsi="Arial"/>
          <w:sz w:val="18"/>
          <w:szCs w:val="18"/>
          <w:color w:val="auto"/>
        </w:rPr>
        <w:t>Title:</w:t>
        <w:tab/>
        <w:t>Member</w:t>
      </w:r>
    </w:p>
    <w:p>
      <w:pPr>
        <w:spacing w:after="0" w:line="274"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OrbiMed Capital LLC</w:t>
      </w:r>
    </w:p>
    <w:p>
      <w:pPr>
        <w:spacing w:after="0" w:line="28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 /s/ Carl L. Gordon</w:t>
      </w:r>
    </w:p>
    <w:p>
      <w:pPr>
        <w:spacing w:after="0" w:line="50"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-130175</wp:posOffset>
            </wp:positionV>
            <wp:extent cx="31375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6300"/>
        <w:spacing w:after="0"/>
        <w:tabs>
          <w:tab w:leader="none" w:pos="6900" w:val="left"/>
        </w:tabs>
        <w:rPr>
          <w:sz w:val="20"/>
          <w:szCs w:val="20"/>
          <w:color w:val="auto"/>
        </w:rPr>
      </w:pPr>
      <w:r>
        <w:rPr>
          <w:rFonts w:ascii="Arial" w:cs="Arial" w:eastAsia="Arial" w:hAnsi="Arial"/>
          <w:sz w:val="18"/>
          <w:szCs w:val="18"/>
          <w:color w:val="auto"/>
        </w:rPr>
        <w:t>Title:</w:t>
        <w:tab/>
        <w:t>Member</w:t>
      </w:r>
    </w:p>
    <w:p>
      <w:pPr>
        <w:spacing w:after="0" w:line="247"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OrbiMed Capital GP VII LLC</w:t>
      </w:r>
    </w:p>
    <w:p>
      <w:pPr>
        <w:spacing w:after="0" w:line="2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 OrbiMed Advisors LLC, its Managing Member</w:t>
      </w:r>
    </w:p>
    <w:p>
      <w:pPr>
        <w:spacing w:after="0" w:line="23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 /s/ Carl L. Gordon</w:t>
      </w:r>
    </w:p>
    <w:p>
      <w:pPr>
        <w:spacing w:after="0" w:line="50"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-130175</wp:posOffset>
            </wp:positionV>
            <wp:extent cx="31375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6300"/>
        <w:spacing w:after="0"/>
        <w:tabs>
          <w:tab w:leader="none" w:pos="6900" w:val="left"/>
        </w:tabs>
        <w:rPr>
          <w:sz w:val="20"/>
          <w:szCs w:val="20"/>
          <w:color w:val="auto"/>
        </w:rPr>
      </w:pPr>
      <w:r>
        <w:rPr>
          <w:rFonts w:ascii="Arial" w:cs="Arial" w:eastAsia="Arial" w:hAnsi="Arial"/>
          <w:sz w:val="18"/>
          <w:szCs w:val="18"/>
          <w:color w:val="auto"/>
        </w:rPr>
        <w:t>Title:</w:t>
        <w:tab/>
        <w:t>Member of OrbiMed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2"/>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2023-02-14T20:30:04Z</dcterms:created>
  <dcterms:modified xsi:type="dcterms:W3CDTF">2023-02-14T20:30:04Z</dcterms:modified>
</cp:coreProperties>
</file>