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192957-13ga1soleus3_mereo.htm"/>
      <w:bookmarkStart w:id="1" w:name="ksea19295713ga1soleus3_mereo"/>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SCHEDULE 13G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Securities Exchange Act of 1934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No. 1)*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MEREO BIOPHARMA GROUP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Issuer)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Ordinary Shares, £0.003 par value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of Class of Securities)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589492107**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(CUSIP Number)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Event Which Requires Filing of this Statement)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45"/>
        <w:gridCol w:w="1175"/>
      </w:tblGrid>
      <w:tr>
        <w:trPr/>
        <w:tc>
          <w:tcPr>
            <w:tcW w:w="245"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13d-1(b)</w:t>
            </w:r>
          </w:p>
        </w:tc>
      </w:tr>
    </w:tbl>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45"/>
        <w:gridCol w:w="1160"/>
      </w:tblGrid>
      <w:tr>
        <w:trPr/>
        <w:tc>
          <w:tcPr>
            <w:tcW w:w="24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13d-1(c)</w:t>
            </w:r>
          </w:p>
        </w:tc>
      </w:tr>
    </w:tbl>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45"/>
        <w:gridCol w:w="1175"/>
      </w:tblGrid>
      <w:tr>
        <w:trPr/>
        <w:tc>
          <w:tcPr>
            <w:tcW w:w="245"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13d-1(d)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pPr>
            <w:r>
              <w:rPr/>
              <w:t>**</w:t>
            </w:r>
          </w:p>
        </w:tc>
        <w:tc>
          <w:tcPr>
            <w:tcW w:w="10010" w:type="dxa"/>
            <w:tcBorders/>
            <w:vAlign w:val="center"/>
          </w:tcPr>
          <w:p>
            <w:pPr>
              <w:pStyle w:val="TableContents"/>
              <w:bidi w:val="0"/>
              <w:spacing w:before="0" w:after="283"/>
              <w:jc w:val="left"/>
              <w:rPr/>
            </w:pPr>
            <w:r>
              <w:rPr/>
              <w:t>There is no CUSIP number assigned to the Ordinary Shares. CUSIP number 589492107 has been assigned to the American Depositary Receipts (“</w:t>
            </w:r>
            <w:r>
              <w:rPr>
                <w:u w:val="single"/>
              </w:rPr>
              <w:t>ADRs</w:t>
            </w:r>
            <w:r>
              <w:rPr/>
              <w:t>”) of the Issuer, which are quoted on the Nasdaq Global Market under the symbol “MREO.” Each ADR represents 5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589492107</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15" w:type="dxa"/>
        <w:tblLayout w:type="fixed"/>
        <w:tblCellMar>
          <w:top w:w="60" w:type="dxa"/>
          <w:left w:w="60" w:type="dxa"/>
          <w:bottom w:w="60" w:type="dxa"/>
          <w:right w:w="60" w:type="dxa"/>
        </w:tblCellMar>
      </w:tblPr>
      <w:tblGrid>
        <w:gridCol w:w="185"/>
        <w:gridCol w:w="7295"/>
      </w:tblGrid>
      <w:tr>
        <w:trPr/>
        <w:tc>
          <w:tcPr>
            <w:tcW w:w="1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w:t>
            </w:r>
          </w:p>
        </w:tc>
        <w:tc>
          <w:tcPr>
            <w:tcW w:w="729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Private Equity Fund III, L.P.</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tbl>
      <w:tblPr>
        <w:tblW w:w="7500" w:type="dxa"/>
        <w:jc w:val="left"/>
        <w:tblInd w:w="-15" w:type="dxa"/>
        <w:tblLayout w:type="fixed"/>
        <w:tblCellMar>
          <w:top w:w="0" w:type="dxa"/>
          <w:left w:w="60" w:type="dxa"/>
          <w:bottom w:w="0" w:type="dxa"/>
          <w:right w:w="0" w:type="dxa"/>
        </w:tblCellMar>
      </w:tblPr>
      <w:tblGrid>
        <w:gridCol w:w="2195"/>
        <w:gridCol w:w="170"/>
        <w:gridCol w:w="5135"/>
      </w:tblGrid>
      <w:tr>
        <w:trPr/>
        <w:tc>
          <w:tcPr>
            <w:tcW w:w="2195" w:type="dxa"/>
            <w:vMerge w:val="restart"/>
            <w:tcBorders>
              <w:lef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w:t>
              <w:br/>
              <w:t>SHARES BENEFICIALLY</w:t>
              <w:br/>
              <w:t>OWNED BY</w:t>
              <w:br/>
              <w:t>EACH</w:t>
              <w:br/>
              <w:t>REPORTING</w:t>
              <w:br/>
              <w:t>PERSON</w:t>
              <w:br/>
              <w:t>WITH:</w:t>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5 </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18,145,160 ordinary shares represented by 3,629,032 ADRs (1)</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right w:val="single" w:sz="12" w:space="0" w:color="000000"/>
            </w:tcBorders>
            <w:tcMar>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5135" w:type="dxa"/>
            <w:tcBorders>
              <w:right w:val="single" w:sz="12"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18,145,160 ordinary shares represented by 3,629,032 ADRs (1)</w:t>
            </w:r>
          </w:p>
        </w:tc>
      </w:tr>
    </w:tbl>
    <w:tbl>
      <w:tblPr>
        <w:tblW w:w="9325" w:type="dxa"/>
        <w:jc w:val="left"/>
        <w:tblInd w:w="-15" w:type="dxa"/>
        <w:tblLayout w:type="fixed"/>
        <w:tblCellMar>
          <w:top w:w="60" w:type="dxa"/>
          <w:left w:w="60" w:type="dxa"/>
          <w:bottom w:w="60" w:type="dxa"/>
          <w:right w:w="60" w:type="dxa"/>
        </w:tblCellMar>
      </w:tblPr>
      <w:tblGrid>
        <w:gridCol w:w="245"/>
        <w:gridCol w:w="908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9 </w:t>
            </w:r>
          </w:p>
        </w:tc>
        <w:tc>
          <w:tcPr>
            <w:tcW w:w="90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18,145,160 ordinary shares represented by 3,629,032 ADRs (1)</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(9)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(2)</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FOOTNOTES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shares are owned directly by Soleus Private Equity Fund III, L.P. (“Soleus PE”). Soleus Private Equity GP III, LLC (“Soleus GP”) is the sole general partner of Soleus PE. Soleus GP holds voting and dispositive power over the shares held by Soleus PE. Soleus PE GP III, LLC is the sole manager of Soleus GP. Mr. Guy Levy is the sole managing member of Soleus PE GP III, LLC. Each of Mr. Guy Levy, Soleus PE GP III, LLC and Soleus GP disclaims beneficial ownership of these securities held by Soleus PE and this report shall not be deemed an admission that they are the beneficial owners of such securities for purposes of Section 13(d) of the Securities Exchange Act of 1934, as amended (the “Exchange Act”), or for any other purpose, except to the extent of their respective pecuniary interests therein.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sz w:val="20"/>
              </w:rPr>
            </w:pPr>
            <w:r>
              <w:rPr>
                <w:sz w:val="20"/>
              </w:rPr>
              <w:t>(2)</w:t>
            </w:r>
          </w:p>
        </w:tc>
        <w:tc>
          <w:tcPr>
            <w:tcW w:w="9968" w:type="dxa"/>
            <w:tcBorders/>
            <w:vAlign w:val="center"/>
          </w:tcPr>
          <w:p>
            <w:pPr>
              <w:pStyle w:val="TableContents"/>
              <w:bidi w:val="0"/>
              <w:spacing w:before="0" w:after="283"/>
              <w:jc w:val="left"/>
              <w:rPr>
                <w:sz w:val="20"/>
              </w:rPr>
            </w:pPr>
            <w:r>
              <w:rPr>
                <w:sz w:val="20"/>
              </w:rPr>
              <w:t xml:space="preserve">This percentage is calculated based upon 701,217,089 ordinary shares outstanding of Mereo BioPharma Group plc (the “Issuer”) as of August 31, 2023, as set forth on the Issuer’s website.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589492107</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15" w:type="dxa"/>
        <w:tblLayout w:type="fixed"/>
        <w:tblCellMar>
          <w:top w:w="60" w:type="dxa"/>
          <w:left w:w="60" w:type="dxa"/>
          <w:bottom w:w="60" w:type="dxa"/>
          <w:right w:w="60" w:type="dxa"/>
        </w:tblCellMar>
      </w:tblPr>
      <w:tblGrid>
        <w:gridCol w:w="185"/>
        <w:gridCol w:w="7295"/>
      </w:tblGrid>
      <w:tr>
        <w:trPr/>
        <w:tc>
          <w:tcPr>
            <w:tcW w:w="1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w:t>
            </w:r>
          </w:p>
        </w:tc>
        <w:tc>
          <w:tcPr>
            <w:tcW w:w="729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Private Equity GP III, LLC</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tbl>
      <w:tblPr>
        <w:tblW w:w="7500" w:type="dxa"/>
        <w:jc w:val="left"/>
        <w:tblInd w:w="-15" w:type="dxa"/>
        <w:tblLayout w:type="fixed"/>
        <w:tblCellMar>
          <w:top w:w="0" w:type="dxa"/>
          <w:left w:w="60" w:type="dxa"/>
          <w:bottom w:w="0" w:type="dxa"/>
          <w:right w:w="0" w:type="dxa"/>
        </w:tblCellMar>
      </w:tblPr>
      <w:tblGrid>
        <w:gridCol w:w="2195"/>
        <w:gridCol w:w="170"/>
        <w:gridCol w:w="5135"/>
      </w:tblGrid>
      <w:tr>
        <w:trPr/>
        <w:tc>
          <w:tcPr>
            <w:tcW w:w="2195" w:type="dxa"/>
            <w:vMerge w:val="restart"/>
            <w:tcBorders>
              <w:lef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w:t>
              <w:br/>
              <w:t>SHARES BENEFICIALLY</w:t>
              <w:br/>
              <w:t>OWNED BY</w:t>
              <w:br/>
              <w:t>EACH</w:t>
              <w:br/>
              <w:t>REPORTING</w:t>
              <w:br/>
              <w:t>PERSON</w:t>
              <w:br/>
              <w:t>WITH:</w:t>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5 </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18,145,160 ordinary shares represented by 3,629,032 ADRs (1)</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right w:val="single" w:sz="12" w:space="0" w:color="000000"/>
            </w:tcBorders>
            <w:tcMar>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5135" w:type="dxa"/>
            <w:tcBorders>
              <w:right w:val="single" w:sz="12"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18,145,160 ordinary shares represented by 3,629,032 ADRs (1)</w:t>
            </w:r>
          </w:p>
        </w:tc>
      </w:tr>
    </w:tbl>
    <w:tbl>
      <w:tblPr>
        <w:tblW w:w="9325" w:type="dxa"/>
        <w:jc w:val="left"/>
        <w:tblInd w:w="-15" w:type="dxa"/>
        <w:tblLayout w:type="fixed"/>
        <w:tblCellMar>
          <w:top w:w="60" w:type="dxa"/>
          <w:left w:w="60" w:type="dxa"/>
          <w:bottom w:w="60" w:type="dxa"/>
          <w:right w:w="60" w:type="dxa"/>
        </w:tblCellMar>
      </w:tblPr>
      <w:tblGrid>
        <w:gridCol w:w="245"/>
        <w:gridCol w:w="908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9 </w:t>
            </w:r>
          </w:p>
        </w:tc>
        <w:tc>
          <w:tcPr>
            <w:tcW w:w="90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18,145,160 ordinary shares represented by 3,629,032 ADRs (1)</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(9)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(2)</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FOOTNOTES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sz w:val="20"/>
              </w:rPr>
            </w:pPr>
            <w:r>
              <w:rPr>
                <w:sz w:val="20"/>
              </w:rPr>
              <w:t>(1)</w:t>
            </w:r>
          </w:p>
        </w:tc>
        <w:tc>
          <w:tcPr>
            <w:tcW w:w="9985" w:type="dxa"/>
            <w:tcBorders/>
            <w:vAlign w:val="center"/>
          </w:tcPr>
          <w:p>
            <w:pPr>
              <w:pStyle w:val="TableContents"/>
              <w:bidi w:val="0"/>
              <w:spacing w:before="0" w:after="283"/>
              <w:jc w:val="left"/>
              <w:rPr>
                <w:sz w:val="20"/>
              </w:rPr>
            </w:pPr>
            <w:r>
              <w:rPr>
                <w:sz w:val="20"/>
              </w:rPr>
              <w:t xml:space="preserve">The ordinary shares reported in this row are owned directly by Soleus PE. Soleus GP is the sole general partner of Soleus PE. Soleus GP holds voting and dispositive power over the shares held by Soleus PE. Soleus PE GP III, LLC is the sole manager of Soleus GP. Mr. Guy Levy is the sole managing member of Soleus PE GP III, LLC. </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260"/>
        <w:gridCol w:w="9665"/>
      </w:tblGrid>
      <w:tr>
        <w:trPr/>
        <w:tc>
          <w:tcPr>
            <w:tcW w:w="260" w:type="dxa"/>
            <w:tcBorders/>
            <w:vAlign w:val="center"/>
          </w:tcPr>
          <w:p>
            <w:pPr>
              <w:pStyle w:val="TableContents"/>
              <w:bidi w:val="0"/>
              <w:spacing w:before="0" w:after="283"/>
              <w:jc w:val="left"/>
              <w:rPr>
                <w:sz w:val="20"/>
              </w:rPr>
            </w:pPr>
            <w:r>
              <w:rPr>
                <w:sz w:val="20"/>
              </w:rPr>
              <w:t>(2)</w:t>
            </w:r>
          </w:p>
        </w:tc>
        <w:tc>
          <w:tcPr>
            <w:tcW w:w="9665" w:type="dxa"/>
            <w:tcBorders/>
            <w:vAlign w:val="center"/>
          </w:tcPr>
          <w:p>
            <w:pPr>
              <w:pStyle w:val="TableContents"/>
              <w:bidi w:val="0"/>
              <w:spacing w:before="0" w:after="283"/>
              <w:jc w:val="left"/>
              <w:rPr>
                <w:sz w:val="20"/>
              </w:rPr>
            </w:pPr>
            <w:r>
              <w:rPr>
                <w:sz w:val="20"/>
              </w:rPr>
              <w:t xml:space="preserve">This percentage is calculated based upon 701,217,089 ordinary shares outstanding of the Issuer as of August 31, 2023.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589492107</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15" w:type="dxa"/>
        <w:tblLayout w:type="fixed"/>
        <w:tblCellMar>
          <w:top w:w="60" w:type="dxa"/>
          <w:left w:w="60" w:type="dxa"/>
          <w:bottom w:w="60" w:type="dxa"/>
          <w:right w:w="60" w:type="dxa"/>
        </w:tblCellMar>
      </w:tblPr>
      <w:tblGrid>
        <w:gridCol w:w="185"/>
        <w:gridCol w:w="7295"/>
      </w:tblGrid>
      <w:tr>
        <w:trPr/>
        <w:tc>
          <w:tcPr>
            <w:tcW w:w="1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w:t>
            </w:r>
          </w:p>
        </w:tc>
        <w:tc>
          <w:tcPr>
            <w:tcW w:w="729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PE GP III, LLC</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tbl>
      <w:tblPr>
        <w:tblW w:w="7500" w:type="dxa"/>
        <w:jc w:val="left"/>
        <w:tblInd w:w="-15" w:type="dxa"/>
        <w:tblLayout w:type="fixed"/>
        <w:tblCellMar>
          <w:top w:w="0" w:type="dxa"/>
          <w:left w:w="60" w:type="dxa"/>
          <w:bottom w:w="0" w:type="dxa"/>
          <w:right w:w="0" w:type="dxa"/>
        </w:tblCellMar>
      </w:tblPr>
      <w:tblGrid>
        <w:gridCol w:w="2195"/>
        <w:gridCol w:w="170"/>
        <w:gridCol w:w="5135"/>
      </w:tblGrid>
      <w:tr>
        <w:trPr/>
        <w:tc>
          <w:tcPr>
            <w:tcW w:w="2195" w:type="dxa"/>
            <w:vMerge w:val="restart"/>
            <w:tcBorders>
              <w:lef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w:t>
              <w:br/>
              <w:t>SHARES BENEFICIALLY</w:t>
              <w:br/>
              <w:t>OWNED BY</w:t>
              <w:br/>
              <w:t>EACH</w:t>
              <w:br/>
              <w:t>REPORTING</w:t>
              <w:br/>
              <w:t>PERSON</w:t>
              <w:br/>
              <w:t>WITH:</w:t>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5 </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18,145,160 ordinary shares represented by 3,629,032 ADRs (1)</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right w:val="single" w:sz="12" w:space="0" w:color="000000"/>
            </w:tcBorders>
            <w:tcMar>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5135" w:type="dxa"/>
            <w:tcBorders>
              <w:right w:val="single" w:sz="12"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18,145,160 ordinary shares represented by 3,629,032 ADRs (1)</w:t>
            </w:r>
          </w:p>
        </w:tc>
      </w:tr>
    </w:tbl>
    <w:tbl>
      <w:tblPr>
        <w:tblW w:w="9325" w:type="dxa"/>
        <w:jc w:val="left"/>
        <w:tblInd w:w="-15" w:type="dxa"/>
        <w:tblLayout w:type="fixed"/>
        <w:tblCellMar>
          <w:top w:w="60" w:type="dxa"/>
          <w:left w:w="60" w:type="dxa"/>
          <w:bottom w:w="60" w:type="dxa"/>
          <w:right w:w="60" w:type="dxa"/>
        </w:tblCellMar>
      </w:tblPr>
      <w:tblGrid>
        <w:gridCol w:w="245"/>
        <w:gridCol w:w="908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9 </w:t>
            </w:r>
          </w:p>
        </w:tc>
        <w:tc>
          <w:tcPr>
            <w:tcW w:w="90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18,145,160 ordinary shares represented by 3,629,032 ADRs (1)</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(9)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(2)</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FOOTNOTES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sz w:val="20"/>
              </w:rPr>
            </w:pPr>
            <w:r>
              <w:rPr>
                <w:sz w:val="20"/>
              </w:rPr>
              <w:t>(1)</w:t>
            </w:r>
          </w:p>
        </w:tc>
        <w:tc>
          <w:tcPr>
            <w:tcW w:w="9985" w:type="dxa"/>
            <w:tcBorders/>
            <w:vAlign w:val="center"/>
          </w:tcPr>
          <w:p>
            <w:pPr>
              <w:pStyle w:val="TableContents"/>
              <w:bidi w:val="0"/>
              <w:spacing w:before="0" w:after="283"/>
              <w:jc w:val="left"/>
              <w:rPr>
                <w:sz w:val="20"/>
              </w:rPr>
            </w:pPr>
            <w:r>
              <w:rPr>
                <w:sz w:val="20"/>
              </w:rPr>
              <w:t xml:space="preserve">The ordinary shares reported in this row are owned directly by Soleus PE. Soleus GP is the sole general partner of Soleus PE. Soleus GP holds voting and dispositive power over the shares held by Soleus PE. Soleus PE GP III, LLC is the sole manager of Soleus GP. Mr. Guy Levy is the sole managing member of Soleus PE GP III, LLC. </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260"/>
        <w:gridCol w:w="9665"/>
      </w:tblGrid>
      <w:tr>
        <w:trPr/>
        <w:tc>
          <w:tcPr>
            <w:tcW w:w="260" w:type="dxa"/>
            <w:tcBorders/>
            <w:vAlign w:val="center"/>
          </w:tcPr>
          <w:p>
            <w:pPr>
              <w:pStyle w:val="TableContents"/>
              <w:bidi w:val="0"/>
              <w:spacing w:before="0" w:after="283"/>
              <w:jc w:val="left"/>
              <w:rPr>
                <w:sz w:val="20"/>
              </w:rPr>
            </w:pPr>
            <w:r>
              <w:rPr>
                <w:sz w:val="20"/>
              </w:rPr>
              <w:t>(2)</w:t>
            </w:r>
          </w:p>
        </w:tc>
        <w:tc>
          <w:tcPr>
            <w:tcW w:w="9665" w:type="dxa"/>
            <w:tcBorders/>
            <w:vAlign w:val="center"/>
          </w:tcPr>
          <w:p>
            <w:pPr>
              <w:pStyle w:val="TableContents"/>
              <w:bidi w:val="0"/>
              <w:spacing w:before="0" w:after="283"/>
              <w:jc w:val="left"/>
              <w:rPr>
                <w:sz w:val="20"/>
              </w:rPr>
            </w:pPr>
            <w:r>
              <w:rPr>
                <w:sz w:val="20"/>
              </w:rPr>
              <w:t xml:space="preserve">This percentage is calculated based upon 701,217,089 ordinary shares outstanding of the Issuer as of August 31, 2023.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589492107</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15" w:type="dxa"/>
        <w:tblLayout w:type="fixed"/>
        <w:tblCellMar>
          <w:top w:w="60" w:type="dxa"/>
          <w:left w:w="60" w:type="dxa"/>
          <w:bottom w:w="60" w:type="dxa"/>
          <w:right w:w="60" w:type="dxa"/>
        </w:tblCellMar>
      </w:tblPr>
      <w:tblGrid>
        <w:gridCol w:w="185"/>
        <w:gridCol w:w="7295"/>
      </w:tblGrid>
      <w:tr>
        <w:trPr/>
        <w:tc>
          <w:tcPr>
            <w:tcW w:w="1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w:t>
            </w:r>
          </w:p>
        </w:tc>
        <w:tc>
          <w:tcPr>
            <w:tcW w:w="729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Capital Master Fund, L.P.</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r>
    </w:tbl>
    <w:tbl>
      <w:tblPr>
        <w:tblW w:w="7500" w:type="dxa"/>
        <w:jc w:val="left"/>
        <w:tblInd w:w="-15" w:type="dxa"/>
        <w:tblLayout w:type="fixed"/>
        <w:tblCellMar>
          <w:top w:w="0" w:type="dxa"/>
          <w:left w:w="60" w:type="dxa"/>
          <w:bottom w:w="0" w:type="dxa"/>
          <w:right w:w="0" w:type="dxa"/>
        </w:tblCellMar>
      </w:tblPr>
      <w:tblGrid>
        <w:gridCol w:w="2195"/>
        <w:gridCol w:w="170"/>
        <w:gridCol w:w="5135"/>
      </w:tblGrid>
      <w:tr>
        <w:trPr/>
        <w:tc>
          <w:tcPr>
            <w:tcW w:w="2195" w:type="dxa"/>
            <w:vMerge w:val="restart"/>
            <w:tcBorders>
              <w:lef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w:t>
              <w:br/>
              <w:t>SHARES BENEFICIALLY</w:t>
              <w:br/>
              <w:t>OWNED BY</w:t>
              <w:br/>
              <w:t>EACH</w:t>
              <w:br/>
              <w:t>REPORTING</w:t>
              <w:br/>
              <w:t>PERSON</w:t>
              <w:br/>
              <w:t>WITH:</w:t>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5 </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30,741,935 ordinary shares represented by 6,148,387 ADRs (1)</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right w:val="single" w:sz="12" w:space="0" w:color="000000"/>
            </w:tcBorders>
            <w:tcMar>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5135" w:type="dxa"/>
            <w:tcBorders>
              <w:right w:val="single" w:sz="12"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30,741,935 ordinary shares represented by 6,148,387 ADRs (1)</w:t>
            </w:r>
          </w:p>
        </w:tc>
      </w:tr>
    </w:tbl>
    <w:tbl>
      <w:tblPr>
        <w:tblW w:w="9325" w:type="dxa"/>
        <w:jc w:val="left"/>
        <w:tblInd w:w="-15" w:type="dxa"/>
        <w:tblLayout w:type="fixed"/>
        <w:tblCellMar>
          <w:top w:w="60" w:type="dxa"/>
          <w:left w:w="60" w:type="dxa"/>
          <w:bottom w:w="60" w:type="dxa"/>
          <w:right w:w="60" w:type="dxa"/>
        </w:tblCellMar>
      </w:tblPr>
      <w:tblGrid>
        <w:gridCol w:w="245"/>
        <w:gridCol w:w="908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9 </w:t>
            </w:r>
          </w:p>
        </w:tc>
        <w:tc>
          <w:tcPr>
            <w:tcW w:w="90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30,741,935 ordinary shares represented by 6,148,387 ADRs (1)</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(9)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(2)</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FOOTNOTES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sz w:val="20"/>
              </w:rPr>
            </w:pPr>
            <w:r>
              <w:rPr>
                <w:sz w:val="20"/>
              </w:rPr>
              <w:t>(1)</w:t>
            </w:r>
          </w:p>
        </w:tc>
        <w:tc>
          <w:tcPr>
            <w:tcW w:w="9997" w:type="dxa"/>
            <w:tcBorders/>
            <w:vAlign w:val="center"/>
          </w:tcPr>
          <w:p>
            <w:pPr>
              <w:pStyle w:val="TableContents"/>
              <w:bidi w:val="0"/>
              <w:spacing w:before="0" w:after="283"/>
              <w:jc w:val="left"/>
              <w:rPr>
                <w:sz w:val="20"/>
              </w:rPr>
            </w:pPr>
            <w:r>
              <w:rPr>
                <w:sz w:val="20"/>
              </w:rPr>
              <w:t xml:space="preserve">The ordinary shares reported in this row are held by Soleus Capital Master Fund, L.P. (“Master Fund”). Soleus Capital, LLC is the sole general partner of Master Fund and thus holds voting and dispositive power over the shares held by Master Fund. Soleus Capital Group, LLC is the sole managing member of Soleus Capital, LLC. Mr. Guy Levy is the sole managing member of Soleus Capital Group, LLC. Each of Soleus Capital Group, LLC, Soleus Capital, LLC and Mr. Guy Levy disclaims beneficial ownership of these securities held by Master Fund and this report shall not be deemed an admission that they are the beneficial owners of such securities for purposes of Section 13(d) of the Exchange Act, or for any other purpose, except to the extent of their respective pecuniary interests therein. </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260"/>
        <w:gridCol w:w="9665"/>
      </w:tblGrid>
      <w:tr>
        <w:trPr/>
        <w:tc>
          <w:tcPr>
            <w:tcW w:w="260" w:type="dxa"/>
            <w:tcBorders/>
            <w:vAlign w:val="center"/>
          </w:tcPr>
          <w:p>
            <w:pPr>
              <w:pStyle w:val="TableContents"/>
              <w:bidi w:val="0"/>
              <w:spacing w:before="0" w:after="283"/>
              <w:jc w:val="left"/>
              <w:rPr>
                <w:sz w:val="20"/>
              </w:rPr>
            </w:pPr>
            <w:r>
              <w:rPr>
                <w:sz w:val="20"/>
              </w:rPr>
              <w:t>(2)</w:t>
            </w:r>
          </w:p>
        </w:tc>
        <w:tc>
          <w:tcPr>
            <w:tcW w:w="9665" w:type="dxa"/>
            <w:tcBorders/>
            <w:vAlign w:val="center"/>
          </w:tcPr>
          <w:p>
            <w:pPr>
              <w:pStyle w:val="TableContents"/>
              <w:bidi w:val="0"/>
              <w:spacing w:before="0" w:after="283"/>
              <w:jc w:val="left"/>
              <w:rPr>
                <w:sz w:val="20"/>
              </w:rPr>
            </w:pPr>
            <w:r>
              <w:rPr>
                <w:sz w:val="20"/>
              </w:rPr>
              <w:t xml:space="preserve">This percentage is calculated based upon 701,217,089 ordinary shares outstanding of the Issuer as of August 31, 2023.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589492107</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15" w:type="dxa"/>
        <w:tblLayout w:type="fixed"/>
        <w:tblCellMar>
          <w:top w:w="60" w:type="dxa"/>
          <w:left w:w="60" w:type="dxa"/>
          <w:bottom w:w="60" w:type="dxa"/>
          <w:right w:w="60" w:type="dxa"/>
        </w:tblCellMar>
      </w:tblPr>
      <w:tblGrid>
        <w:gridCol w:w="185"/>
        <w:gridCol w:w="7295"/>
      </w:tblGrid>
      <w:tr>
        <w:trPr/>
        <w:tc>
          <w:tcPr>
            <w:tcW w:w="1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w:t>
            </w:r>
          </w:p>
        </w:tc>
        <w:tc>
          <w:tcPr>
            <w:tcW w:w="729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Capital, LLC</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tbl>
      <w:tblPr>
        <w:tblW w:w="7500" w:type="dxa"/>
        <w:jc w:val="left"/>
        <w:tblInd w:w="-15" w:type="dxa"/>
        <w:tblLayout w:type="fixed"/>
        <w:tblCellMar>
          <w:top w:w="0" w:type="dxa"/>
          <w:left w:w="60" w:type="dxa"/>
          <w:bottom w:w="0" w:type="dxa"/>
          <w:right w:w="0" w:type="dxa"/>
        </w:tblCellMar>
      </w:tblPr>
      <w:tblGrid>
        <w:gridCol w:w="2195"/>
        <w:gridCol w:w="170"/>
        <w:gridCol w:w="5135"/>
      </w:tblGrid>
      <w:tr>
        <w:trPr/>
        <w:tc>
          <w:tcPr>
            <w:tcW w:w="2195" w:type="dxa"/>
            <w:vMerge w:val="restart"/>
            <w:tcBorders>
              <w:lef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w:t>
              <w:br/>
              <w:t>SHARES BENEFICIALLY</w:t>
              <w:br/>
              <w:t>OWNED BY</w:t>
              <w:br/>
              <w:t>EACH</w:t>
              <w:br/>
              <w:t>REPORTING</w:t>
              <w:br/>
              <w:t>PERSON</w:t>
              <w:br/>
              <w:t>WITH:</w:t>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5 </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30,741,935 ordinary shares represented by 6,148,387 ADRs (1)</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right w:val="single" w:sz="12" w:space="0" w:color="000000"/>
            </w:tcBorders>
            <w:tcMar>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5135" w:type="dxa"/>
            <w:tcBorders>
              <w:right w:val="single" w:sz="12"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30,741,935 ordinary shares represented by 6,148,387 ADRs (1)</w:t>
            </w:r>
          </w:p>
        </w:tc>
      </w:tr>
    </w:tbl>
    <w:tbl>
      <w:tblPr>
        <w:tblW w:w="9325" w:type="dxa"/>
        <w:jc w:val="left"/>
        <w:tblInd w:w="-15" w:type="dxa"/>
        <w:tblLayout w:type="fixed"/>
        <w:tblCellMar>
          <w:top w:w="60" w:type="dxa"/>
          <w:left w:w="60" w:type="dxa"/>
          <w:bottom w:w="60" w:type="dxa"/>
          <w:right w:w="60" w:type="dxa"/>
        </w:tblCellMar>
      </w:tblPr>
      <w:tblGrid>
        <w:gridCol w:w="245"/>
        <w:gridCol w:w="908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9 </w:t>
            </w:r>
          </w:p>
        </w:tc>
        <w:tc>
          <w:tcPr>
            <w:tcW w:w="90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30,741,935 ordinary shares represented by 6,148,387 ADRs (1)</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(9)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(2)</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FOOTNOTES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sz w:val="20"/>
              </w:rPr>
            </w:pPr>
            <w:r>
              <w:rPr>
                <w:sz w:val="20"/>
              </w:rPr>
              <w:t>(1)</w:t>
            </w:r>
          </w:p>
        </w:tc>
        <w:tc>
          <w:tcPr>
            <w:tcW w:w="9987" w:type="dxa"/>
            <w:tcBorders/>
            <w:vAlign w:val="center"/>
          </w:tcPr>
          <w:p>
            <w:pPr>
              <w:pStyle w:val="TableContents"/>
              <w:bidi w:val="0"/>
              <w:spacing w:before="0" w:after="283"/>
              <w:jc w:val="left"/>
              <w:rPr>
                <w:sz w:val="20"/>
              </w:rPr>
            </w:pPr>
            <w:r>
              <w:rPr>
                <w:sz w:val="20"/>
              </w:rPr>
              <w:t xml:space="preserve">The ordinary shares reported in this row are held by Master Fund. Soleus Capital, LLC is the sole general partner of Master Fund and thus holds voting and dispositive power over the shares held by Master Fund. Soleus Capital Group, LLC is the sole managing member of Soleus Capital, LLC. Mr. Guy Levy is the sole managing member of Soleus Capital Group, LLC. </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260"/>
        <w:gridCol w:w="9665"/>
      </w:tblGrid>
      <w:tr>
        <w:trPr/>
        <w:tc>
          <w:tcPr>
            <w:tcW w:w="260" w:type="dxa"/>
            <w:tcBorders/>
            <w:vAlign w:val="center"/>
          </w:tcPr>
          <w:p>
            <w:pPr>
              <w:pStyle w:val="TableContents"/>
              <w:bidi w:val="0"/>
              <w:spacing w:before="0" w:after="283"/>
              <w:jc w:val="left"/>
              <w:rPr>
                <w:sz w:val="20"/>
              </w:rPr>
            </w:pPr>
            <w:r>
              <w:rPr>
                <w:sz w:val="20"/>
              </w:rPr>
              <w:t>(2)</w:t>
            </w:r>
          </w:p>
        </w:tc>
        <w:tc>
          <w:tcPr>
            <w:tcW w:w="9665" w:type="dxa"/>
            <w:tcBorders/>
            <w:vAlign w:val="center"/>
          </w:tcPr>
          <w:p>
            <w:pPr>
              <w:pStyle w:val="TableContents"/>
              <w:bidi w:val="0"/>
              <w:spacing w:before="0" w:after="283"/>
              <w:jc w:val="left"/>
              <w:rPr>
                <w:sz w:val="20"/>
              </w:rPr>
            </w:pPr>
            <w:r>
              <w:rPr>
                <w:sz w:val="20"/>
              </w:rPr>
              <w:t xml:space="preserve">This percentage is calculated based upon 701,217,089 ordinary shares outstanding of the Issuer as of August 31, 2023.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589492107</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15" w:type="dxa"/>
        <w:tblLayout w:type="fixed"/>
        <w:tblCellMar>
          <w:top w:w="60" w:type="dxa"/>
          <w:left w:w="60" w:type="dxa"/>
          <w:bottom w:w="60" w:type="dxa"/>
          <w:right w:w="60" w:type="dxa"/>
        </w:tblCellMar>
      </w:tblPr>
      <w:tblGrid>
        <w:gridCol w:w="185"/>
        <w:gridCol w:w="7295"/>
      </w:tblGrid>
      <w:tr>
        <w:trPr/>
        <w:tc>
          <w:tcPr>
            <w:tcW w:w="1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w:t>
            </w:r>
          </w:p>
        </w:tc>
        <w:tc>
          <w:tcPr>
            <w:tcW w:w="729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Capital Group, LLC</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tbl>
      <w:tblPr>
        <w:tblW w:w="7500" w:type="dxa"/>
        <w:jc w:val="left"/>
        <w:tblInd w:w="-15" w:type="dxa"/>
        <w:tblLayout w:type="fixed"/>
        <w:tblCellMar>
          <w:top w:w="0" w:type="dxa"/>
          <w:left w:w="60" w:type="dxa"/>
          <w:bottom w:w="0" w:type="dxa"/>
          <w:right w:w="0" w:type="dxa"/>
        </w:tblCellMar>
      </w:tblPr>
      <w:tblGrid>
        <w:gridCol w:w="2195"/>
        <w:gridCol w:w="170"/>
        <w:gridCol w:w="5135"/>
      </w:tblGrid>
      <w:tr>
        <w:trPr/>
        <w:tc>
          <w:tcPr>
            <w:tcW w:w="2195" w:type="dxa"/>
            <w:vMerge w:val="restart"/>
            <w:tcBorders>
              <w:lef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w:t>
              <w:br/>
              <w:t>SHARES BENEFICIALLY</w:t>
              <w:br/>
              <w:t>OWNED BY</w:t>
              <w:br/>
              <w:t>EACH</w:t>
              <w:br/>
              <w:t>REPORTING</w:t>
              <w:br/>
              <w:t>PERSON</w:t>
              <w:br/>
              <w:t>WITH:</w:t>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5 </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30,741,935 ordinary shares represented by 6,148,387 ADRs (1)</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right w:val="single" w:sz="12" w:space="0" w:color="000000"/>
            </w:tcBorders>
            <w:tcMar>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5135" w:type="dxa"/>
            <w:tcBorders>
              <w:right w:val="single" w:sz="12"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30,741,935 ordinary shares represented by 6,148,387 ADRs (1)</w:t>
            </w:r>
          </w:p>
        </w:tc>
      </w:tr>
    </w:tbl>
    <w:tbl>
      <w:tblPr>
        <w:tblW w:w="9325" w:type="dxa"/>
        <w:jc w:val="left"/>
        <w:tblInd w:w="-15" w:type="dxa"/>
        <w:tblLayout w:type="fixed"/>
        <w:tblCellMar>
          <w:top w:w="60" w:type="dxa"/>
          <w:left w:w="60" w:type="dxa"/>
          <w:bottom w:w="60" w:type="dxa"/>
          <w:right w:w="60" w:type="dxa"/>
        </w:tblCellMar>
      </w:tblPr>
      <w:tblGrid>
        <w:gridCol w:w="245"/>
        <w:gridCol w:w="908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9 </w:t>
            </w:r>
          </w:p>
        </w:tc>
        <w:tc>
          <w:tcPr>
            <w:tcW w:w="90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30,741,935 ordinary shares represented by 6,148,387 ADRs (1)</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(9)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(2)</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FOOTNOTES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sz w:val="20"/>
              </w:rPr>
            </w:pPr>
            <w:r>
              <w:rPr>
                <w:sz w:val="20"/>
              </w:rPr>
              <w:t>(1)</w:t>
            </w:r>
          </w:p>
        </w:tc>
        <w:tc>
          <w:tcPr>
            <w:tcW w:w="9982" w:type="dxa"/>
            <w:tcBorders/>
            <w:vAlign w:val="center"/>
          </w:tcPr>
          <w:p>
            <w:pPr>
              <w:pStyle w:val="TableContents"/>
              <w:bidi w:val="0"/>
              <w:spacing w:before="0" w:after="283"/>
              <w:jc w:val="left"/>
              <w:rPr>
                <w:sz w:val="20"/>
              </w:rPr>
            </w:pPr>
            <w:r>
              <w:rPr>
                <w:sz w:val="20"/>
              </w:rPr>
              <w:t xml:space="preserve">The ordinary shares reported in this row are held by Master Fund. Soleus Capital, LLC is the sole general partner of Master Fund and thus holds voting and dispositive power over the shares held by Master Fund. Soleus Capital Group, LLC is the sole managing member of Soleus Capital, LLC. </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260"/>
        <w:gridCol w:w="9665"/>
      </w:tblGrid>
      <w:tr>
        <w:trPr/>
        <w:tc>
          <w:tcPr>
            <w:tcW w:w="260" w:type="dxa"/>
            <w:tcBorders/>
            <w:vAlign w:val="center"/>
          </w:tcPr>
          <w:p>
            <w:pPr>
              <w:pStyle w:val="TableContents"/>
              <w:bidi w:val="0"/>
              <w:spacing w:before="0" w:after="283"/>
              <w:jc w:val="left"/>
              <w:rPr>
                <w:sz w:val="20"/>
              </w:rPr>
            </w:pPr>
            <w:r>
              <w:rPr>
                <w:sz w:val="20"/>
              </w:rPr>
              <w:t>(2)</w:t>
            </w:r>
          </w:p>
        </w:tc>
        <w:tc>
          <w:tcPr>
            <w:tcW w:w="9665" w:type="dxa"/>
            <w:tcBorders/>
            <w:vAlign w:val="center"/>
          </w:tcPr>
          <w:p>
            <w:pPr>
              <w:pStyle w:val="TableContents"/>
              <w:bidi w:val="0"/>
              <w:spacing w:before="0" w:after="283"/>
              <w:jc w:val="left"/>
              <w:rPr>
                <w:sz w:val="20"/>
              </w:rPr>
            </w:pPr>
            <w:r>
              <w:rPr>
                <w:sz w:val="20"/>
              </w:rPr>
              <w:t xml:space="preserve">This percentage is calculated based upon 701,217,089 ordinary shares outstanding of the Issuer as of August 31, 2023.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589492107</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15" w:type="dxa"/>
        <w:tblLayout w:type="fixed"/>
        <w:tblCellMar>
          <w:top w:w="60" w:type="dxa"/>
          <w:left w:w="60" w:type="dxa"/>
          <w:bottom w:w="60" w:type="dxa"/>
          <w:right w:w="60" w:type="dxa"/>
        </w:tblCellMar>
      </w:tblPr>
      <w:tblGrid>
        <w:gridCol w:w="185"/>
        <w:gridCol w:w="7295"/>
      </w:tblGrid>
      <w:tr>
        <w:trPr/>
        <w:tc>
          <w:tcPr>
            <w:tcW w:w="1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w:t>
            </w:r>
          </w:p>
        </w:tc>
        <w:tc>
          <w:tcPr>
            <w:tcW w:w="729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NOS.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Guy Levy</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7295"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bl>
    <w:tbl>
      <w:tblPr>
        <w:tblW w:w="7500" w:type="dxa"/>
        <w:jc w:val="left"/>
        <w:tblInd w:w="-15" w:type="dxa"/>
        <w:tblLayout w:type="fixed"/>
        <w:tblCellMar>
          <w:top w:w="0" w:type="dxa"/>
          <w:left w:w="60" w:type="dxa"/>
          <w:bottom w:w="0" w:type="dxa"/>
          <w:right w:w="0" w:type="dxa"/>
        </w:tblCellMar>
      </w:tblPr>
      <w:tblGrid>
        <w:gridCol w:w="2195"/>
        <w:gridCol w:w="170"/>
        <w:gridCol w:w="5135"/>
      </w:tblGrid>
      <w:tr>
        <w:trPr/>
        <w:tc>
          <w:tcPr>
            <w:tcW w:w="2195" w:type="dxa"/>
            <w:vMerge w:val="restart"/>
            <w:tcBorders>
              <w:lef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w:t>
              <w:br/>
              <w:t>SHARES BENEFICIALLY</w:t>
              <w:br/>
              <w:t>OWNED BY</w:t>
              <w:br/>
              <w:t>EACH</w:t>
              <w:br/>
              <w:t>REPORTING</w:t>
              <w:br/>
              <w:t>PERSON</w:t>
              <w:br/>
              <w:t>WITH:</w:t>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5 </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48,887,095 ordinary shares represented by 9,777,419 ADRs (1)</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bottom w:val="single" w:sz="12" w:space="0" w:color="000000"/>
              <w:right w:val="single" w:sz="12" w:space="0" w:color="000000"/>
            </w:tcBorders>
            <w:tcMar>
              <w:bottom w:w="6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5135" w:type="dxa"/>
            <w:tcBorders>
              <w:bottom w:val="single" w:sz="12" w:space="0" w:color="000000"/>
              <w:right w:val="single" w:sz="12" w:space="0" w:color="000000"/>
            </w:tcBorders>
            <w:tcMar>
              <w:left w:w="0" w:type="dxa"/>
              <w:bottom w:w="6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2195" w:type="dxa"/>
            <w:vMerge w:val="continue"/>
            <w:tcBorders>
              <w:left w:val="single" w:sz="12" w:space="0" w:color="000000"/>
            </w:tcBorders>
            <w:vAlign w:val="center"/>
          </w:tcPr>
          <w:p>
            <w:pPr>
              <w:pStyle w:val="Normal"/>
              <w:bidi w:val="0"/>
              <w:jc w:val="left"/>
              <w:rPr/>
            </w:pPr>
            <w:r>
              <w:rPr/>
            </w:r>
          </w:p>
        </w:tc>
        <w:tc>
          <w:tcPr>
            <w:tcW w:w="170" w:type="dxa"/>
            <w:tcBorders>
              <w:left w:val="single" w:sz="12" w:space="0" w:color="000000"/>
              <w:right w:val="single" w:sz="12" w:space="0" w:color="000000"/>
            </w:tcBorders>
            <w:tcMar>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5135" w:type="dxa"/>
            <w:tcBorders>
              <w:right w:val="single" w:sz="12" w:space="0" w:color="000000"/>
            </w:tcBorders>
            <w:tcMar>
              <w:left w:w="0"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48,887,095 ordinary shares represented by 9,777,419 ADRs (1)</w:t>
            </w:r>
          </w:p>
        </w:tc>
      </w:tr>
    </w:tbl>
    <w:tbl>
      <w:tblPr>
        <w:tblW w:w="9325" w:type="dxa"/>
        <w:jc w:val="left"/>
        <w:tblInd w:w="-15" w:type="dxa"/>
        <w:tblLayout w:type="fixed"/>
        <w:tblCellMar>
          <w:top w:w="60" w:type="dxa"/>
          <w:left w:w="60" w:type="dxa"/>
          <w:bottom w:w="60" w:type="dxa"/>
          <w:right w:w="60" w:type="dxa"/>
        </w:tblCellMar>
      </w:tblPr>
      <w:tblGrid>
        <w:gridCol w:w="245"/>
        <w:gridCol w:w="9080"/>
      </w:tblGrid>
      <w:tr>
        <w:trPr/>
        <w:tc>
          <w:tcPr>
            <w:tcW w:w="2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9 </w:t>
            </w:r>
          </w:p>
        </w:tc>
        <w:tc>
          <w:tcPr>
            <w:tcW w:w="90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48,887,095 ordinary shares represented by 9,777,419 ADRs (1)</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(9)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 (2)</w:t>
            </w:r>
          </w:p>
        </w:tc>
      </w:tr>
      <w:tr>
        <w:trPr/>
        <w:tc>
          <w:tcPr>
            <w:tcW w:w="24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FOOTNOTES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sz w:val="20"/>
              </w:rPr>
            </w:pPr>
            <w:r>
              <w:rPr>
                <w:sz w:val="20"/>
              </w:rPr>
              <w:t>(1)</w:t>
            </w:r>
          </w:p>
        </w:tc>
        <w:tc>
          <w:tcPr>
            <w:tcW w:w="9999" w:type="dxa"/>
            <w:tcBorders/>
            <w:vAlign w:val="center"/>
          </w:tcPr>
          <w:p>
            <w:pPr>
              <w:pStyle w:val="TableContents"/>
              <w:bidi w:val="0"/>
              <w:spacing w:before="0" w:after="283"/>
              <w:jc w:val="left"/>
              <w:rPr>
                <w:sz w:val="20"/>
              </w:rPr>
            </w:pPr>
            <w:r>
              <w:rPr>
                <w:sz w:val="20"/>
              </w:rPr>
              <w:t xml:space="preserve">18,145,160 ordinary shares represented by 3,629,032 ADRs of the ordinary shares reported in this row are held directly by Soleus PE and 30,741,935 ordinary shares represented by 6,148,387 ADRs of the ordinary shares reported in this row are held directly by Master Fund. Soleus GP is the sole general partner of Soleus PE, Soleus PE GP III, LLC is the sole manager of Soleus GP, and Mr. Guy Levy is the sole managing member of Soleus PE GP III, LLC. Soleus Capital, LLC is the sole general partner of Master Fund, Soleus Capital Group, LLC is the sole managing member of Soleus Capital, LLC, and Mr. Guy Levy is the sole managing member of Soleus Capital Group, LLC. Mr. Guy Levy disclaims beneficial ownership of these securities held by Soleus PE and Master Fund, and this report shall not be deemed an admission that he is the beneficial owner of such securities for purposes of Section 13(d) of the Exchange Act, or for any other purpose, except to the extent of his pecuniary interest therein. </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260"/>
        <w:gridCol w:w="9665"/>
      </w:tblGrid>
      <w:tr>
        <w:trPr/>
        <w:tc>
          <w:tcPr>
            <w:tcW w:w="260" w:type="dxa"/>
            <w:tcBorders/>
            <w:vAlign w:val="center"/>
          </w:tcPr>
          <w:p>
            <w:pPr>
              <w:pStyle w:val="TableContents"/>
              <w:bidi w:val="0"/>
              <w:spacing w:before="0" w:after="283"/>
              <w:jc w:val="left"/>
              <w:rPr>
                <w:sz w:val="20"/>
              </w:rPr>
            </w:pPr>
            <w:r>
              <w:rPr>
                <w:sz w:val="20"/>
              </w:rPr>
              <w:t>(2)</w:t>
            </w:r>
          </w:p>
        </w:tc>
        <w:tc>
          <w:tcPr>
            <w:tcW w:w="9665" w:type="dxa"/>
            <w:tcBorders/>
            <w:vAlign w:val="center"/>
          </w:tcPr>
          <w:p>
            <w:pPr>
              <w:pStyle w:val="TableContents"/>
              <w:bidi w:val="0"/>
              <w:spacing w:before="0" w:after="283"/>
              <w:jc w:val="left"/>
              <w:rPr>
                <w:sz w:val="20"/>
              </w:rPr>
            </w:pPr>
            <w:r>
              <w:rPr>
                <w:sz w:val="20"/>
              </w:rPr>
              <w:t xml:space="preserve">This percentage is calculated based upon 701,217,089 ordinary shares outstanding of the Issuer as of August 31, 2023.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75"/>
        <w:gridCol w:w="245"/>
        <w:gridCol w:w="129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2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Name of Issuer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Mereo BioPharma Group plc</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245"/>
        <w:gridCol w:w="396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39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Address of Issuer’s Principal Executive Offices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4th Floor, One Cavendish Place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W1G 0Qf,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245"/>
        <w:gridCol w:w="21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1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Name of Person(s) Filing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Private Equity GP III,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Private Equity Fund III,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PE GP III,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Capital Master Fund,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Capital,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Capital Group,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Guy Levy</w:t>
      </w:r>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245"/>
        <w:gridCol w:w="49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49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Address of Principal Business Office or, if none, Residence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Private Equity GP III,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Field Point Road, 2nd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06830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Private Equity Fund III,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Field Point Road, 2nd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06830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PE GP III,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Field Point Road, 2nd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06830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Capital Master Fund,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Field Point Road, 2nd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06830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Capital,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Field Point Road, 2nd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06830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Capital Group,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Field Point Road, 2nd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06830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Guy Levy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Soleus Capital Management,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Field Point Road, 2nd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06830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75"/>
        <w:gridCol w:w="230"/>
        <w:gridCol w:w="9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Citizenship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Private Equity GP III, LLC – Delaware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Private Equity Fund III, L.P. – Delaware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PE GP III, LLC – Delaware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Capital Master Fund, L.P. – Cayman Islands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Capital, LLC – Delaware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Capital Group, LLC – Delaware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Guy Levy – United States</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245"/>
        <w:gridCol w:w="22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2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Title of Class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£0.003 par value</w:t>
      </w:r>
    </w:p>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75"/>
        <w:gridCol w:w="230"/>
        <w:gridCol w:w="13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13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CUSIP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589492107</w:t>
      </w:r>
    </w:p>
    <w:p>
      <w:pPr>
        <w:pStyle w:val="TextBody"/>
        <w:bidi w:val="0"/>
        <w:spacing w:before="0" w:after="0"/>
        <w:ind w:left="0" w:right="0" w:hanging="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620"/>
        <w:gridCol w:w="923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92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If this statement is filed pursuant to §§240.13d-1(b) or 240.13d-2(b) or (c), check whether the person filing is 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230"/>
        <w:gridCol w:w="973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30" w:type="dxa"/>
            <w:tcBorders/>
            <w:vAlign w:val="center"/>
          </w:tcPr>
          <w:p>
            <w:pPr>
              <w:pStyle w:val="TableContents"/>
              <w:bidi w:val="0"/>
              <w:spacing w:before="0" w:after="283"/>
              <w:jc w:val="center"/>
              <w:rPr/>
            </w:pPr>
            <w:r>
              <w:rPr/>
              <w:t>☐</w:t>
            </w:r>
          </w:p>
        </w:tc>
        <w:tc>
          <w:tcPr>
            <w:tcW w:w="9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 or dealer registered under section 15 of the Act (15 U.S.C. 78o).</w:t>
            </w:r>
          </w:p>
        </w:tc>
      </w:tr>
      <w:tr>
        <w:trPr/>
        <w:tc>
          <w:tcPr>
            <w:tcW w:w="242"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9733" w:type="dxa"/>
            <w:tcBorders/>
            <w:vAlign w:val="center"/>
          </w:tcPr>
          <w:p>
            <w:pPr>
              <w:pStyle w:val="TableContents"/>
              <w:bidi w:val="0"/>
              <w:spacing w:before="0" w:after="283"/>
              <w:jc w:val="left"/>
              <w:rPr/>
            </w:pPr>
            <w:r>
              <w:rPr/>
              <w:t> </w:t>
            </w:r>
          </w:p>
        </w:tc>
      </w:tr>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30" w:type="dxa"/>
            <w:tcBorders/>
            <w:vAlign w:val="center"/>
          </w:tcPr>
          <w:p>
            <w:pPr>
              <w:pStyle w:val="TableContents"/>
              <w:bidi w:val="0"/>
              <w:spacing w:before="0" w:after="283"/>
              <w:jc w:val="center"/>
              <w:rPr/>
            </w:pPr>
            <w:r>
              <w:rPr/>
              <w:t>☐</w:t>
            </w:r>
          </w:p>
        </w:tc>
        <w:tc>
          <w:tcPr>
            <w:tcW w:w="9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as defined in section 3(a)(6) of the Act (15 U.S.C. 78c).</w:t>
            </w:r>
          </w:p>
        </w:tc>
      </w:tr>
      <w:tr>
        <w:trPr/>
        <w:tc>
          <w:tcPr>
            <w:tcW w:w="242"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9733" w:type="dxa"/>
            <w:tcBorders/>
            <w:vAlign w:val="center"/>
          </w:tcPr>
          <w:p>
            <w:pPr>
              <w:pStyle w:val="TableContents"/>
              <w:bidi w:val="0"/>
              <w:spacing w:before="0" w:after="283"/>
              <w:jc w:val="left"/>
              <w:rPr/>
            </w:pPr>
            <w:r>
              <w:rPr/>
              <w:t> </w:t>
            </w:r>
          </w:p>
        </w:tc>
      </w:tr>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30" w:type="dxa"/>
            <w:tcBorders/>
            <w:vAlign w:val="center"/>
          </w:tcPr>
          <w:p>
            <w:pPr>
              <w:pStyle w:val="TableContents"/>
              <w:bidi w:val="0"/>
              <w:spacing w:before="0" w:after="283"/>
              <w:jc w:val="center"/>
              <w:rPr/>
            </w:pPr>
            <w:r>
              <w:rPr/>
              <w:t>☐</w:t>
            </w:r>
          </w:p>
        </w:tc>
        <w:tc>
          <w:tcPr>
            <w:tcW w:w="9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 company as defined in section 3(a)(19) of the Act (15 U.S.C. ☐78c).</w:t>
            </w:r>
          </w:p>
        </w:tc>
      </w:tr>
      <w:tr>
        <w:trPr/>
        <w:tc>
          <w:tcPr>
            <w:tcW w:w="242"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9733" w:type="dxa"/>
            <w:tcBorders/>
            <w:vAlign w:val="center"/>
          </w:tcPr>
          <w:p>
            <w:pPr>
              <w:pStyle w:val="TableContents"/>
              <w:bidi w:val="0"/>
              <w:spacing w:before="0" w:after="283"/>
              <w:jc w:val="left"/>
              <w:rPr/>
            </w:pPr>
            <w:r>
              <w:rPr/>
              <w:t> </w:t>
            </w:r>
          </w:p>
        </w:tc>
      </w:tr>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30" w:type="dxa"/>
            <w:tcBorders/>
            <w:vAlign w:val="center"/>
          </w:tcPr>
          <w:p>
            <w:pPr>
              <w:pStyle w:val="TableContents"/>
              <w:bidi w:val="0"/>
              <w:spacing w:before="0" w:after="283"/>
              <w:jc w:val="center"/>
              <w:rPr/>
            </w:pPr>
            <w:r>
              <w:rPr/>
              <w:t>☐</w:t>
            </w:r>
          </w:p>
        </w:tc>
        <w:tc>
          <w:tcPr>
            <w:tcW w:w="9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company registered under section 8 of the Investment Company Act of 1940 (15 U.S.C 80a-8).</w:t>
            </w:r>
          </w:p>
        </w:tc>
      </w:tr>
      <w:tr>
        <w:trPr/>
        <w:tc>
          <w:tcPr>
            <w:tcW w:w="242"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9733" w:type="dxa"/>
            <w:tcBorders/>
            <w:vAlign w:val="center"/>
          </w:tcPr>
          <w:p>
            <w:pPr>
              <w:pStyle w:val="TableContents"/>
              <w:bidi w:val="0"/>
              <w:spacing w:before="0" w:after="283"/>
              <w:jc w:val="left"/>
              <w:rPr/>
            </w:pPr>
            <w:r>
              <w:rPr/>
              <w:t> </w:t>
            </w:r>
          </w:p>
        </w:tc>
      </w:tr>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230" w:type="dxa"/>
            <w:tcBorders/>
            <w:vAlign w:val="center"/>
          </w:tcPr>
          <w:p>
            <w:pPr>
              <w:pStyle w:val="TableContents"/>
              <w:bidi w:val="0"/>
              <w:spacing w:before="0" w:after="283"/>
              <w:jc w:val="center"/>
              <w:rPr/>
            </w:pPr>
            <w:r>
              <w:rPr/>
              <w:t>☐</w:t>
            </w:r>
          </w:p>
        </w:tc>
        <w:tc>
          <w:tcPr>
            <w:tcW w:w="9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investment adviser in accordance with §240.13d-1(b)(1)(ii)(E);</w:t>
            </w:r>
          </w:p>
        </w:tc>
      </w:tr>
      <w:tr>
        <w:trPr/>
        <w:tc>
          <w:tcPr>
            <w:tcW w:w="242"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9733" w:type="dxa"/>
            <w:tcBorders/>
            <w:vAlign w:val="center"/>
          </w:tcPr>
          <w:p>
            <w:pPr>
              <w:pStyle w:val="TableContents"/>
              <w:bidi w:val="0"/>
              <w:spacing w:before="0" w:after="283"/>
              <w:jc w:val="left"/>
              <w:rPr/>
            </w:pPr>
            <w:r>
              <w:rPr/>
              <w:t> </w:t>
            </w:r>
          </w:p>
        </w:tc>
      </w:tr>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230" w:type="dxa"/>
            <w:tcBorders/>
            <w:vAlign w:val="center"/>
          </w:tcPr>
          <w:p>
            <w:pPr>
              <w:pStyle w:val="TableContents"/>
              <w:bidi w:val="0"/>
              <w:spacing w:before="0" w:after="283"/>
              <w:jc w:val="center"/>
              <w:rPr/>
            </w:pPr>
            <w:r>
              <w:rPr/>
              <w:t>☐</w:t>
            </w:r>
          </w:p>
        </w:tc>
        <w:tc>
          <w:tcPr>
            <w:tcW w:w="9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employee benefit plan or endowment fund in accordance with §240.13d-1(b)(1)(ii)(F);</w:t>
            </w:r>
          </w:p>
        </w:tc>
      </w:tr>
      <w:tr>
        <w:trPr/>
        <w:tc>
          <w:tcPr>
            <w:tcW w:w="242"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9733" w:type="dxa"/>
            <w:tcBorders/>
            <w:vAlign w:val="center"/>
          </w:tcPr>
          <w:p>
            <w:pPr>
              <w:pStyle w:val="TableContents"/>
              <w:bidi w:val="0"/>
              <w:spacing w:before="0" w:after="283"/>
              <w:jc w:val="left"/>
              <w:rPr/>
            </w:pPr>
            <w:r>
              <w:rPr/>
              <w:t> </w:t>
            </w:r>
          </w:p>
        </w:tc>
      </w:tr>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230" w:type="dxa"/>
            <w:tcBorders/>
            <w:vAlign w:val="center"/>
          </w:tcPr>
          <w:p>
            <w:pPr>
              <w:pStyle w:val="TableContents"/>
              <w:bidi w:val="0"/>
              <w:spacing w:before="0" w:after="283"/>
              <w:jc w:val="center"/>
              <w:rPr/>
            </w:pPr>
            <w:r>
              <w:rPr/>
              <w:t>☐</w:t>
            </w:r>
          </w:p>
        </w:tc>
        <w:tc>
          <w:tcPr>
            <w:tcW w:w="9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parent holding company or control person in accordance with § 240.13d-1(b)(1)(ii)(G);</w:t>
            </w:r>
          </w:p>
        </w:tc>
      </w:tr>
      <w:tr>
        <w:trPr/>
        <w:tc>
          <w:tcPr>
            <w:tcW w:w="242"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9733" w:type="dxa"/>
            <w:tcBorders/>
            <w:vAlign w:val="center"/>
          </w:tcPr>
          <w:p>
            <w:pPr>
              <w:pStyle w:val="TableContents"/>
              <w:bidi w:val="0"/>
              <w:spacing w:before="0" w:after="283"/>
              <w:jc w:val="left"/>
              <w:rPr/>
            </w:pPr>
            <w:r>
              <w:rPr/>
              <w:t> </w:t>
            </w:r>
          </w:p>
        </w:tc>
      </w:tr>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230" w:type="dxa"/>
            <w:tcBorders/>
            <w:vAlign w:val="center"/>
          </w:tcPr>
          <w:p>
            <w:pPr>
              <w:pStyle w:val="TableContents"/>
              <w:bidi w:val="0"/>
              <w:spacing w:before="0" w:after="283"/>
              <w:jc w:val="center"/>
              <w:rPr/>
            </w:pPr>
            <w:r>
              <w:rPr/>
              <w:t>☐</w:t>
            </w:r>
          </w:p>
        </w:tc>
        <w:tc>
          <w:tcPr>
            <w:tcW w:w="9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savings associations as defined in Section 3(b) of the Federal Deposit Insurance Act (12 U.S.C. 1813);</w:t>
            </w:r>
          </w:p>
        </w:tc>
      </w:tr>
      <w:tr>
        <w:trPr/>
        <w:tc>
          <w:tcPr>
            <w:tcW w:w="242"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9733" w:type="dxa"/>
            <w:tcBorders/>
            <w:vAlign w:val="center"/>
          </w:tcPr>
          <w:p>
            <w:pPr>
              <w:pStyle w:val="TableContents"/>
              <w:bidi w:val="0"/>
              <w:spacing w:before="0" w:after="283"/>
              <w:jc w:val="left"/>
              <w:rPr/>
            </w:pPr>
            <w:r>
              <w:rPr/>
              <w:t> </w:t>
            </w:r>
          </w:p>
        </w:tc>
      </w:tr>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30" w:type="dxa"/>
            <w:tcBorders/>
            <w:vAlign w:val="center"/>
          </w:tcPr>
          <w:p>
            <w:pPr>
              <w:pStyle w:val="TableContents"/>
              <w:bidi w:val="0"/>
              <w:spacing w:before="0" w:after="283"/>
              <w:jc w:val="center"/>
              <w:rPr/>
            </w:pPr>
            <w:r>
              <w:rPr/>
              <w:t>☐</w:t>
            </w:r>
          </w:p>
        </w:tc>
        <w:tc>
          <w:tcPr>
            <w:tcW w:w="9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church plan that is excluded from the definition of an investment company under section 3(c)(14) of the Investment Company Act of 1940 (15 U.S.C. 80a-3);</w:t>
            </w:r>
          </w:p>
        </w:tc>
      </w:tr>
      <w:tr>
        <w:trPr/>
        <w:tc>
          <w:tcPr>
            <w:tcW w:w="242"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9733" w:type="dxa"/>
            <w:tcBorders/>
            <w:vAlign w:val="center"/>
          </w:tcPr>
          <w:p>
            <w:pPr>
              <w:pStyle w:val="TableContents"/>
              <w:bidi w:val="0"/>
              <w:spacing w:before="0" w:after="283"/>
              <w:jc w:val="left"/>
              <w:rPr/>
            </w:pPr>
            <w:r>
              <w:rPr/>
              <w:t> </w:t>
            </w:r>
          </w:p>
        </w:tc>
      </w:tr>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230" w:type="dxa"/>
            <w:tcBorders/>
            <w:vAlign w:val="center"/>
          </w:tcPr>
          <w:p>
            <w:pPr>
              <w:pStyle w:val="TableContents"/>
              <w:bidi w:val="0"/>
              <w:spacing w:before="0" w:after="283"/>
              <w:jc w:val="center"/>
              <w:rPr/>
            </w:pPr>
            <w:r>
              <w:rPr/>
              <w:t>☐</w:t>
            </w:r>
          </w:p>
        </w:tc>
        <w:tc>
          <w:tcPr>
            <w:tcW w:w="9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non-U.S. institution in accordance with §240.13d-1(b)(1)(ii)(J).</w:t>
            </w:r>
          </w:p>
        </w:tc>
      </w:tr>
      <w:tr>
        <w:trPr/>
        <w:tc>
          <w:tcPr>
            <w:tcW w:w="242"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9733" w:type="dxa"/>
            <w:tcBorders/>
            <w:vAlign w:val="center"/>
          </w:tcPr>
          <w:p>
            <w:pPr>
              <w:pStyle w:val="TableContents"/>
              <w:bidi w:val="0"/>
              <w:spacing w:before="0" w:after="283"/>
              <w:jc w:val="left"/>
              <w:rPr/>
            </w:pPr>
            <w:r>
              <w:rPr/>
              <w:t> </w:t>
            </w:r>
          </w:p>
        </w:tc>
      </w:tr>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230" w:type="dxa"/>
            <w:tcBorders/>
            <w:vAlign w:val="center"/>
          </w:tcPr>
          <w:p>
            <w:pPr>
              <w:pStyle w:val="TableContents"/>
              <w:bidi w:val="0"/>
              <w:spacing w:before="0" w:after="283"/>
              <w:jc w:val="center"/>
              <w:rPr/>
            </w:pPr>
            <w:r>
              <w:rPr/>
              <w:t>☐</w:t>
            </w:r>
          </w:p>
        </w:tc>
        <w:tc>
          <w:tcPr>
            <w:tcW w:w="9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Group, in accordance with §240.13d-1(b)(1)(ii)(K). If filing as a non-U.S. institution in accordance with §240.13d-1(b)(1)(ii)(J), please specify the type of institution:</w:t>
            </w:r>
          </w:p>
        </w:tc>
      </w:tr>
    </w:tbl>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620"/>
        <w:gridCol w:w="99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9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Items 5 – 11 on the preceding pages of this Schedule 13G.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Master Fund and Soleus PE (collectively, the “Funds”) collectively hold, as of the close of business on December 31, 2023, an aggregate of 48,887,095 ordinary shares represented by 9,777,419 ADRs ordinary shares (the “Shares”)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general partner of Soleus PE, Soleus GP may be deemed to have shared power to vote or direct the vote and to dispose or to direct the disposition of the Shares held by Soleus PE. As the sole manager of Soleus GP, Soleus PE GP III, LLC may be deemed to have shared power to vote or to direct the vote and to dispose or direct the disposition of the Shares held by Soleus PE. As the sole managing member of Soleus PE GP III, LLC, Mr. Guy Levy may be deemed to have shared power to vote or direct the vote and to dispose or to direct the disposition of the Shares held by Soleus 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general partner of Master Fund, Soleus Capital, LLC may be deemed to have shared power to vote or direct the vote and to dispose or to direct the disposition of the Shares held by Master Fund. As the sole managing member of Soleus Capital, LLC, Soleus Capital Group, LLC may be deemed to have shared power to vote or to direct the vote and to dispose or direct the disposition of the Shares held by Master Fund. As the sole managing member of Soleus Capital Group, LLC, Mr. Guy Levy may be deemed to have shared power to vote or direct the vote and to dispose or to direct the disposition of the Shares held by Master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filing of this Schedule 13G nor any of its contents shall be deemed to constitute an admission that Mr. Levy, Soleus PE GP III, LLC, Soleus GP, Soleus Capital, LLC or Soleus Capital Group, LLC is the beneficial owner of the ordinary shares referred to herein for purposes of Section 13(d) of the Securities Exchange Act of 1934, as amended, or for any other purpose, except to the extent of their respective pecuniary interest therein, and such beneficial ownership is expressly disclaimed.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620"/>
        <w:gridCol w:w="383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3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Ownership of Five Percent or Less of a Class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620"/>
        <w:gridCol w:w="572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6.</w:t>
            </w:r>
          </w:p>
        </w:tc>
        <w:tc>
          <w:tcPr>
            <w:tcW w:w="57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Ownership of More than Five Percent on Behalf of Another Person.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9"/>
        <w:gridCol w:w="9616"/>
      </w:tblGrid>
      <w:tr>
        <w:trPr/>
        <w:tc>
          <w:tcPr>
            <w:tcW w:w="58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w:t>
            </w:r>
          </w:p>
        </w:tc>
        <w:tc>
          <w:tcPr>
            <w:tcW w:w="961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Identification and Classification of the Subsidiary Which Acquired the Security Being Reported on By the Parent Holding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620"/>
        <w:gridCol w:w="494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w:t>
            </w:r>
          </w:p>
        </w:tc>
        <w:tc>
          <w:tcPr>
            <w:tcW w:w="49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Identification and Classification of Members of the Group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20"/>
        <w:gridCol w:w="263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w:t>
            </w:r>
          </w:p>
        </w:tc>
        <w:tc>
          <w:tcPr>
            <w:tcW w:w="2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Notice of Dissolution of Group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725"/>
        <w:gridCol w:w="1160"/>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w:t>
            </w:r>
          </w:p>
        </w:tc>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Certification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certify that, to the best of my knowledge and belief, the securities referred to above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the undersigned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1910"/>
        <w:gridCol w:w="635"/>
        <w:gridCol w:w="4340"/>
      </w:tblGrid>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February 6, 2024</w:t>
            </w:r>
          </w:p>
        </w:tc>
        <w:tc>
          <w:tcPr>
            <w:tcW w:w="49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Private Equity Fund III, L.P.</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Private Equity GP III, LLC, its General Partner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PE GP III, LLC, its Manager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February 6, 2024</w:t>
            </w:r>
          </w:p>
        </w:tc>
        <w:tc>
          <w:tcPr>
            <w:tcW w:w="49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Private Equity GP III, LLC</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PE GP III, LLC, its Manager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February 6, 2024</w:t>
            </w:r>
          </w:p>
        </w:tc>
        <w:tc>
          <w:tcPr>
            <w:tcW w:w="49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PE GP III, LLC</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February 6, 2024</w:t>
            </w:r>
          </w:p>
        </w:tc>
        <w:tc>
          <w:tcPr>
            <w:tcW w:w="49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Master Fund, L.P.</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LLC, its General Partner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Group, LLC, its Managing Manager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February 6, 2024</w:t>
            </w:r>
          </w:p>
        </w:tc>
        <w:tc>
          <w:tcPr>
            <w:tcW w:w="49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LLC</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Group, LLC, its Managing Manager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February 6, 2024</w:t>
            </w:r>
          </w:p>
        </w:tc>
        <w:tc>
          <w:tcPr>
            <w:tcW w:w="49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Group, LLC</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February 6, 2024</w:t>
            </w:r>
          </w:p>
        </w:tc>
        <w:tc>
          <w:tcPr>
            <w:tcW w:w="49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Attention: Intentional misstatements or omissions of fact constitute Federal criminal violations (See 18 U.S.C. 1001)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99.A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Private Equity GP III, LLC, a Delaware limited liability company, Soleus Private Equity Fund III, L.P., a Delaware limited partnership, Soleus PE GP III, LLC, a Delaware limited liability company, Soleus Capital Master Fund, L.P., a Cayman Islands exempted limited partnership, Soleus Capital, LLC, a Delaware limited liability company, Soleus Capital Group, LLC, a Delaware limited liability company, and Guy Levy, an individual, hereby agree to file jointly the statement on Schedule 13G to which this Joint Filing Agreement is attached, and any amendments thereto which may be deemed necessary, pursuant to Regulation 13D-G 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a copy of this Agreement shall be attached as an exhibit to the statement on Schedule 13G, and any amendments hereto, filed on behalf of each of the parties hereto.</w:t>
      </w:r>
    </w:p>
    <w:p>
      <w:pPr>
        <w:pStyle w:val="TextBody"/>
        <w:bidi w:val="0"/>
        <w:spacing w:before="0" w:after="0"/>
        <w:ind w:left="0" w:right="0" w:hanging="0"/>
        <w:jc w:val="both"/>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1910"/>
        <w:gridCol w:w="635"/>
        <w:gridCol w:w="4340"/>
      </w:tblGrid>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February 6, 2024</w:t>
            </w:r>
          </w:p>
        </w:tc>
        <w:tc>
          <w:tcPr>
            <w:tcW w:w="49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Private Equity Fund III, L.P.</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Private Equity GP III, LLC, its General Partner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PE GP III, LLC, its Manager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February 6, 2024</w:t>
            </w:r>
          </w:p>
        </w:tc>
        <w:tc>
          <w:tcPr>
            <w:tcW w:w="49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Private Equity GP III, LLC</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PE GP III, LLC, its Manager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February 6, 2024</w:t>
            </w:r>
          </w:p>
        </w:tc>
        <w:tc>
          <w:tcPr>
            <w:tcW w:w="49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PE GP III, LLC</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February 6, 2024</w:t>
            </w:r>
          </w:p>
        </w:tc>
        <w:tc>
          <w:tcPr>
            <w:tcW w:w="49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Master Fund, L.P.</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LLC, its General Partner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Group, LLC, its Managing Manager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February 6, 2024</w:t>
            </w:r>
          </w:p>
        </w:tc>
        <w:tc>
          <w:tcPr>
            <w:tcW w:w="49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LLC</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Group, LLC, its Managing Manager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February 6, 2024</w:t>
            </w:r>
          </w:p>
        </w:tc>
        <w:tc>
          <w:tcPr>
            <w:tcW w:w="49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Soleus Capital Group, LLC</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1910"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February 6, 2024</w:t>
            </w:r>
          </w:p>
        </w:tc>
        <w:tc>
          <w:tcPr>
            <w:tcW w:w="49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Guy Levy</w:t>
            </w:r>
          </w:p>
        </w:tc>
      </w:tr>
      <w:tr>
        <w:trPr/>
        <w:tc>
          <w:tcPr>
            <w:tcW w:w="191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Guy Levy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3651</Words>
  <Characters>18105</Characters>
  <CharactersWithSpaces>21671</CharactersWithSpaces>
  <Paragraphs>981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