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-226060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-612775</wp:posOffset>
            </wp:positionV>
            <wp:extent cx="57150" cy="6261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3936365</wp:posOffset>
            </wp:positionH>
            <wp:positionV relativeFrom="paragraph">
              <wp:posOffset>-612775</wp:posOffset>
            </wp:positionV>
            <wp:extent cx="57150" cy="626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725805</wp:posOffset>
            </wp:positionV>
            <wp:extent cx="7047865" cy="4400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40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Sermon Charles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MEREO BIOPHARMA GROUP PLC 4TH FLOOR, ONE CAVENDISH PLACE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W1G 0QF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2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Mereo BioPharma Group plc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MREO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01/25/2025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60" w:space="580"/>
            <w:col w:w="724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262,000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2.91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262,000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Depository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262,000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shares underlying this share option will vest and become exercisable on January 25, 2026, with the remainder vesting in equal monthly installments for the three years thereafter.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("ADS") represents five ordinary shares, nominal value GBP 0.003 per ordinary share, of the Issuer.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Christine Fox, by power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01/28/2025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attorney</w:t>
            </w: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60" w:hanging="1"/>
        <w:spacing w:after="0" w:line="32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87318" TargetMode="External"/><Relationship Id="rId14" Type="http://schemas.openxmlformats.org/officeDocument/2006/relationships/hyperlink" Target="http://www.sec.gov/cgi-bin/browse-edgar?action=getcompany&amp;CIK=0001719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2025-01-28T15:14:27Z</dcterms:created>
  <dcterms:modified xsi:type="dcterms:W3CDTF">2025-01-28T15:14:27Z</dcterms:modified>
</cp:coreProperties>
</file>