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tabs>
          <w:tab w:leader="none" w:pos="9220" w:val="left"/>
        </w:tabs>
        <w:rPr>
          <w:sz w:val="20"/>
          <w:szCs w:val="20"/>
          <w:color w:val="auto"/>
        </w:rPr>
      </w:pPr>
      <w:r>
        <w:rPr>
          <w:rFonts w:ascii="Arial" w:cs="Arial" w:eastAsia="Arial" w:hAnsi="Arial"/>
          <w:sz w:val="18"/>
          <w:szCs w:val="18"/>
          <w:b w:val="1"/>
          <w:bCs w:val="1"/>
          <w:color w:val="auto"/>
        </w:rPr>
        <w:t>As filed with the Securities and Exchange Commission on January 24, 2019</w:t>
      </w:r>
      <w:r>
        <w:rPr>
          <w:sz w:val="20"/>
          <w:szCs w:val="20"/>
          <w:color w:val="auto"/>
        </w:rPr>
        <w:tab/>
      </w:r>
      <w:r>
        <w:rPr>
          <w:rFonts w:ascii="Arial" w:cs="Arial" w:eastAsia="Arial" w:hAnsi="Arial"/>
          <w:sz w:val="16"/>
          <w:szCs w:val="16"/>
          <w:b w:val="1"/>
          <w:bCs w:val="1"/>
          <w:color w:val="auto"/>
        </w:rPr>
        <w:t>Registration No. 333-223890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180340</wp:posOffset>
            </wp:positionV>
            <wp:extent cx="7237730" cy="4318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237730" cy="4318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231775</wp:posOffset>
            </wp:positionV>
            <wp:extent cx="7237730" cy="889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237730" cy="8890"/>
                    </a:xfrm>
                    <a:prstGeom prst="rect">
                      <a:avLst/>
                    </a:prstGeom>
                    <a:noFill/>
                  </pic:spPr>
                </pic:pic>
              </a:graphicData>
            </a:graphic>
          </wp:anchor>
        </w:drawing>
      </w:r>
    </w:p>
    <w:p>
      <w:pPr>
        <w:spacing w:after="0" w:line="200" w:lineRule="exact"/>
        <w:rPr>
          <w:sz w:val="24"/>
          <w:szCs w:val="24"/>
          <w:color w:val="auto"/>
        </w:rPr>
      </w:pPr>
    </w:p>
    <w:p>
      <w:pPr>
        <w:spacing w:after="0" w:line="379" w:lineRule="exact"/>
        <w:rPr>
          <w:sz w:val="24"/>
          <w:szCs w:val="24"/>
          <w:color w:val="auto"/>
        </w:rPr>
      </w:pPr>
    </w:p>
    <w:p>
      <w:pPr>
        <w:jc w:val="center"/>
        <w:spacing w:after="0"/>
        <w:rPr>
          <w:sz w:val="20"/>
          <w:szCs w:val="20"/>
          <w:color w:val="auto"/>
        </w:rPr>
      </w:pPr>
      <w:r>
        <w:rPr>
          <w:rFonts w:ascii="Arial" w:cs="Arial" w:eastAsia="Arial" w:hAnsi="Arial"/>
          <w:sz w:val="20"/>
          <w:szCs w:val="20"/>
          <w:b w:val="1"/>
          <w:bCs w:val="1"/>
          <w:color w:val="auto"/>
        </w:rPr>
        <w:t>SECURITIES AND EXCHANGE COMMISSION</w:t>
      </w:r>
    </w:p>
    <w:p>
      <w:pPr>
        <w:spacing w:after="0" w:line="22" w:lineRule="exact"/>
        <w:rPr>
          <w:sz w:val="24"/>
          <w:szCs w:val="24"/>
          <w:color w:val="auto"/>
        </w:rPr>
      </w:pPr>
    </w:p>
    <w:p>
      <w:pPr>
        <w:jc w:val="center"/>
        <w:spacing w:after="0"/>
        <w:rPr>
          <w:sz w:val="20"/>
          <w:szCs w:val="20"/>
          <w:color w:val="auto"/>
        </w:rPr>
      </w:pPr>
      <w:r>
        <w:rPr>
          <w:rFonts w:ascii="Arial" w:cs="Arial" w:eastAsia="Arial" w:hAnsi="Arial"/>
          <w:sz w:val="20"/>
          <w:szCs w:val="20"/>
          <w:b w:val="1"/>
          <w:bCs w:val="1"/>
          <w:color w:val="auto"/>
        </w:rPr>
        <w:t>Washington, D.C. 20549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1857375</wp:posOffset>
            </wp:positionH>
            <wp:positionV relativeFrom="paragraph">
              <wp:posOffset>146050</wp:posOffset>
            </wp:positionV>
            <wp:extent cx="3542030" cy="889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3542030" cy="8890"/>
                    </a:xfrm>
                    <a:prstGeom prst="rect">
                      <a:avLst/>
                    </a:prstGeom>
                    <a:noFill/>
                  </pic:spPr>
                </pic:pic>
              </a:graphicData>
            </a:graphic>
          </wp:anchor>
        </w:drawing>
      </w:r>
    </w:p>
    <w:p>
      <w:pPr>
        <w:spacing w:after="0" w:line="200" w:lineRule="exact"/>
        <w:rPr>
          <w:sz w:val="24"/>
          <w:szCs w:val="24"/>
          <w:color w:val="auto"/>
        </w:rPr>
      </w:pPr>
    </w:p>
    <w:p>
      <w:pPr>
        <w:spacing w:after="0" w:line="248"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PRE-EFFECTIVE AMENDMENT NO. 2 TO</w:t>
      </w:r>
    </w:p>
    <w:p>
      <w:pPr>
        <w:spacing w:after="0" w:line="27" w:lineRule="exact"/>
        <w:rPr>
          <w:sz w:val="24"/>
          <w:szCs w:val="24"/>
          <w:color w:val="auto"/>
        </w:rPr>
      </w:pPr>
    </w:p>
    <w:p>
      <w:pPr>
        <w:jc w:val="center"/>
        <w:spacing w:after="0"/>
        <w:rPr>
          <w:sz w:val="20"/>
          <w:szCs w:val="20"/>
          <w:color w:val="auto"/>
        </w:rPr>
      </w:pPr>
      <w:r>
        <w:rPr>
          <w:rFonts w:ascii="Arial" w:cs="Arial" w:eastAsia="Arial" w:hAnsi="Arial"/>
          <w:sz w:val="25"/>
          <w:szCs w:val="25"/>
          <w:b w:val="1"/>
          <w:bCs w:val="1"/>
          <w:color w:val="auto"/>
        </w:rPr>
        <w:t>FORM F-6</w:t>
      </w:r>
    </w:p>
    <w:p>
      <w:pPr>
        <w:spacing w:after="0" w:line="11"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REGISTRATION STATEMENT</w:t>
      </w:r>
    </w:p>
    <w:p>
      <w:pPr>
        <w:spacing w:after="0" w:line="7"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UNDER</w:t>
      </w:r>
    </w:p>
    <w:p>
      <w:pPr>
        <w:spacing w:after="0" w:line="9"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THE SECURITIES ACT OF 1933 FOR AMERICAN DEPOSITARY SHARES EVIDENCED BY</w:t>
      </w:r>
    </w:p>
    <w:p>
      <w:pPr>
        <w:spacing w:after="0" w:line="9"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AMERICAN DEPOSITARY RECEIPTS</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2475230</wp:posOffset>
            </wp:positionH>
            <wp:positionV relativeFrom="paragraph">
              <wp:posOffset>160020</wp:posOffset>
            </wp:positionV>
            <wp:extent cx="2306955" cy="889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2306955" cy="8890"/>
                    </a:xfrm>
                    <a:prstGeom prst="rect">
                      <a:avLst/>
                    </a:prstGeom>
                    <a:noFill/>
                  </pic:spPr>
                </pic:pic>
              </a:graphicData>
            </a:graphic>
          </wp:anchor>
        </w:drawing>
      </w:r>
    </w:p>
    <w:p>
      <w:pPr>
        <w:spacing w:after="0" w:line="200" w:lineRule="exact"/>
        <w:rPr>
          <w:sz w:val="24"/>
          <w:szCs w:val="24"/>
          <w:color w:val="auto"/>
        </w:rPr>
      </w:pPr>
    </w:p>
    <w:p>
      <w:pPr>
        <w:spacing w:after="0" w:line="248" w:lineRule="exact"/>
        <w:rPr>
          <w:sz w:val="24"/>
          <w:szCs w:val="24"/>
          <w:color w:val="auto"/>
        </w:rPr>
      </w:pPr>
    </w:p>
    <w:p>
      <w:pPr>
        <w:jc w:val="center"/>
        <w:spacing w:after="0"/>
        <w:rPr>
          <w:sz w:val="20"/>
          <w:szCs w:val="20"/>
          <w:color w:val="auto"/>
        </w:rPr>
      </w:pPr>
      <w:r>
        <w:rPr>
          <w:rFonts w:ascii="Arial" w:cs="Arial" w:eastAsia="Arial" w:hAnsi="Arial"/>
          <w:sz w:val="32"/>
          <w:szCs w:val="32"/>
          <w:b w:val="1"/>
          <w:bCs w:val="1"/>
          <w:color w:val="auto"/>
        </w:rPr>
        <w:t>MEREO BIOPHARMA GROUP PLC</w:t>
      </w:r>
    </w:p>
    <w:p>
      <w:pPr>
        <w:spacing w:after="0" w:line="40" w:lineRule="exact"/>
        <w:rPr>
          <w:sz w:val="24"/>
          <w:szCs w:val="24"/>
          <w:color w:val="auto"/>
        </w:rPr>
      </w:pPr>
    </w:p>
    <w:p>
      <w:pPr>
        <w:jc w:val="center"/>
        <w:spacing w:after="0"/>
        <w:rPr>
          <w:sz w:val="20"/>
          <w:szCs w:val="20"/>
          <w:color w:val="auto"/>
        </w:rPr>
      </w:pPr>
      <w:r>
        <w:rPr>
          <w:rFonts w:ascii="Arial" w:cs="Arial" w:eastAsia="Arial" w:hAnsi="Arial"/>
          <w:sz w:val="18"/>
          <w:szCs w:val="18"/>
          <w:color w:val="auto"/>
        </w:rPr>
        <w:t>(Exact name of issuer of deposited securities as specified in its charter)</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2475230</wp:posOffset>
            </wp:positionH>
            <wp:positionV relativeFrom="paragraph">
              <wp:posOffset>150495</wp:posOffset>
            </wp:positionV>
            <wp:extent cx="2306955" cy="889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2306955" cy="8890"/>
                    </a:xfrm>
                    <a:prstGeom prst="rect">
                      <a:avLst/>
                    </a:prstGeom>
                    <a:noFill/>
                  </pic:spPr>
                </pic:pic>
              </a:graphicData>
            </a:graphic>
          </wp:anchor>
        </w:drawing>
      </w:r>
    </w:p>
    <w:p>
      <w:pPr>
        <w:spacing w:after="0" w:line="200" w:lineRule="exact"/>
        <w:rPr>
          <w:sz w:val="24"/>
          <w:szCs w:val="24"/>
          <w:color w:val="auto"/>
        </w:rPr>
      </w:pPr>
    </w:p>
    <w:p>
      <w:pPr>
        <w:spacing w:after="0" w:line="269"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[N/A]</w:t>
      </w:r>
    </w:p>
    <w:p>
      <w:pPr>
        <w:spacing w:after="0" w:line="27" w:lineRule="exact"/>
        <w:rPr>
          <w:sz w:val="24"/>
          <w:szCs w:val="24"/>
          <w:color w:val="auto"/>
        </w:rPr>
      </w:pPr>
    </w:p>
    <w:p>
      <w:pPr>
        <w:jc w:val="center"/>
        <w:spacing w:after="0"/>
        <w:rPr>
          <w:sz w:val="20"/>
          <w:szCs w:val="20"/>
          <w:color w:val="auto"/>
        </w:rPr>
      </w:pPr>
      <w:r>
        <w:rPr>
          <w:rFonts w:ascii="Arial" w:cs="Arial" w:eastAsia="Arial" w:hAnsi="Arial"/>
          <w:sz w:val="18"/>
          <w:szCs w:val="18"/>
          <w:color w:val="auto"/>
        </w:rPr>
        <w:t>(Translation of issuer’s name into English)</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2475230</wp:posOffset>
            </wp:positionH>
            <wp:positionV relativeFrom="paragraph">
              <wp:posOffset>151765</wp:posOffset>
            </wp:positionV>
            <wp:extent cx="2306955" cy="889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2306955" cy="8890"/>
                    </a:xfrm>
                    <a:prstGeom prst="rect">
                      <a:avLst/>
                    </a:prstGeom>
                    <a:noFill/>
                  </pic:spPr>
                </pic:pic>
              </a:graphicData>
            </a:graphic>
          </wp:anchor>
        </w:drawing>
      </w:r>
    </w:p>
    <w:p>
      <w:pPr>
        <w:spacing w:after="0" w:line="200" w:lineRule="exact"/>
        <w:rPr>
          <w:sz w:val="24"/>
          <w:szCs w:val="24"/>
          <w:color w:val="auto"/>
        </w:rPr>
      </w:pPr>
    </w:p>
    <w:p>
      <w:pPr>
        <w:spacing w:after="0" w:line="257"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England and Wales</w:t>
      </w:r>
    </w:p>
    <w:p>
      <w:pPr>
        <w:spacing w:after="0" w:line="27" w:lineRule="exact"/>
        <w:rPr>
          <w:sz w:val="24"/>
          <w:szCs w:val="24"/>
          <w:color w:val="auto"/>
        </w:rPr>
      </w:pPr>
    </w:p>
    <w:p>
      <w:pPr>
        <w:jc w:val="center"/>
        <w:spacing w:after="0"/>
        <w:rPr>
          <w:sz w:val="20"/>
          <w:szCs w:val="20"/>
          <w:color w:val="auto"/>
        </w:rPr>
      </w:pPr>
      <w:r>
        <w:rPr>
          <w:rFonts w:ascii="Arial" w:cs="Arial" w:eastAsia="Arial" w:hAnsi="Arial"/>
          <w:sz w:val="18"/>
          <w:szCs w:val="18"/>
          <w:color w:val="auto"/>
        </w:rPr>
        <w:t>(Jurisdiction of incorporation or organization of issuer</w:t>
      </w:r>
      <w:r>
        <w:rPr>
          <w:rFonts w:ascii="Arial" w:cs="Arial" w:eastAsia="Arial" w:hAnsi="Arial"/>
          <w:sz w:val="18"/>
          <w:szCs w:val="18"/>
          <w:b w:val="1"/>
          <w:bCs w:val="1"/>
          <w:color w:val="auto"/>
        </w:rPr>
        <w: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1857375</wp:posOffset>
            </wp:positionH>
            <wp:positionV relativeFrom="paragraph">
              <wp:posOffset>160020</wp:posOffset>
            </wp:positionV>
            <wp:extent cx="3542030" cy="889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3542030" cy="8890"/>
                    </a:xfrm>
                    <a:prstGeom prst="rect">
                      <a:avLst/>
                    </a:prstGeom>
                    <a:noFill/>
                  </pic:spPr>
                </pic:pic>
              </a:graphicData>
            </a:graphic>
          </wp:anchor>
        </w:drawing>
      </w:r>
    </w:p>
    <w:p>
      <w:pPr>
        <w:spacing w:after="0" w:line="200" w:lineRule="exact"/>
        <w:rPr>
          <w:sz w:val="24"/>
          <w:szCs w:val="24"/>
          <w:color w:val="auto"/>
        </w:rPr>
      </w:pPr>
    </w:p>
    <w:p>
      <w:pPr>
        <w:spacing w:after="0" w:line="270"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CITIBANK, N.A.</w:t>
      </w:r>
    </w:p>
    <w:p>
      <w:pPr>
        <w:spacing w:after="0" w:line="27" w:lineRule="exact"/>
        <w:rPr>
          <w:sz w:val="24"/>
          <w:szCs w:val="24"/>
          <w:color w:val="auto"/>
        </w:rPr>
      </w:pPr>
    </w:p>
    <w:p>
      <w:pPr>
        <w:jc w:val="center"/>
        <w:spacing w:after="0"/>
        <w:rPr>
          <w:sz w:val="20"/>
          <w:szCs w:val="20"/>
          <w:color w:val="auto"/>
        </w:rPr>
      </w:pPr>
      <w:r>
        <w:rPr>
          <w:rFonts w:ascii="Arial" w:cs="Arial" w:eastAsia="Arial" w:hAnsi="Arial"/>
          <w:sz w:val="18"/>
          <w:szCs w:val="18"/>
          <w:color w:val="auto"/>
        </w:rPr>
        <w:t>(Exact name of depositary as specified in its charter</w:t>
      </w:r>
      <w:r>
        <w:rPr>
          <w:rFonts w:ascii="Arial" w:cs="Arial" w:eastAsia="Arial" w:hAnsi="Arial"/>
          <w:sz w:val="18"/>
          <w:szCs w:val="18"/>
          <w:b w:val="1"/>
          <w:bCs w:val="1"/>
          <w:color w:val="auto"/>
        </w:rPr>
        <w: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2475230</wp:posOffset>
            </wp:positionH>
            <wp:positionV relativeFrom="paragraph">
              <wp:posOffset>151765</wp:posOffset>
            </wp:positionV>
            <wp:extent cx="2306955" cy="889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2306955" cy="8890"/>
                    </a:xfrm>
                    <a:prstGeom prst="rect">
                      <a:avLst/>
                    </a:prstGeom>
                    <a:noFill/>
                  </pic:spPr>
                </pic:pic>
              </a:graphicData>
            </a:graphic>
          </wp:anchor>
        </w:drawing>
      </w:r>
    </w:p>
    <w:p>
      <w:pPr>
        <w:spacing w:after="0" w:line="200" w:lineRule="exact"/>
        <w:rPr>
          <w:sz w:val="24"/>
          <w:szCs w:val="24"/>
          <w:color w:val="auto"/>
        </w:rPr>
      </w:pPr>
    </w:p>
    <w:p>
      <w:pPr>
        <w:spacing w:after="0" w:line="274" w:lineRule="exact"/>
        <w:rPr>
          <w:sz w:val="24"/>
          <w:szCs w:val="24"/>
          <w:color w:val="auto"/>
        </w:rPr>
      </w:pPr>
    </w:p>
    <w:p>
      <w:pPr>
        <w:jc w:val="center"/>
        <w:spacing w:after="0"/>
        <w:rPr>
          <w:sz w:val="20"/>
          <w:szCs w:val="20"/>
          <w:color w:val="auto"/>
        </w:rPr>
      </w:pPr>
      <w:r>
        <w:rPr>
          <w:rFonts w:ascii="Arial" w:cs="Arial" w:eastAsia="Arial" w:hAnsi="Arial"/>
          <w:sz w:val="18"/>
          <w:szCs w:val="18"/>
          <w:color w:val="auto"/>
        </w:rPr>
        <w:t>388 Greenwich Street</w:t>
      </w:r>
    </w:p>
    <w:p>
      <w:pPr>
        <w:spacing w:after="0" w:line="23" w:lineRule="exact"/>
        <w:rPr>
          <w:sz w:val="24"/>
          <w:szCs w:val="24"/>
          <w:color w:val="auto"/>
        </w:rPr>
      </w:pPr>
    </w:p>
    <w:p>
      <w:pPr>
        <w:jc w:val="center"/>
        <w:spacing w:after="0"/>
        <w:rPr>
          <w:sz w:val="20"/>
          <w:szCs w:val="20"/>
          <w:color w:val="auto"/>
        </w:rPr>
      </w:pPr>
      <w:r>
        <w:rPr>
          <w:rFonts w:ascii="Arial" w:cs="Arial" w:eastAsia="Arial" w:hAnsi="Arial"/>
          <w:sz w:val="18"/>
          <w:szCs w:val="18"/>
          <w:color w:val="auto"/>
        </w:rPr>
        <w:t>New York, New York 10013</w:t>
      </w:r>
    </w:p>
    <w:p>
      <w:pPr>
        <w:spacing w:after="0" w:line="9" w:lineRule="exact"/>
        <w:rPr>
          <w:sz w:val="24"/>
          <w:szCs w:val="24"/>
          <w:color w:val="auto"/>
        </w:rPr>
      </w:pPr>
    </w:p>
    <w:p>
      <w:pPr>
        <w:jc w:val="center"/>
        <w:spacing w:after="0"/>
        <w:rPr>
          <w:sz w:val="20"/>
          <w:szCs w:val="20"/>
          <w:color w:val="auto"/>
        </w:rPr>
      </w:pPr>
      <w:r>
        <w:rPr>
          <w:rFonts w:ascii="Arial" w:cs="Arial" w:eastAsia="Arial" w:hAnsi="Arial"/>
          <w:sz w:val="18"/>
          <w:szCs w:val="18"/>
          <w:color w:val="auto"/>
        </w:rPr>
        <w:t>(877) 248-4237</w:t>
      </w:r>
    </w:p>
    <w:p>
      <w:pPr>
        <w:spacing w:after="0" w:line="9" w:lineRule="exact"/>
        <w:rPr>
          <w:sz w:val="24"/>
          <w:szCs w:val="24"/>
          <w:color w:val="auto"/>
        </w:rPr>
      </w:pPr>
    </w:p>
    <w:p>
      <w:pPr>
        <w:jc w:val="center"/>
        <w:spacing w:after="0"/>
        <w:rPr>
          <w:sz w:val="20"/>
          <w:szCs w:val="20"/>
          <w:color w:val="auto"/>
        </w:rPr>
      </w:pPr>
      <w:r>
        <w:rPr>
          <w:rFonts w:ascii="Arial" w:cs="Arial" w:eastAsia="Arial" w:hAnsi="Arial"/>
          <w:sz w:val="18"/>
          <w:szCs w:val="18"/>
          <w:color w:val="auto"/>
        </w:rPr>
        <w:t>(Address, including zip code, and telephone number, including area code, of depositary’s principal executive offices)</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2475230</wp:posOffset>
            </wp:positionH>
            <wp:positionV relativeFrom="paragraph">
              <wp:posOffset>151765</wp:posOffset>
            </wp:positionV>
            <wp:extent cx="2306955" cy="889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2306955" cy="8890"/>
                    </a:xfrm>
                    <a:prstGeom prst="rect">
                      <a:avLst/>
                    </a:prstGeom>
                    <a:noFill/>
                  </pic:spPr>
                </pic:pic>
              </a:graphicData>
            </a:graphic>
          </wp:anchor>
        </w:drawing>
      </w:r>
    </w:p>
    <w:p>
      <w:pPr>
        <w:spacing w:after="0" w:line="200" w:lineRule="exact"/>
        <w:rPr>
          <w:sz w:val="24"/>
          <w:szCs w:val="24"/>
          <w:color w:val="auto"/>
        </w:rPr>
      </w:pPr>
    </w:p>
    <w:p>
      <w:pPr>
        <w:spacing w:after="0" w:line="257"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Cogency Global Inc.</w:t>
      </w:r>
    </w:p>
    <w:p>
      <w:pPr>
        <w:spacing w:after="0" w:line="27"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10 East 40th Street, 10th Floor</w:t>
      </w:r>
    </w:p>
    <w:p>
      <w:pPr>
        <w:spacing w:after="0" w:line="9"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New York, New York 10016</w:t>
      </w:r>
    </w:p>
    <w:p>
      <w:pPr>
        <w:spacing w:after="0" w:line="9" w:lineRule="exact"/>
        <w:rPr>
          <w:sz w:val="24"/>
          <w:szCs w:val="24"/>
          <w:color w:val="auto"/>
        </w:rPr>
      </w:pPr>
    </w:p>
    <w:p>
      <w:pPr>
        <w:jc w:val="center"/>
        <w:spacing w:after="0"/>
        <w:rPr>
          <w:sz w:val="20"/>
          <w:szCs w:val="20"/>
          <w:color w:val="auto"/>
        </w:rPr>
      </w:pPr>
      <w:r>
        <w:rPr>
          <w:rFonts w:ascii="Arial" w:cs="Arial" w:eastAsia="Arial" w:hAnsi="Arial"/>
          <w:sz w:val="18"/>
          <w:szCs w:val="18"/>
          <w:color w:val="auto"/>
        </w:rPr>
        <w:t>(Address, including zip code, and telephone number, including area code, of agent for service)</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1857375</wp:posOffset>
            </wp:positionH>
            <wp:positionV relativeFrom="paragraph">
              <wp:posOffset>160020</wp:posOffset>
            </wp:positionV>
            <wp:extent cx="3542030" cy="8890"/>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3542030" cy="8890"/>
                    </a:xfrm>
                    <a:prstGeom prst="rect">
                      <a:avLst/>
                    </a:prstGeom>
                    <a:noFill/>
                  </pic:spPr>
                </pic:pic>
              </a:graphicData>
            </a:graphic>
          </wp:anchor>
        </w:drawing>
      </w:r>
    </w:p>
    <w:p>
      <w:pPr>
        <w:spacing w:after="0" w:line="258" w:lineRule="exact"/>
        <w:rPr>
          <w:sz w:val="24"/>
          <w:szCs w:val="24"/>
          <w:color w:val="auto"/>
        </w:rPr>
      </w:pPr>
    </w:p>
    <w:tbl>
      <w:tblPr>
        <w:tblLayout w:type="fixed"/>
        <w:tblInd w:w="0" w:type="dxa"/>
        <w:tblCellMar>
          <w:top w:w="0" w:type="dxa"/>
          <w:left w:w="0" w:type="dxa"/>
          <w:bottom w:w="0" w:type="dxa"/>
          <w:right w:w="0" w:type="dxa"/>
        </w:tblCellMar>
      </w:tblPr>
      <w:tr>
        <w:trPr>
          <w:trHeight w:val="230"/>
        </w:trPr>
        <w:tc>
          <w:tcPr>
            <w:tcW w:w="20" w:type="dxa"/>
            <w:vAlign w:val="bottom"/>
          </w:tcPr>
          <w:p>
            <w:pPr>
              <w:spacing w:after="0"/>
              <w:rPr>
                <w:sz w:val="20"/>
                <w:szCs w:val="20"/>
                <w:color w:val="auto"/>
              </w:rPr>
            </w:pPr>
          </w:p>
        </w:tc>
        <w:tc>
          <w:tcPr>
            <w:tcW w:w="2160" w:type="dxa"/>
            <w:vAlign w:val="bottom"/>
          </w:tcPr>
          <w:p>
            <w:pPr>
              <w:spacing w:after="0"/>
              <w:rPr>
                <w:sz w:val="20"/>
                <w:szCs w:val="20"/>
                <w:color w:val="auto"/>
              </w:rPr>
            </w:pPr>
          </w:p>
        </w:tc>
        <w:tc>
          <w:tcPr>
            <w:tcW w:w="56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76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340" w:type="dxa"/>
            <w:vAlign w:val="bottom"/>
          </w:tcPr>
          <w:p>
            <w:pPr>
              <w:spacing w:after="0"/>
              <w:rPr>
                <w:sz w:val="20"/>
                <w:szCs w:val="20"/>
                <w:color w:val="auto"/>
              </w:rPr>
            </w:pPr>
          </w:p>
        </w:tc>
        <w:tc>
          <w:tcPr>
            <w:tcW w:w="2220" w:type="dxa"/>
            <w:vAlign w:val="bottom"/>
            <w:gridSpan w:val="2"/>
          </w:tcPr>
          <w:p>
            <w:pPr>
              <w:jc w:val="center"/>
              <w:ind w:right="1190"/>
              <w:spacing w:after="0"/>
              <w:rPr>
                <w:sz w:val="20"/>
                <w:szCs w:val="20"/>
                <w:color w:val="auto"/>
              </w:rPr>
            </w:pPr>
            <w:r>
              <w:rPr>
                <w:rFonts w:ascii="Arial" w:cs="Arial" w:eastAsia="Arial" w:hAnsi="Arial"/>
                <w:sz w:val="18"/>
                <w:szCs w:val="18"/>
                <w:color w:val="auto"/>
                <w:w w:val="91"/>
              </w:rPr>
              <w:t>Copies to:</w:t>
            </w:r>
          </w:p>
        </w:tc>
        <w:tc>
          <w:tcPr>
            <w:tcW w:w="120" w:type="dxa"/>
            <w:vAlign w:val="bottom"/>
          </w:tcPr>
          <w:p>
            <w:pPr>
              <w:spacing w:after="0"/>
              <w:rPr>
                <w:sz w:val="20"/>
                <w:szCs w:val="20"/>
                <w:color w:val="auto"/>
              </w:rPr>
            </w:pPr>
          </w:p>
        </w:tc>
        <w:tc>
          <w:tcPr>
            <w:tcW w:w="920" w:type="dxa"/>
            <w:vAlign w:val="bottom"/>
          </w:tcPr>
          <w:p>
            <w:pPr>
              <w:spacing w:after="0"/>
              <w:rPr>
                <w:sz w:val="20"/>
                <w:szCs w:val="20"/>
                <w:color w:val="auto"/>
              </w:rPr>
            </w:pPr>
          </w:p>
        </w:tc>
        <w:tc>
          <w:tcPr>
            <w:tcW w:w="100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1640" w:type="dxa"/>
            <w:vAlign w:val="bottom"/>
          </w:tcPr>
          <w:p>
            <w:pPr>
              <w:spacing w:after="0"/>
              <w:rPr>
                <w:sz w:val="20"/>
                <w:szCs w:val="20"/>
                <w:color w:val="auto"/>
              </w:rPr>
            </w:pPr>
          </w:p>
        </w:tc>
      </w:tr>
      <w:tr>
        <w:trPr>
          <w:trHeight w:val="414"/>
        </w:trPr>
        <w:tc>
          <w:tcPr>
            <w:tcW w:w="20" w:type="dxa"/>
            <w:vAlign w:val="bottom"/>
          </w:tcPr>
          <w:p>
            <w:pPr>
              <w:spacing w:after="0"/>
              <w:rPr>
                <w:sz w:val="24"/>
                <w:szCs w:val="24"/>
                <w:color w:val="auto"/>
              </w:rPr>
            </w:pPr>
          </w:p>
        </w:tc>
        <w:tc>
          <w:tcPr>
            <w:tcW w:w="2160" w:type="dxa"/>
            <w:vAlign w:val="bottom"/>
          </w:tcPr>
          <w:p>
            <w:pPr>
              <w:spacing w:after="0"/>
              <w:rPr>
                <w:sz w:val="24"/>
                <w:szCs w:val="24"/>
                <w:color w:val="auto"/>
              </w:rPr>
            </w:pPr>
          </w:p>
        </w:tc>
        <w:tc>
          <w:tcPr>
            <w:tcW w:w="1720" w:type="dxa"/>
            <w:vAlign w:val="bottom"/>
            <w:gridSpan w:val="4"/>
          </w:tcPr>
          <w:p>
            <w:pPr>
              <w:jc w:val="center"/>
              <w:ind w:right="340"/>
              <w:spacing w:after="0"/>
              <w:rPr>
                <w:sz w:val="20"/>
                <w:szCs w:val="20"/>
                <w:color w:val="auto"/>
              </w:rPr>
            </w:pPr>
            <w:r>
              <w:rPr>
                <w:rFonts w:ascii="Arial" w:cs="Arial" w:eastAsia="Arial" w:hAnsi="Arial"/>
                <w:sz w:val="18"/>
                <w:szCs w:val="18"/>
                <w:b w:val="1"/>
                <w:bCs w:val="1"/>
                <w:color w:val="auto"/>
                <w:w w:val="92"/>
              </w:rPr>
              <w:t>Leo Borchardt</w:t>
            </w:r>
          </w:p>
        </w:tc>
        <w:tc>
          <w:tcPr>
            <w:tcW w:w="134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18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200" w:type="dxa"/>
            <w:vAlign w:val="bottom"/>
            <w:gridSpan w:val="3"/>
          </w:tcPr>
          <w:p>
            <w:pPr>
              <w:jc w:val="center"/>
              <w:ind w:right="220"/>
              <w:spacing w:after="0"/>
              <w:rPr>
                <w:sz w:val="20"/>
                <w:szCs w:val="20"/>
                <w:color w:val="auto"/>
              </w:rPr>
            </w:pPr>
            <w:r>
              <w:rPr>
                <w:rFonts w:ascii="Arial" w:cs="Arial" w:eastAsia="Arial" w:hAnsi="Arial"/>
                <w:sz w:val="18"/>
                <w:szCs w:val="18"/>
                <w:b w:val="1"/>
                <w:bCs w:val="1"/>
                <w:color w:val="auto"/>
                <w:w w:val="92"/>
              </w:rPr>
              <w:t>Herman H. Raspé, Esq.</w:t>
            </w:r>
          </w:p>
        </w:tc>
        <w:tc>
          <w:tcPr>
            <w:tcW w:w="1640" w:type="dxa"/>
            <w:vAlign w:val="bottom"/>
          </w:tcPr>
          <w:p>
            <w:pPr>
              <w:spacing w:after="0"/>
              <w:rPr>
                <w:sz w:val="24"/>
                <w:szCs w:val="24"/>
                <w:color w:val="auto"/>
              </w:rPr>
            </w:pPr>
          </w:p>
        </w:tc>
      </w:tr>
      <w:tr>
        <w:trPr>
          <w:trHeight w:val="216"/>
        </w:trPr>
        <w:tc>
          <w:tcPr>
            <w:tcW w:w="20" w:type="dxa"/>
            <w:vAlign w:val="bottom"/>
          </w:tcPr>
          <w:p>
            <w:pPr>
              <w:spacing w:after="0"/>
              <w:rPr>
                <w:sz w:val="18"/>
                <w:szCs w:val="18"/>
                <w:color w:val="auto"/>
              </w:rPr>
            </w:pPr>
          </w:p>
        </w:tc>
        <w:tc>
          <w:tcPr>
            <w:tcW w:w="2160" w:type="dxa"/>
            <w:vAlign w:val="bottom"/>
          </w:tcPr>
          <w:p>
            <w:pPr>
              <w:spacing w:after="0"/>
              <w:rPr>
                <w:sz w:val="18"/>
                <w:szCs w:val="18"/>
                <w:color w:val="auto"/>
              </w:rPr>
            </w:pPr>
          </w:p>
        </w:tc>
        <w:tc>
          <w:tcPr>
            <w:tcW w:w="1720" w:type="dxa"/>
            <w:vAlign w:val="bottom"/>
            <w:gridSpan w:val="4"/>
          </w:tcPr>
          <w:p>
            <w:pPr>
              <w:jc w:val="center"/>
              <w:ind w:right="340"/>
              <w:spacing w:after="0"/>
              <w:rPr>
                <w:sz w:val="20"/>
                <w:szCs w:val="20"/>
                <w:color w:val="auto"/>
              </w:rPr>
            </w:pPr>
            <w:r>
              <w:rPr>
                <w:rFonts w:ascii="Arial" w:cs="Arial" w:eastAsia="Arial" w:hAnsi="Arial"/>
                <w:sz w:val="18"/>
                <w:szCs w:val="18"/>
                <w:b w:val="1"/>
                <w:bCs w:val="1"/>
                <w:color w:val="auto"/>
                <w:w w:val="92"/>
              </w:rPr>
              <w:t>Michael Davis</w:t>
            </w:r>
          </w:p>
        </w:tc>
        <w:tc>
          <w:tcPr>
            <w:tcW w:w="134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5780" w:type="dxa"/>
            <w:vAlign w:val="bottom"/>
            <w:gridSpan w:val="6"/>
          </w:tcPr>
          <w:p>
            <w:pPr>
              <w:jc w:val="center"/>
              <w:spacing w:after="0"/>
              <w:rPr>
                <w:sz w:val="20"/>
                <w:szCs w:val="20"/>
                <w:color w:val="auto"/>
              </w:rPr>
            </w:pPr>
            <w:r>
              <w:rPr>
                <w:rFonts w:ascii="Arial" w:cs="Arial" w:eastAsia="Arial" w:hAnsi="Arial"/>
                <w:sz w:val="18"/>
                <w:szCs w:val="18"/>
                <w:b w:val="1"/>
                <w:bCs w:val="1"/>
                <w:color w:val="auto"/>
                <w:w w:val="93"/>
              </w:rPr>
              <w:t>Patterson Belknap Webb &amp; Tyler LLP</w:t>
            </w:r>
          </w:p>
        </w:tc>
      </w:tr>
      <w:tr>
        <w:trPr>
          <w:trHeight w:val="216"/>
        </w:trPr>
        <w:tc>
          <w:tcPr>
            <w:tcW w:w="20" w:type="dxa"/>
            <w:vAlign w:val="bottom"/>
          </w:tcPr>
          <w:p>
            <w:pPr>
              <w:spacing w:after="0"/>
              <w:rPr>
                <w:sz w:val="18"/>
                <w:szCs w:val="18"/>
                <w:color w:val="auto"/>
              </w:rPr>
            </w:pPr>
          </w:p>
        </w:tc>
        <w:tc>
          <w:tcPr>
            <w:tcW w:w="5220" w:type="dxa"/>
            <w:vAlign w:val="bottom"/>
            <w:gridSpan w:val="6"/>
          </w:tcPr>
          <w:p>
            <w:pPr>
              <w:jc w:val="center"/>
              <w:ind w:left="390"/>
              <w:spacing w:after="0"/>
              <w:rPr>
                <w:sz w:val="20"/>
                <w:szCs w:val="20"/>
                <w:color w:val="auto"/>
              </w:rPr>
            </w:pPr>
            <w:r>
              <w:rPr>
                <w:rFonts w:ascii="Arial" w:cs="Arial" w:eastAsia="Arial" w:hAnsi="Arial"/>
                <w:sz w:val="18"/>
                <w:szCs w:val="18"/>
                <w:b w:val="1"/>
                <w:bCs w:val="1"/>
                <w:color w:val="auto"/>
                <w:w w:val="94"/>
              </w:rPr>
              <w:t>Davis Polk &amp; Wardwell London LLP</w:t>
            </w:r>
          </w:p>
        </w:tc>
        <w:tc>
          <w:tcPr>
            <w:tcW w:w="400" w:type="dxa"/>
            <w:vAlign w:val="bottom"/>
          </w:tcPr>
          <w:p>
            <w:pPr>
              <w:spacing w:after="0"/>
              <w:rPr>
                <w:sz w:val="18"/>
                <w:szCs w:val="18"/>
                <w:color w:val="auto"/>
              </w:rPr>
            </w:pPr>
          </w:p>
        </w:tc>
        <w:tc>
          <w:tcPr>
            <w:tcW w:w="1820" w:type="dxa"/>
            <w:vAlign w:val="bottom"/>
          </w:tcPr>
          <w:p>
            <w:pPr>
              <w:spacing w:after="0"/>
              <w:rPr>
                <w:sz w:val="18"/>
                <w:szCs w:val="18"/>
                <w:color w:val="auto"/>
              </w:rPr>
            </w:pPr>
          </w:p>
        </w:tc>
        <w:tc>
          <w:tcPr>
            <w:tcW w:w="2320" w:type="dxa"/>
            <w:vAlign w:val="bottom"/>
            <w:gridSpan w:val="4"/>
          </w:tcPr>
          <w:p>
            <w:pPr>
              <w:jc w:val="center"/>
              <w:ind w:right="100"/>
              <w:spacing w:after="0"/>
              <w:rPr>
                <w:sz w:val="20"/>
                <w:szCs w:val="20"/>
                <w:color w:val="auto"/>
              </w:rPr>
            </w:pPr>
            <w:r>
              <w:rPr>
                <w:rFonts w:ascii="Arial" w:cs="Arial" w:eastAsia="Arial" w:hAnsi="Arial"/>
                <w:sz w:val="18"/>
                <w:szCs w:val="18"/>
                <w:b w:val="1"/>
                <w:bCs w:val="1"/>
                <w:color w:val="auto"/>
                <w:w w:val="88"/>
              </w:rPr>
              <w:t>1133 Avenue of the Americas</w:t>
            </w:r>
          </w:p>
        </w:tc>
        <w:tc>
          <w:tcPr>
            <w:tcW w:w="1640" w:type="dxa"/>
            <w:vAlign w:val="bottom"/>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3880" w:type="dxa"/>
            <w:vAlign w:val="bottom"/>
            <w:gridSpan w:val="5"/>
          </w:tcPr>
          <w:p>
            <w:pPr>
              <w:jc w:val="center"/>
              <w:ind w:left="1710"/>
              <w:spacing w:after="0"/>
              <w:rPr>
                <w:sz w:val="20"/>
                <w:szCs w:val="20"/>
                <w:color w:val="auto"/>
              </w:rPr>
            </w:pPr>
            <w:r>
              <w:rPr>
                <w:rFonts w:ascii="Arial" w:cs="Arial" w:eastAsia="Arial" w:hAnsi="Arial"/>
                <w:sz w:val="18"/>
                <w:szCs w:val="18"/>
                <w:b w:val="1"/>
                <w:bCs w:val="1"/>
                <w:color w:val="auto"/>
                <w:w w:val="92"/>
              </w:rPr>
              <w:t>5 Aldermanbury Square</w:t>
            </w:r>
          </w:p>
        </w:tc>
        <w:tc>
          <w:tcPr>
            <w:tcW w:w="134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1820" w:type="dxa"/>
            <w:vAlign w:val="bottom"/>
          </w:tcPr>
          <w:p>
            <w:pPr>
              <w:spacing w:after="0"/>
              <w:rPr>
                <w:sz w:val="18"/>
                <w:szCs w:val="18"/>
                <w:color w:val="auto"/>
              </w:rPr>
            </w:pPr>
          </w:p>
        </w:tc>
        <w:tc>
          <w:tcPr>
            <w:tcW w:w="2320" w:type="dxa"/>
            <w:vAlign w:val="bottom"/>
            <w:gridSpan w:val="4"/>
          </w:tcPr>
          <w:p>
            <w:pPr>
              <w:jc w:val="center"/>
              <w:ind w:right="100"/>
              <w:spacing w:after="0"/>
              <w:rPr>
                <w:sz w:val="20"/>
                <w:szCs w:val="20"/>
                <w:color w:val="auto"/>
              </w:rPr>
            </w:pPr>
            <w:r>
              <w:rPr>
                <w:rFonts w:ascii="Arial" w:cs="Arial" w:eastAsia="Arial" w:hAnsi="Arial"/>
                <w:sz w:val="18"/>
                <w:szCs w:val="18"/>
                <w:b w:val="1"/>
                <w:bCs w:val="1"/>
                <w:color w:val="auto"/>
                <w:w w:val="91"/>
              </w:rPr>
              <w:t>New York, New York 10036</w:t>
            </w:r>
          </w:p>
        </w:tc>
        <w:tc>
          <w:tcPr>
            <w:tcW w:w="1640" w:type="dxa"/>
            <w:vAlign w:val="bottom"/>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3880" w:type="dxa"/>
            <w:vAlign w:val="bottom"/>
            <w:gridSpan w:val="5"/>
          </w:tcPr>
          <w:p>
            <w:pPr>
              <w:jc w:val="center"/>
              <w:ind w:left="1710"/>
              <w:spacing w:after="0"/>
              <w:rPr>
                <w:sz w:val="20"/>
                <w:szCs w:val="20"/>
                <w:color w:val="auto"/>
              </w:rPr>
            </w:pPr>
            <w:r>
              <w:rPr>
                <w:rFonts w:ascii="Arial" w:cs="Arial" w:eastAsia="Arial" w:hAnsi="Arial"/>
                <w:sz w:val="18"/>
                <w:szCs w:val="18"/>
                <w:b w:val="1"/>
                <w:bCs w:val="1"/>
                <w:color w:val="auto"/>
                <w:w w:val="95"/>
              </w:rPr>
              <w:t>London EC2V 7HR</w:t>
            </w:r>
          </w:p>
        </w:tc>
        <w:tc>
          <w:tcPr>
            <w:tcW w:w="134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18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640" w:type="dxa"/>
            <w:vAlign w:val="bottom"/>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2160" w:type="dxa"/>
            <w:vAlign w:val="bottom"/>
          </w:tcPr>
          <w:p>
            <w:pPr>
              <w:spacing w:after="0"/>
              <w:rPr>
                <w:sz w:val="18"/>
                <w:szCs w:val="18"/>
                <w:color w:val="auto"/>
              </w:rPr>
            </w:pPr>
          </w:p>
        </w:tc>
        <w:tc>
          <w:tcPr>
            <w:tcW w:w="1720" w:type="dxa"/>
            <w:vAlign w:val="bottom"/>
            <w:gridSpan w:val="4"/>
          </w:tcPr>
          <w:p>
            <w:pPr>
              <w:jc w:val="center"/>
              <w:ind w:right="360"/>
              <w:spacing w:after="0"/>
              <w:rPr>
                <w:sz w:val="20"/>
                <w:szCs w:val="20"/>
                <w:color w:val="auto"/>
              </w:rPr>
            </w:pPr>
            <w:r>
              <w:rPr>
                <w:rFonts w:ascii="Arial" w:cs="Arial" w:eastAsia="Arial" w:hAnsi="Arial"/>
                <w:sz w:val="18"/>
                <w:szCs w:val="18"/>
                <w:b w:val="1"/>
                <w:bCs w:val="1"/>
                <w:color w:val="auto"/>
                <w:w w:val="92"/>
              </w:rPr>
              <w:t>United Kingdom</w:t>
            </w:r>
          </w:p>
        </w:tc>
        <w:tc>
          <w:tcPr>
            <w:tcW w:w="134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18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640" w:type="dxa"/>
            <w:vAlign w:val="bottom"/>
          </w:tcPr>
          <w:p>
            <w:pPr>
              <w:spacing w:after="0"/>
              <w:rPr>
                <w:sz w:val="18"/>
                <w:szCs w:val="18"/>
                <w:color w:val="auto"/>
              </w:rPr>
            </w:pPr>
          </w:p>
        </w:tc>
      </w:tr>
      <w:tr>
        <w:trPr>
          <w:trHeight w:val="234"/>
        </w:trPr>
        <w:tc>
          <w:tcPr>
            <w:tcW w:w="3680" w:type="dxa"/>
            <w:vAlign w:val="bottom"/>
            <w:gridSpan w:val="5"/>
          </w:tcPr>
          <w:p>
            <w:pPr>
              <w:jc w:val="center"/>
              <w:ind w:left="1950"/>
              <w:spacing w:after="0"/>
              <w:rPr>
                <w:sz w:val="20"/>
                <w:szCs w:val="20"/>
                <w:color w:val="auto"/>
              </w:rPr>
            </w:pPr>
            <w:r>
              <w:rPr>
                <w:rFonts w:ascii="Arial" w:cs="Arial" w:eastAsia="Arial" w:hAnsi="Arial"/>
                <w:sz w:val="18"/>
                <w:szCs w:val="18"/>
                <w:b w:val="1"/>
                <w:bCs w:val="1"/>
                <w:color w:val="auto"/>
                <w:w w:val="90"/>
              </w:rPr>
              <w:t>+44 20 7418 1300</w:t>
            </w:r>
          </w:p>
        </w:tc>
        <w:tc>
          <w:tcPr>
            <w:tcW w:w="220" w:type="dxa"/>
            <w:vAlign w:val="bottom"/>
          </w:tcPr>
          <w:p>
            <w:pPr>
              <w:spacing w:after="0"/>
              <w:rPr>
                <w:sz w:val="20"/>
                <w:szCs w:val="20"/>
                <w:color w:val="auto"/>
              </w:rPr>
            </w:pPr>
          </w:p>
        </w:tc>
        <w:tc>
          <w:tcPr>
            <w:tcW w:w="1340" w:type="dxa"/>
            <w:vAlign w:val="bottom"/>
          </w:tcPr>
          <w:p>
            <w:pPr>
              <w:spacing w:after="0"/>
              <w:rPr>
                <w:sz w:val="20"/>
                <w:szCs w:val="20"/>
                <w:color w:val="auto"/>
              </w:rPr>
            </w:pPr>
          </w:p>
        </w:tc>
        <w:tc>
          <w:tcPr>
            <w:tcW w:w="400" w:type="dxa"/>
            <w:vAlign w:val="bottom"/>
          </w:tcPr>
          <w:p>
            <w:pPr>
              <w:spacing w:after="0"/>
              <w:rPr>
                <w:sz w:val="20"/>
                <w:szCs w:val="20"/>
                <w:color w:val="auto"/>
              </w:rPr>
            </w:pPr>
          </w:p>
        </w:tc>
        <w:tc>
          <w:tcPr>
            <w:tcW w:w="18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920" w:type="dxa"/>
            <w:vAlign w:val="bottom"/>
          </w:tcPr>
          <w:p>
            <w:pPr>
              <w:spacing w:after="0"/>
              <w:rPr>
                <w:sz w:val="20"/>
                <w:szCs w:val="20"/>
                <w:color w:val="auto"/>
              </w:rPr>
            </w:pPr>
          </w:p>
        </w:tc>
        <w:tc>
          <w:tcPr>
            <w:tcW w:w="100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1640" w:type="dxa"/>
            <w:vAlign w:val="bottom"/>
          </w:tcPr>
          <w:p>
            <w:pPr>
              <w:spacing w:after="0"/>
              <w:rPr>
                <w:sz w:val="20"/>
                <w:szCs w:val="20"/>
                <w:color w:val="auto"/>
              </w:rPr>
            </w:pPr>
          </w:p>
        </w:tc>
      </w:tr>
      <w:tr>
        <w:trPr>
          <w:trHeight w:val="230"/>
        </w:trPr>
        <w:tc>
          <w:tcPr>
            <w:tcW w:w="20" w:type="dxa"/>
            <w:vAlign w:val="bottom"/>
          </w:tcPr>
          <w:p>
            <w:pPr>
              <w:spacing w:after="0"/>
              <w:rPr>
                <w:sz w:val="19"/>
                <w:szCs w:val="19"/>
                <w:color w:val="auto"/>
              </w:rPr>
            </w:pPr>
          </w:p>
        </w:tc>
        <w:tc>
          <w:tcPr>
            <w:tcW w:w="2160" w:type="dxa"/>
            <w:vAlign w:val="bottom"/>
          </w:tcPr>
          <w:p>
            <w:pPr>
              <w:spacing w:after="0"/>
              <w:rPr>
                <w:sz w:val="19"/>
                <w:szCs w:val="19"/>
                <w:color w:val="auto"/>
              </w:rPr>
            </w:pPr>
          </w:p>
        </w:tc>
        <w:tc>
          <w:tcPr>
            <w:tcW w:w="56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760" w:type="dxa"/>
            <w:vAlign w:val="bottom"/>
            <w:tcBorders>
              <w:bottom w:val="single" w:sz="8" w:color="auto"/>
            </w:tcBorders>
          </w:tcPr>
          <w:p>
            <w:pPr>
              <w:spacing w:after="0"/>
              <w:rPr>
                <w:sz w:val="19"/>
                <w:szCs w:val="19"/>
                <w:color w:val="auto"/>
              </w:rPr>
            </w:pPr>
          </w:p>
        </w:tc>
        <w:tc>
          <w:tcPr>
            <w:tcW w:w="1560" w:type="dxa"/>
            <w:vAlign w:val="bottom"/>
            <w:tcBorders>
              <w:bottom w:val="single" w:sz="8" w:color="auto"/>
            </w:tcBorders>
            <w:gridSpan w:val="2"/>
          </w:tcPr>
          <w:p>
            <w:pPr>
              <w:spacing w:after="0"/>
              <w:rPr>
                <w:sz w:val="19"/>
                <w:szCs w:val="19"/>
                <w:color w:val="auto"/>
              </w:rPr>
            </w:pPr>
          </w:p>
        </w:tc>
        <w:tc>
          <w:tcPr>
            <w:tcW w:w="400" w:type="dxa"/>
            <w:vAlign w:val="bottom"/>
            <w:tcBorders>
              <w:bottom w:val="single" w:sz="8" w:color="auto"/>
            </w:tcBorders>
          </w:tcPr>
          <w:p>
            <w:pPr>
              <w:spacing w:after="0"/>
              <w:rPr>
                <w:sz w:val="19"/>
                <w:szCs w:val="19"/>
                <w:color w:val="auto"/>
              </w:rPr>
            </w:pPr>
          </w:p>
        </w:tc>
        <w:tc>
          <w:tcPr>
            <w:tcW w:w="1940" w:type="dxa"/>
            <w:vAlign w:val="bottom"/>
            <w:tcBorders>
              <w:bottom w:val="single" w:sz="8" w:color="auto"/>
            </w:tcBorders>
            <w:gridSpan w:val="2"/>
          </w:tcPr>
          <w:p>
            <w:pPr>
              <w:spacing w:after="0"/>
              <w:rPr>
                <w:sz w:val="19"/>
                <w:szCs w:val="19"/>
                <w:color w:val="auto"/>
              </w:rPr>
            </w:pPr>
          </w:p>
        </w:tc>
        <w:tc>
          <w:tcPr>
            <w:tcW w:w="920" w:type="dxa"/>
            <w:vAlign w:val="bottom"/>
            <w:tcBorders>
              <w:bottom w:val="single" w:sz="8" w:color="auto"/>
            </w:tcBorders>
          </w:tcPr>
          <w:p>
            <w:pPr>
              <w:spacing w:after="0"/>
              <w:rPr>
                <w:sz w:val="19"/>
                <w:szCs w:val="19"/>
                <w:color w:val="auto"/>
              </w:rPr>
            </w:pPr>
          </w:p>
        </w:tc>
        <w:tc>
          <w:tcPr>
            <w:tcW w:w="10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640" w:type="dxa"/>
            <w:vAlign w:val="bottom"/>
          </w:tcPr>
          <w:p>
            <w:pPr>
              <w:spacing w:after="0"/>
              <w:rPr>
                <w:sz w:val="19"/>
                <w:szCs w:val="19"/>
                <w:color w:val="auto"/>
              </w:rPr>
            </w:pPr>
          </w:p>
        </w:tc>
      </w:tr>
      <w:tr>
        <w:trPr>
          <w:trHeight w:val="419"/>
        </w:trPr>
        <w:tc>
          <w:tcPr>
            <w:tcW w:w="20" w:type="dxa"/>
            <w:vAlign w:val="bottom"/>
          </w:tcPr>
          <w:p>
            <w:pPr>
              <w:spacing w:after="0"/>
              <w:rPr>
                <w:sz w:val="24"/>
                <w:szCs w:val="24"/>
                <w:color w:val="auto"/>
              </w:rPr>
            </w:pPr>
          </w:p>
        </w:tc>
        <w:tc>
          <w:tcPr>
            <w:tcW w:w="5220" w:type="dxa"/>
            <w:vAlign w:val="bottom"/>
            <w:gridSpan w:val="6"/>
          </w:tcPr>
          <w:p>
            <w:pPr>
              <w:ind w:left="300"/>
              <w:spacing w:after="0"/>
              <w:rPr>
                <w:sz w:val="20"/>
                <w:szCs w:val="20"/>
                <w:color w:val="auto"/>
              </w:rPr>
            </w:pPr>
            <w:r>
              <w:rPr>
                <w:rFonts w:ascii="Arial" w:cs="Arial" w:eastAsia="Arial" w:hAnsi="Arial"/>
                <w:sz w:val="18"/>
                <w:szCs w:val="18"/>
                <w:color w:val="auto"/>
                <w:w w:val="99"/>
              </w:rPr>
              <w:t>It is proposed that this filing become effective under Rule 466:</w:t>
            </w:r>
          </w:p>
        </w:tc>
        <w:tc>
          <w:tcPr>
            <w:tcW w:w="400" w:type="dxa"/>
            <w:vAlign w:val="bottom"/>
          </w:tcPr>
          <w:p>
            <w:pPr>
              <w:spacing w:after="0"/>
              <w:rPr>
                <w:sz w:val="24"/>
                <w:szCs w:val="24"/>
                <w:color w:val="auto"/>
              </w:rPr>
            </w:pPr>
          </w:p>
        </w:tc>
        <w:tc>
          <w:tcPr>
            <w:tcW w:w="4140" w:type="dxa"/>
            <w:vAlign w:val="bottom"/>
            <w:gridSpan w:val="5"/>
          </w:tcPr>
          <w:p>
            <w:pPr>
              <w:ind w:left="860"/>
              <w:spacing w:after="0" w:line="207" w:lineRule="exact"/>
              <w:rPr>
                <w:sz w:val="20"/>
                <w:szCs w:val="20"/>
                <w:color w:val="auto"/>
              </w:rPr>
            </w:pPr>
            <w:r>
              <w:rPr>
                <w:rFonts w:ascii="MS PGothic" w:cs="MS PGothic" w:eastAsia="MS PGothic" w:hAnsi="MS PGothic"/>
                <w:sz w:val="18"/>
                <w:szCs w:val="18"/>
                <w:color w:val="auto"/>
              </w:rPr>
              <w:t>☐</w:t>
            </w:r>
            <w:r>
              <w:rPr>
                <w:rFonts w:ascii="Arial" w:cs="Arial" w:eastAsia="Arial" w:hAnsi="Arial"/>
                <w:sz w:val="18"/>
                <w:szCs w:val="18"/>
                <w:color w:val="auto"/>
              </w:rPr>
              <w:t xml:space="preserve">  immediately upon filing.</w:t>
            </w:r>
          </w:p>
        </w:tc>
        <w:tc>
          <w:tcPr>
            <w:tcW w:w="1640" w:type="dxa"/>
            <w:vAlign w:val="bottom"/>
          </w:tcPr>
          <w:p>
            <w:pPr>
              <w:spacing w:after="0"/>
              <w:rPr>
                <w:sz w:val="24"/>
                <w:szCs w:val="24"/>
                <w:color w:val="auto"/>
              </w:rPr>
            </w:pPr>
          </w:p>
        </w:tc>
      </w:tr>
      <w:tr>
        <w:trPr>
          <w:trHeight w:val="283"/>
        </w:trPr>
        <w:tc>
          <w:tcPr>
            <w:tcW w:w="20" w:type="dxa"/>
            <w:vAlign w:val="bottom"/>
          </w:tcPr>
          <w:p>
            <w:pPr>
              <w:spacing w:after="0"/>
              <w:rPr>
                <w:sz w:val="24"/>
                <w:szCs w:val="24"/>
                <w:color w:val="auto"/>
              </w:rPr>
            </w:pPr>
          </w:p>
        </w:tc>
        <w:tc>
          <w:tcPr>
            <w:tcW w:w="216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34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4140" w:type="dxa"/>
            <w:vAlign w:val="bottom"/>
            <w:gridSpan w:val="5"/>
          </w:tcPr>
          <w:p>
            <w:pPr>
              <w:ind w:left="860"/>
              <w:spacing w:after="0" w:line="207" w:lineRule="exact"/>
              <w:rPr>
                <w:sz w:val="20"/>
                <w:szCs w:val="20"/>
                <w:color w:val="auto"/>
              </w:rPr>
            </w:pPr>
            <w:r>
              <w:rPr>
                <w:rFonts w:ascii="MS PGothic" w:cs="MS PGothic" w:eastAsia="MS PGothic" w:hAnsi="MS PGothic"/>
                <w:sz w:val="18"/>
                <w:szCs w:val="18"/>
                <w:color w:val="auto"/>
              </w:rPr>
              <w:t>☐</w:t>
            </w:r>
            <w:r>
              <w:rPr>
                <w:rFonts w:ascii="Arial" w:cs="Arial" w:eastAsia="Arial" w:hAnsi="Arial"/>
                <w:sz w:val="18"/>
                <w:szCs w:val="18"/>
                <w:color w:val="auto"/>
              </w:rPr>
              <w:t xml:space="preserve">  on (Date) at (Time).</w:t>
            </w:r>
          </w:p>
        </w:tc>
        <w:tc>
          <w:tcPr>
            <w:tcW w:w="1640" w:type="dxa"/>
            <w:vAlign w:val="bottom"/>
          </w:tcPr>
          <w:p>
            <w:pPr>
              <w:spacing w:after="0"/>
              <w:rPr>
                <w:sz w:val="24"/>
                <w:szCs w:val="24"/>
                <w:color w:val="auto"/>
              </w:rPr>
            </w:pPr>
          </w:p>
        </w:tc>
      </w:tr>
      <w:tr>
        <w:trPr>
          <w:trHeight w:val="432"/>
        </w:trPr>
        <w:tc>
          <w:tcPr>
            <w:tcW w:w="20" w:type="dxa"/>
            <w:vAlign w:val="bottom"/>
          </w:tcPr>
          <w:p>
            <w:pPr>
              <w:spacing w:after="0"/>
              <w:rPr>
                <w:sz w:val="24"/>
                <w:szCs w:val="24"/>
                <w:color w:val="auto"/>
              </w:rPr>
            </w:pPr>
          </w:p>
        </w:tc>
        <w:tc>
          <w:tcPr>
            <w:tcW w:w="9760" w:type="dxa"/>
            <w:vAlign w:val="bottom"/>
            <w:gridSpan w:val="12"/>
          </w:tcPr>
          <w:p>
            <w:pPr>
              <w:ind w:left="300"/>
              <w:spacing w:after="0" w:line="207" w:lineRule="exact"/>
              <w:rPr>
                <w:sz w:val="20"/>
                <w:szCs w:val="20"/>
                <w:color w:val="auto"/>
              </w:rPr>
            </w:pPr>
            <w:r>
              <w:rPr>
                <w:rFonts w:ascii="Arial" w:cs="Arial" w:eastAsia="Arial" w:hAnsi="Arial"/>
                <w:sz w:val="18"/>
                <w:szCs w:val="18"/>
                <w:color w:val="auto"/>
              </w:rPr>
              <w:t xml:space="preserve">If a separate registration statement has been filed to register the deposited shares, check the following box: </w:t>
            </w:r>
            <w:r>
              <w:rPr>
                <w:rFonts w:ascii="MS PGothic" w:cs="MS PGothic" w:eastAsia="MS PGothic" w:hAnsi="MS PGothic"/>
                <w:sz w:val="18"/>
                <w:szCs w:val="18"/>
                <w:color w:val="auto"/>
              </w:rPr>
              <w:t>☒</w:t>
            </w:r>
          </w:p>
        </w:tc>
        <w:tc>
          <w:tcPr>
            <w:tcW w:w="1640" w:type="dxa"/>
            <w:vAlign w:val="bottom"/>
          </w:tcPr>
          <w:p>
            <w:pPr>
              <w:spacing w:after="0"/>
              <w:rPr>
                <w:sz w:val="24"/>
                <w:szCs w:val="24"/>
                <w:color w:val="auto"/>
              </w:rPr>
            </w:pPr>
          </w:p>
        </w:tc>
      </w:tr>
      <w:tr>
        <w:trPr>
          <w:trHeight w:val="210"/>
        </w:trPr>
        <w:tc>
          <w:tcPr>
            <w:tcW w:w="20" w:type="dxa"/>
            <w:vAlign w:val="bottom"/>
          </w:tcPr>
          <w:p>
            <w:pPr>
              <w:spacing w:after="0"/>
              <w:rPr>
                <w:sz w:val="18"/>
                <w:szCs w:val="18"/>
                <w:color w:val="auto"/>
              </w:rPr>
            </w:pPr>
          </w:p>
        </w:tc>
        <w:tc>
          <w:tcPr>
            <w:tcW w:w="216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760" w:type="dxa"/>
            <w:vAlign w:val="bottom"/>
            <w:tcBorders>
              <w:bottom w:val="single" w:sz="8" w:color="auto"/>
            </w:tcBorders>
          </w:tcPr>
          <w:p>
            <w:pPr>
              <w:spacing w:after="0"/>
              <w:rPr>
                <w:sz w:val="18"/>
                <w:szCs w:val="18"/>
                <w:color w:val="auto"/>
              </w:rPr>
            </w:pPr>
          </w:p>
        </w:tc>
        <w:tc>
          <w:tcPr>
            <w:tcW w:w="220" w:type="dxa"/>
            <w:vAlign w:val="bottom"/>
            <w:tcBorders>
              <w:bottom w:val="single" w:sz="8" w:color="auto"/>
            </w:tcBorders>
          </w:tcPr>
          <w:p>
            <w:pPr>
              <w:spacing w:after="0"/>
              <w:rPr>
                <w:sz w:val="18"/>
                <w:szCs w:val="18"/>
                <w:color w:val="auto"/>
              </w:rPr>
            </w:pPr>
          </w:p>
        </w:tc>
        <w:tc>
          <w:tcPr>
            <w:tcW w:w="1740" w:type="dxa"/>
            <w:vAlign w:val="bottom"/>
            <w:tcBorders>
              <w:bottom w:val="single" w:sz="8" w:color="auto"/>
            </w:tcBorders>
            <w:gridSpan w:val="2"/>
          </w:tcPr>
          <w:p>
            <w:pPr>
              <w:spacing w:after="0"/>
              <w:rPr>
                <w:sz w:val="18"/>
                <w:szCs w:val="18"/>
                <w:color w:val="auto"/>
              </w:rPr>
            </w:pPr>
          </w:p>
        </w:tc>
        <w:tc>
          <w:tcPr>
            <w:tcW w:w="1820" w:type="dxa"/>
            <w:vAlign w:val="bottom"/>
            <w:tcBorders>
              <w:bottom w:val="single" w:sz="8" w:color="auto"/>
            </w:tcBorders>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920" w:type="dxa"/>
            <w:vAlign w:val="bottom"/>
            <w:tcBorders>
              <w:bottom w:val="single" w:sz="8" w:color="auto"/>
            </w:tcBorders>
          </w:tcPr>
          <w:p>
            <w:pPr>
              <w:spacing w:after="0"/>
              <w:rPr>
                <w:sz w:val="18"/>
                <w:szCs w:val="18"/>
                <w:color w:val="auto"/>
              </w:rPr>
            </w:pPr>
          </w:p>
        </w:tc>
        <w:tc>
          <w:tcPr>
            <w:tcW w:w="10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640" w:type="dxa"/>
            <w:vAlign w:val="bottom"/>
          </w:tcPr>
          <w:p>
            <w:pPr>
              <w:spacing w:after="0"/>
              <w:rPr>
                <w:sz w:val="18"/>
                <w:szCs w:val="18"/>
                <w:color w:val="auto"/>
              </w:rPr>
            </w:pPr>
          </w:p>
        </w:tc>
      </w:tr>
      <w:tr>
        <w:trPr>
          <w:trHeight w:val="453"/>
        </w:trPr>
        <w:tc>
          <w:tcPr>
            <w:tcW w:w="20" w:type="dxa"/>
            <w:vAlign w:val="bottom"/>
          </w:tcPr>
          <w:p>
            <w:pPr>
              <w:spacing w:after="0"/>
              <w:rPr>
                <w:sz w:val="24"/>
                <w:szCs w:val="24"/>
                <w:color w:val="auto"/>
              </w:rPr>
            </w:pPr>
          </w:p>
        </w:tc>
        <w:tc>
          <w:tcPr>
            <w:tcW w:w="2160" w:type="dxa"/>
            <w:vAlign w:val="bottom"/>
            <w:tcBorders>
              <w:bottom w:val="single" w:sz="8" w:color="auto"/>
            </w:tcBorders>
          </w:tcPr>
          <w:p>
            <w:pPr>
              <w:spacing w:after="0"/>
              <w:rPr>
                <w:sz w:val="24"/>
                <w:szCs w:val="24"/>
                <w:color w:val="auto"/>
              </w:rPr>
            </w:pPr>
          </w:p>
        </w:tc>
        <w:tc>
          <w:tcPr>
            <w:tcW w:w="560" w:type="dxa"/>
            <w:vAlign w:val="bottom"/>
            <w:tcBorders>
              <w:bottom w:val="single" w:sz="8" w:color="auto"/>
            </w:tcBorders>
          </w:tcPr>
          <w:p>
            <w:pPr>
              <w:spacing w:after="0"/>
              <w:rPr>
                <w:sz w:val="24"/>
                <w:szCs w:val="24"/>
                <w:color w:val="auto"/>
              </w:rPr>
            </w:pPr>
          </w:p>
        </w:tc>
        <w:tc>
          <w:tcPr>
            <w:tcW w:w="180" w:type="dxa"/>
            <w:vAlign w:val="bottom"/>
            <w:tcBorders>
              <w:bottom w:val="single" w:sz="8" w:color="auto"/>
            </w:tcBorders>
          </w:tcPr>
          <w:p>
            <w:pPr>
              <w:spacing w:after="0"/>
              <w:rPr>
                <w:sz w:val="24"/>
                <w:szCs w:val="24"/>
                <w:color w:val="auto"/>
              </w:rPr>
            </w:pPr>
          </w:p>
        </w:tc>
        <w:tc>
          <w:tcPr>
            <w:tcW w:w="760" w:type="dxa"/>
            <w:vAlign w:val="bottom"/>
            <w:tcBorders>
              <w:bottom w:val="single" w:sz="8" w:color="auto"/>
            </w:tcBorders>
          </w:tcPr>
          <w:p>
            <w:pPr>
              <w:spacing w:after="0"/>
              <w:rPr>
                <w:sz w:val="24"/>
                <w:szCs w:val="24"/>
                <w:color w:val="auto"/>
              </w:rPr>
            </w:pPr>
          </w:p>
        </w:tc>
        <w:tc>
          <w:tcPr>
            <w:tcW w:w="220" w:type="dxa"/>
            <w:vAlign w:val="bottom"/>
            <w:tcBorders>
              <w:bottom w:val="single" w:sz="8" w:color="auto"/>
            </w:tcBorders>
          </w:tcPr>
          <w:p>
            <w:pPr>
              <w:spacing w:after="0"/>
              <w:rPr>
                <w:sz w:val="24"/>
                <w:szCs w:val="24"/>
                <w:color w:val="auto"/>
              </w:rPr>
            </w:pPr>
          </w:p>
        </w:tc>
        <w:tc>
          <w:tcPr>
            <w:tcW w:w="3560" w:type="dxa"/>
            <w:vAlign w:val="bottom"/>
            <w:tcBorders>
              <w:bottom w:val="single" w:sz="8" w:color="auto"/>
            </w:tcBorders>
            <w:gridSpan w:val="3"/>
          </w:tcPr>
          <w:p>
            <w:pPr>
              <w:jc w:val="center"/>
              <w:spacing w:after="0"/>
              <w:rPr>
                <w:sz w:val="20"/>
                <w:szCs w:val="20"/>
                <w:color w:val="auto"/>
              </w:rPr>
            </w:pPr>
            <w:r>
              <w:rPr>
                <w:rFonts w:ascii="Arial" w:cs="Arial" w:eastAsia="Arial" w:hAnsi="Arial"/>
                <w:sz w:val="18"/>
                <w:szCs w:val="18"/>
                <w:b w:val="1"/>
                <w:bCs w:val="1"/>
                <w:color w:val="auto"/>
              </w:rPr>
              <w:t>CALCULATION OF REGISTRATION FEE</w:t>
            </w:r>
          </w:p>
        </w:tc>
        <w:tc>
          <w:tcPr>
            <w:tcW w:w="120" w:type="dxa"/>
            <w:vAlign w:val="bottom"/>
            <w:tcBorders>
              <w:bottom w:val="single" w:sz="8" w:color="auto"/>
            </w:tcBorders>
          </w:tcPr>
          <w:p>
            <w:pPr>
              <w:spacing w:after="0"/>
              <w:rPr>
                <w:sz w:val="24"/>
                <w:szCs w:val="24"/>
                <w:color w:val="auto"/>
              </w:rPr>
            </w:pPr>
          </w:p>
        </w:tc>
        <w:tc>
          <w:tcPr>
            <w:tcW w:w="920" w:type="dxa"/>
            <w:vAlign w:val="bottom"/>
            <w:tcBorders>
              <w:bottom w:val="single" w:sz="8" w:color="auto"/>
            </w:tcBorders>
          </w:tcPr>
          <w:p>
            <w:pPr>
              <w:spacing w:after="0"/>
              <w:rPr>
                <w:sz w:val="24"/>
                <w:szCs w:val="24"/>
                <w:color w:val="auto"/>
              </w:rPr>
            </w:pPr>
          </w:p>
        </w:tc>
        <w:tc>
          <w:tcPr>
            <w:tcW w:w="1000" w:type="dxa"/>
            <w:vAlign w:val="bottom"/>
            <w:tcBorders>
              <w:bottom w:val="single" w:sz="8" w:color="auto"/>
            </w:tcBorders>
          </w:tcPr>
          <w:p>
            <w:pPr>
              <w:spacing w:after="0"/>
              <w:rPr>
                <w:sz w:val="24"/>
                <w:szCs w:val="24"/>
                <w:color w:val="auto"/>
              </w:rPr>
            </w:pPr>
          </w:p>
        </w:tc>
        <w:tc>
          <w:tcPr>
            <w:tcW w:w="280" w:type="dxa"/>
            <w:vAlign w:val="bottom"/>
            <w:tcBorders>
              <w:bottom w:val="single" w:sz="8" w:color="auto"/>
            </w:tcBorders>
          </w:tcPr>
          <w:p>
            <w:pPr>
              <w:spacing w:after="0"/>
              <w:rPr>
                <w:sz w:val="24"/>
                <w:szCs w:val="24"/>
                <w:color w:val="auto"/>
              </w:rPr>
            </w:pPr>
          </w:p>
        </w:tc>
        <w:tc>
          <w:tcPr>
            <w:tcW w:w="1640" w:type="dxa"/>
            <w:vAlign w:val="bottom"/>
            <w:tcBorders>
              <w:bottom w:val="single" w:sz="8" w:color="auto"/>
            </w:tcBorders>
          </w:tcPr>
          <w:p>
            <w:pPr>
              <w:spacing w:after="0"/>
              <w:rPr>
                <w:sz w:val="24"/>
                <w:szCs w:val="24"/>
                <w:color w:val="auto"/>
              </w:rPr>
            </w:pPr>
          </w:p>
        </w:tc>
      </w:tr>
      <w:tr>
        <w:trPr>
          <w:trHeight w:val="195"/>
        </w:trPr>
        <w:tc>
          <w:tcPr>
            <w:tcW w:w="20" w:type="dxa"/>
            <w:vAlign w:val="bottom"/>
          </w:tcPr>
          <w:p>
            <w:pPr>
              <w:spacing w:after="0"/>
              <w:rPr>
                <w:sz w:val="16"/>
                <w:szCs w:val="16"/>
                <w:color w:val="auto"/>
              </w:rPr>
            </w:pPr>
          </w:p>
        </w:tc>
        <w:tc>
          <w:tcPr>
            <w:tcW w:w="3660" w:type="dxa"/>
            <w:vAlign w:val="bottom"/>
            <w:tcBorders>
              <w:right w:val="single" w:sz="8" w:color="auto"/>
            </w:tcBorders>
            <w:gridSpan w:val="4"/>
          </w:tcPr>
          <w:p>
            <w:pPr>
              <w:jc w:val="center"/>
              <w:ind w:right="20"/>
              <w:spacing w:after="0" w:line="195" w:lineRule="exact"/>
              <w:rPr>
                <w:sz w:val="20"/>
                <w:szCs w:val="20"/>
                <w:color w:val="auto"/>
              </w:rPr>
            </w:pPr>
            <w:r>
              <w:rPr>
                <w:rFonts w:ascii="Arial" w:cs="Arial" w:eastAsia="Arial" w:hAnsi="Arial"/>
                <w:sz w:val="18"/>
                <w:szCs w:val="18"/>
                <w:color w:val="auto"/>
                <w:w w:val="91"/>
              </w:rPr>
              <w:t>Title of Each Class of</w:t>
            </w:r>
          </w:p>
        </w:tc>
        <w:tc>
          <w:tcPr>
            <w:tcW w:w="220" w:type="dxa"/>
            <w:vAlign w:val="bottom"/>
          </w:tcPr>
          <w:p>
            <w:pPr>
              <w:spacing w:after="0"/>
              <w:rPr>
                <w:sz w:val="16"/>
                <w:szCs w:val="16"/>
                <w:color w:val="auto"/>
              </w:rPr>
            </w:pPr>
          </w:p>
        </w:tc>
        <w:tc>
          <w:tcPr>
            <w:tcW w:w="1340" w:type="dxa"/>
            <w:vAlign w:val="bottom"/>
          </w:tcPr>
          <w:p>
            <w:pPr>
              <w:jc w:val="center"/>
              <w:ind w:left="10"/>
              <w:spacing w:after="0" w:line="195" w:lineRule="exact"/>
              <w:rPr>
                <w:sz w:val="20"/>
                <w:szCs w:val="20"/>
                <w:color w:val="auto"/>
              </w:rPr>
            </w:pPr>
            <w:r>
              <w:rPr>
                <w:rFonts w:ascii="Arial" w:cs="Arial" w:eastAsia="Arial" w:hAnsi="Arial"/>
                <w:sz w:val="18"/>
                <w:szCs w:val="18"/>
                <w:color w:val="auto"/>
                <w:w w:val="93"/>
              </w:rPr>
              <w:t>Amount to be</w:t>
            </w:r>
          </w:p>
        </w:tc>
        <w:tc>
          <w:tcPr>
            <w:tcW w:w="400" w:type="dxa"/>
            <w:vAlign w:val="bottom"/>
            <w:tcBorders>
              <w:right w:val="single" w:sz="8" w:color="auto"/>
            </w:tcBorders>
          </w:tcPr>
          <w:p>
            <w:pPr>
              <w:spacing w:after="0"/>
              <w:rPr>
                <w:sz w:val="16"/>
                <w:szCs w:val="16"/>
                <w:color w:val="auto"/>
              </w:rPr>
            </w:pPr>
          </w:p>
        </w:tc>
        <w:tc>
          <w:tcPr>
            <w:tcW w:w="1820" w:type="dxa"/>
            <w:vAlign w:val="bottom"/>
          </w:tcPr>
          <w:p>
            <w:pPr>
              <w:jc w:val="center"/>
              <w:spacing w:after="0" w:line="195" w:lineRule="exact"/>
              <w:rPr>
                <w:sz w:val="20"/>
                <w:szCs w:val="20"/>
                <w:color w:val="auto"/>
              </w:rPr>
            </w:pPr>
            <w:r>
              <w:rPr>
                <w:rFonts w:ascii="Arial" w:cs="Arial" w:eastAsia="Arial" w:hAnsi="Arial"/>
                <w:sz w:val="18"/>
                <w:szCs w:val="18"/>
                <w:color w:val="auto"/>
                <w:w w:val="91"/>
              </w:rPr>
              <w:t>Proposed Maximum</w:t>
            </w:r>
          </w:p>
        </w:tc>
        <w:tc>
          <w:tcPr>
            <w:tcW w:w="120" w:type="dxa"/>
            <w:vAlign w:val="bottom"/>
            <w:tcBorders>
              <w:right w:val="single" w:sz="8" w:color="auto"/>
            </w:tcBorders>
          </w:tcPr>
          <w:p>
            <w:pPr>
              <w:spacing w:after="0"/>
              <w:rPr>
                <w:sz w:val="16"/>
                <w:szCs w:val="16"/>
                <w:color w:val="auto"/>
              </w:rPr>
            </w:pPr>
          </w:p>
        </w:tc>
        <w:tc>
          <w:tcPr>
            <w:tcW w:w="1920" w:type="dxa"/>
            <w:vAlign w:val="bottom"/>
            <w:tcBorders>
              <w:right w:val="single" w:sz="8" w:color="auto"/>
            </w:tcBorders>
            <w:gridSpan w:val="2"/>
          </w:tcPr>
          <w:p>
            <w:pPr>
              <w:jc w:val="center"/>
              <w:ind w:right="60"/>
              <w:spacing w:after="0" w:line="195" w:lineRule="exact"/>
              <w:rPr>
                <w:sz w:val="20"/>
                <w:szCs w:val="20"/>
                <w:color w:val="auto"/>
              </w:rPr>
            </w:pPr>
            <w:r>
              <w:rPr>
                <w:rFonts w:ascii="Arial" w:cs="Arial" w:eastAsia="Arial" w:hAnsi="Arial"/>
                <w:sz w:val="18"/>
                <w:szCs w:val="18"/>
                <w:color w:val="auto"/>
                <w:w w:val="91"/>
              </w:rPr>
              <w:t>Proposed Maximum</w:t>
            </w:r>
          </w:p>
        </w:tc>
        <w:tc>
          <w:tcPr>
            <w:tcW w:w="280" w:type="dxa"/>
            <w:vAlign w:val="bottom"/>
          </w:tcPr>
          <w:p>
            <w:pPr>
              <w:spacing w:after="0"/>
              <w:rPr>
                <w:sz w:val="16"/>
                <w:szCs w:val="16"/>
                <w:color w:val="auto"/>
              </w:rPr>
            </w:pPr>
          </w:p>
        </w:tc>
        <w:tc>
          <w:tcPr>
            <w:tcW w:w="1640" w:type="dxa"/>
            <w:vAlign w:val="bottom"/>
          </w:tcPr>
          <w:p>
            <w:pPr>
              <w:jc w:val="center"/>
              <w:ind w:right="230"/>
              <w:spacing w:after="0" w:line="195" w:lineRule="exact"/>
              <w:rPr>
                <w:sz w:val="20"/>
                <w:szCs w:val="20"/>
                <w:color w:val="auto"/>
              </w:rPr>
            </w:pPr>
            <w:r>
              <w:rPr>
                <w:rFonts w:ascii="Arial" w:cs="Arial" w:eastAsia="Arial" w:hAnsi="Arial"/>
                <w:sz w:val="18"/>
                <w:szCs w:val="18"/>
                <w:color w:val="auto"/>
                <w:w w:val="97"/>
              </w:rPr>
              <w:t>Amount of</w:t>
            </w:r>
          </w:p>
        </w:tc>
      </w:tr>
      <w:tr>
        <w:trPr>
          <w:trHeight w:val="216"/>
        </w:trPr>
        <w:tc>
          <w:tcPr>
            <w:tcW w:w="20" w:type="dxa"/>
            <w:vAlign w:val="bottom"/>
          </w:tcPr>
          <w:p>
            <w:pPr>
              <w:spacing w:after="0"/>
              <w:rPr>
                <w:sz w:val="18"/>
                <w:szCs w:val="18"/>
                <w:color w:val="auto"/>
              </w:rPr>
            </w:pPr>
          </w:p>
        </w:tc>
        <w:tc>
          <w:tcPr>
            <w:tcW w:w="3660" w:type="dxa"/>
            <w:vAlign w:val="bottom"/>
            <w:tcBorders>
              <w:right w:val="single" w:sz="8" w:color="auto"/>
            </w:tcBorders>
            <w:gridSpan w:val="4"/>
          </w:tcPr>
          <w:p>
            <w:pPr>
              <w:jc w:val="center"/>
              <w:ind w:right="20"/>
              <w:spacing w:after="0"/>
              <w:rPr>
                <w:sz w:val="20"/>
                <w:szCs w:val="20"/>
                <w:color w:val="auto"/>
              </w:rPr>
            </w:pPr>
            <w:r>
              <w:rPr>
                <w:rFonts w:ascii="Arial" w:cs="Arial" w:eastAsia="Arial" w:hAnsi="Arial"/>
                <w:sz w:val="18"/>
                <w:szCs w:val="18"/>
                <w:color w:val="auto"/>
                <w:w w:val="88"/>
              </w:rPr>
              <w:t>Securities to be Registered</w:t>
            </w:r>
          </w:p>
        </w:tc>
        <w:tc>
          <w:tcPr>
            <w:tcW w:w="220" w:type="dxa"/>
            <w:vAlign w:val="bottom"/>
          </w:tcPr>
          <w:p>
            <w:pPr>
              <w:spacing w:after="0"/>
              <w:rPr>
                <w:sz w:val="18"/>
                <w:szCs w:val="18"/>
                <w:color w:val="auto"/>
              </w:rPr>
            </w:pPr>
          </w:p>
        </w:tc>
        <w:tc>
          <w:tcPr>
            <w:tcW w:w="1340" w:type="dxa"/>
            <w:vAlign w:val="bottom"/>
          </w:tcPr>
          <w:p>
            <w:pPr>
              <w:jc w:val="center"/>
              <w:ind w:left="70"/>
              <w:spacing w:after="0"/>
              <w:rPr>
                <w:sz w:val="20"/>
                <w:szCs w:val="20"/>
                <w:color w:val="auto"/>
              </w:rPr>
            </w:pPr>
            <w:r>
              <w:rPr>
                <w:rFonts w:ascii="Arial" w:cs="Arial" w:eastAsia="Arial" w:hAnsi="Arial"/>
                <w:sz w:val="18"/>
                <w:szCs w:val="18"/>
                <w:color w:val="auto"/>
                <w:w w:val="89"/>
              </w:rPr>
              <w:t>Registered</w:t>
            </w:r>
          </w:p>
        </w:tc>
        <w:tc>
          <w:tcPr>
            <w:tcW w:w="400" w:type="dxa"/>
            <w:vAlign w:val="bottom"/>
            <w:tcBorders>
              <w:right w:val="single" w:sz="8" w:color="auto"/>
            </w:tcBorders>
          </w:tcPr>
          <w:p>
            <w:pPr>
              <w:spacing w:after="0"/>
              <w:rPr>
                <w:sz w:val="18"/>
                <w:szCs w:val="18"/>
                <w:color w:val="auto"/>
              </w:rPr>
            </w:pPr>
          </w:p>
        </w:tc>
        <w:tc>
          <w:tcPr>
            <w:tcW w:w="1820" w:type="dxa"/>
            <w:vAlign w:val="bottom"/>
          </w:tcPr>
          <w:p>
            <w:pPr>
              <w:jc w:val="center"/>
              <w:spacing w:after="0"/>
              <w:rPr>
                <w:sz w:val="20"/>
                <w:szCs w:val="20"/>
                <w:color w:val="auto"/>
              </w:rPr>
            </w:pPr>
            <w:r>
              <w:rPr>
                <w:rFonts w:ascii="Arial" w:cs="Arial" w:eastAsia="Arial" w:hAnsi="Arial"/>
                <w:sz w:val="18"/>
                <w:szCs w:val="18"/>
                <w:color w:val="auto"/>
                <w:w w:val="90"/>
              </w:rPr>
              <w:t>Aggregate Price Per</w:t>
            </w:r>
          </w:p>
        </w:tc>
        <w:tc>
          <w:tcPr>
            <w:tcW w:w="120" w:type="dxa"/>
            <w:vAlign w:val="bottom"/>
            <w:tcBorders>
              <w:right w:val="single" w:sz="8" w:color="auto"/>
            </w:tcBorders>
          </w:tcPr>
          <w:p>
            <w:pPr>
              <w:spacing w:after="0"/>
              <w:rPr>
                <w:sz w:val="18"/>
                <w:szCs w:val="18"/>
                <w:color w:val="auto"/>
              </w:rPr>
            </w:pPr>
          </w:p>
        </w:tc>
        <w:tc>
          <w:tcPr>
            <w:tcW w:w="1920" w:type="dxa"/>
            <w:vAlign w:val="bottom"/>
            <w:tcBorders>
              <w:right w:val="single" w:sz="8" w:color="auto"/>
            </w:tcBorders>
            <w:gridSpan w:val="2"/>
          </w:tcPr>
          <w:p>
            <w:pPr>
              <w:jc w:val="center"/>
              <w:ind w:right="20"/>
              <w:spacing w:after="0"/>
              <w:rPr>
                <w:sz w:val="20"/>
                <w:szCs w:val="20"/>
                <w:color w:val="auto"/>
              </w:rPr>
            </w:pPr>
            <w:r>
              <w:rPr>
                <w:rFonts w:ascii="Arial" w:cs="Arial" w:eastAsia="Arial" w:hAnsi="Arial"/>
                <w:sz w:val="18"/>
                <w:szCs w:val="18"/>
                <w:color w:val="auto"/>
                <w:w w:val="93"/>
              </w:rPr>
              <w:t>Aggregate Offering</w:t>
            </w:r>
          </w:p>
        </w:tc>
        <w:tc>
          <w:tcPr>
            <w:tcW w:w="280" w:type="dxa"/>
            <w:vAlign w:val="bottom"/>
          </w:tcPr>
          <w:p>
            <w:pPr>
              <w:spacing w:after="0"/>
              <w:rPr>
                <w:sz w:val="18"/>
                <w:szCs w:val="18"/>
                <w:color w:val="auto"/>
              </w:rPr>
            </w:pPr>
          </w:p>
        </w:tc>
        <w:tc>
          <w:tcPr>
            <w:tcW w:w="1640" w:type="dxa"/>
            <w:vAlign w:val="bottom"/>
          </w:tcPr>
          <w:p>
            <w:pPr>
              <w:jc w:val="center"/>
              <w:ind w:right="190"/>
              <w:spacing w:after="0"/>
              <w:rPr>
                <w:sz w:val="20"/>
                <w:szCs w:val="20"/>
                <w:color w:val="auto"/>
              </w:rPr>
            </w:pPr>
            <w:r>
              <w:rPr>
                <w:rFonts w:ascii="Arial" w:cs="Arial" w:eastAsia="Arial" w:hAnsi="Arial"/>
                <w:sz w:val="18"/>
                <w:szCs w:val="18"/>
                <w:color w:val="auto"/>
                <w:w w:val="90"/>
              </w:rPr>
              <w:t>Registration Fee</w:t>
            </w:r>
          </w:p>
        </w:tc>
      </w:tr>
      <w:tr>
        <w:trPr>
          <w:trHeight w:val="230"/>
        </w:trPr>
        <w:tc>
          <w:tcPr>
            <w:tcW w:w="20" w:type="dxa"/>
            <w:vAlign w:val="bottom"/>
          </w:tcPr>
          <w:p>
            <w:pPr>
              <w:spacing w:after="0"/>
              <w:rPr>
                <w:sz w:val="20"/>
                <w:szCs w:val="20"/>
                <w:color w:val="auto"/>
              </w:rPr>
            </w:pPr>
          </w:p>
        </w:tc>
        <w:tc>
          <w:tcPr>
            <w:tcW w:w="2160" w:type="dxa"/>
            <w:vAlign w:val="bottom"/>
            <w:tcBorders>
              <w:bottom w:val="single" w:sz="8" w:color="auto"/>
            </w:tcBorders>
          </w:tcPr>
          <w:p>
            <w:pPr>
              <w:spacing w:after="0"/>
              <w:rPr>
                <w:sz w:val="20"/>
                <w:szCs w:val="20"/>
                <w:color w:val="auto"/>
              </w:rPr>
            </w:pPr>
          </w:p>
        </w:tc>
        <w:tc>
          <w:tcPr>
            <w:tcW w:w="560" w:type="dxa"/>
            <w:vAlign w:val="bottom"/>
            <w:tcBorders>
              <w:bottom w:val="single" w:sz="8" w:color="auto"/>
            </w:tcBorders>
          </w:tcPr>
          <w:p>
            <w:pPr>
              <w:spacing w:after="0"/>
              <w:rPr>
                <w:sz w:val="20"/>
                <w:szCs w:val="20"/>
                <w:color w:val="auto"/>
              </w:rPr>
            </w:pPr>
          </w:p>
        </w:tc>
        <w:tc>
          <w:tcPr>
            <w:tcW w:w="180" w:type="dxa"/>
            <w:vAlign w:val="bottom"/>
            <w:tcBorders>
              <w:bottom w:val="single" w:sz="8" w:color="auto"/>
            </w:tcBorders>
          </w:tcPr>
          <w:p>
            <w:pPr>
              <w:spacing w:after="0"/>
              <w:rPr>
                <w:sz w:val="20"/>
                <w:szCs w:val="20"/>
                <w:color w:val="auto"/>
              </w:rPr>
            </w:pPr>
          </w:p>
        </w:tc>
        <w:tc>
          <w:tcPr>
            <w:tcW w:w="760" w:type="dxa"/>
            <w:vAlign w:val="bottom"/>
            <w:tcBorders>
              <w:bottom w:val="single" w:sz="8" w:color="auto"/>
              <w:right w:val="single" w:sz="8" w:color="auto"/>
            </w:tcBorders>
          </w:tcPr>
          <w:p>
            <w:pPr>
              <w:spacing w:after="0"/>
              <w:rPr>
                <w:sz w:val="20"/>
                <w:szCs w:val="20"/>
                <w:color w:val="auto"/>
              </w:rPr>
            </w:pPr>
          </w:p>
        </w:tc>
        <w:tc>
          <w:tcPr>
            <w:tcW w:w="220" w:type="dxa"/>
            <w:vAlign w:val="bottom"/>
            <w:tcBorders>
              <w:bottom w:val="single" w:sz="8" w:color="auto"/>
            </w:tcBorders>
          </w:tcPr>
          <w:p>
            <w:pPr>
              <w:spacing w:after="0"/>
              <w:rPr>
                <w:sz w:val="20"/>
                <w:szCs w:val="20"/>
                <w:color w:val="auto"/>
              </w:rPr>
            </w:pPr>
          </w:p>
        </w:tc>
        <w:tc>
          <w:tcPr>
            <w:tcW w:w="1340" w:type="dxa"/>
            <w:vAlign w:val="bottom"/>
            <w:tcBorders>
              <w:bottom w:val="single" w:sz="8" w:color="auto"/>
            </w:tcBorders>
          </w:tcPr>
          <w:p>
            <w:pPr>
              <w:spacing w:after="0"/>
              <w:rPr>
                <w:sz w:val="20"/>
                <w:szCs w:val="20"/>
                <w:color w:val="auto"/>
              </w:rPr>
            </w:pPr>
          </w:p>
        </w:tc>
        <w:tc>
          <w:tcPr>
            <w:tcW w:w="400" w:type="dxa"/>
            <w:vAlign w:val="bottom"/>
            <w:tcBorders>
              <w:bottom w:val="single" w:sz="8" w:color="auto"/>
              <w:right w:val="single" w:sz="8" w:color="auto"/>
            </w:tcBorders>
          </w:tcPr>
          <w:p>
            <w:pPr>
              <w:spacing w:after="0"/>
              <w:rPr>
                <w:sz w:val="20"/>
                <w:szCs w:val="20"/>
                <w:color w:val="auto"/>
              </w:rPr>
            </w:pPr>
          </w:p>
        </w:tc>
        <w:tc>
          <w:tcPr>
            <w:tcW w:w="1820" w:type="dxa"/>
            <w:vAlign w:val="bottom"/>
            <w:tcBorders>
              <w:bottom w:val="single" w:sz="8" w:color="auto"/>
            </w:tcBorders>
          </w:tcPr>
          <w:p>
            <w:pPr>
              <w:jc w:val="center"/>
              <w:spacing w:after="0"/>
              <w:rPr>
                <w:sz w:val="20"/>
                <w:szCs w:val="20"/>
                <w:color w:val="auto"/>
              </w:rPr>
            </w:pPr>
            <w:r>
              <w:rPr>
                <w:rFonts w:ascii="Arial" w:cs="Arial" w:eastAsia="Arial" w:hAnsi="Arial"/>
                <w:sz w:val="18"/>
                <w:szCs w:val="18"/>
                <w:color w:val="auto"/>
              </w:rPr>
              <w:t>Unit*</w:t>
            </w:r>
          </w:p>
        </w:tc>
        <w:tc>
          <w:tcPr>
            <w:tcW w:w="120" w:type="dxa"/>
            <w:vAlign w:val="bottom"/>
            <w:tcBorders>
              <w:bottom w:val="single" w:sz="8" w:color="auto"/>
              <w:right w:val="single" w:sz="8" w:color="auto"/>
            </w:tcBorders>
          </w:tcPr>
          <w:p>
            <w:pPr>
              <w:spacing w:after="0"/>
              <w:rPr>
                <w:sz w:val="20"/>
                <w:szCs w:val="20"/>
                <w:color w:val="auto"/>
              </w:rPr>
            </w:pPr>
          </w:p>
        </w:tc>
        <w:tc>
          <w:tcPr>
            <w:tcW w:w="1920" w:type="dxa"/>
            <w:vAlign w:val="bottom"/>
            <w:tcBorders>
              <w:bottom w:val="single" w:sz="8" w:color="auto"/>
              <w:right w:val="single" w:sz="8" w:color="auto"/>
            </w:tcBorders>
            <w:gridSpan w:val="2"/>
          </w:tcPr>
          <w:p>
            <w:pPr>
              <w:jc w:val="center"/>
              <w:ind w:right="20"/>
              <w:spacing w:after="0"/>
              <w:rPr>
                <w:sz w:val="20"/>
                <w:szCs w:val="20"/>
                <w:color w:val="auto"/>
              </w:rPr>
            </w:pPr>
            <w:r>
              <w:rPr>
                <w:rFonts w:ascii="Arial" w:cs="Arial" w:eastAsia="Arial" w:hAnsi="Arial"/>
                <w:sz w:val="18"/>
                <w:szCs w:val="18"/>
                <w:color w:val="auto"/>
                <w:w w:val="98"/>
              </w:rPr>
              <w:t>Price**</w:t>
            </w:r>
          </w:p>
        </w:tc>
        <w:tc>
          <w:tcPr>
            <w:tcW w:w="280" w:type="dxa"/>
            <w:vAlign w:val="bottom"/>
            <w:tcBorders>
              <w:bottom w:val="single" w:sz="8" w:color="auto"/>
            </w:tcBorders>
          </w:tcPr>
          <w:p>
            <w:pPr>
              <w:spacing w:after="0"/>
              <w:rPr>
                <w:sz w:val="20"/>
                <w:szCs w:val="20"/>
                <w:color w:val="auto"/>
              </w:rPr>
            </w:pPr>
          </w:p>
        </w:tc>
        <w:tc>
          <w:tcPr>
            <w:tcW w:w="1640" w:type="dxa"/>
            <w:vAlign w:val="bottom"/>
            <w:tcBorders>
              <w:bottom w:val="single" w:sz="8" w:color="auto"/>
            </w:tcBorders>
          </w:tcPr>
          <w:p>
            <w:pPr>
              <w:spacing w:after="0"/>
              <w:rPr>
                <w:sz w:val="20"/>
                <w:szCs w:val="20"/>
                <w:color w:val="auto"/>
              </w:rPr>
            </w:pPr>
          </w:p>
        </w:tc>
      </w:tr>
      <w:tr>
        <w:trPr>
          <w:trHeight w:val="169"/>
        </w:trPr>
        <w:tc>
          <w:tcPr>
            <w:tcW w:w="20" w:type="dxa"/>
            <w:vAlign w:val="bottom"/>
          </w:tcPr>
          <w:p>
            <w:pPr>
              <w:spacing w:after="0"/>
              <w:rPr>
                <w:sz w:val="14"/>
                <w:szCs w:val="14"/>
                <w:color w:val="auto"/>
              </w:rPr>
            </w:pPr>
          </w:p>
        </w:tc>
        <w:tc>
          <w:tcPr>
            <w:tcW w:w="3660" w:type="dxa"/>
            <w:vAlign w:val="bottom"/>
            <w:tcBorders>
              <w:right w:val="single" w:sz="8" w:color="auto"/>
            </w:tcBorders>
            <w:gridSpan w:val="4"/>
          </w:tcPr>
          <w:p>
            <w:pPr>
              <w:spacing w:after="0" w:line="170" w:lineRule="exact"/>
              <w:rPr>
                <w:sz w:val="20"/>
                <w:szCs w:val="20"/>
                <w:color w:val="auto"/>
              </w:rPr>
            </w:pPr>
            <w:r>
              <w:rPr>
                <w:rFonts w:ascii="Arial" w:cs="Arial" w:eastAsia="Arial" w:hAnsi="Arial"/>
                <w:sz w:val="18"/>
                <w:szCs w:val="18"/>
                <w:color w:val="auto"/>
                <w:w w:val="91"/>
              </w:rPr>
              <w:t>American Depositary Shares (ADS(s)), each ADS</w:t>
            </w:r>
          </w:p>
        </w:tc>
        <w:tc>
          <w:tcPr>
            <w:tcW w:w="220" w:type="dxa"/>
            <w:vAlign w:val="bottom"/>
          </w:tcPr>
          <w:p>
            <w:pPr>
              <w:spacing w:after="0"/>
              <w:rPr>
                <w:sz w:val="14"/>
                <w:szCs w:val="14"/>
                <w:color w:val="auto"/>
              </w:rPr>
            </w:pPr>
          </w:p>
        </w:tc>
        <w:tc>
          <w:tcPr>
            <w:tcW w:w="1340" w:type="dxa"/>
            <w:vAlign w:val="bottom"/>
          </w:tcPr>
          <w:p>
            <w:pPr>
              <w:spacing w:after="0"/>
              <w:rPr>
                <w:sz w:val="14"/>
                <w:szCs w:val="14"/>
                <w:color w:val="auto"/>
              </w:rPr>
            </w:pPr>
          </w:p>
        </w:tc>
        <w:tc>
          <w:tcPr>
            <w:tcW w:w="400" w:type="dxa"/>
            <w:vAlign w:val="bottom"/>
            <w:tcBorders>
              <w:right w:val="single" w:sz="8" w:color="auto"/>
            </w:tcBorders>
          </w:tcPr>
          <w:p>
            <w:pPr>
              <w:spacing w:after="0"/>
              <w:rPr>
                <w:sz w:val="14"/>
                <w:szCs w:val="14"/>
                <w:color w:val="auto"/>
              </w:rPr>
            </w:pPr>
          </w:p>
        </w:tc>
        <w:tc>
          <w:tcPr>
            <w:tcW w:w="1820" w:type="dxa"/>
            <w:vAlign w:val="bottom"/>
          </w:tcPr>
          <w:p>
            <w:pPr>
              <w:spacing w:after="0"/>
              <w:rPr>
                <w:sz w:val="14"/>
                <w:szCs w:val="14"/>
                <w:color w:val="auto"/>
              </w:rPr>
            </w:pPr>
          </w:p>
        </w:tc>
        <w:tc>
          <w:tcPr>
            <w:tcW w:w="120" w:type="dxa"/>
            <w:vAlign w:val="bottom"/>
            <w:tcBorders>
              <w:right w:val="single" w:sz="8" w:color="auto"/>
            </w:tcBorders>
          </w:tcPr>
          <w:p>
            <w:pPr>
              <w:spacing w:after="0"/>
              <w:rPr>
                <w:sz w:val="14"/>
                <w:szCs w:val="14"/>
                <w:color w:val="auto"/>
              </w:rPr>
            </w:pPr>
          </w:p>
        </w:tc>
        <w:tc>
          <w:tcPr>
            <w:tcW w:w="920" w:type="dxa"/>
            <w:vAlign w:val="bottom"/>
          </w:tcPr>
          <w:p>
            <w:pPr>
              <w:spacing w:after="0"/>
              <w:rPr>
                <w:sz w:val="14"/>
                <w:szCs w:val="14"/>
                <w:color w:val="auto"/>
              </w:rPr>
            </w:pPr>
          </w:p>
        </w:tc>
        <w:tc>
          <w:tcPr>
            <w:tcW w:w="1000" w:type="dxa"/>
            <w:vAlign w:val="bottom"/>
            <w:tcBorders>
              <w:right w:val="single" w:sz="8" w:color="auto"/>
            </w:tcBorders>
          </w:tcPr>
          <w:p>
            <w:pPr>
              <w:spacing w:after="0"/>
              <w:rPr>
                <w:sz w:val="14"/>
                <w:szCs w:val="14"/>
                <w:color w:val="auto"/>
              </w:rPr>
            </w:pPr>
          </w:p>
        </w:tc>
        <w:tc>
          <w:tcPr>
            <w:tcW w:w="280" w:type="dxa"/>
            <w:vAlign w:val="bottom"/>
          </w:tcPr>
          <w:p>
            <w:pPr>
              <w:spacing w:after="0"/>
              <w:rPr>
                <w:sz w:val="14"/>
                <w:szCs w:val="14"/>
                <w:color w:val="auto"/>
              </w:rPr>
            </w:pPr>
          </w:p>
        </w:tc>
        <w:tc>
          <w:tcPr>
            <w:tcW w:w="1640" w:type="dxa"/>
            <w:vAlign w:val="bottom"/>
          </w:tcPr>
          <w:p>
            <w:pPr>
              <w:spacing w:after="0"/>
              <w:rPr>
                <w:sz w:val="14"/>
                <w:szCs w:val="14"/>
                <w:color w:val="auto"/>
              </w:rPr>
            </w:pPr>
          </w:p>
        </w:tc>
      </w:tr>
      <w:tr>
        <w:trPr>
          <w:trHeight w:val="20"/>
        </w:trPr>
        <w:tc>
          <w:tcPr>
            <w:tcW w:w="2180" w:type="dxa"/>
            <w:vAlign w:val="bottom"/>
            <w:gridSpan w:val="2"/>
          </w:tcPr>
          <w:p>
            <w:pPr>
              <w:spacing w:after="0" w:line="20" w:lineRule="exact"/>
              <w:rPr>
                <w:sz w:val="1"/>
                <w:szCs w:val="1"/>
                <w:color w:val="auto"/>
              </w:rPr>
            </w:pPr>
          </w:p>
        </w:tc>
        <w:tc>
          <w:tcPr>
            <w:tcW w:w="560" w:type="dxa"/>
            <w:vAlign w:val="bottom"/>
            <w:shd w:val="clear" w:color="auto" w:fill="000000"/>
          </w:tcPr>
          <w:p>
            <w:pPr>
              <w:spacing w:after="0" w:line="20" w:lineRule="exact"/>
              <w:rPr>
                <w:sz w:val="1"/>
                <w:szCs w:val="1"/>
                <w:color w:val="auto"/>
              </w:rPr>
            </w:pPr>
          </w:p>
        </w:tc>
        <w:tc>
          <w:tcPr>
            <w:tcW w:w="940" w:type="dxa"/>
            <w:vAlign w:val="bottom"/>
            <w:tcBorders>
              <w:right w:val="single" w:sz="8" w:color="auto"/>
            </w:tcBorders>
            <w:gridSpan w:val="2"/>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340" w:type="dxa"/>
            <w:vAlign w:val="bottom"/>
          </w:tcPr>
          <w:p>
            <w:pPr>
              <w:spacing w:after="0" w:line="20" w:lineRule="exact"/>
              <w:rPr>
                <w:sz w:val="1"/>
                <w:szCs w:val="1"/>
                <w:color w:val="auto"/>
              </w:rPr>
            </w:pPr>
          </w:p>
        </w:tc>
        <w:tc>
          <w:tcPr>
            <w:tcW w:w="400" w:type="dxa"/>
            <w:vAlign w:val="bottom"/>
            <w:tcBorders>
              <w:right w:val="single" w:sz="8" w:color="auto"/>
            </w:tcBorders>
          </w:tcPr>
          <w:p>
            <w:pPr>
              <w:spacing w:after="0" w:line="20" w:lineRule="exact"/>
              <w:rPr>
                <w:sz w:val="1"/>
                <w:szCs w:val="1"/>
                <w:color w:val="auto"/>
              </w:rPr>
            </w:pPr>
          </w:p>
        </w:tc>
        <w:tc>
          <w:tcPr>
            <w:tcW w:w="1820" w:type="dxa"/>
            <w:vAlign w:val="bottom"/>
          </w:tcPr>
          <w:p>
            <w:pPr>
              <w:spacing w:after="0" w:line="20" w:lineRule="exact"/>
              <w:rPr>
                <w:sz w:val="1"/>
                <w:szCs w:val="1"/>
                <w:color w:val="auto"/>
              </w:rPr>
            </w:pPr>
          </w:p>
        </w:tc>
        <w:tc>
          <w:tcPr>
            <w:tcW w:w="120" w:type="dxa"/>
            <w:vAlign w:val="bottom"/>
            <w:tcBorders>
              <w:right w:val="single" w:sz="8" w:color="auto"/>
            </w:tcBorders>
          </w:tcPr>
          <w:p>
            <w:pPr>
              <w:spacing w:after="0" w:line="20" w:lineRule="exact"/>
              <w:rPr>
                <w:sz w:val="1"/>
                <w:szCs w:val="1"/>
                <w:color w:val="auto"/>
              </w:rPr>
            </w:pPr>
          </w:p>
        </w:tc>
        <w:tc>
          <w:tcPr>
            <w:tcW w:w="1920" w:type="dxa"/>
            <w:vAlign w:val="bottom"/>
            <w:tcBorders>
              <w:right w:val="single" w:sz="8" w:color="auto"/>
            </w:tcBorders>
            <w:gridSpan w:val="2"/>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640" w:type="dxa"/>
            <w:vAlign w:val="bottom"/>
          </w:tcPr>
          <w:p>
            <w:pPr>
              <w:spacing w:after="0" w:line="20" w:lineRule="exact"/>
              <w:rPr>
                <w:sz w:val="1"/>
                <w:szCs w:val="1"/>
                <w:color w:val="auto"/>
              </w:rPr>
            </w:pPr>
          </w:p>
        </w:tc>
      </w:tr>
      <w:tr>
        <w:trPr>
          <w:trHeight w:val="222"/>
        </w:trPr>
        <w:tc>
          <w:tcPr>
            <w:tcW w:w="3680" w:type="dxa"/>
            <w:vAlign w:val="bottom"/>
            <w:tcBorders>
              <w:right w:val="single" w:sz="8" w:color="auto"/>
            </w:tcBorders>
            <w:gridSpan w:val="5"/>
          </w:tcPr>
          <w:p>
            <w:pPr>
              <w:spacing w:after="0"/>
              <w:rPr>
                <w:sz w:val="20"/>
                <w:szCs w:val="20"/>
                <w:color w:val="auto"/>
              </w:rPr>
            </w:pPr>
            <w:r>
              <w:rPr>
                <w:rFonts w:ascii="Arial" w:cs="Arial" w:eastAsia="Arial" w:hAnsi="Arial"/>
                <w:sz w:val="18"/>
                <w:szCs w:val="18"/>
                <w:color w:val="auto"/>
                <w:w w:val="94"/>
              </w:rPr>
              <w:t>representing the right to receive five (5) Ordinary</w:t>
            </w:r>
          </w:p>
        </w:tc>
        <w:tc>
          <w:tcPr>
            <w:tcW w:w="220" w:type="dxa"/>
            <w:vAlign w:val="bottom"/>
          </w:tcPr>
          <w:p>
            <w:pPr>
              <w:spacing w:after="0"/>
              <w:rPr>
                <w:sz w:val="19"/>
                <w:szCs w:val="19"/>
                <w:color w:val="auto"/>
              </w:rPr>
            </w:pPr>
          </w:p>
        </w:tc>
        <w:tc>
          <w:tcPr>
            <w:tcW w:w="1340" w:type="dxa"/>
            <w:vAlign w:val="bottom"/>
          </w:tcPr>
          <w:p>
            <w:pPr>
              <w:jc w:val="center"/>
              <w:ind w:left="70"/>
              <w:spacing w:after="0"/>
              <w:rPr>
                <w:sz w:val="20"/>
                <w:szCs w:val="20"/>
                <w:color w:val="auto"/>
              </w:rPr>
            </w:pPr>
            <w:r>
              <w:rPr>
                <w:rFonts w:ascii="Arial" w:cs="Arial" w:eastAsia="Arial" w:hAnsi="Arial"/>
                <w:sz w:val="18"/>
                <w:szCs w:val="18"/>
                <w:color w:val="auto"/>
                <w:w w:val="99"/>
              </w:rPr>
              <w:t>N/A</w:t>
            </w:r>
          </w:p>
        </w:tc>
        <w:tc>
          <w:tcPr>
            <w:tcW w:w="400" w:type="dxa"/>
            <w:vAlign w:val="bottom"/>
            <w:tcBorders>
              <w:right w:val="single" w:sz="8" w:color="auto"/>
            </w:tcBorders>
          </w:tcPr>
          <w:p>
            <w:pPr>
              <w:spacing w:after="0"/>
              <w:rPr>
                <w:sz w:val="19"/>
                <w:szCs w:val="19"/>
                <w:color w:val="auto"/>
              </w:rPr>
            </w:pPr>
          </w:p>
        </w:tc>
        <w:tc>
          <w:tcPr>
            <w:tcW w:w="1820" w:type="dxa"/>
            <w:vAlign w:val="bottom"/>
          </w:tcPr>
          <w:p>
            <w:pPr>
              <w:jc w:val="center"/>
              <w:spacing w:after="0"/>
              <w:rPr>
                <w:sz w:val="20"/>
                <w:szCs w:val="20"/>
                <w:color w:val="auto"/>
              </w:rPr>
            </w:pPr>
            <w:r>
              <w:rPr>
                <w:rFonts w:ascii="Arial" w:cs="Arial" w:eastAsia="Arial" w:hAnsi="Arial"/>
                <w:sz w:val="18"/>
                <w:szCs w:val="18"/>
                <w:color w:val="auto"/>
                <w:w w:val="99"/>
              </w:rPr>
              <w:t>N/A</w:t>
            </w:r>
          </w:p>
        </w:tc>
        <w:tc>
          <w:tcPr>
            <w:tcW w:w="120" w:type="dxa"/>
            <w:vAlign w:val="bottom"/>
            <w:tcBorders>
              <w:right w:val="single" w:sz="8" w:color="auto"/>
            </w:tcBorders>
          </w:tcPr>
          <w:p>
            <w:pPr>
              <w:spacing w:after="0"/>
              <w:rPr>
                <w:sz w:val="19"/>
                <w:szCs w:val="19"/>
                <w:color w:val="auto"/>
              </w:rPr>
            </w:pPr>
          </w:p>
        </w:tc>
        <w:tc>
          <w:tcPr>
            <w:tcW w:w="1920" w:type="dxa"/>
            <w:vAlign w:val="bottom"/>
            <w:tcBorders>
              <w:right w:val="single" w:sz="8" w:color="auto"/>
            </w:tcBorders>
            <w:gridSpan w:val="2"/>
          </w:tcPr>
          <w:p>
            <w:pPr>
              <w:jc w:val="center"/>
              <w:ind w:right="20"/>
              <w:spacing w:after="0"/>
              <w:rPr>
                <w:sz w:val="20"/>
                <w:szCs w:val="20"/>
                <w:color w:val="auto"/>
              </w:rPr>
            </w:pPr>
            <w:r>
              <w:rPr>
                <w:rFonts w:ascii="Arial" w:cs="Arial" w:eastAsia="Arial" w:hAnsi="Arial"/>
                <w:sz w:val="18"/>
                <w:szCs w:val="18"/>
                <w:color w:val="auto"/>
                <w:w w:val="99"/>
              </w:rPr>
              <w:t>N/A</w:t>
            </w:r>
          </w:p>
        </w:tc>
        <w:tc>
          <w:tcPr>
            <w:tcW w:w="280" w:type="dxa"/>
            <w:vAlign w:val="bottom"/>
          </w:tcPr>
          <w:p>
            <w:pPr>
              <w:spacing w:after="0"/>
              <w:rPr>
                <w:sz w:val="19"/>
                <w:szCs w:val="19"/>
                <w:color w:val="auto"/>
              </w:rPr>
            </w:pPr>
          </w:p>
        </w:tc>
        <w:tc>
          <w:tcPr>
            <w:tcW w:w="1640" w:type="dxa"/>
            <w:vAlign w:val="bottom"/>
          </w:tcPr>
          <w:p>
            <w:pPr>
              <w:jc w:val="center"/>
              <w:ind w:right="190"/>
              <w:spacing w:after="0"/>
              <w:rPr>
                <w:sz w:val="20"/>
                <w:szCs w:val="20"/>
                <w:color w:val="auto"/>
              </w:rPr>
            </w:pPr>
            <w:r>
              <w:rPr>
                <w:rFonts w:ascii="Arial" w:cs="Arial" w:eastAsia="Arial" w:hAnsi="Arial"/>
                <w:sz w:val="18"/>
                <w:szCs w:val="18"/>
                <w:color w:val="auto"/>
              </w:rPr>
              <w:t>N/A</w:t>
            </w:r>
          </w:p>
        </w:tc>
      </w:tr>
      <w:tr>
        <w:trPr>
          <w:trHeight w:val="230"/>
        </w:trPr>
        <w:tc>
          <w:tcPr>
            <w:tcW w:w="3680" w:type="dxa"/>
            <w:vAlign w:val="bottom"/>
            <w:tcBorders>
              <w:bottom w:val="single" w:sz="8" w:color="auto"/>
              <w:right w:val="single" w:sz="8" w:color="auto"/>
            </w:tcBorders>
            <w:gridSpan w:val="5"/>
          </w:tcPr>
          <w:p>
            <w:pPr>
              <w:spacing w:after="0"/>
              <w:rPr>
                <w:sz w:val="20"/>
                <w:szCs w:val="20"/>
                <w:color w:val="auto"/>
              </w:rPr>
            </w:pPr>
            <w:r>
              <w:rPr>
                <w:rFonts w:ascii="Arial" w:cs="Arial" w:eastAsia="Arial" w:hAnsi="Arial"/>
                <w:sz w:val="18"/>
                <w:szCs w:val="18"/>
                <w:color w:val="auto"/>
              </w:rPr>
              <w:t>Shares of Mereo BioPharma Group plc</w:t>
            </w:r>
          </w:p>
        </w:tc>
        <w:tc>
          <w:tcPr>
            <w:tcW w:w="220" w:type="dxa"/>
            <w:vAlign w:val="bottom"/>
            <w:tcBorders>
              <w:bottom w:val="single" w:sz="8" w:color="auto"/>
            </w:tcBorders>
          </w:tcPr>
          <w:p>
            <w:pPr>
              <w:spacing w:after="0"/>
              <w:rPr>
                <w:sz w:val="20"/>
                <w:szCs w:val="20"/>
                <w:color w:val="auto"/>
              </w:rPr>
            </w:pPr>
          </w:p>
        </w:tc>
        <w:tc>
          <w:tcPr>
            <w:tcW w:w="1340" w:type="dxa"/>
            <w:vAlign w:val="bottom"/>
            <w:tcBorders>
              <w:bottom w:val="single" w:sz="8" w:color="auto"/>
            </w:tcBorders>
          </w:tcPr>
          <w:p>
            <w:pPr>
              <w:spacing w:after="0"/>
              <w:rPr>
                <w:sz w:val="20"/>
                <w:szCs w:val="20"/>
                <w:color w:val="auto"/>
              </w:rPr>
            </w:pPr>
          </w:p>
        </w:tc>
        <w:tc>
          <w:tcPr>
            <w:tcW w:w="400" w:type="dxa"/>
            <w:vAlign w:val="bottom"/>
            <w:tcBorders>
              <w:bottom w:val="single" w:sz="8" w:color="auto"/>
              <w:right w:val="single" w:sz="8" w:color="auto"/>
            </w:tcBorders>
          </w:tcPr>
          <w:p>
            <w:pPr>
              <w:spacing w:after="0"/>
              <w:rPr>
                <w:sz w:val="20"/>
                <w:szCs w:val="20"/>
                <w:color w:val="auto"/>
              </w:rPr>
            </w:pPr>
          </w:p>
        </w:tc>
        <w:tc>
          <w:tcPr>
            <w:tcW w:w="1820" w:type="dxa"/>
            <w:vAlign w:val="bottom"/>
            <w:tcBorders>
              <w:bottom w:val="single" w:sz="8" w:color="auto"/>
            </w:tcBorders>
          </w:tcPr>
          <w:p>
            <w:pPr>
              <w:spacing w:after="0"/>
              <w:rPr>
                <w:sz w:val="20"/>
                <w:szCs w:val="20"/>
                <w:color w:val="auto"/>
              </w:rPr>
            </w:pPr>
          </w:p>
        </w:tc>
        <w:tc>
          <w:tcPr>
            <w:tcW w:w="120" w:type="dxa"/>
            <w:vAlign w:val="bottom"/>
            <w:tcBorders>
              <w:bottom w:val="single" w:sz="8" w:color="auto"/>
              <w:right w:val="single" w:sz="8" w:color="auto"/>
            </w:tcBorders>
          </w:tcPr>
          <w:p>
            <w:pPr>
              <w:spacing w:after="0"/>
              <w:rPr>
                <w:sz w:val="20"/>
                <w:szCs w:val="20"/>
                <w:color w:val="auto"/>
              </w:rPr>
            </w:pPr>
          </w:p>
        </w:tc>
        <w:tc>
          <w:tcPr>
            <w:tcW w:w="920" w:type="dxa"/>
            <w:vAlign w:val="bottom"/>
            <w:tcBorders>
              <w:bottom w:val="single" w:sz="8" w:color="auto"/>
            </w:tcBorders>
          </w:tcPr>
          <w:p>
            <w:pPr>
              <w:spacing w:after="0"/>
              <w:rPr>
                <w:sz w:val="20"/>
                <w:szCs w:val="20"/>
                <w:color w:val="auto"/>
              </w:rPr>
            </w:pPr>
          </w:p>
        </w:tc>
        <w:tc>
          <w:tcPr>
            <w:tcW w:w="1000" w:type="dxa"/>
            <w:vAlign w:val="bottom"/>
            <w:tcBorders>
              <w:bottom w:val="single" w:sz="8" w:color="auto"/>
              <w:right w:val="single" w:sz="8" w:color="auto"/>
            </w:tcBorders>
          </w:tcPr>
          <w:p>
            <w:pPr>
              <w:spacing w:after="0"/>
              <w:rPr>
                <w:sz w:val="20"/>
                <w:szCs w:val="20"/>
                <w:color w:val="auto"/>
              </w:rPr>
            </w:pPr>
          </w:p>
        </w:tc>
        <w:tc>
          <w:tcPr>
            <w:tcW w:w="280" w:type="dxa"/>
            <w:vAlign w:val="bottom"/>
            <w:tcBorders>
              <w:bottom w:val="single" w:sz="8" w:color="auto"/>
            </w:tcBorders>
          </w:tcPr>
          <w:p>
            <w:pPr>
              <w:spacing w:after="0"/>
              <w:rPr>
                <w:sz w:val="20"/>
                <w:szCs w:val="20"/>
                <w:color w:val="auto"/>
              </w:rPr>
            </w:pPr>
          </w:p>
        </w:tc>
        <w:tc>
          <w:tcPr>
            <w:tcW w:w="1640" w:type="dxa"/>
            <w:vAlign w:val="bottom"/>
            <w:tcBorders>
              <w:bottom w:val="single" w:sz="8" w:color="auto"/>
            </w:tcBorders>
          </w:tcPr>
          <w:p>
            <w:pPr>
              <w:spacing w:after="0"/>
              <w:rPr>
                <w:sz w:val="20"/>
                <w:szCs w:val="20"/>
                <w:color w:val="auto"/>
              </w:rPr>
            </w:pPr>
          </w:p>
        </w:tc>
      </w:tr>
    </w:tbl>
    <w:p>
      <w:pPr>
        <w:spacing w:after="0" w:line="229" w:lineRule="exact"/>
        <w:rPr>
          <w:sz w:val="24"/>
          <w:szCs w:val="24"/>
          <w:color w:val="auto"/>
        </w:rPr>
      </w:pPr>
    </w:p>
    <w:p>
      <w:pPr>
        <w:ind w:left="320" w:hanging="312"/>
        <w:spacing w:after="0"/>
        <w:tabs>
          <w:tab w:leader="none" w:pos="320" w:val="left"/>
        </w:tabs>
        <w:numPr>
          <w:ilvl w:val="0"/>
          <w:numId w:val="1"/>
        </w:numPr>
        <w:rPr>
          <w:rFonts w:ascii="Arial" w:cs="Arial" w:eastAsia="Arial" w:hAnsi="Arial"/>
          <w:sz w:val="18"/>
          <w:szCs w:val="18"/>
          <w:color w:val="auto"/>
        </w:rPr>
      </w:pPr>
      <w:r>
        <w:rPr>
          <w:rFonts w:ascii="Arial" w:cs="Arial" w:eastAsia="Arial" w:hAnsi="Arial"/>
          <w:sz w:val="18"/>
          <w:szCs w:val="18"/>
          <w:color w:val="auto"/>
        </w:rPr>
        <w:t>Each unit represents 100 ADSs.</w:t>
      </w:r>
    </w:p>
    <w:p>
      <w:pPr>
        <w:spacing w:after="0" w:line="23" w:lineRule="exact"/>
        <w:rPr>
          <w:sz w:val="24"/>
          <w:szCs w:val="24"/>
          <w:color w:val="auto"/>
        </w:rPr>
      </w:pPr>
    </w:p>
    <w:p>
      <w:pPr>
        <w:spacing w:after="0"/>
        <w:rPr>
          <w:sz w:val="20"/>
          <w:szCs w:val="20"/>
          <w:color w:val="auto"/>
        </w:rPr>
      </w:pPr>
      <w:r>
        <w:rPr>
          <w:rFonts w:ascii="Arial" w:cs="Arial" w:eastAsia="Arial" w:hAnsi="Arial"/>
          <w:sz w:val="17"/>
          <w:szCs w:val="17"/>
          <w:color w:val="auto"/>
        </w:rPr>
        <w:t>**  Estimated solely for the purpose of calculating the registration fee. Pursuant to Rule 457(k), such estimate is computed on the basis of the maximum</w:t>
      </w:r>
    </w:p>
    <w:p>
      <w:pPr>
        <w:sectPr>
          <w:pgSz w:w="11900" w:h="16838" w:orient="portrait"/>
          <w:cols w:equalWidth="0" w:num="1">
            <w:col w:w="11420"/>
          </w:cols>
          <w:pgMar w:left="240" w:top="472" w:right="239" w:bottom="0" w:gutter="0" w:footer="0" w:header="0"/>
        </w:sectPr>
      </w:pPr>
    </w:p>
    <w:bookmarkStart w:id="1" w:name="page2"/>
    <w:bookmarkEnd w:id="1"/>
    <w:p>
      <w:pPr>
        <w:spacing w:after="0"/>
        <w:rPr>
          <w:sz w:val="20"/>
          <w:szCs w:val="20"/>
          <w:color w:val="auto"/>
        </w:rPr>
      </w:pPr>
      <w:r>
        <w:rPr>
          <w:rFonts w:ascii="Arial" w:cs="Arial" w:eastAsia="Arial" w:hAnsi="Arial"/>
          <w:sz w:val="18"/>
          <w:szCs w:val="18"/>
          <w:color w:val="auto"/>
        </w:rPr>
        <w:t>aggregate fees or charges to be imposed in connection with the issuance of ADSs.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-197485</wp:posOffset>
            </wp:positionH>
            <wp:positionV relativeFrom="paragraph">
              <wp:posOffset>177800</wp:posOffset>
            </wp:positionV>
            <wp:extent cx="7246620" cy="8890"/>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200" w:lineRule="exact"/>
        <w:rPr>
          <w:sz w:val="20"/>
          <w:szCs w:val="20"/>
          <w:color w:val="auto"/>
        </w:rPr>
      </w:pPr>
    </w:p>
    <w:p>
      <w:pPr>
        <w:spacing w:after="0" w:line="289" w:lineRule="exact"/>
        <w:rPr>
          <w:sz w:val="20"/>
          <w:szCs w:val="20"/>
          <w:color w:val="auto"/>
        </w:rPr>
      </w:pPr>
    </w:p>
    <w:p>
      <w:pPr>
        <w:spacing w:after="0" w:line="237" w:lineRule="auto"/>
        <w:rPr>
          <w:sz w:val="20"/>
          <w:szCs w:val="20"/>
          <w:color w:val="auto"/>
        </w:rPr>
      </w:pPr>
      <w:r>
        <w:rPr>
          <w:rFonts w:ascii="Arial" w:cs="Arial" w:eastAsia="Arial" w:hAnsi="Arial"/>
          <w:sz w:val="22"/>
          <w:szCs w:val="22"/>
          <w:b w:val="1"/>
          <w:bCs w:val="1"/>
          <w:color w:val="auto"/>
        </w:rPr>
        <w:t>The Registrant hereby amends this Registration Statement on such date or dates as may be necessary to delay its effective date until the Registrant shall file a further amendment which specifically states that this Registration Statement shall thereafter become effective in accordance with Section 8(a) of the Securities Act of 1933, or until this Registration Statement shall become effective on such date as the Commission, acting pursuant to said Section 8(a), may determine.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-197485</wp:posOffset>
            </wp:positionH>
            <wp:positionV relativeFrom="paragraph">
              <wp:posOffset>219075</wp:posOffset>
            </wp:positionV>
            <wp:extent cx="7246620" cy="1714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040"/>
          </w:cols>
          <w:pgMar w:left="560" w:top="125" w:right="299" w:bottom="1440" w:gutter="0" w:footer="0" w:header="0"/>
        </w:sectPr>
      </w:pPr>
    </w:p>
    <w:bookmarkStart w:id="2" w:name="page3"/>
    <w:bookmarkEnd w:id="2"/>
    <w:p>
      <w:pPr>
        <w:ind w:left="100" w:right="99"/>
        <w:spacing w:after="0" w:line="342" w:lineRule="auto"/>
        <w:rPr>
          <w:sz w:val="20"/>
          <w:szCs w:val="20"/>
          <w:color w:val="auto"/>
        </w:rPr>
      </w:pPr>
      <w:r>
        <w:rPr>
          <w:rFonts w:ascii="Arial" w:cs="Arial" w:eastAsia="Arial" w:hAnsi="Arial"/>
          <w:sz w:val="16"/>
          <w:szCs w:val="16"/>
          <w:color w:val="auto"/>
        </w:rPr>
        <w:t>This Pre-Effective Amendment No. 2 to Registration Statement may be executed in any number of counterparts, each of which shall be deemed an original, and all of such counterparts together shall constitute one and the same instrument.</w:t>
      </w:r>
    </w:p>
    <w:p>
      <w:pPr>
        <w:spacing w:after="0" w:line="225" w:lineRule="exact"/>
        <w:rPr>
          <w:sz w:val="20"/>
          <w:szCs w:val="20"/>
          <w:color w:val="auto"/>
        </w:rPr>
      </w:pPr>
    </w:p>
    <w:p>
      <w:pPr>
        <w:jc w:val="center"/>
        <w:ind w:right="-20"/>
        <w:spacing w:after="0"/>
        <w:rPr>
          <w:sz w:val="20"/>
          <w:szCs w:val="20"/>
          <w:color w:val="auto"/>
        </w:rPr>
      </w:pPr>
      <w:r>
        <w:rPr>
          <w:rFonts w:ascii="Arial" w:cs="Arial" w:eastAsia="Arial" w:hAnsi="Arial"/>
          <w:sz w:val="22"/>
          <w:szCs w:val="22"/>
          <w:color w:val="auto"/>
        </w:rPr>
        <w:t>ii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-756285</wp:posOffset>
            </wp:positionH>
            <wp:positionV relativeFrom="paragraph">
              <wp:posOffset>7620</wp:posOffset>
            </wp:positionV>
            <wp:extent cx="7246620" cy="1714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9019"/>
          </w:cols>
          <w:pgMar w:left="1440" w:top="368" w:right="1440" w:bottom="1440" w:gutter="0" w:footer="0" w:header="0"/>
        </w:sectPr>
      </w:pPr>
    </w:p>
    <w:bookmarkStart w:id="3" w:name="page4"/>
    <w:bookmarkEnd w:id="3"/>
    <w:tbl>
      <w:tblPr>
        <w:tblLayout w:type="fixed"/>
        <w:tblInd w:w="0" w:type="dxa"/>
        <w:tblCellMar>
          <w:top w:w="0" w:type="dxa"/>
          <w:left w:w="0" w:type="dxa"/>
          <w:bottom w:w="0" w:type="dxa"/>
          <w:right w:w="0" w:type="dxa"/>
        </w:tblCellMar>
      </w:tblPr>
      <w:tr>
        <w:trPr>
          <w:trHeight w:val="234"/>
        </w:trPr>
        <w:tc>
          <w:tcPr>
            <w:tcW w:w="300" w:type="dxa"/>
            <w:vAlign w:val="bottom"/>
          </w:tcPr>
          <w:p>
            <w:pPr>
              <w:spacing w:after="0"/>
              <w:rPr>
                <w:sz w:val="20"/>
                <w:szCs w:val="20"/>
                <w:color w:val="auto"/>
              </w:rPr>
            </w:pPr>
          </w:p>
        </w:tc>
        <w:tc>
          <w:tcPr>
            <w:tcW w:w="640" w:type="dxa"/>
            <w:vAlign w:val="bottom"/>
          </w:tcPr>
          <w:p>
            <w:pPr>
              <w:spacing w:after="0"/>
              <w:rPr>
                <w:sz w:val="20"/>
                <w:szCs w:val="20"/>
                <w:color w:val="auto"/>
              </w:rPr>
            </w:pPr>
          </w:p>
        </w:tc>
        <w:tc>
          <w:tcPr>
            <w:tcW w:w="1120" w:type="dxa"/>
            <w:vAlign w:val="bottom"/>
          </w:tcPr>
          <w:p>
            <w:pPr>
              <w:spacing w:after="0"/>
              <w:rPr>
                <w:sz w:val="20"/>
                <w:szCs w:val="20"/>
                <w:color w:val="auto"/>
              </w:rPr>
            </w:pPr>
          </w:p>
        </w:tc>
        <w:tc>
          <w:tcPr>
            <w:tcW w:w="4580" w:type="dxa"/>
            <w:vAlign w:val="bottom"/>
          </w:tcPr>
          <w:p>
            <w:pPr>
              <w:jc w:val="center"/>
              <w:ind w:left="2630"/>
              <w:spacing w:after="0"/>
              <w:rPr>
                <w:sz w:val="20"/>
                <w:szCs w:val="20"/>
                <w:color w:val="auto"/>
              </w:rPr>
            </w:pPr>
            <w:r>
              <w:rPr>
                <w:rFonts w:ascii="Arial" w:cs="Arial" w:eastAsia="Arial" w:hAnsi="Arial"/>
                <w:sz w:val="18"/>
                <w:szCs w:val="18"/>
                <w:b w:val="1"/>
                <w:bCs w:val="1"/>
                <w:color w:val="auto"/>
                <w:w w:val="98"/>
              </w:rPr>
              <w:t>PART I</w:t>
            </w:r>
          </w:p>
        </w:tc>
        <w:tc>
          <w:tcPr>
            <w:tcW w:w="112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580" w:type="dxa"/>
            <w:vAlign w:val="bottom"/>
          </w:tcPr>
          <w:p>
            <w:pPr>
              <w:spacing w:after="0"/>
              <w:rPr>
                <w:sz w:val="20"/>
                <w:szCs w:val="20"/>
                <w:color w:val="auto"/>
              </w:rPr>
            </w:pPr>
          </w:p>
        </w:tc>
        <w:tc>
          <w:tcPr>
            <w:tcW w:w="2340" w:type="dxa"/>
            <w:vAlign w:val="bottom"/>
          </w:tcPr>
          <w:p>
            <w:pPr>
              <w:spacing w:after="0"/>
              <w:rPr>
                <w:sz w:val="20"/>
                <w:szCs w:val="20"/>
                <w:color w:val="auto"/>
              </w:rPr>
            </w:pPr>
          </w:p>
        </w:tc>
      </w:tr>
      <w:tr>
        <w:trPr>
          <w:trHeight w:val="432"/>
        </w:trPr>
        <w:tc>
          <w:tcPr>
            <w:tcW w:w="30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5700" w:type="dxa"/>
            <w:vAlign w:val="bottom"/>
            <w:gridSpan w:val="2"/>
          </w:tcPr>
          <w:p>
            <w:pPr>
              <w:jc w:val="center"/>
              <w:ind w:left="1510"/>
              <w:spacing w:after="0"/>
              <w:rPr>
                <w:sz w:val="20"/>
                <w:szCs w:val="20"/>
                <w:color w:val="auto"/>
              </w:rPr>
            </w:pPr>
            <w:r>
              <w:rPr>
                <w:rFonts w:ascii="Arial" w:cs="Arial" w:eastAsia="Arial" w:hAnsi="Arial"/>
                <w:sz w:val="18"/>
                <w:szCs w:val="18"/>
                <w:b w:val="1"/>
                <w:bCs w:val="1"/>
                <w:color w:val="auto"/>
              </w:rPr>
              <w:t>INFORMATION REQUIRED IN PROSPECTUS</w:t>
            </w:r>
          </w:p>
        </w:tc>
        <w:tc>
          <w:tcPr>
            <w:tcW w:w="24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2340" w:type="dxa"/>
            <w:vAlign w:val="bottom"/>
          </w:tcPr>
          <w:p>
            <w:pPr>
              <w:spacing w:after="0"/>
              <w:rPr>
                <w:sz w:val="24"/>
                <w:szCs w:val="24"/>
                <w:color w:val="auto"/>
              </w:rPr>
            </w:pPr>
          </w:p>
        </w:tc>
      </w:tr>
      <w:tr>
        <w:trPr>
          <w:trHeight w:val="432"/>
        </w:trPr>
        <w:tc>
          <w:tcPr>
            <w:tcW w:w="30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4580" w:type="dxa"/>
            <w:vAlign w:val="bottom"/>
          </w:tcPr>
          <w:p>
            <w:pPr>
              <w:jc w:val="center"/>
              <w:ind w:left="2650"/>
              <w:spacing w:after="0"/>
              <w:rPr>
                <w:sz w:val="20"/>
                <w:szCs w:val="20"/>
                <w:color w:val="auto"/>
              </w:rPr>
            </w:pPr>
            <w:r>
              <w:rPr>
                <w:rFonts w:ascii="Arial" w:cs="Arial" w:eastAsia="Arial" w:hAnsi="Arial"/>
                <w:sz w:val="18"/>
                <w:szCs w:val="18"/>
                <w:b w:val="1"/>
                <w:bCs w:val="1"/>
                <w:color w:val="auto"/>
                <w:w w:val="87"/>
              </w:rPr>
              <w:t>Cross Reference Sheet</w:t>
            </w:r>
          </w:p>
        </w:tc>
        <w:tc>
          <w:tcPr>
            <w:tcW w:w="11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2340" w:type="dxa"/>
            <w:vAlign w:val="bottom"/>
          </w:tcPr>
          <w:p>
            <w:pPr>
              <w:spacing w:after="0"/>
              <w:rPr>
                <w:sz w:val="24"/>
                <w:szCs w:val="24"/>
                <w:color w:val="auto"/>
              </w:rPr>
            </w:pPr>
          </w:p>
        </w:tc>
      </w:tr>
      <w:tr>
        <w:trPr>
          <w:trHeight w:val="432"/>
        </w:trPr>
        <w:tc>
          <w:tcPr>
            <w:tcW w:w="940" w:type="dxa"/>
            <w:vAlign w:val="bottom"/>
            <w:gridSpan w:val="2"/>
          </w:tcPr>
          <w:p>
            <w:pPr>
              <w:spacing w:after="0"/>
              <w:rPr>
                <w:sz w:val="20"/>
                <w:szCs w:val="20"/>
                <w:color w:val="auto"/>
              </w:rPr>
            </w:pPr>
            <w:r>
              <w:rPr>
                <w:rFonts w:ascii="Arial" w:cs="Arial" w:eastAsia="Arial" w:hAnsi="Arial"/>
                <w:sz w:val="18"/>
                <w:szCs w:val="18"/>
                <w:b w:val="1"/>
                <w:bCs w:val="1"/>
                <w:color w:val="auto"/>
              </w:rPr>
              <w:t>Item 1.</w:t>
            </w:r>
          </w:p>
        </w:tc>
        <w:tc>
          <w:tcPr>
            <w:tcW w:w="5700" w:type="dxa"/>
            <w:vAlign w:val="bottom"/>
            <w:gridSpan w:val="2"/>
          </w:tcPr>
          <w:p>
            <w:pPr>
              <w:ind w:left="360"/>
              <w:spacing w:after="0"/>
              <w:rPr>
                <w:sz w:val="20"/>
                <w:szCs w:val="20"/>
                <w:color w:val="auto"/>
              </w:rPr>
            </w:pPr>
            <w:r>
              <w:rPr>
                <w:rFonts w:ascii="Arial" w:cs="Arial" w:eastAsia="Arial" w:hAnsi="Arial"/>
                <w:sz w:val="18"/>
                <w:szCs w:val="18"/>
                <w:b w:val="1"/>
                <w:bCs w:val="1"/>
                <w:color w:val="auto"/>
              </w:rPr>
              <w:t>DESCRIPTION OF SECURITIES TO BE REGISTERED</w:t>
            </w:r>
          </w:p>
        </w:tc>
        <w:tc>
          <w:tcPr>
            <w:tcW w:w="11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2340" w:type="dxa"/>
            <w:vAlign w:val="bottom"/>
          </w:tcPr>
          <w:p>
            <w:pPr>
              <w:spacing w:after="0"/>
              <w:rPr>
                <w:sz w:val="24"/>
                <w:szCs w:val="24"/>
                <w:color w:val="auto"/>
              </w:rPr>
            </w:pPr>
          </w:p>
        </w:tc>
      </w:tr>
      <w:tr>
        <w:trPr>
          <w:trHeight w:val="414"/>
        </w:trPr>
        <w:tc>
          <w:tcPr>
            <w:tcW w:w="30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4580" w:type="dxa"/>
            <w:vAlign w:val="bottom"/>
          </w:tcPr>
          <w:p>
            <w:pPr>
              <w:spacing w:after="0"/>
              <w:rPr>
                <w:sz w:val="24"/>
                <w:szCs w:val="24"/>
                <w:color w:val="auto"/>
              </w:rPr>
            </w:pPr>
          </w:p>
        </w:tc>
        <w:tc>
          <w:tcPr>
            <w:tcW w:w="4580" w:type="dxa"/>
            <w:vAlign w:val="bottom"/>
            <w:gridSpan w:val="5"/>
          </w:tcPr>
          <w:p>
            <w:pPr>
              <w:spacing w:after="0"/>
              <w:rPr>
                <w:sz w:val="20"/>
                <w:szCs w:val="20"/>
                <w:color w:val="auto"/>
              </w:rPr>
            </w:pPr>
            <w:r>
              <w:rPr>
                <w:rFonts w:ascii="Arial" w:cs="Arial" w:eastAsia="Arial" w:hAnsi="Arial"/>
                <w:sz w:val="18"/>
                <w:szCs w:val="18"/>
                <w:b w:val="1"/>
                <w:bCs w:val="1"/>
                <w:color w:val="auto"/>
              </w:rPr>
              <w:t>Location in Form of American</w:t>
            </w:r>
          </w:p>
        </w:tc>
      </w:tr>
      <w:tr>
        <w:trPr>
          <w:trHeight w:val="194"/>
        </w:trPr>
        <w:tc>
          <w:tcPr>
            <w:tcW w:w="300" w:type="dxa"/>
            <w:vAlign w:val="bottom"/>
          </w:tcPr>
          <w:p>
            <w:pPr>
              <w:spacing w:after="0"/>
              <w:rPr>
                <w:sz w:val="16"/>
                <w:szCs w:val="16"/>
                <w:color w:val="auto"/>
              </w:rPr>
            </w:pPr>
          </w:p>
        </w:tc>
        <w:tc>
          <w:tcPr>
            <w:tcW w:w="640" w:type="dxa"/>
            <w:vAlign w:val="bottom"/>
          </w:tcPr>
          <w:p>
            <w:pPr>
              <w:spacing w:after="0"/>
              <w:rPr>
                <w:sz w:val="16"/>
                <w:szCs w:val="16"/>
                <w:color w:val="auto"/>
              </w:rPr>
            </w:pPr>
          </w:p>
        </w:tc>
        <w:tc>
          <w:tcPr>
            <w:tcW w:w="1120" w:type="dxa"/>
            <w:vAlign w:val="bottom"/>
          </w:tcPr>
          <w:p>
            <w:pPr>
              <w:spacing w:after="0"/>
              <w:rPr>
                <w:sz w:val="16"/>
                <w:szCs w:val="16"/>
                <w:color w:val="auto"/>
              </w:rPr>
            </w:pPr>
          </w:p>
        </w:tc>
        <w:tc>
          <w:tcPr>
            <w:tcW w:w="4580" w:type="dxa"/>
            <w:vAlign w:val="bottom"/>
          </w:tcPr>
          <w:p>
            <w:pPr>
              <w:spacing w:after="0"/>
              <w:rPr>
                <w:sz w:val="16"/>
                <w:szCs w:val="16"/>
                <w:color w:val="auto"/>
              </w:rPr>
            </w:pPr>
          </w:p>
        </w:tc>
        <w:tc>
          <w:tcPr>
            <w:tcW w:w="4580" w:type="dxa"/>
            <w:vAlign w:val="bottom"/>
            <w:gridSpan w:val="5"/>
          </w:tcPr>
          <w:p>
            <w:pPr>
              <w:spacing w:after="0" w:line="194" w:lineRule="exact"/>
              <w:rPr>
                <w:sz w:val="20"/>
                <w:szCs w:val="20"/>
                <w:color w:val="auto"/>
              </w:rPr>
            </w:pPr>
            <w:r>
              <w:rPr>
                <w:rFonts w:ascii="Arial" w:cs="Arial" w:eastAsia="Arial" w:hAnsi="Arial"/>
                <w:sz w:val="18"/>
                <w:szCs w:val="18"/>
                <w:b w:val="1"/>
                <w:bCs w:val="1"/>
                <w:color w:val="auto"/>
              </w:rPr>
              <w:t>Depositary Receipt (“Receipt”)</w:t>
            </w:r>
          </w:p>
        </w:tc>
      </w:tr>
      <w:tr>
        <w:trPr>
          <w:trHeight w:val="20"/>
        </w:trPr>
        <w:tc>
          <w:tcPr>
            <w:tcW w:w="6640" w:type="dxa"/>
            <w:vAlign w:val="bottom"/>
            <w:gridSpan w:val="4"/>
          </w:tcPr>
          <w:p>
            <w:pPr>
              <w:spacing w:after="0" w:line="20" w:lineRule="exact"/>
              <w:rPr>
                <w:sz w:val="1"/>
                <w:szCs w:val="1"/>
                <w:color w:val="auto"/>
              </w:rPr>
            </w:pPr>
          </w:p>
        </w:tc>
        <w:tc>
          <w:tcPr>
            <w:tcW w:w="112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580" w:type="dxa"/>
            <w:vAlign w:val="bottom"/>
            <w:shd w:val="clear" w:color="auto" w:fill="000000"/>
          </w:tcPr>
          <w:p>
            <w:pPr>
              <w:spacing w:after="0" w:line="20" w:lineRule="exact"/>
              <w:rPr>
                <w:sz w:val="1"/>
                <w:szCs w:val="1"/>
                <w:color w:val="auto"/>
              </w:rPr>
            </w:pPr>
          </w:p>
        </w:tc>
        <w:tc>
          <w:tcPr>
            <w:tcW w:w="2340" w:type="dxa"/>
            <w:vAlign w:val="bottom"/>
          </w:tcPr>
          <w:p>
            <w:pPr>
              <w:spacing w:after="0" w:line="20" w:lineRule="exact"/>
              <w:rPr>
                <w:sz w:val="1"/>
                <w:szCs w:val="1"/>
                <w:color w:val="auto"/>
              </w:rPr>
            </w:pPr>
          </w:p>
        </w:tc>
      </w:tr>
      <w:tr>
        <w:trPr>
          <w:trHeight w:val="196"/>
        </w:trPr>
        <w:tc>
          <w:tcPr>
            <w:tcW w:w="2060" w:type="dxa"/>
            <w:vAlign w:val="bottom"/>
            <w:tcBorders>
              <w:bottom w:val="single" w:sz="8" w:color="auto"/>
            </w:tcBorders>
            <w:gridSpan w:val="3"/>
          </w:tcPr>
          <w:p>
            <w:pPr>
              <w:spacing w:after="0" w:line="196" w:lineRule="exact"/>
              <w:rPr>
                <w:sz w:val="20"/>
                <w:szCs w:val="20"/>
                <w:color w:val="auto"/>
              </w:rPr>
            </w:pPr>
            <w:r>
              <w:rPr>
                <w:rFonts w:ascii="Arial" w:cs="Arial" w:eastAsia="Arial" w:hAnsi="Arial"/>
                <w:sz w:val="18"/>
                <w:szCs w:val="18"/>
                <w:b w:val="1"/>
                <w:bCs w:val="1"/>
                <w:color w:val="auto"/>
                <w:w w:val="93"/>
              </w:rPr>
              <w:t>Item Number and Caption</w:t>
            </w:r>
          </w:p>
        </w:tc>
        <w:tc>
          <w:tcPr>
            <w:tcW w:w="4580" w:type="dxa"/>
            <w:vAlign w:val="bottom"/>
          </w:tcPr>
          <w:p>
            <w:pPr>
              <w:spacing w:after="0"/>
              <w:rPr>
                <w:sz w:val="17"/>
                <w:szCs w:val="17"/>
                <w:color w:val="auto"/>
              </w:rPr>
            </w:pPr>
          </w:p>
        </w:tc>
        <w:tc>
          <w:tcPr>
            <w:tcW w:w="2240" w:type="dxa"/>
            <w:vAlign w:val="bottom"/>
            <w:tcBorders>
              <w:bottom w:val="single" w:sz="8" w:color="auto"/>
            </w:tcBorders>
            <w:gridSpan w:val="4"/>
          </w:tcPr>
          <w:p>
            <w:pPr>
              <w:spacing w:after="0" w:line="196" w:lineRule="exact"/>
              <w:rPr>
                <w:sz w:val="20"/>
                <w:szCs w:val="20"/>
                <w:color w:val="auto"/>
              </w:rPr>
            </w:pPr>
            <w:r>
              <w:rPr>
                <w:rFonts w:ascii="Arial" w:cs="Arial" w:eastAsia="Arial" w:hAnsi="Arial"/>
                <w:sz w:val="18"/>
                <w:szCs w:val="18"/>
                <w:b w:val="1"/>
                <w:bCs w:val="1"/>
                <w:color w:val="auto"/>
                <w:w w:val="88"/>
              </w:rPr>
              <w:t>Filed Herewith as Prospectus</w:t>
            </w:r>
          </w:p>
        </w:tc>
        <w:tc>
          <w:tcPr>
            <w:tcW w:w="2340" w:type="dxa"/>
            <w:vAlign w:val="bottom"/>
          </w:tcPr>
          <w:p>
            <w:pPr>
              <w:spacing w:after="0"/>
              <w:rPr>
                <w:sz w:val="17"/>
                <w:szCs w:val="17"/>
                <w:color w:val="auto"/>
              </w:rPr>
            </w:pPr>
          </w:p>
        </w:tc>
      </w:tr>
      <w:tr>
        <w:trPr>
          <w:trHeight w:val="412"/>
        </w:trPr>
        <w:tc>
          <w:tcPr>
            <w:tcW w:w="300" w:type="dxa"/>
            <w:vAlign w:val="bottom"/>
          </w:tcPr>
          <w:p>
            <w:pPr>
              <w:spacing w:after="0"/>
              <w:rPr>
                <w:sz w:val="20"/>
                <w:szCs w:val="20"/>
                <w:color w:val="auto"/>
              </w:rPr>
            </w:pPr>
            <w:r>
              <w:rPr>
                <w:rFonts w:ascii="Arial" w:cs="Arial" w:eastAsia="Arial" w:hAnsi="Arial"/>
                <w:sz w:val="18"/>
                <w:szCs w:val="18"/>
                <w:color w:val="auto"/>
              </w:rPr>
              <w:t>1.</w:t>
            </w:r>
          </w:p>
        </w:tc>
        <w:tc>
          <w:tcPr>
            <w:tcW w:w="6340" w:type="dxa"/>
            <w:vAlign w:val="bottom"/>
            <w:gridSpan w:val="3"/>
          </w:tcPr>
          <w:p>
            <w:pPr>
              <w:ind w:left="160"/>
              <w:spacing w:after="0"/>
              <w:rPr>
                <w:sz w:val="20"/>
                <w:szCs w:val="20"/>
                <w:color w:val="auto"/>
              </w:rPr>
            </w:pPr>
            <w:r>
              <w:rPr>
                <w:rFonts w:ascii="Arial" w:cs="Arial" w:eastAsia="Arial" w:hAnsi="Arial"/>
                <w:sz w:val="18"/>
                <w:szCs w:val="18"/>
                <w:color w:val="auto"/>
              </w:rPr>
              <w:t>Name of Depositary and address of its principal executive office</w:t>
            </w:r>
          </w:p>
        </w:tc>
        <w:tc>
          <w:tcPr>
            <w:tcW w:w="4580" w:type="dxa"/>
            <w:vAlign w:val="bottom"/>
            <w:gridSpan w:val="5"/>
          </w:tcPr>
          <w:p>
            <w:pPr>
              <w:spacing w:after="0"/>
              <w:rPr>
                <w:sz w:val="20"/>
                <w:szCs w:val="20"/>
                <w:color w:val="auto"/>
              </w:rPr>
            </w:pPr>
            <w:r>
              <w:rPr>
                <w:rFonts w:ascii="Arial" w:cs="Arial" w:eastAsia="Arial" w:hAnsi="Arial"/>
                <w:sz w:val="18"/>
                <w:szCs w:val="18"/>
                <w:color w:val="auto"/>
              </w:rPr>
              <w:t>Face of Receipt - Introductory Article.</w:t>
            </w:r>
          </w:p>
        </w:tc>
      </w:tr>
      <w:tr>
        <w:trPr>
          <w:trHeight w:val="412"/>
        </w:trPr>
        <w:tc>
          <w:tcPr>
            <w:tcW w:w="300" w:type="dxa"/>
            <w:vAlign w:val="bottom"/>
          </w:tcPr>
          <w:p>
            <w:pPr>
              <w:spacing w:after="0"/>
              <w:rPr>
                <w:sz w:val="20"/>
                <w:szCs w:val="20"/>
                <w:color w:val="auto"/>
              </w:rPr>
            </w:pPr>
            <w:r>
              <w:rPr>
                <w:rFonts w:ascii="Arial" w:cs="Arial" w:eastAsia="Arial" w:hAnsi="Arial"/>
                <w:sz w:val="18"/>
                <w:szCs w:val="18"/>
                <w:color w:val="auto"/>
              </w:rPr>
              <w:t>2.</w:t>
            </w:r>
          </w:p>
        </w:tc>
        <w:tc>
          <w:tcPr>
            <w:tcW w:w="6340" w:type="dxa"/>
            <w:vAlign w:val="bottom"/>
            <w:gridSpan w:val="3"/>
          </w:tcPr>
          <w:p>
            <w:pPr>
              <w:ind w:left="160"/>
              <w:spacing w:after="0"/>
              <w:rPr>
                <w:sz w:val="20"/>
                <w:szCs w:val="20"/>
                <w:color w:val="auto"/>
              </w:rPr>
            </w:pPr>
            <w:r>
              <w:rPr>
                <w:rFonts w:ascii="Arial" w:cs="Arial" w:eastAsia="Arial" w:hAnsi="Arial"/>
                <w:sz w:val="18"/>
                <w:szCs w:val="18"/>
                <w:color w:val="auto"/>
              </w:rPr>
              <w:t>Title of Receipts and identity of deposited securities</w:t>
            </w:r>
          </w:p>
        </w:tc>
        <w:tc>
          <w:tcPr>
            <w:tcW w:w="1120" w:type="dxa"/>
            <w:vAlign w:val="bottom"/>
            <w:tcBorders>
              <w:top w:val="single" w:sz="8" w:color="auto"/>
              <w:bottom w:val="single" w:sz="8" w:color="auto"/>
            </w:tcBorders>
          </w:tcPr>
          <w:p>
            <w:pPr>
              <w:spacing w:after="0"/>
              <w:rPr>
                <w:sz w:val="20"/>
                <w:szCs w:val="20"/>
                <w:color w:val="auto"/>
              </w:rPr>
            </w:pPr>
            <w:r>
              <w:rPr>
                <w:rFonts w:ascii="Arial" w:cs="Arial" w:eastAsia="Arial" w:hAnsi="Arial"/>
                <w:sz w:val="18"/>
                <w:szCs w:val="18"/>
                <w:color w:val="auto"/>
                <w:w w:val="87"/>
              </w:rPr>
              <w:t>Face of Receipt</w:t>
            </w:r>
          </w:p>
        </w:tc>
        <w:tc>
          <w:tcPr>
            <w:tcW w:w="3460" w:type="dxa"/>
            <w:vAlign w:val="bottom"/>
            <w:gridSpan w:val="4"/>
          </w:tcPr>
          <w:p>
            <w:pPr>
              <w:ind w:left="100"/>
              <w:spacing w:after="0"/>
              <w:rPr>
                <w:sz w:val="20"/>
                <w:szCs w:val="20"/>
                <w:color w:val="auto"/>
              </w:rPr>
            </w:pPr>
            <w:r>
              <w:rPr>
                <w:rFonts w:ascii="Arial" w:cs="Arial" w:eastAsia="Arial" w:hAnsi="Arial"/>
                <w:sz w:val="18"/>
                <w:szCs w:val="18"/>
                <w:color w:val="auto"/>
              </w:rPr>
              <w:t>- Top Center.</w:t>
            </w:r>
          </w:p>
        </w:tc>
      </w:tr>
      <w:tr>
        <w:trPr>
          <w:trHeight w:val="453"/>
        </w:trPr>
        <w:tc>
          <w:tcPr>
            <w:tcW w:w="300" w:type="dxa"/>
            <w:vAlign w:val="bottom"/>
          </w:tcPr>
          <w:p>
            <w:pPr>
              <w:spacing w:after="0"/>
              <w:rPr>
                <w:sz w:val="24"/>
                <w:szCs w:val="24"/>
                <w:color w:val="auto"/>
              </w:rPr>
            </w:pPr>
          </w:p>
        </w:tc>
        <w:tc>
          <w:tcPr>
            <w:tcW w:w="6340" w:type="dxa"/>
            <w:vAlign w:val="bottom"/>
            <w:gridSpan w:val="3"/>
          </w:tcPr>
          <w:p>
            <w:pPr>
              <w:ind w:left="160"/>
              <w:spacing w:after="0"/>
              <w:rPr>
                <w:sz w:val="20"/>
                <w:szCs w:val="20"/>
                <w:color w:val="auto"/>
              </w:rPr>
            </w:pPr>
            <w:r>
              <w:rPr>
                <w:rFonts w:ascii="Arial" w:cs="Arial" w:eastAsia="Arial" w:hAnsi="Arial"/>
                <w:sz w:val="18"/>
                <w:szCs w:val="18"/>
                <w:color w:val="auto"/>
              </w:rPr>
              <w:t>Terms of Deposit:</w:t>
            </w:r>
          </w:p>
        </w:tc>
        <w:tc>
          <w:tcPr>
            <w:tcW w:w="11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2340" w:type="dxa"/>
            <w:vAlign w:val="bottom"/>
          </w:tcPr>
          <w:p>
            <w:pPr>
              <w:spacing w:after="0"/>
              <w:rPr>
                <w:sz w:val="24"/>
                <w:szCs w:val="24"/>
                <w:color w:val="auto"/>
              </w:rPr>
            </w:pPr>
          </w:p>
        </w:tc>
      </w:tr>
      <w:tr>
        <w:trPr>
          <w:trHeight w:val="392"/>
        </w:trPr>
        <w:tc>
          <w:tcPr>
            <w:tcW w:w="300" w:type="dxa"/>
            <w:vAlign w:val="bottom"/>
          </w:tcPr>
          <w:p>
            <w:pPr>
              <w:spacing w:after="0"/>
              <w:rPr>
                <w:sz w:val="24"/>
                <w:szCs w:val="24"/>
                <w:color w:val="auto"/>
              </w:rPr>
            </w:pPr>
          </w:p>
        </w:tc>
        <w:tc>
          <w:tcPr>
            <w:tcW w:w="640" w:type="dxa"/>
            <w:vAlign w:val="bottom"/>
          </w:tcPr>
          <w:p>
            <w:pPr>
              <w:ind w:left="160"/>
              <w:spacing w:after="0"/>
              <w:rPr>
                <w:sz w:val="20"/>
                <w:szCs w:val="20"/>
                <w:color w:val="auto"/>
              </w:rPr>
            </w:pPr>
            <w:r>
              <w:rPr>
                <w:rFonts w:ascii="Arial" w:cs="Arial" w:eastAsia="Arial" w:hAnsi="Arial"/>
                <w:sz w:val="18"/>
                <w:szCs w:val="18"/>
                <w:color w:val="auto"/>
              </w:rPr>
              <w:t>(i)</w:t>
            </w:r>
          </w:p>
        </w:tc>
        <w:tc>
          <w:tcPr>
            <w:tcW w:w="5700" w:type="dxa"/>
            <w:vAlign w:val="bottom"/>
            <w:gridSpan w:val="2"/>
          </w:tcPr>
          <w:p>
            <w:pPr>
              <w:ind w:left="100"/>
              <w:spacing w:after="0"/>
              <w:rPr>
                <w:sz w:val="20"/>
                <w:szCs w:val="20"/>
                <w:color w:val="auto"/>
              </w:rPr>
            </w:pPr>
            <w:r>
              <w:rPr>
                <w:rFonts w:ascii="Arial" w:cs="Arial" w:eastAsia="Arial" w:hAnsi="Arial"/>
                <w:sz w:val="18"/>
                <w:szCs w:val="18"/>
                <w:color w:val="auto"/>
              </w:rPr>
              <w:t>The amount of deposited securities represented by one American</w:t>
            </w:r>
          </w:p>
        </w:tc>
        <w:tc>
          <w:tcPr>
            <w:tcW w:w="1120" w:type="dxa"/>
            <w:vAlign w:val="bottom"/>
            <w:tcBorders>
              <w:bottom w:val="single" w:sz="8" w:color="auto"/>
            </w:tcBorders>
          </w:tcPr>
          <w:p>
            <w:pPr>
              <w:spacing w:after="0"/>
              <w:rPr>
                <w:sz w:val="20"/>
                <w:szCs w:val="20"/>
                <w:color w:val="auto"/>
              </w:rPr>
            </w:pPr>
            <w:r>
              <w:rPr>
                <w:rFonts w:ascii="Arial" w:cs="Arial" w:eastAsia="Arial" w:hAnsi="Arial"/>
                <w:sz w:val="18"/>
                <w:szCs w:val="18"/>
                <w:color w:val="auto"/>
                <w:w w:val="87"/>
              </w:rPr>
              <w:t>Face of Receipt</w:t>
            </w:r>
          </w:p>
        </w:tc>
        <w:tc>
          <w:tcPr>
            <w:tcW w:w="3460" w:type="dxa"/>
            <w:vAlign w:val="bottom"/>
            <w:gridSpan w:val="4"/>
          </w:tcPr>
          <w:p>
            <w:pPr>
              <w:ind w:left="100"/>
              <w:spacing w:after="0"/>
              <w:rPr>
                <w:sz w:val="20"/>
                <w:szCs w:val="20"/>
                <w:color w:val="auto"/>
              </w:rPr>
            </w:pPr>
            <w:r>
              <w:rPr>
                <w:rFonts w:ascii="Arial" w:cs="Arial" w:eastAsia="Arial" w:hAnsi="Arial"/>
                <w:sz w:val="18"/>
                <w:szCs w:val="18"/>
                <w:color w:val="auto"/>
              </w:rPr>
              <w:t>- Upper right corner.</w:t>
            </w:r>
          </w:p>
        </w:tc>
      </w:tr>
      <w:tr>
        <w:trPr>
          <w:trHeight w:val="237"/>
        </w:trPr>
        <w:tc>
          <w:tcPr>
            <w:tcW w:w="300" w:type="dxa"/>
            <w:vAlign w:val="bottom"/>
          </w:tcPr>
          <w:p>
            <w:pPr>
              <w:spacing w:after="0"/>
              <w:rPr>
                <w:sz w:val="20"/>
                <w:szCs w:val="20"/>
                <w:color w:val="auto"/>
              </w:rPr>
            </w:pPr>
          </w:p>
        </w:tc>
        <w:tc>
          <w:tcPr>
            <w:tcW w:w="640" w:type="dxa"/>
            <w:vAlign w:val="bottom"/>
          </w:tcPr>
          <w:p>
            <w:pPr>
              <w:spacing w:after="0"/>
              <w:rPr>
                <w:sz w:val="20"/>
                <w:szCs w:val="20"/>
                <w:color w:val="auto"/>
              </w:rPr>
            </w:pPr>
          </w:p>
        </w:tc>
        <w:tc>
          <w:tcPr>
            <w:tcW w:w="5700" w:type="dxa"/>
            <w:vAlign w:val="bottom"/>
            <w:gridSpan w:val="2"/>
          </w:tcPr>
          <w:p>
            <w:pPr>
              <w:ind w:left="100"/>
              <w:spacing w:after="0"/>
              <w:rPr>
                <w:sz w:val="20"/>
                <w:szCs w:val="20"/>
                <w:color w:val="auto"/>
              </w:rPr>
            </w:pPr>
            <w:r>
              <w:rPr>
                <w:rFonts w:ascii="Arial" w:cs="Arial" w:eastAsia="Arial" w:hAnsi="Arial"/>
                <w:sz w:val="18"/>
                <w:szCs w:val="18"/>
                <w:color w:val="auto"/>
              </w:rPr>
              <w:t>Depositary Share ("ADSs")</w:t>
            </w:r>
          </w:p>
        </w:tc>
        <w:tc>
          <w:tcPr>
            <w:tcW w:w="112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580" w:type="dxa"/>
            <w:vAlign w:val="bottom"/>
          </w:tcPr>
          <w:p>
            <w:pPr>
              <w:spacing w:after="0"/>
              <w:rPr>
                <w:sz w:val="20"/>
                <w:szCs w:val="20"/>
                <w:color w:val="auto"/>
              </w:rPr>
            </w:pPr>
          </w:p>
        </w:tc>
        <w:tc>
          <w:tcPr>
            <w:tcW w:w="2340" w:type="dxa"/>
            <w:vAlign w:val="bottom"/>
          </w:tcPr>
          <w:p>
            <w:pPr>
              <w:spacing w:after="0"/>
              <w:rPr>
                <w:sz w:val="20"/>
                <w:szCs w:val="20"/>
                <w:color w:val="auto"/>
              </w:rPr>
            </w:pPr>
          </w:p>
        </w:tc>
      </w:tr>
      <w:tr>
        <w:trPr>
          <w:trHeight w:val="392"/>
        </w:trPr>
        <w:tc>
          <w:tcPr>
            <w:tcW w:w="300" w:type="dxa"/>
            <w:vAlign w:val="bottom"/>
          </w:tcPr>
          <w:p>
            <w:pPr>
              <w:spacing w:after="0"/>
              <w:rPr>
                <w:sz w:val="24"/>
                <w:szCs w:val="24"/>
                <w:color w:val="auto"/>
              </w:rPr>
            </w:pPr>
          </w:p>
        </w:tc>
        <w:tc>
          <w:tcPr>
            <w:tcW w:w="640" w:type="dxa"/>
            <w:vAlign w:val="bottom"/>
          </w:tcPr>
          <w:p>
            <w:pPr>
              <w:ind w:left="160"/>
              <w:spacing w:after="0"/>
              <w:rPr>
                <w:sz w:val="20"/>
                <w:szCs w:val="20"/>
                <w:color w:val="auto"/>
              </w:rPr>
            </w:pPr>
            <w:r>
              <w:rPr>
                <w:rFonts w:ascii="Arial" w:cs="Arial" w:eastAsia="Arial" w:hAnsi="Arial"/>
                <w:sz w:val="18"/>
                <w:szCs w:val="18"/>
                <w:color w:val="auto"/>
              </w:rPr>
              <w:t>(ii)</w:t>
            </w:r>
          </w:p>
        </w:tc>
        <w:tc>
          <w:tcPr>
            <w:tcW w:w="5700" w:type="dxa"/>
            <w:vAlign w:val="bottom"/>
            <w:gridSpan w:val="2"/>
          </w:tcPr>
          <w:p>
            <w:pPr>
              <w:ind w:left="100"/>
              <w:spacing w:after="0"/>
              <w:rPr>
                <w:sz w:val="20"/>
                <w:szCs w:val="20"/>
                <w:color w:val="auto"/>
              </w:rPr>
            </w:pPr>
            <w:r>
              <w:rPr>
                <w:rFonts w:ascii="Arial" w:cs="Arial" w:eastAsia="Arial" w:hAnsi="Arial"/>
                <w:sz w:val="18"/>
                <w:szCs w:val="18"/>
                <w:color w:val="auto"/>
              </w:rPr>
              <w:t>The procedure for voting, if any, the deposited securities</w:t>
            </w:r>
          </w:p>
        </w:tc>
        <w:tc>
          <w:tcPr>
            <w:tcW w:w="4580" w:type="dxa"/>
            <w:vAlign w:val="bottom"/>
            <w:gridSpan w:val="5"/>
          </w:tcPr>
          <w:p>
            <w:pPr>
              <w:spacing w:after="0"/>
              <w:rPr>
                <w:sz w:val="20"/>
                <w:szCs w:val="20"/>
                <w:color w:val="auto"/>
              </w:rPr>
            </w:pPr>
            <w:r>
              <w:rPr>
                <w:rFonts w:ascii="Arial" w:cs="Arial" w:eastAsia="Arial" w:hAnsi="Arial"/>
                <w:sz w:val="18"/>
                <w:szCs w:val="18"/>
                <w:color w:val="auto"/>
              </w:rPr>
              <w:t>Reverse of Receipt - Paragraphs (17) and (18).</w:t>
            </w:r>
          </w:p>
        </w:tc>
      </w:tr>
      <w:tr>
        <w:trPr>
          <w:trHeight w:val="20"/>
        </w:trPr>
        <w:tc>
          <w:tcPr>
            <w:tcW w:w="30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5700" w:type="dxa"/>
            <w:vAlign w:val="bottom"/>
            <w:gridSpan w:val="2"/>
          </w:tcPr>
          <w:p>
            <w:pPr>
              <w:spacing w:after="0" w:line="20" w:lineRule="exact"/>
              <w:rPr>
                <w:sz w:val="1"/>
                <w:szCs w:val="1"/>
                <w:color w:val="auto"/>
              </w:rPr>
            </w:pPr>
          </w:p>
        </w:tc>
        <w:tc>
          <w:tcPr>
            <w:tcW w:w="1360" w:type="dxa"/>
            <w:vAlign w:val="bottom"/>
            <w:gridSpan w:val="2"/>
            <w:shd w:val="clear" w:color="auto" w:fill="000000"/>
          </w:tcPr>
          <w:p>
            <w:pPr>
              <w:spacing w:after="0" w:line="20" w:lineRule="exact"/>
              <w:rPr>
                <w:sz w:val="1"/>
                <w:szCs w:val="1"/>
                <w:color w:val="auto"/>
              </w:rPr>
            </w:pPr>
          </w:p>
        </w:tc>
        <w:tc>
          <w:tcPr>
            <w:tcW w:w="3220" w:type="dxa"/>
            <w:vAlign w:val="bottom"/>
            <w:gridSpan w:val="3"/>
          </w:tcPr>
          <w:p>
            <w:pPr>
              <w:spacing w:after="0" w:line="20" w:lineRule="exact"/>
              <w:rPr>
                <w:sz w:val="1"/>
                <w:szCs w:val="1"/>
                <w:color w:val="auto"/>
              </w:rPr>
            </w:pPr>
          </w:p>
        </w:tc>
      </w:tr>
      <w:tr>
        <w:trPr>
          <w:trHeight w:val="412"/>
        </w:trPr>
        <w:tc>
          <w:tcPr>
            <w:tcW w:w="300" w:type="dxa"/>
            <w:vAlign w:val="bottom"/>
          </w:tcPr>
          <w:p>
            <w:pPr>
              <w:spacing w:after="0"/>
              <w:rPr>
                <w:sz w:val="24"/>
                <w:szCs w:val="24"/>
                <w:color w:val="auto"/>
              </w:rPr>
            </w:pPr>
          </w:p>
        </w:tc>
        <w:tc>
          <w:tcPr>
            <w:tcW w:w="640" w:type="dxa"/>
            <w:vAlign w:val="bottom"/>
          </w:tcPr>
          <w:p>
            <w:pPr>
              <w:ind w:left="160"/>
              <w:spacing w:after="0"/>
              <w:rPr>
                <w:sz w:val="20"/>
                <w:szCs w:val="20"/>
                <w:color w:val="auto"/>
              </w:rPr>
            </w:pPr>
            <w:r>
              <w:rPr>
                <w:rFonts w:ascii="Arial" w:cs="Arial" w:eastAsia="Arial" w:hAnsi="Arial"/>
                <w:sz w:val="18"/>
                <w:szCs w:val="18"/>
                <w:color w:val="auto"/>
              </w:rPr>
              <w:t>(iii)</w:t>
            </w:r>
          </w:p>
        </w:tc>
        <w:tc>
          <w:tcPr>
            <w:tcW w:w="5700" w:type="dxa"/>
            <w:vAlign w:val="bottom"/>
            <w:gridSpan w:val="2"/>
          </w:tcPr>
          <w:p>
            <w:pPr>
              <w:ind w:left="100"/>
              <w:spacing w:after="0"/>
              <w:rPr>
                <w:sz w:val="20"/>
                <w:szCs w:val="20"/>
                <w:color w:val="auto"/>
              </w:rPr>
            </w:pPr>
            <w:r>
              <w:rPr>
                <w:rFonts w:ascii="Arial" w:cs="Arial" w:eastAsia="Arial" w:hAnsi="Arial"/>
                <w:sz w:val="18"/>
                <w:szCs w:val="18"/>
                <w:color w:val="auto"/>
              </w:rPr>
              <w:t>The collection and distribution of dividends</w:t>
            </w:r>
          </w:p>
        </w:tc>
        <w:tc>
          <w:tcPr>
            <w:tcW w:w="4580" w:type="dxa"/>
            <w:vAlign w:val="bottom"/>
            <w:gridSpan w:val="5"/>
          </w:tcPr>
          <w:p>
            <w:pPr>
              <w:spacing w:after="0"/>
              <w:rPr>
                <w:sz w:val="20"/>
                <w:szCs w:val="20"/>
                <w:color w:val="auto"/>
              </w:rPr>
            </w:pPr>
            <w:r>
              <w:rPr>
                <w:rFonts w:ascii="Arial" w:cs="Arial" w:eastAsia="Arial" w:hAnsi="Arial"/>
                <w:sz w:val="18"/>
                <w:szCs w:val="18"/>
                <w:color w:val="auto"/>
              </w:rPr>
              <w:t>Reverse of Receipt - Paragraph (15).</w:t>
            </w:r>
          </w:p>
        </w:tc>
      </w:tr>
      <w:tr>
        <w:trPr>
          <w:trHeight w:val="20"/>
        </w:trPr>
        <w:tc>
          <w:tcPr>
            <w:tcW w:w="30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5700" w:type="dxa"/>
            <w:vAlign w:val="bottom"/>
            <w:gridSpan w:val="2"/>
          </w:tcPr>
          <w:p>
            <w:pPr>
              <w:spacing w:after="0" w:line="20" w:lineRule="exact"/>
              <w:rPr>
                <w:sz w:val="1"/>
                <w:szCs w:val="1"/>
                <w:color w:val="auto"/>
              </w:rPr>
            </w:pPr>
          </w:p>
        </w:tc>
        <w:tc>
          <w:tcPr>
            <w:tcW w:w="1120" w:type="dxa"/>
            <w:vAlign w:val="bottom"/>
            <w:shd w:val="clear" w:color="auto" w:fill="000000"/>
          </w:tcPr>
          <w:p>
            <w:pPr>
              <w:spacing w:after="0" w:line="20" w:lineRule="exact"/>
              <w:rPr>
                <w:sz w:val="1"/>
                <w:szCs w:val="1"/>
                <w:color w:val="auto"/>
              </w:rPr>
            </w:pPr>
          </w:p>
        </w:tc>
        <w:tc>
          <w:tcPr>
            <w:tcW w:w="240" w:type="dxa"/>
            <w:vAlign w:val="bottom"/>
            <w:shd w:val="clear" w:color="auto" w:fill="000000"/>
          </w:tcPr>
          <w:p>
            <w:pPr>
              <w:spacing w:after="0" w:line="20" w:lineRule="exact"/>
              <w:rPr>
                <w:sz w:val="1"/>
                <w:szCs w:val="1"/>
                <w:color w:val="auto"/>
              </w:rPr>
            </w:pPr>
          </w:p>
        </w:tc>
        <w:tc>
          <w:tcPr>
            <w:tcW w:w="3220" w:type="dxa"/>
            <w:vAlign w:val="bottom"/>
            <w:gridSpan w:val="3"/>
          </w:tcPr>
          <w:p>
            <w:pPr>
              <w:spacing w:after="0" w:line="20" w:lineRule="exact"/>
              <w:rPr>
                <w:sz w:val="1"/>
                <w:szCs w:val="1"/>
                <w:color w:val="auto"/>
              </w:rPr>
            </w:pPr>
          </w:p>
        </w:tc>
      </w:tr>
      <w:tr>
        <w:trPr>
          <w:trHeight w:val="412"/>
        </w:trPr>
        <w:tc>
          <w:tcPr>
            <w:tcW w:w="300" w:type="dxa"/>
            <w:vAlign w:val="bottom"/>
          </w:tcPr>
          <w:p>
            <w:pPr>
              <w:spacing w:after="0"/>
              <w:rPr>
                <w:sz w:val="24"/>
                <w:szCs w:val="24"/>
                <w:color w:val="auto"/>
              </w:rPr>
            </w:pPr>
          </w:p>
        </w:tc>
        <w:tc>
          <w:tcPr>
            <w:tcW w:w="640" w:type="dxa"/>
            <w:vAlign w:val="bottom"/>
          </w:tcPr>
          <w:p>
            <w:pPr>
              <w:ind w:left="160"/>
              <w:spacing w:after="0"/>
              <w:rPr>
                <w:sz w:val="20"/>
                <w:szCs w:val="20"/>
                <w:color w:val="auto"/>
              </w:rPr>
            </w:pPr>
            <w:r>
              <w:rPr>
                <w:rFonts w:ascii="Arial" w:cs="Arial" w:eastAsia="Arial" w:hAnsi="Arial"/>
                <w:sz w:val="18"/>
                <w:szCs w:val="18"/>
                <w:color w:val="auto"/>
              </w:rPr>
              <w:t>(iv)</w:t>
            </w:r>
          </w:p>
        </w:tc>
        <w:tc>
          <w:tcPr>
            <w:tcW w:w="5700" w:type="dxa"/>
            <w:vAlign w:val="bottom"/>
            <w:gridSpan w:val="2"/>
          </w:tcPr>
          <w:p>
            <w:pPr>
              <w:ind w:left="100"/>
              <w:spacing w:after="0"/>
              <w:rPr>
                <w:sz w:val="20"/>
                <w:szCs w:val="20"/>
                <w:color w:val="auto"/>
              </w:rPr>
            </w:pPr>
            <w:r>
              <w:rPr>
                <w:rFonts w:ascii="Arial" w:cs="Arial" w:eastAsia="Arial" w:hAnsi="Arial"/>
                <w:sz w:val="18"/>
                <w:szCs w:val="18"/>
                <w:color w:val="auto"/>
              </w:rPr>
              <w:t>The transmission of notices, reports and proxy soliciting material</w:t>
            </w:r>
          </w:p>
        </w:tc>
        <w:tc>
          <w:tcPr>
            <w:tcW w:w="1120" w:type="dxa"/>
            <w:vAlign w:val="bottom"/>
            <w:tcBorders>
              <w:bottom w:val="single" w:sz="8" w:color="auto"/>
            </w:tcBorders>
          </w:tcPr>
          <w:p>
            <w:pPr>
              <w:spacing w:after="0"/>
              <w:rPr>
                <w:sz w:val="20"/>
                <w:szCs w:val="20"/>
                <w:color w:val="auto"/>
              </w:rPr>
            </w:pPr>
            <w:r>
              <w:rPr>
                <w:rFonts w:ascii="Arial" w:cs="Arial" w:eastAsia="Arial" w:hAnsi="Arial"/>
                <w:sz w:val="18"/>
                <w:szCs w:val="18"/>
                <w:color w:val="auto"/>
                <w:w w:val="87"/>
              </w:rPr>
              <w:t>Face of Receipt</w:t>
            </w:r>
          </w:p>
        </w:tc>
        <w:tc>
          <w:tcPr>
            <w:tcW w:w="3460" w:type="dxa"/>
            <w:vAlign w:val="bottom"/>
            <w:gridSpan w:val="4"/>
          </w:tcPr>
          <w:p>
            <w:pPr>
              <w:ind w:left="100"/>
              <w:spacing w:after="0"/>
              <w:rPr>
                <w:sz w:val="20"/>
                <w:szCs w:val="20"/>
                <w:color w:val="auto"/>
              </w:rPr>
            </w:pPr>
            <w:r>
              <w:rPr>
                <w:rFonts w:ascii="Arial" w:cs="Arial" w:eastAsia="Arial" w:hAnsi="Arial"/>
                <w:sz w:val="18"/>
                <w:szCs w:val="18"/>
                <w:color w:val="auto"/>
              </w:rPr>
              <w:t>- Paragraph (14);</w:t>
            </w:r>
          </w:p>
        </w:tc>
      </w:tr>
      <w:tr>
        <w:trPr>
          <w:trHeight w:val="196"/>
        </w:trPr>
        <w:tc>
          <w:tcPr>
            <w:tcW w:w="300" w:type="dxa"/>
            <w:vAlign w:val="bottom"/>
          </w:tcPr>
          <w:p>
            <w:pPr>
              <w:spacing w:after="0"/>
              <w:rPr>
                <w:sz w:val="17"/>
                <w:szCs w:val="17"/>
                <w:color w:val="auto"/>
              </w:rPr>
            </w:pPr>
          </w:p>
        </w:tc>
        <w:tc>
          <w:tcPr>
            <w:tcW w:w="640" w:type="dxa"/>
            <w:vAlign w:val="bottom"/>
          </w:tcPr>
          <w:p>
            <w:pPr>
              <w:spacing w:after="0"/>
              <w:rPr>
                <w:sz w:val="17"/>
                <w:szCs w:val="17"/>
                <w:color w:val="auto"/>
              </w:rPr>
            </w:pPr>
          </w:p>
        </w:tc>
        <w:tc>
          <w:tcPr>
            <w:tcW w:w="1120" w:type="dxa"/>
            <w:vAlign w:val="bottom"/>
          </w:tcPr>
          <w:p>
            <w:pPr>
              <w:spacing w:after="0"/>
              <w:rPr>
                <w:sz w:val="17"/>
                <w:szCs w:val="17"/>
                <w:color w:val="auto"/>
              </w:rPr>
            </w:pPr>
          </w:p>
        </w:tc>
        <w:tc>
          <w:tcPr>
            <w:tcW w:w="4580" w:type="dxa"/>
            <w:vAlign w:val="bottom"/>
          </w:tcPr>
          <w:p>
            <w:pPr>
              <w:spacing w:after="0"/>
              <w:rPr>
                <w:sz w:val="17"/>
                <w:szCs w:val="17"/>
                <w:color w:val="auto"/>
              </w:rPr>
            </w:pPr>
          </w:p>
        </w:tc>
        <w:tc>
          <w:tcPr>
            <w:tcW w:w="4580" w:type="dxa"/>
            <w:vAlign w:val="bottom"/>
            <w:gridSpan w:val="5"/>
          </w:tcPr>
          <w:p>
            <w:pPr>
              <w:spacing w:after="0" w:line="196" w:lineRule="exact"/>
              <w:rPr>
                <w:sz w:val="20"/>
                <w:szCs w:val="20"/>
                <w:color w:val="auto"/>
              </w:rPr>
            </w:pPr>
            <w:r>
              <w:rPr>
                <w:rFonts w:ascii="Arial" w:cs="Arial" w:eastAsia="Arial" w:hAnsi="Arial"/>
                <w:sz w:val="18"/>
                <w:szCs w:val="18"/>
                <w:color w:val="auto"/>
              </w:rPr>
              <w:t>Reverse of Receipt - Paragraph (18).</w:t>
            </w:r>
          </w:p>
        </w:tc>
      </w:tr>
      <w:tr>
        <w:trPr>
          <w:trHeight w:val="20"/>
        </w:trPr>
        <w:tc>
          <w:tcPr>
            <w:tcW w:w="30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5700" w:type="dxa"/>
            <w:vAlign w:val="bottom"/>
            <w:gridSpan w:val="2"/>
          </w:tcPr>
          <w:p>
            <w:pPr>
              <w:spacing w:after="0" w:line="20" w:lineRule="exact"/>
              <w:rPr>
                <w:sz w:val="1"/>
                <w:szCs w:val="1"/>
                <w:color w:val="auto"/>
              </w:rPr>
            </w:pPr>
          </w:p>
        </w:tc>
        <w:tc>
          <w:tcPr>
            <w:tcW w:w="1360" w:type="dxa"/>
            <w:vAlign w:val="bottom"/>
            <w:gridSpan w:val="2"/>
            <w:shd w:val="clear" w:color="auto" w:fill="000000"/>
          </w:tcPr>
          <w:p>
            <w:pPr>
              <w:spacing w:after="0" w:line="20" w:lineRule="exact"/>
              <w:rPr>
                <w:sz w:val="1"/>
                <w:szCs w:val="1"/>
                <w:color w:val="auto"/>
              </w:rPr>
            </w:pPr>
          </w:p>
        </w:tc>
        <w:tc>
          <w:tcPr>
            <w:tcW w:w="3220" w:type="dxa"/>
            <w:vAlign w:val="bottom"/>
            <w:gridSpan w:val="3"/>
          </w:tcPr>
          <w:p>
            <w:pPr>
              <w:spacing w:after="0" w:line="20" w:lineRule="exact"/>
              <w:rPr>
                <w:sz w:val="1"/>
                <w:szCs w:val="1"/>
                <w:color w:val="auto"/>
              </w:rPr>
            </w:pPr>
          </w:p>
        </w:tc>
      </w:tr>
      <w:tr>
        <w:trPr>
          <w:trHeight w:val="412"/>
        </w:trPr>
        <w:tc>
          <w:tcPr>
            <w:tcW w:w="300" w:type="dxa"/>
            <w:vAlign w:val="bottom"/>
          </w:tcPr>
          <w:p>
            <w:pPr>
              <w:spacing w:after="0"/>
              <w:rPr>
                <w:sz w:val="24"/>
                <w:szCs w:val="24"/>
                <w:color w:val="auto"/>
              </w:rPr>
            </w:pPr>
          </w:p>
        </w:tc>
        <w:tc>
          <w:tcPr>
            <w:tcW w:w="640" w:type="dxa"/>
            <w:vAlign w:val="bottom"/>
          </w:tcPr>
          <w:p>
            <w:pPr>
              <w:ind w:left="160"/>
              <w:spacing w:after="0"/>
              <w:rPr>
                <w:sz w:val="20"/>
                <w:szCs w:val="20"/>
                <w:color w:val="auto"/>
              </w:rPr>
            </w:pPr>
            <w:r>
              <w:rPr>
                <w:rFonts w:ascii="Arial" w:cs="Arial" w:eastAsia="Arial" w:hAnsi="Arial"/>
                <w:sz w:val="18"/>
                <w:szCs w:val="18"/>
                <w:color w:val="auto"/>
              </w:rPr>
              <w:t>(v)</w:t>
            </w:r>
          </w:p>
        </w:tc>
        <w:tc>
          <w:tcPr>
            <w:tcW w:w="5700" w:type="dxa"/>
            <w:vAlign w:val="bottom"/>
            <w:gridSpan w:val="2"/>
          </w:tcPr>
          <w:p>
            <w:pPr>
              <w:ind w:left="100"/>
              <w:spacing w:after="0"/>
              <w:rPr>
                <w:sz w:val="20"/>
                <w:szCs w:val="20"/>
                <w:color w:val="auto"/>
              </w:rPr>
            </w:pPr>
            <w:r>
              <w:rPr>
                <w:rFonts w:ascii="Arial" w:cs="Arial" w:eastAsia="Arial" w:hAnsi="Arial"/>
                <w:sz w:val="18"/>
                <w:szCs w:val="18"/>
                <w:color w:val="auto"/>
              </w:rPr>
              <w:t>The sale or exercise of rights</w:t>
            </w:r>
          </w:p>
        </w:tc>
        <w:tc>
          <w:tcPr>
            <w:tcW w:w="4580" w:type="dxa"/>
            <w:vAlign w:val="bottom"/>
            <w:gridSpan w:val="5"/>
          </w:tcPr>
          <w:p>
            <w:pPr>
              <w:spacing w:after="0"/>
              <w:rPr>
                <w:sz w:val="20"/>
                <w:szCs w:val="20"/>
                <w:color w:val="auto"/>
              </w:rPr>
            </w:pPr>
            <w:r>
              <w:rPr>
                <w:rFonts w:ascii="Arial" w:cs="Arial" w:eastAsia="Arial" w:hAnsi="Arial"/>
                <w:sz w:val="18"/>
                <w:szCs w:val="18"/>
                <w:color w:val="auto"/>
              </w:rPr>
              <w:t>Reverse of Receipt – Paragraphs (15) and (17).</w:t>
            </w:r>
          </w:p>
        </w:tc>
      </w:tr>
      <w:tr>
        <w:trPr>
          <w:trHeight w:val="20"/>
        </w:trPr>
        <w:tc>
          <w:tcPr>
            <w:tcW w:w="30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5700" w:type="dxa"/>
            <w:vAlign w:val="bottom"/>
            <w:gridSpan w:val="2"/>
          </w:tcPr>
          <w:p>
            <w:pPr>
              <w:spacing w:after="0" w:line="20" w:lineRule="exact"/>
              <w:rPr>
                <w:sz w:val="1"/>
                <w:szCs w:val="1"/>
                <w:color w:val="auto"/>
              </w:rPr>
            </w:pPr>
          </w:p>
        </w:tc>
        <w:tc>
          <w:tcPr>
            <w:tcW w:w="1360" w:type="dxa"/>
            <w:vAlign w:val="bottom"/>
            <w:gridSpan w:val="2"/>
            <w:shd w:val="clear" w:color="auto" w:fill="000000"/>
          </w:tcPr>
          <w:p>
            <w:pPr>
              <w:spacing w:after="0" w:line="20" w:lineRule="exact"/>
              <w:rPr>
                <w:sz w:val="1"/>
                <w:szCs w:val="1"/>
                <w:color w:val="auto"/>
              </w:rPr>
            </w:pPr>
          </w:p>
        </w:tc>
        <w:tc>
          <w:tcPr>
            <w:tcW w:w="3220" w:type="dxa"/>
            <w:vAlign w:val="bottom"/>
            <w:tcBorders>
              <w:left w:val="single" w:sz="8" w:color="auto"/>
            </w:tcBorders>
            <w:gridSpan w:val="3"/>
          </w:tcPr>
          <w:p>
            <w:pPr>
              <w:spacing w:after="0" w:line="20" w:lineRule="exact"/>
              <w:rPr>
                <w:sz w:val="1"/>
                <w:szCs w:val="1"/>
                <w:color w:val="auto"/>
              </w:rPr>
            </w:pPr>
          </w:p>
        </w:tc>
      </w:tr>
      <w:tr>
        <w:trPr>
          <w:trHeight w:val="412"/>
        </w:trPr>
        <w:tc>
          <w:tcPr>
            <w:tcW w:w="300" w:type="dxa"/>
            <w:vAlign w:val="bottom"/>
          </w:tcPr>
          <w:p>
            <w:pPr>
              <w:spacing w:after="0"/>
              <w:rPr>
                <w:sz w:val="24"/>
                <w:szCs w:val="24"/>
                <w:color w:val="auto"/>
              </w:rPr>
            </w:pPr>
          </w:p>
        </w:tc>
        <w:tc>
          <w:tcPr>
            <w:tcW w:w="640" w:type="dxa"/>
            <w:vAlign w:val="bottom"/>
          </w:tcPr>
          <w:p>
            <w:pPr>
              <w:ind w:left="160"/>
              <w:spacing w:after="0"/>
              <w:rPr>
                <w:sz w:val="20"/>
                <w:szCs w:val="20"/>
                <w:color w:val="auto"/>
              </w:rPr>
            </w:pPr>
            <w:r>
              <w:rPr>
                <w:rFonts w:ascii="Arial" w:cs="Arial" w:eastAsia="Arial" w:hAnsi="Arial"/>
                <w:sz w:val="18"/>
                <w:szCs w:val="18"/>
                <w:color w:val="auto"/>
              </w:rPr>
              <w:t>(vi)</w:t>
            </w:r>
          </w:p>
        </w:tc>
        <w:tc>
          <w:tcPr>
            <w:tcW w:w="5700" w:type="dxa"/>
            <w:vAlign w:val="bottom"/>
            <w:gridSpan w:val="2"/>
          </w:tcPr>
          <w:p>
            <w:pPr>
              <w:ind w:left="100"/>
              <w:spacing w:after="0"/>
              <w:rPr>
                <w:sz w:val="20"/>
                <w:szCs w:val="20"/>
                <w:color w:val="auto"/>
              </w:rPr>
            </w:pPr>
            <w:r>
              <w:rPr>
                <w:rFonts w:ascii="Arial" w:cs="Arial" w:eastAsia="Arial" w:hAnsi="Arial"/>
                <w:sz w:val="18"/>
                <w:szCs w:val="18"/>
                <w:color w:val="auto"/>
              </w:rPr>
              <w:t>The deposit or sale of securities resulting from dividends, splits or</w:t>
            </w:r>
          </w:p>
        </w:tc>
        <w:tc>
          <w:tcPr>
            <w:tcW w:w="4580" w:type="dxa"/>
            <w:vAlign w:val="bottom"/>
            <w:gridSpan w:val="5"/>
          </w:tcPr>
          <w:p>
            <w:pPr>
              <w:spacing w:after="0"/>
              <w:rPr>
                <w:sz w:val="20"/>
                <w:szCs w:val="20"/>
                <w:color w:val="auto"/>
              </w:rPr>
            </w:pPr>
            <w:r>
              <w:rPr>
                <w:rFonts w:ascii="Arial" w:cs="Arial" w:eastAsia="Arial" w:hAnsi="Arial"/>
                <w:sz w:val="18"/>
                <w:szCs w:val="18"/>
                <w:color w:val="auto"/>
              </w:rPr>
              <w:t>Face of Receipt - Paragraphs (3) and (6);</w:t>
            </w:r>
          </w:p>
        </w:tc>
      </w:tr>
      <w:tr>
        <w:trPr>
          <w:trHeight w:val="20"/>
        </w:trPr>
        <w:tc>
          <w:tcPr>
            <w:tcW w:w="30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5700" w:type="dxa"/>
            <w:vAlign w:val="bottom"/>
            <w:gridSpan w:val="2"/>
          </w:tcPr>
          <w:p>
            <w:pPr>
              <w:spacing w:after="0" w:line="20" w:lineRule="exact"/>
              <w:rPr>
                <w:sz w:val="1"/>
                <w:szCs w:val="1"/>
                <w:color w:val="auto"/>
              </w:rPr>
            </w:pPr>
          </w:p>
        </w:tc>
        <w:tc>
          <w:tcPr>
            <w:tcW w:w="1120" w:type="dxa"/>
            <w:vAlign w:val="bottom"/>
            <w:shd w:val="clear" w:color="auto" w:fill="000000"/>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3220" w:type="dxa"/>
            <w:vAlign w:val="bottom"/>
            <w:gridSpan w:val="3"/>
          </w:tcPr>
          <w:p>
            <w:pPr>
              <w:spacing w:after="0" w:line="20" w:lineRule="exact"/>
              <w:rPr>
                <w:sz w:val="1"/>
                <w:szCs w:val="1"/>
                <w:color w:val="auto"/>
              </w:rPr>
            </w:pPr>
          </w:p>
        </w:tc>
      </w:tr>
      <w:tr>
        <w:trPr>
          <w:trHeight w:val="196"/>
        </w:trPr>
        <w:tc>
          <w:tcPr>
            <w:tcW w:w="300" w:type="dxa"/>
            <w:vAlign w:val="bottom"/>
          </w:tcPr>
          <w:p>
            <w:pPr>
              <w:spacing w:after="0"/>
              <w:rPr>
                <w:sz w:val="17"/>
                <w:szCs w:val="17"/>
                <w:color w:val="auto"/>
              </w:rPr>
            </w:pPr>
          </w:p>
        </w:tc>
        <w:tc>
          <w:tcPr>
            <w:tcW w:w="640" w:type="dxa"/>
            <w:vAlign w:val="bottom"/>
          </w:tcPr>
          <w:p>
            <w:pPr>
              <w:spacing w:after="0"/>
              <w:rPr>
                <w:sz w:val="17"/>
                <w:szCs w:val="17"/>
                <w:color w:val="auto"/>
              </w:rPr>
            </w:pPr>
          </w:p>
        </w:tc>
        <w:tc>
          <w:tcPr>
            <w:tcW w:w="5700" w:type="dxa"/>
            <w:vAlign w:val="bottom"/>
            <w:gridSpan w:val="2"/>
          </w:tcPr>
          <w:p>
            <w:pPr>
              <w:ind w:left="100"/>
              <w:spacing w:after="0" w:line="196" w:lineRule="exact"/>
              <w:rPr>
                <w:sz w:val="20"/>
                <w:szCs w:val="20"/>
                <w:color w:val="auto"/>
              </w:rPr>
            </w:pPr>
            <w:r>
              <w:rPr>
                <w:rFonts w:ascii="Arial" w:cs="Arial" w:eastAsia="Arial" w:hAnsi="Arial"/>
                <w:sz w:val="18"/>
                <w:szCs w:val="18"/>
                <w:color w:val="auto"/>
              </w:rPr>
              <w:t>plans of reorganization</w:t>
            </w:r>
          </w:p>
        </w:tc>
        <w:tc>
          <w:tcPr>
            <w:tcW w:w="4580" w:type="dxa"/>
            <w:vAlign w:val="bottom"/>
            <w:gridSpan w:val="5"/>
          </w:tcPr>
          <w:p>
            <w:pPr>
              <w:spacing w:after="0" w:line="196" w:lineRule="exact"/>
              <w:rPr>
                <w:sz w:val="20"/>
                <w:szCs w:val="20"/>
                <w:color w:val="auto"/>
              </w:rPr>
            </w:pPr>
            <w:r>
              <w:rPr>
                <w:rFonts w:ascii="Arial" w:cs="Arial" w:eastAsia="Arial" w:hAnsi="Arial"/>
                <w:sz w:val="18"/>
                <w:szCs w:val="18"/>
                <w:color w:val="auto"/>
              </w:rPr>
              <w:t>Reverse of Receipt - Paragraphs (15) and (17).</w:t>
            </w:r>
          </w:p>
        </w:tc>
      </w:tr>
      <w:tr>
        <w:trPr>
          <w:trHeight w:val="20"/>
        </w:trPr>
        <w:tc>
          <w:tcPr>
            <w:tcW w:w="30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5700" w:type="dxa"/>
            <w:vAlign w:val="bottom"/>
            <w:gridSpan w:val="2"/>
          </w:tcPr>
          <w:p>
            <w:pPr>
              <w:spacing w:after="0" w:line="20" w:lineRule="exact"/>
              <w:rPr>
                <w:sz w:val="1"/>
                <w:szCs w:val="1"/>
                <w:color w:val="auto"/>
              </w:rPr>
            </w:pPr>
          </w:p>
        </w:tc>
        <w:tc>
          <w:tcPr>
            <w:tcW w:w="1360" w:type="dxa"/>
            <w:vAlign w:val="bottom"/>
            <w:gridSpan w:val="2"/>
            <w:shd w:val="clear" w:color="auto" w:fill="000000"/>
          </w:tcPr>
          <w:p>
            <w:pPr>
              <w:spacing w:after="0" w:line="20" w:lineRule="exact"/>
              <w:rPr>
                <w:sz w:val="1"/>
                <w:szCs w:val="1"/>
                <w:color w:val="auto"/>
              </w:rPr>
            </w:pPr>
          </w:p>
        </w:tc>
        <w:tc>
          <w:tcPr>
            <w:tcW w:w="3220" w:type="dxa"/>
            <w:vAlign w:val="bottom"/>
            <w:gridSpan w:val="3"/>
          </w:tcPr>
          <w:p>
            <w:pPr>
              <w:spacing w:after="0" w:line="20" w:lineRule="exact"/>
              <w:rPr>
                <w:sz w:val="1"/>
                <w:szCs w:val="1"/>
                <w:color w:val="auto"/>
              </w:rPr>
            </w:pPr>
          </w:p>
        </w:tc>
      </w:tr>
      <w:tr>
        <w:trPr>
          <w:trHeight w:val="412"/>
        </w:trPr>
        <w:tc>
          <w:tcPr>
            <w:tcW w:w="300" w:type="dxa"/>
            <w:vAlign w:val="bottom"/>
          </w:tcPr>
          <w:p>
            <w:pPr>
              <w:spacing w:after="0"/>
              <w:rPr>
                <w:sz w:val="24"/>
                <w:szCs w:val="24"/>
                <w:color w:val="auto"/>
              </w:rPr>
            </w:pPr>
          </w:p>
        </w:tc>
        <w:tc>
          <w:tcPr>
            <w:tcW w:w="640" w:type="dxa"/>
            <w:vAlign w:val="bottom"/>
          </w:tcPr>
          <w:p>
            <w:pPr>
              <w:ind w:left="160"/>
              <w:spacing w:after="0"/>
              <w:rPr>
                <w:sz w:val="20"/>
                <w:szCs w:val="20"/>
                <w:color w:val="auto"/>
              </w:rPr>
            </w:pPr>
            <w:r>
              <w:rPr>
                <w:rFonts w:ascii="Arial" w:cs="Arial" w:eastAsia="Arial" w:hAnsi="Arial"/>
                <w:sz w:val="18"/>
                <w:szCs w:val="18"/>
                <w:color w:val="auto"/>
              </w:rPr>
              <w:t>(vii)</w:t>
            </w:r>
          </w:p>
        </w:tc>
        <w:tc>
          <w:tcPr>
            <w:tcW w:w="5700" w:type="dxa"/>
            <w:vAlign w:val="bottom"/>
            <w:gridSpan w:val="2"/>
          </w:tcPr>
          <w:p>
            <w:pPr>
              <w:ind w:left="100"/>
              <w:spacing w:after="0"/>
              <w:rPr>
                <w:sz w:val="20"/>
                <w:szCs w:val="20"/>
                <w:color w:val="auto"/>
              </w:rPr>
            </w:pPr>
            <w:r>
              <w:rPr>
                <w:rFonts w:ascii="Arial" w:cs="Arial" w:eastAsia="Arial" w:hAnsi="Arial"/>
                <w:sz w:val="18"/>
                <w:szCs w:val="18"/>
                <w:color w:val="auto"/>
              </w:rPr>
              <w:t>Amendment, extension or termination of the deposit agreement</w:t>
            </w:r>
          </w:p>
        </w:tc>
        <w:tc>
          <w:tcPr>
            <w:tcW w:w="4580" w:type="dxa"/>
            <w:vAlign w:val="bottom"/>
            <w:gridSpan w:val="5"/>
          </w:tcPr>
          <w:p>
            <w:pPr>
              <w:spacing w:after="0"/>
              <w:rPr>
                <w:sz w:val="20"/>
                <w:szCs w:val="20"/>
                <w:color w:val="auto"/>
              </w:rPr>
            </w:pPr>
            <w:r>
              <w:rPr>
                <w:rFonts w:ascii="Arial" w:cs="Arial" w:eastAsia="Arial" w:hAnsi="Arial"/>
                <w:sz w:val="18"/>
                <w:szCs w:val="18"/>
                <w:color w:val="auto"/>
                <w:w w:val="90"/>
              </w:rPr>
              <w:t>Reverse of Receipt - Paragraphs (23) and (24) (no provision for</w:t>
            </w:r>
          </w:p>
        </w:tc>
      </w:tr>
      <w:tr>
        <w:trPr>
          <w:trHeight w:val="237"/>
        </w:trPr>
        <w:tc>
          <w:tcPr>
            <w:tcW w:w="300" w:type="dxa"/>
            <w:vAlign w:val="bottom"/>
          </w:tcPr>
          <w:p>
            <w:pPr>
              <w:spacing w:after="0"/>
              <w:rPr>
                <w:sz w:val="20"/>
                <w:szCs w:val="20"/>
                <w:color w:val="auto"/>
              </w:rPr>
            </w:pPr>
          </w:p>
        </w:tc>
        <w:tc>
          <w:tcPr>
            <w:tcW w:w="640" w:type="dxa"/>
            <w:vAlign w:val="bottom"/>
          </w:tcPr>
          <w:p>
            <w:pPr>
              <w:spacing w:after="0"/>
              <w:rPr>
                <w:sz w:val="20"/>
                <w:szCs w:val="20"/>
                <w:color w:val="auto"/>
              </w:rPr>
            </w:pPr>
          </w:p>
        </w:tc>
        <w:tc>
          <w:tcPr>
            <w:tcW w:w="1120" w:type="dxa"/>
            <w:vAlign w:val="bottom"/>
          </w:tcPr>
          <w:p>
            <w:pPr>
              <w:spacing w:after="0"/>
              <w:rPr>
                <w:sz w:val="20"/>
                <w:szCs w:val="20"/>
                <w:color w:val="auto"/>
              </w:rPr>
            </w:pPr>
          </w:p>
        </w:tc>
        <w:tc>
          <w:tcPr>
            <w:tcW w:w="4580" w:type="dxa"/>
            <w:vAlign w:val="bottom"/>
          </w:tcPr>
          <w:p>
            <w:pPr>
              <w:spacing w:after="0"/>
              <w:rPr>
                <w:sz w:val="20"/>
                <w:szCs w:val="20"/>
                <w:color w:val="auto"/>
              </w:rPr>
            </w:pPr>
          </w:p>
        </w:tc>
        <w:tc>
          <w:tcPr>
            <w:tcW w:w="1120" w:type="dxa"/>
            <w:vAlign w:val="bottom"/>
            <w:tcBorders>
              <w:top w:val="single" w:sz="8" w:color="auto"/>
            </w:tcBorders>
          </w:tcPr>
          <w:p>
            <w:pPr>
              <w:spacing w:after="0"/>
              <w:rPr>
                <w:sz w:val="20"/>
                <w:szCs w:val="20"/>
                <w:color w:val="auto"/>
              </w:rPr>
            </w:pPr>
            <w:r>
              <w:rPr>
                <w:rFonts w:ascii="Arial" w:cs="Arial" w:eastAsia="Arial" w:hAnsi="Arial"/>
                <w:sz w:val="18"/>
                <w:szCs w:val="18"/>
                <w:color w:val="auto"/>
              </w:rPr>
              <w:t>extensions).</w:t>
            </w:r>
          </w:p>
        </w:tc>
        <w:tc>
          <w:tcPr>
            <w:tcW w:w="240" w:type="dxa"/>
            <w:vAlign w:val="bottom"/>
            <w:tcBorders>
              <w:top w:val="single" w:sz="8" w:color="auto"/>
            </w:tcBorders>
          </w:tcPr>
          <w:p>
            <w:pPr>
              <w:spacing w:after="0"/>
              <w:rPr>
                <w:sz w:val="20"/>
                <w:szCs w:val="20"/>
                <w:color w:val="auto"/>
              </w:rPr>
            </w:pPr>
          </w:p>
        </w:tc>
        <w:tc>
          <w:tcPr>
            <w:tcW w:w="300" w:type="dxa"/>
            <w:vAlign w:val="bottom"/>
          </w:tcPr>
          <w:p>
            <w:pPr>
              <w:spacing w:after="0"/>
              <w:rPr>
                <w:sz w:val="20"/>
                <w:szCs w:val="20"/>
                <w:color w:val="auto"/>
              </w:rPr>
            </w:pPr>
          </w:p>
        </w:tc>
        <w:tc>
          <w:tcPr>
            <w:tcW w:w="580" w:type="dxa"/>
            <w:vAlign w:val="bottom"/>
          </w:tcPr>
          <w:p>
            <w:pPr>
              <w:spacing w:after="0"/>
              <w:rPr>
                <w:sz w:val="20"/>
                <w:szCs w:val="20"/>
                <w:color w:val="auto"/>
              </w:rPr>
            </w:pPr>
          </w:p>
        </w:tc>
        <w:tc>
          <w:tcPr>
            <w:tcW w:w="2340" w:type="dxa"/>
            <w:vAlign w:val="bottom"/>
          </w:tcPr>
          <w:p>
            <w:pPr>
              <w:spacing w:after="0"/>
              <w:rPr>
                <w:sz w:val="20"/>
                <w:szCs w:val="20"/>
                <w:color w:val="auto"/>
              </w:rPr>
            </w:pPr>
          </w:p>
        </w:tc>
      </w:tr>
      <w:tr>
        <w:trPr>
          <w:trHeight w:val="392"/>
        </w:trPr>
        <w:tc>
          <w:tcPr>
            <w:tcW w:w="300" w:type="dxa"/>
            <w:vAlign w:val="bottom"/>
          </w:tcPr>
          <w:p>
            <w:pPr>
              <w:spacing w:after="0"/>
              <w:rPr>
                <w:sz w:val="24"/>
                <w:szCs w:val="24"/>
                <w:color w:val="auto"/>
              </w:rPr>
            </w:pPr>
          </w:p>
        </w:tc>
        <w:tc>
          <w:tcPr>
            <w:tcW w:w="640" w:type="dxa"/>
            <w:vAlign w:val="bottom"/>
          </w:tcPr>
          <w:p>
            <w:pPr>
              <w:ind w:left="160"/>
              <w:spacing w:after="0"/>
              <w:rPr>
                <w:sz w:val="20"/>
                <w:szCs w:val="20"/>
                <w:color w:val="auto"/>
              </w:rPr>
            </w:pPr>
            <w:r>
              <w:rPr>
                <w:rFonts w:ascii="Arial" w:cs="Arial" w:eastAsia="Arial" w:hAnsi="Arial"/>
                <w:sz w:val="18"/>
                <w:szCs w:val="18"/>
                <w:color w:val="auto"/>
              </w:rPr>
              <w:t>(viii)</w:t>
            </w:r>
          </w:p>
        </w:tc>
        <w:tc>
          <w:tcPr>
            <w:tcW w:w="5700" w:type="dxa"/>
            <w:vAlign w:val="bottom"/>
            <w:gridSpan w:val="2"/>
          </w:tcPr>
          <w:p>
            <w:pPr>
              <w:ind w:left="100"/>
              <w:spacing w:after="0"/>
              <w:rPr>
                <w:sz w:val="20"/>
                <w:szCs w:val="20"/>
                <w:color w:val="auto"/>
              </w:rPr>
            </w:pPr>
            <w:r>
              <w:rPr>
                <w:rFonts w:ascii="Arial" w:cs="Arial" w:eastAsia="Arial" w:hAnsi="Arial"/>
                <w:sz w:val="18"/>
                <w:szCs w:val="18"/>
                <w:color w:val="auto"/>
              </w:rPr>
              <w:t>Rights of holders of Receipts to inspect the transfer books of the</w:t>
            </w:r>
          </w:p>
        </w:tc>
        <w:tc>
          <w:tcPr>
            <w:tcW w:w="4580" w:type="dxa"/>
            <w:vAlign w:val="bottom"/>
            <w:gridSpan w:val="5"/>
          </w:tcPr>
          <w:p>
            <w:pPr>
              <w:spacing w:after="0"/>
              <w:rPr>
                <w:sz w:val="20"/>
                <w:szCs w:val="20"/>
                <w:color w:val="auto"/>
              </w:rPr>
            </w:pPr>
            <w:r>
              <w:rPr>
                <w:rFonts w:ascii="Arial" w:cs="Arial" w:eastAsia="Arial" w:hAnsi="Arial"/>
                <w:sz w:val="18"/>
                <w:szCs w:val="18"/>
                <w:color w:val="auto"/>
              </w:rPr>
              <w:t>Face of Receipt - Paragraph (14).</w:t>
            </w:r>
          </w:p>
        </w:tc>
      </w:tr>
      <w:tr>
        <w:trPr>
          <w:trHeight w:val="237"/>
        </w:trPr>
        <w:tc>
          <w:tcPr>
            <w:tcW w:w="300" w:type="dxa"/>
            <w:vAlign w:val="bottom"/>
          </w:tcPr>
          <w:p>
            <w:pPr>
              <w:spacing w:after="0"/>
              <w:rPr>
                <w:sz w:val="20"/>
                <w:szCs w:val="20"/>
                <w:color w:val="auto"/>
              </w:rPr>
            </w:pPr>
          </w:p>
        </w:tc>
        <w:tc>
          <w:tcPr>
            <w:tcW w:w="640" w:type="dxa"/>
            <w:vAlign w:val="bottom"/>
          </w:tcPr>
          <w:p>
            <w:pPr>
              <w:spacing w:after="0"/>
              <w:rPr>
                <w:sz w:val="20"/>
                <w:szCs w:val="20"/>
                <w:color w:val="auto"/>
              </w:rPr>
            </w:pPr>
          </w:p>
        </w:tc>
        <w:tc>
          <w:tcPr>
            <w:tcW w:w="5700" w:type="dxa"/>
            <w:vAlign w:val="bottom"/>
            <w:gridSpan w:val="2"/>
          </w:tcPr>
          <w:p>
            <w:pPr>
              <w:ind w:left="100"/>
              <w:spacing w:after="0"/>
              <w:rPr>
                <w:sz w:val="20"/>
                <w:szCs w:val="20"/>
                <w:color w:val="auto"/>
              </w:rPr>
            </w:pPr>
            <w:r>
              <w:rPr>
                <w:rFonts w:ascii="Arial" w:cs="Arial" w:eastAsia="Arial" w:hAnsi="Arial"/>
                <w:sz w:val="18"/>
                <w:szCs w:val="18"/>
                <w:color w:val="auto"/>
              </w:rPr>
              <w:t>Depositary and the list of holders of ADSs</w:t>
            </w:r>
          </w:p>
        </w:tc>
        <w:tc>
          <w:tcPr>
            <w:tcW w:w="1120" w:type="dxa"/>
            <w:vAlign w:val="bottom"/>
            <w:tcBorders>
              <w:top w:val="single" w:sz="8" w:color="auto"/>
            </w:tcBorders>
          </w:tcPr>
          <w:p>
            <w:pPr>
              <w:spacing w:after="0"/>
              <w:rPr>
                <w:sz w:val="20"/>
                <w:szCs w:val="20"/>
                <w:color w:val="auto"/>
              </w:rPr>
            </w:pPr>
          </w:p>
        </w:tc>
        <w:tc>
          <w:tcPr>
            <w:tcW w:w="24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580" w:type="dxa"/>
            <w:vAlign w:val="bottom"/>
          </w:tcPr>
          <w:p>
            <w:pPr>
              <w:spacing w:after="0"/>
              <w:rPr>
                <w:sz w:val="20"/>
                <w:szCs w:val="20"/>
                <w:color w:val="auto"/>
              </w:rPr>
            </w:pPr>
          </w:p>
        </w:tc>
        <w:tc>
          <w:tcPr>
            <w:tcW w:w="2340" w:type="dxa"/>
            <w:vAlign w:val="bottom"/>
          </w:tcPr>
          <w:p>
            <w:pPr>
              <w:spacing w:after="0"/>
              <w:rPr>
                <w:sz w:val="20"/>
                <w:szCs w:val="20"/>
                <w:color w:val="auto"/>
              </w:rPr>
            </w:pPr>
          </w:p>
        </w:tc>
      </w:tr>
    </w:tbl>
    <w:p>
      <w:pPr>
        <w:spacing w:after="0" w:line="330" w:lineRule="exact"/>
        <w:rPr>
          <w:sz w:val="20"/>
          <w:szCs w:val="20"/>
          <w:color w:val="auto"/>
        </w:rPr>
      </w:pPr>
    </w:p>
    <w:p>
      <w:pPr>
        <w:jc w:val="center"/>
        <w:ind w:right="-199"/>
        <w:spacing w:after="0"/>
        <w:rPr>
          <w:sz w:val="20"/>
          <w:szCs w:val="20"/>
          <w:color w:val="auto"/>
        </w:rPr>
      </w:pPr>
      <w:r>
        <w:rPr>
          <w:rFonts w:ascii="Arial" w:cs="Arial" w:eastAsia="Arial" w:hAnsi="Arial"/>
          <w:sz w:val="22"/>
          <w:szCs w:val="22"/>
          <w:color w:val="auto"/>
        </w:rPr>
        <w:t>I-1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7620</wp:posOffset>
            </wp:positionV>
            <wp:extent cx="7246620" cy="1714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220"/>
          </w:cols>
          <w:pgMar w:left="240" w:top="337" w:right="439" w:bottom="1440" w:gutter="0" w:footer="0" w:header="0"/>
        </w:sectPr>
      </w:pPr>
    </w:p>
    <w:bookmarkStart w:id="4" w:name="page5"/>
    <w:bookmarkEnd w:id="4"/>
    <w:tbl>
      <w:tblPr>
        <w:tblLayout w:type="fixed"/>
        <w:tblInd w:w="0" w:type="dxa"/>
        <w:tblCellMar>
          <w:top w:w="0" w:type="dxa"/>
          <w:left w:w="0" w:type="dxa"/>
          <w:bottom w:w="0" w:type="dxa"/>
          <w:right w:w="0" w:type="dxa"/>
        </w:tblCellMar>
      </w:tblPr>
      <w:tr>
        <w:trPr>
          <w:trHeight w:val="216"/>
        </w:trPr>
        <w:tc>
          <w:tcPr>
            <w:tcW w:w="30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4580" w:type="dxa"/>
            <w:vAlign w:val="bottom"/>
          </w:tcPr>
          <w:p>
            <w:pPr>
              <w:spacing w:after="0"/>
              <w:rPr>
                <w:sz w:val="18"/>
                <w:szCs w:val="18"/>
                <w:color w:val="auto"/>
              </w:rPr>
            </w:pPr>
          </w:p>
        </w:tc>
        <w:tc>
          <w:tcPr>
            <w:tcW w:w="4560" w:type="dxa"/>
            <w:vAlign w:val="bottom"/>
            <w:gridSpan w:val="5"/>
          </w:tcPr>
          <w:p>
            <w:pPr>
              <w:spacing w:after="0"/>
              <w:rPr>
                <w:sz w:val="20"/>
                <w:szCs w:val="20"/>
                <w:color w:val="auto"/>
              </w:rPr>
            </w:pPr>
            <w:r>
              <w:rPr>
                <w:rFonts w:ascii="Arial" w:cs="Arial" w:eastAsia="Arial" w:hAnsi="Arial"/>
                <w:sz w:val="18"/>
                <w:szCs w:val="18"/>
                <w:b w:val="1"/>
                <w:bCs w:val="1"/>
                <w:color w:val="auto"/>
              </w:rPr>
              <w:t>Location in Form of American</w:t>
            </w:r>
          </w:p>
        </w:tc>
      </w:tr>
      <w:tr>
        <w:trPr>
          <w:trHeight w:val="194"/>
        </w:trPr>
        <w:tc>
          <w:tcPr>
            <w:tcW w:w="300" w:type="dxa"/>
            <w:vAlign w:val="bottom"/>
          </w:tcPr>
          <w:p>
            <w:pPr>
              <w:spacing w:after="0"/>
              <w:rPr>
                <w:sz w:val="16"/>
                <w:szCs w:val="16"/>
                <w:color w:val="auto"/>
              </w:rPr>
            </w:pPr>
          </w:p>
        </w:tc>
        <w:tc>
          <w:tcPr>
            <w:tcW w:w="680" w:type="dxa"/>
            <w:vAlign w:val="bottom"/>
          </w:tcPr>
          <w:p>
            <w:pPr>
              <w:spacing w:after="0"/>
              <w:rPr>
                <w:sz w:val="16"/>
                <w:szCs w:val="16"/>
                <w:color w:val="auto"/>
              </w:rPr>
            </w:pPr>
          </w:p>
        </w:tc>
        <w:tc>
          <w:tcPr>
            <w:tcW w:w="1080" w:type="dxa"/>
            <w:vAlign w:val="bottom"/>
          </w:tcPr>
          <w:p>
            <w:pPr>
              <w:spacing w:after="0"/>
              <w:rPr>
                <w:sz w:val="16"/>
                <w:szCs w:val="16"/>
                <w:color w:val="auto"/>
              </w:rPr>
            </w:pPr>
          </w:p>
        </w:tc>
        <w:tc>
          <w:tcPr>
            <w:tcW w:w="4580" w:type="dxa"/>
            <w:vAlign w:val="bottom"/>
          </w:tcPr>
          <w:p>
            <w:pPr>
              <w:spacing w:after="0"/>
              <w:rPr>
                <w:sz w:val="16"/>
                <w:szCs w:val="16"/>
                <w:color w:val="auto"/>
              </w:rPr>
            </w:pPr>
          </w:p>
        </w:tc>
        <w:tc>
          <w:tcPr>
            <w:tcW w:w="4560" w:type="dxa"/>
            <w:vAlign w:val="bottom"/>
            <w:gridSpan w:val="5"/>
          </w:tcPr>
          <w:p>
            <w:pPr>
              <w:spacing w:after="0" w:line="194" w:lineRule="exact"/>
              <w:rPr>
                <w:sz w:val="20"/>
                <w:szCs w:val="20"/>
                <w:color w:val="auto"/>
              </w:rPr>
            </w:pPr>
            <w:r>
              <w:rPr>
                <w:rFonts w:ascii="Arial" w:cs="Arial" w:eastAsia="Arial" w:hAnsi="Arial"/>
                <w:sz w:val="18"/>
                <w:szCs w:val="18"/>
                <w:b w:val="1"/>
                <w:bCs w:val="1"/>
                <w:color w:val="auto"/>
              </w:rPr>
              <w:t>Depositary Receipt (“Receipt”)</w:t>
            </w:r>
          </w:p>
        </w:tc>
      </w:tr>
      <w:tr>
        <w:trPr>
          <w:trHeight w:val="20"/>
        </w:trPr>
        <w:tc>
          <w:tcPr>
            <w:tcW w:w="6640" w:type="dxa"/>
            <w:vAlign w:val="bottom"/>
            <w:gridSpan w:val="4"/>
          </w:tcPr>
          <w:p>
            <w:pPr>
              <w:spacing w:after="0" w:line="20" w:lineRule="exact"/>
              <w:rPr>
                <w:sz w:val="1"/>
                <w:szCs w:val="1"/>
                <w:color w:val="auto"/>
              </w:rPr>
            </w:pPr>
          </w:p>
        </w:tc>
        <w:tc>
          <w:tcPr>
            <w:tcW w:w="112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580" w:type="dxa"/>
            <w:vAlign w:val="bottom"/>
            <w:shd w:val="clear" w:color="auto" w:fill="000000"/>
          </w:tcPr>
          <w:p>
            <w:pPr>
              <w:spacing w:after="0" w:line="20" w:lineRule="exact"/>
              <w:rPr>
                <w:sz w:val="1"/>
                <w:szCs w:val="1"/>
                <w:color w:val="auto"/>
              </w:rPr>
            </w:pPr>
          </w:p>
        </w:tc>
        <w:tc>
          <w:tcPr>
            <w:tcW w:w="2320" w:type="dxa"/>
            <w:vAlign w:val="bottom"/>
          </w:tcPr>
          <w:p>
            <w:pPr>
              <w:spacing w:after="0" w:line="20" w:lineRule="exact"/>
              <w:rPr>
                <w:sz w:val="1"/>
                <w:szCs w:val="1"/>
                <w:color w:val="auto"/>
              </w:rPr>
            </w:pPr>
          </w:p>
        </w:tc>
      </w:tr>
      <w:tr>
        <w:trPr>
          <w:trHeight w:val="196"/>
        </w:trPr>
        <w:tc>
          <w:tcPr>
            <w:tcW w:w="2060" w:type="dxa"/>
            <w:vAlign w:val="bottom"/>
            <w:tcBorders>
              <w:bottom w:val="single" w:sz="8" w:color="auto"/>
            </w:tcBorders>
            <w:gridSpan w:val="3"/>
          </w:tcPr>
          <w:p>
            <w:pPr>
              <w:spacing w:after="0" w:line="196" w:lineRule="exact"/>
              <w:rPr>
                <w:sz w:val="20"/>
                <w:szCs w:val="20"/>
                <w:color w:val="auto"/>
              </w:rPr>
            </w:pPr>
            <w:r>
              <w:rPr>
                <w:rFonts w:ascii="Arial" w:cs="Arial" w:eastAsia="Arial" w:hAnsi="Arial"/>
                <w:sz w:val="18"/>
                <w:szCs w:val="18"/>
                <w:b w:val="1"/>
                <w:bCs w:val="1"/>
                <w:color w:val="auto"/>
                <w:w w:val="93"/>
              </w:rPr>
              <w:t>Item Number and Caption</w:t>
            </w:r>
          </w:p>
        </w:tc>
        <w:tc>
          <w:tcPr>
            <w:tcW w:w="4580" w:type="dxa"/>
            <w:vAlign w:val="bottom"/>
          </w:tcPr>
          <w:p>
            <w:pPr>
              <w:spacing w:after="0"/>
              <w:rPr>
                <w:sz w:val="17"/>
                <w:szCs w:val="17"/>
                <w:color w:val="auto"/>
              </w:rPr>
            </w:pPr>
          </w:p>
        </w:tc>
        <w:tc>
          <w:tcPr>
            <w:tcW w:w="2240" w:type="dxa"/>
            <w:vAlign w:val="bottom"/>
            <w:tcBorders>
              <w:bottom w:val="single" w:sz="8" w:color="auto"/>
            </w:tcBorders>
            <w:gridSpan w:val="4"/>
          </w:tcPr>
          <w:p>
            <w:pPr>
              <w:spacing w:after="0" w:line="196" w:lineRule="exact"/>
              <w:rPr>
                <w:sz w:val="20"/>
                <w:szCs w:val="20"/>
                <w:color w:val="auto"/>
              </w:rPr>
            </w:pPr>
            <w:r>
              <w:rPr>
                <w:rFonts w:ascii="Arial" w:cs="Arial" w:eastAsia="Arial" w:hAnsi="Arial"/>
                <w:sz w:val="18"/>
                <w:szCs w:val="18"/>
                <w:b w:val="1"/>
                <w:bCs w:val="1"/>
                <w:color w:val="auto"/>
                <w:w w:val="88"/>
              </w:rPr>
              <w:t>Filed Herewith as Prospectus</w:t>
            </w:r>
          </w:p>
        </w:tc>
        <w:tc>
          <w:tcPr>
            <w:tcW w:w="2320" w:type="dxa"/>
            <w:vAlign w:val="bottom"/>
          </w:tcPr>
          <w:p>
            <w:pPr>
              <w:spacing w:after="0"/>
              <w:rPr>
                <w:sz w:val="17"/>
                <w:szCs w:val="17"/>
                <w:color w:val="auto"/>
              </w:rPr>
            </w:pPr>
          </w:p>
        </w:tc>
      </w:tr>
      <w:tr>
        <w:trPr>
          <w:trHeight w:val="412"/>
        </w:trPr>
        <w:tc>
          <w:tcPr>
            <w:tcW w:w="300" w:type="dxa"/>
            <w:vAlign w:val="bottom"/>
          </w:tcPr>
          <w:p>
            <w:pPr>
              <w:spacing w:after="0"/>
              <w:rPr>
                <w:sz w:val="24"/>
                <w:szCs w:val="24"/>
                <w:color w:val="auto"/>
              </w:rPr>
            </w:pPr>
          </w:p>
        </w:tc>
        <w:tc>
          <w:tcPr>
            <w:tcW w:w="680" w:type="dxa"/>
            <w:vAlign w:val="bottom"/>
          </w:tcPr>
          <w:p>
            <w:pPr>
              <w:ind w:left="160"/>
              <w:spacing w:after="0"/>
              <w:rPr>
                <w:sz w:val="20"/>
                <w:szCs w:val="20"/>
                <w:color w:val="auto"/>
              </w:rPr>
            </w:pPr>
            <w:r>
              <w:rPr>
                <w:rFonts w:ascii="Arial" w:cs="Arial" w:eastAsia="Arial" w:hAnsi="Arial"/>
                <w:sz w:val="18"/>
                <w:szCs w:val="18"/>
                <w:color w:val="auto"/>
              </w:rPr>
              <w:t>(ix)</w:t>
            </w:r>
          </w:p>
        </w:tc>
        <w:tc>
          <w:tcPr>
            <w:tcW w:w="5660" w:type="dxa"/>
            <w:vAlign w:val="bottom"/>
            <w:gridSpan w:val="2"/>
          </w:tcPr>
          <w:p>
            <w:pPr>
              <w:ind w:left="60"/>
              <w:spacing w:after="0"/>
              <w:rPr>
                <w:sz w:val="20"/>
                <w:szCs w:val="20"/>
                <w:color w:val="auto"/>
              </w:rPr>
            </w:pPr>
            <w:r>
              <w:rPr>
                <w:rFonts w:ascii="Arial" w:cs="Arial" w:eastAsia="Arial" w:hAnsi="Arial"/>
                <w:sz w:val="18"/>
                <w:szCs w:val="18"/>
                <w:color w:val="auto"/>
              </w:rPr>
              <w:t>Restrictions upon the right to deposit or withdraw the underlying</w:t>
            </w:r>
          </w:p>
        </w:tc>
        <w:tc>
          <w:tcPr>
            <w:tcW w:w="4560" w:type="dxa"/>
            <w:vAlign w:val="bottom"/>
            <w:gridSpan w:val="5"/>
          </w:tcPr>
          <w:p>
            <w:pPr>
              <w:spacing w:after="0"/>
              <w:rPr>
                <w:sz w:val="20"/>
                <w:szCs w:val="20"/>
                <w:color w:val="auto"/>
              </w:rPr>
            </w:pPr>
            <w:r>
              <w:rPr>
                <w:rFonts w:ascii="Arial" w:cs="Arial" w:eastAsia="Arial" w:hAnsi="Arial"/>
                <w:sz w:val="18"/>
                <w:szCs w:val="18"/>
                <w:color w:val="auto"/>
                <w:w w:val="90"/>
              </w:rPr>
              <w:t>Face of Receipt – Paragraphs (2), (3), (4), (6), (7), (9) and (10).</w:t>
            </w:r>
          </w:p>
        </w:tc>
      </w:tr>
      <w:tr>
        <w:trPr>
          <w:trHeight w:val="237"/>
        </w:trPr>
        <w:tc>
          <w:tcPr>
            <w:tcW w:w="300" w:type="dxa"/>
            <w:vAlign w:val="bottom"/>
          </w:tcPr>
          <w:p>
            <w:pPr>
              <w:spacing w:after="0"/>
              <w:rPr>
                <w:sz w:val="20"/>
                <w:szCs w:val="20"/>
                <w:color w:val="auto"/>
              </w:rPr>
            </w:pPr>
          </w:p>
        </w:tc>
        <w:tc>
          <w:tcPr>
            <w:tcW w:w="680" w:type="dxa"/>
            <w:vAlign w:val="bottom"/>
          </w:tcPr>
          <w:p>
            <w:pPr>
              <w:spacing w:after="0"/>
              <w:rPr>
                <w:sz w:val="20"/>
                <w:szCs w:val="20"/>
                <w:color w:val="auto"/>
              </w:rPr>
            </w:pPr>
          </w:p>
        </w:tc>
        <w:tc>
          <w:tcPr>
            <w:tcW w:w="5660" w:type="dxa"/>
            <w:vAlign w:val="bottom"/>
            <w:gridSpan w:val="2"/>
          </w:tcPr>
          <w:p>
            <w:pPr>
              <w:ind w:left="60"/>
              <w:spacing w:after="0"/>
              <w:rPr>
                <w:sz w:val="20"/>
                <w:szCs w:val="20"/>
                <w:color w:val="auto"/>
              </w:rPr>
            </w:pPr>
            <w:r>
              <w:rPr>
                <w:rFonts w:ascii="Arial" w:cs="Arial" w:eastAsia="Arial" w:hAnsi="Arial"/>
                <w:sz w:val="18"/>
                <w:szCs w:val="18"/>
                <w:color w:val="auto"/>
              </w:rPr>
              <w:t>securities</w:t>
            </w:r>
          </w:p>
        </w:tc>
        <w:tc>
          <w:tcPr>
            <w:tcW w:w="1120" w:type="dxa"/>
            <w:vAlign w:val="bottom"/>
            <w:tcBorders>
              <w:top w:val="single" w:sz="8" w:color="auto"/>
            </w:tcBorders>
          </w:tcPr>
          <w:p>
            <w:pPr>
              <w:spacing w:after="0"/>
              <w:rPr>
                <w:sz w:val="20"/>
                <w:szCs w:val="20"/>
                <w:color w:val="auto"/>
              </w:rPr>
            </w:pPr>
          </w:p>
        </w:tc>
        <w:tc>
          <w:tcPr>
            <w:tcW w:w="24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580" w:type="dxa"/>
            <w:vAlign w:val="bottom"/>
          </w:tcPr>
          <w:p>
            <w:pPr>
              <w:spacing w:after="0"/>
              <w:rPr>
                <w:sz w:val="20"/>
                <w:szCs w:val="20"/>
                <w:color w:val="auto"/>
              </w:rPr>
            </w:pPr>
          </w:p>
        </w:tc>
        <w:tc>
          <w:tcPr>
            <w:tcW w:w="2320" w:type="dxa"/>
            <w:vAlign w:val="bottom"/>
          </w:tcPr>
          <w:p>
            <w:pPr>
              <w:spacing w:after="0"/>
              <w:rPr>
                <w:sz w:val="20"/>
                <w:szCs w:val="20"/>
                <w:color w:val="auto"/>
              </w:rPr>
            </w:pPr>
          </w:p>
        </w:tc>
      </w:tr>
      <w:tr>
        <w:trPr>
          <w:trHeight w:val="392"/>
        </w:trPr>
        <w:tc>
          <w:tcPr>
            <w:tcW w:w="300" w:type="dxa"/>
            <w:vAlign w:val="bottom"/>
          </w:tcPr>
          <w:p>
            <w:pPr>
              <w:spacing w:after="0"/>
              <w:rPr>
                <w:sz w:val="24"/>
                <w:szCs w:val="24"/>
                <w:color w:val="auto"/>
              </w:rPr>
            </w:pPr>
          </w:p>
        </w:tc>
        <w:tc>
          <w:tcPr>
            <w:tcW w:w="680" w:type="dxa"/>
            <w:vAlign w:val="bottom"/>
          </w:tcPr>
          <w:p>
            <w:pPr>
              <w:ind w:left="160"/>
              <w:spacing w:after="0"/>
              <w:rPr>
                <w:sz w:val="20"/>
                <w:szCs w:val="20"/>
                <w:color w:val="auto"/>
              </w:rPr>
            </w:pPr>
            <w:r>
              <w:rPr>
                <w:rFonts w:ascii="Arial" w:cs="Arial" w:eastAsia="Arial" w:hAnsi="Arial"/>
                <w:sz w:val="18"/>
                <w:szCs w:val="18"/>
                <w:color w:val="auto"/>
              </w:rPr>
              <w:t>(x)</w:t>
            </w:r>
          </w:p>
        </w:tc>
        <w:tc>
          <w:tcPr>
            <w:tcW w:w="5660" w:type="dxa"/>
            <w:vAlign w:val="bottom"/>
            <w:gridSpan w:val="2"/>
          </w:tcPr>
          <w:p>
            <w:pPr>
              <w:ind w:left="60"/>
              <w:spacing w:after="0"/>
              <w:rPr>
                <w:sz w:val="20"/>
                <w:szCs w:val="20"/>
                <w:color w:val="auto"/>
              </w:rPr>
            </w:pPr>
            <w:r>
              <w:rPr>
                <w:rFonts w:ascii="Arial" w:cs="Arial" w:eastAsia="Arial" w:hAnsi="Arial"/>
                <w:sz w:val="18"/>
                <w:szCs w:val="18"/>
                <w:color w:val="auto"/>
              </w:rPr>
              <w:t>Limitation upon the liability of the Depositary</w:t>
            </w:r>
          </w:p>
        </w:tc>
        <w:tc>
          <w:tcPr>
            <w:tcW w:w="4560" w:type="dxa"/>
            <w:vAlign w:val="bottom"/>
            <w:gridSpan w:val="5"/>
          </w:tcPr>
          <w:p>
            <w:pPr>
              <w:spacing w:after="0"/>
              <w:rPr>
                <w:sz w:val="20"/>
                <w:szCs w:val="20"/>
                <w:color w:val="auto"/>
              </w:rPr>
            </w:pPr>
            <w:r>
              <w:rPr>
                <w:rFonts w:ascii="Arial" w:cs="Arial" w:eastAsia="Arial" w:hAnsi="Arial"/>
                <w:sz w:val="18"/>
                <w:szCs w:val="18"/>
                <w:color w:val="auto"/>
              </w:rPr>
              <w:t>Face of Receipt - Paragraph (8);</w:t>
            </w:r>
          </w:p>
        </w:tc>
      </w:tr>
      <w:tr>
        <w:trPr>
          <w:trHeight w:val="20"/>
        </w:trPr>
        <w:tc>
          <w:tcPr>
            <w:tcW w:w="30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1080" w:type="dxa"/>
            <w:vAlign w:val="bottom"/>
          </w:tcPr>
          <w:p>
            <w:pPr>
              <w:spacing w:after="0" w:line="20" w:lineRule="exact"/>
              <w:rPr>
                <w:sz w:val="1"/>
                <w:szCs w:val="1"/>
                <w:color w:val="auto"/>
              </w:rPr>
            </w:pPr>
          </w:p>
        </w:tc>
        <w:tc>
          <w:tcPr>
            <w:tcW w:w="4580" w:type="dxa"/>
            <w:vAlign w:val="bottom"/>
          </w:tcPr>
          <w:p>
            <w:pPr>
              <w:spacing w:after="0" w:line="20" w:lineRule="exact"/>
              <w:rPr>
                <w:sz w:val="1"/>
                <w:szCs w:val="1"/>
                <w:color w:val="auto"/>
              </w:rPr>
            </w:pPr>
          </w:p>
        </w:tc>
        <w:tc>
          <w:tcPr>
            <w:tcW w:w="1120" w:type="dxa"/>
            <w:vAlign w:val="bottom"/>
            <w:shd w:val="clear" w:color="auto" w:fill="000000"/>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3200" w:type="dxa"/>
            <w:vAlign w:val="bottom"/>
            <w:gridSpan w:val="3"/>
          </w:tcPr>
          <w:p>
            <w:pPr>
              <w:spacing w:after="0" w:line="20" w:lineRule="exact"/>
              <w:rPr>
                <w:sz w:val="1"/>
                <w:szCs w:val="1"/>
                <w:color w:val="auto"/>
              </w:rPr>
            </w:pPr>
          </w:p>
        </w:tc>
      </w:tr>
      <w:tr>
        <w:trPr>
          <w:trHeight w:val="196"/>
        </w:trPr>
        <w:tc>
          <w:tcPr>
            <w:tcW w:w="300" w:type="dxa"/>
            <w:vAlign w:val="bottom"/>
          </w:tcPr>
          <w:p>
            <w:pPr>
              <w:spacing w:after="0"/>
              <w:rPr>
                <w:sz w:val="17"/>
                <w:szCs w:val="17"/>
                <w:color w:val="auto"/>
              </w:rPr>
            </w:pPr>
          </w:p>
        </w:tc>
        <w:tc>
          <w:tcPr>
            <w:tcW w:w="680" w:type="dxa"/>
            <w:vAlign w:val="bottom"/>
          </w:tcPr>
          <w:p>
            <w:pPr>
              <w:spacing w:after="0"/>
              <w:rPr>
                <w:sz w:val="17"/>
                <w:szCs w:val="17"/>
                <w:color w:val="auto"/>
              </w:rPr>
            </w:pPr>
          </w:p>
        </w:tc>
        <w:tc>
          <w:tcPr>
            <w:tcW w:w="1080" w:type="dxa"/>
            <w:vAlign w:val="bottom"/>
          </w:tcPr>
          <w:p>
            <w:pPr>
              <w:spacing w:after="0"/>
              <w:rPr>
                <w:sz w:val="17"/>
                <w:szCs w:val="17"/>
                <w:color w:val="auto"/>
              </w:rPr>
            </w:pPr>
          </w:p>
        </w:tc>
        <w:tc>
          <w:tcPr>
            <w:tcW w:w="4580" w:type="dxa"/>
            <w:vAlign w:val="bottom"/>
          </w:tcPr>
          <w:p>
            <w:pPr>
              <w:spacing w:after="0"/>
              <w:rPr>
                <w:sz w:val="17"/>
                <w:szCs w:val="17"/>
                <w:color w:val="auto"/>
              </w:rPr>
            </w:pPr>
          </w:p>
        </w:tc>
        <w:tc>
          <w:tcPr>
            <w:tcW w:w="4560" w:type="dxa"/>
            <w:vAlign w:val="bottom"/>
            <w:gridSpan w:val="5"/>
          </w:tcPr>
          <w:p>
            <w:pPr>
              <w:spacing w:after="0" w:line="196" w:lineRule="exact"/>
              <w:rPr>
                <w:sz w:val="20"/>
                <w:szCs w:val="20"/>
                <w:color w:val="auto"/>
              </w:rPr>
            </w:pPr>
            <w:r>
              <w:rPr>
                <w:rFonts w:ascii="Arial" w:cs="Arial" w:eastAsia="Arial" w:hAnsi="Arial"/>
                <w:sz w:val="18"/>
                <w:szCs w:val="18"/>
                <w:color w:val="auto"/>
              </w:rPr>
              <w:t>Reverse of Receipt - Paragraphs (19), (20) and (21).</w:t>
            </w:r>
          </w:p>
        </w:tc>
      </w:tr>
      <w:tr>
        <w:trPr>
          <w:trHeight w:val="20"/>
        </w:trPr>
        <w:tc>
          <w:tcPr>
            <w:tcW w:w="300" w:type="dxa"/>
            <w:vAlign w:val="bottom"/>
          </w:tcPr>
          <w:p>
            <w:pPr>
              <w:spacing w:after="0" w:line="20" w:lineRule="exact"/>
              <w:rPr>
                <w:sz w:val="1"/>
                <w:szCs w:val="1"/>
                <w:color w:val="auto"/>
              </w:rPr>
            </w:pPr>
          </w:p>
        </w:tc>
        <w:tc>
          <w:tcPr>
            <w:tcW w:w="6340" w:type="dxa"/>
            <w:vAlign w:val="bottom"/>
            <w:gridSpan w:val="3"/>
          </w:tcPr>
          <w:p>
            <w:pPr>
              <w:spacing w:after="0" w:line="20" w:lineRule="exact"/>
              <w:rPr>
                <w:sz w:val="1"/>
                <w:szCs w:val="1"/>
                <w:color w:val="auto"/>
              </w:rPr>
            </w:pPr>
          </w:p>
        </w:tc>
        <w:tc>
          <w:tcPr>
            <w:tcW w:w="1360" w:type="dxa"/>
            <w:vAlign w:val="bottom"/>
            <w:gridSpan w:val="2"/>
            <w:shd w:val="clear" w:color="auto" w:fill="000000"/>
          </w:tcPr>
          <w:p>
            <w:pPr>
              <w:spacing w:after="0" w:line="20" w:lineRule="exact"/>
              <w:rPr>
                <w:sz w:val="1"/>
                <w:szCs w:val="1"/>
                <w:color w:val="auto"/>
              </w:rPr>
            </w:pPr>
          </w:p>
        </w:tc>
        <w:tc>
          <w:tcPr>
            <w:tcW w:w="3200" w:type="dxa"/>
            <w:vAlign w:val="bottom"/>
            <w:gridSpan w:val="3"/>
          </w:tcPr>
          <w:p>
            <w:pPr>
              <w:spacing w:after="0" w:line="20" w:lineRule="exact"/>
              <w:rPr>
                <w:sz w:val="1"/>
                <w:szCs w:val="1"/>
                <w:color w:val="auto"/>
              </w:rPr>
            </w:pPr>
          </w:p>
        </w:tc>
      </w:tr>
      <w:tr>
        <w:trPr>
          <w:trHeight w:val="412"/>
        </w:trPr>
        <w:tc>
          <w:tcPr>
            <w:tcW w:w="300" w:type="dxa"/>
            <w:vAlign w:val="bottom"/>
          </w:tcPr>
          <w:p>
            <w:pPr>
              <w:spacing w:after="0"/>
              <w:rPr>
                <w:sz w:val="20"/>
                <w:szCs w:val="20"/>
                <w:color w:val="auto"/>
              </w:rPr>
            </w:pPr>
            <w:r>
              <w:rPr>
                <w:rFonts w:ascii="Arial" w:cs="Arial" w:eastAsia="Arial" w:hAnsi="Arial"/>
                <w:sz w:val="18"/>
                <w:szCs w:val="18"/>
                <w:color w:val="auto"/>
              </w:rPr>
              <w:t>3.</w:t>
            </w:r>
          </w:p>
        </w:tc>
        <w:tc>
          <w:tcPr>
            <w:tcW w:w="6340" w:type="dxa"/>
            <w:vAlign w:val="bottom"/>
            <w:gridSpan w:val="3"/>
          </w:tcPr>
          <w:p>
            <w:pPr>
              <w:ind w:left="160"/>
              <w:spacing w:after="0"/>
              <w:rPr>
                <w:sz w:val="20"/>
                <w:szCs w:val="20"/>
                <w:color w:val="auto"/>
              </w:rPr>
            </w:pPr>
            <w:r>
              <w:rPr>
                <w:rFonts w:ascii="Arial" w:cs="Arial" w:eastAsia="Arial" w:hAnsi="Arial"/>
                <w:sz w:val="18"/>
                <w:szCs w:val="18"/>
                <w:color w:val="auto"/>
              </w:rPr>
              <w:t>Fees and charges which may be imposed directly or indirectly on holders of</w:t>
            </w:r>
          </w:p>
        </w:tc>
        <w:tc>
          <w:tcPr>
            <w:tcW w:w="4560" w:type="dxa"/>
            <w:vAlign w:val="bottom"/>
            <w:gridSpan w:val="5"/>
          </w:tcPr>
          <w:p>
            <w:pPr>
              <w:spacing w:after="0"/>
              <w:rPr>
                <w:sz w:val="20"/>
                <w:szCs w:val="20"/>
                <w:color w:val="auto"/>
              </w:rPr>
            </w:pPr>
            <w:r>
              <w:rPr>
                <w:rFonts w:ascii="Arial" w:cs="Arial" w:eastAsia="Arial" w:hAnsi="Arial"/>
                <w:sz w:val="18"/>
                <w:szCs w:val="18"/>
                <w:color w:val="auto"/>
              </w:rPr>
              <w:t>Face of Receipt - Paragraph (11).</w:t>
            </w:r>
          </w:p>
        </w:tc>
      </w:tr>
      <w:tr>
        <w:trPr>
          <w:trHeight w:val="237"/>
        </w:trPr>
        <w:tc>
          <w:tcPr>
            <w:tcW w:w="300" w:type="dxa"/>
            <w:vAlign w:val="bottom"/>
          </w:tcPr>
          <w:p>
            <w:pPr>
              <w:spacing w:after="0"/>
              <w:rPr>
                <w:sz w:val="20"/>
                <w:szCs w:val="20"/>
                <w:color w:val="auto"/>
              </w:rPr>
            </w:pPr>
          </w:p>
        </w:tc>
        <w:tc>
          <w:tcPr>
            <w:tcW w:w="680" w:type="dxa"/>
            <w:vAlign w:val="bottom"/>
          </w:tcPr>
          <w:p>
            <w:pPr>
              <w:ind w:left="160"/>
              <w:spacing w:after="0"/>
              <w:rPr>
                <w:sz w:val="20"/>
                <w:szCs w:val="20"/>
                <w:color w:val="auto"/>
              </w:rPr>
            </w:pPr>
            <w:r>
              <w:rPr>
                <w:rFonts w:ascii="Arial" w:cs="Arial" w:eastAsia="Arial" w:hAnsi="Arial"/>
                <w:sz w:val="18"/>
                <w:szCs w:val="18"/>
                <w:color w:val="auto"/>
              </w:rPr>
              <w:t>ADSs</w:t>
            </w:r>
          </w:p>
        </w:tc>
        <w:tc>
          <w:tcPr>
            <w:tcW w:w="1080" w:type="dxa"/>
            <w:vAlign w:val="bottom"/>
          </w:tcPr>
          <w:p>
            <w:pPr>
              <w:spacing w:after="0"/>
              <w:rPr>
                <w:sz w:val="20"/>
                <w:szCs w:val="20"/>
                <w:color w:val="auto"/>
              </w:rPr>
            </w:pPr>
          </w:p>
        </w:tc>
        <w:tc>
          <w:tcPr>
            <w:tcW w:w="4580" w:type="dxa"/>
            <w:vAlign w:val="bottom"/>
          </w:tcPr>
          <w:p>
            <w:pPr>
              <w:spacing w:after="0"/>
              <w:rPr>
                <w:sz w:val="20"/>
                <w:szCs w:val="20"/>
                <w:color w:val="auto"/>
              </w:rPr>
            </w:pPr>
          </w:p>
        </w:tc>
        <w:tc>
          <w:tcPr>
            <w:tcW w:w="1120" w:type="dxa"/>
            <w:vAlign w:val="bottom"/>
            <w:tcBorders>
              <w:top w:val="single" w:sz="8" w:color="auto"/>
            </w:tcBorders>
          </w:tcPr>
          <w:p>
            <w:pPr>
              <w:spacing w:after="0"/>
              <w:rPr>
                <w:sz w:val="20"/>
                <w:szCs w:val="20"/>
                <w:color w:val="auto"/>
              </w:rPr>
            </w:pPr>
          </w:p>
        </w:tc>
        <w:tc>
          <w:tcPr>
            <w:tcW w:w="24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580" w:type="dxa"/>
            <w:vAlign w:val="bottom"/>
          </w:tcPr>
          <w:p>
            <w:pPr>
              <w:spacing w:after="0"/>
              <w:rPr>
                <w:sz w:val="20"/>
                <w:szCs w:val="20"/>
                <w:color w:val="auto"/>
              </w:rPr>
            </w:pPr>
          </w:p>
        </w:tc>
        <w:tc>
          <w:tcPr>
            <w:tcW w:w="2320" w:type="dxa"/>
            <w:vAlign w:val="bottom"/>
          </w:tcPr>
          <w:p>
            <w:pPr>
              <w:spacing w:after="0"/>
              <w:rPr>
                <w:sz w:val="20"/>
                <w:szCs w:val="20"/>
                <w:color w:val="auto"/>
              </w:rPr>
            </w:pPr>
          </w:p>
        </w:tc>
      </w:tr>
      <w:tr>
        <w:trPr>
          <w:trHeight w:val="392"/>
        </w:trPr>
        <w:tc>
          <w:tcPr>
            <w:tcW w:w="980" w:type="dxa"/>
            <w:vAlign w:val="bottom"/>
            <w:gridSpan w:val="2"/>
          </w:tcPr>
          <w:p>
            <w:pPr>
              <w:spacing w:after="0"/>
              <w:rPr>
                <w:sz w:val="20"/>
                <w:szCs w:val="20"/>
                <w:color w:val="auto"/>
              </w:rPr>
            </w:pPr>
            <w:r>
              <w:rPr>
                <w:rFonts w:ascii="Arial" w:cs="Arial" w:eastAsia="Arial" w:hAnsi="Arial"/>
                <w:sz w:val="18"/>
                <w:szCs w:val="18"/>
                <w:b w:val="1"/>
                <w:bCs w:val="1"/>
                <w:color w:val="auto"/>
              </w:rPr>
              <w:t>Item 2.</w:t>
            </w:r>
          </w:p>
        </w:tc>
        <w:tc>
          <w:tcPr>
            <w:tcW w:w="5660" w:type="dxa"/>
            <w:vAlign w:val="bottom"/>
            <w:gridSpan w:val="2"/>
          </w:tcPr>
          <w:p>
            <w:pPr>
              <w:ind w:left="660"/>
              <w:spacing w:after="0"/>
              <w:rPr>
                <w:sz w:val="20"/>
                <w:szCs w:val="20"/>
                <w:color w:val="auto"/>
              </w:rPr>
            </w:pPr>
            <w:r>
              <w:rPr>
                <w:rFonts w:ascii="Arial" w:cs="Arial" w:eastAsia="Arial" w:hAnsi="Arial"/>
                <w:sz w:val="18"/>
                <w:szCs w:val="18"/>
                <w:b w:val="1"/>
                <w:bCs w:val="1"/>
                <w:color w:val="auto"/>
              </w:rPr>
              <w:t>AVAILABLE INFORMATION</w:t>
            </w:r>
          </w:p>
        </w:tc>
        <w:tc>
          <w:tcPr>
            <w:tcW w:w="4560" w:type="dxa"/>
            <w:vAlign w:val="bottom"/>
            <w:gridSpan w:val="5"/>
          </w:tcPr>
          <w:p>
            <w:pPr>
              <w:spacing w:after="0"/>
              <w:rPr>
                <w:sz w:val="20"/>
                <w:szCs w:val="20"/>
                <w:color w:val="auto"/>
              </w:rPr>
            </w:pPr>
            <w:r>
              <w:rPr>
                <w:rFonts w:ascii="Arial" w:cs="Arial" w:eastAsia="Arial" w:hAnsi="Arial"/>
                <w:sz w:val="18"/>
                <w:szCs w:val="18"/>
                <w:color w:val="auto"/>
              </w:rPr>
              <w:t>Face of Receipt - Paragraph (14).</w:t>
            </w:r>
          </w:p>
        </w:tc>
      </w:tr>
      <w:tr>
        <w:trPr>
          <w:trHeight w:val="20"/>
        </w:trPr>
        <w:tc>
          <w:tcPr>
            <w:tcW w:w="30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1080" w:type="dxa"/>
            <w:vAlign w:val="bottom"/>
          </w:tcPr>
          <w:p>
            <w:pPr>
              <w:spacing w:after="0" w:line="20" w:lineRule="exact"/>
              <w:rPr>
                <w:sz w:val="1"/>
                <w:szCs w:val="1"/>
                <w:color w:val="auto"/>
              </w:rPr>
            </w:pPr>
          </w:p>
        </w:tc>
        <w:tc>
          <w:tcPr>
            <w:tcW w:w="4580" w:type="dxa"/>
            <w:vAlign w:val="bottom"/>
          </w:tcPr>
          <w:p>
            <w:pPr>
              <w:spacing w:after="0" w:line="20" w:lineRule="exact"/>
              <w:rPr>
                <w:sz w:val="1"/>
                <w:szCs w:val="1"/>
                <w:color w:val="auto"/>
              </w:rPr>
            </w:pPr>
          </w:p>
        </w:tc>
        <w:tc>
          <w:tcPr>
            <w:tcW w:w="1120" w:type="dxa"/>
            <w:vAlign w:val="bottom"/>
            <w:shd w:val="clear" w:color="auto" w:fill="000000"/>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2320" w:type="dxa"/>
            <w:vAlign w:val="bottom"/>
          </w:tcPr>
          <w:p>
            <w:pPr>
              <w:spacing w:after="0" w:line="20" w:lineRule="exact"/>
              <w:rPr>
                <w:sz w:val="1"/>
                <w:szCs w:val="1"/>
                <w:color w:val="auto"/>
              </w:rPr>
            </w:pPr>
          </w:p>
        </w:tc>
      </w:tr>
    </w:tbl>
    <w:p>
      <w:pPr>
        <w:spacing w:after="0" w:line="256" w:lineRule="exact"/>
        <w:rPr>
          <w:sz w:val="20"/>
          <w:szCs w:val="20"/>
          <w:color w:val="auto"/>
        </w:rPr>
      </w:pPr>
    </w:p>
    <w:p>
      <w:pPr>
        <w:ind w:firstLine="648"/>
        <w:spacing w:after="0" w:line="259" w:lineRule="auto"/>
        <w:rPr>
          <w:sz w:val="20"/>
          <w:szCs w:val="20"/>
          <w:color w:val="auto"/>
        </w:rPr>
      </w:pPr>
      <w:r>
        <w:rPr>
          <w:rFonts w:ascii="Arial" w:cs="Arial" w:eastAsia="Arial" w:hAnsi="Arial"/>
          <w:sz w:val="18"/>
          <w:szCs w:val="18"/>
          <w:color w:val="auto"/>
        </w:rPr>
        <w:t>The Company is subject to the periodic reporting requirements of the United States Securities Exchange Act of 1934, as amended, and, accordingly, files certain reports with, and submits certain reports to, the United States Securities and Exchange Commission (the “</w:t>
      </w:r>
      <w:r>
        <w:rPr>
          <w:rFonts w:ascii="Arial" w:cs="Arial" w:eastAsia="Arial" w:hAnsi="Arial"/>
          <w:sz w:val="18"/>
          <w:szCs w:val="18"/>
          <w:u w:val="single" w:color="auto"/>
          <w:color w:val="auto"/>
        </w:rPr>
        <w:t>Commission</w:t>
      </w:r>
      <w:r>
        <w:rPr>
          <w:rFonts w:ascii="Arial" w:cs="Arial" w:eastAsia="Arial" w:hAnsi="Arial"/>
          <w:sz w:val="18"/>
          <w:szCs w:val="18"/>
          <w:color w:val="auto"/>
        </w:rPr>
        <w:t>”). These reports can be retrieved from the Commission’s internet website (</w:t>
      </w:r>
      <w:r>
        <w:rPr>
          <w:rFonts w:ascii="Arial" w:cs="Arial" w:eastAsia="Arial" w:hAnsi="Arial"/>
          <w:sz w:val="18"/>
          <w:szCs w:val="18"/>
          <w:u w:val="single" w:color="auto"/>
          <w:color w:val="auto"/>
        </w:rPr>
        <w:t>www.sec.gov</w:t>
      </w:r>
      <w:r>
        <w:rPr>
          <w:rFonts w:ascii="Arial" w:cs="Arial" w:eastAsia="Arial" w:hAnsi="Arial"/>
          <w:sz w:val="18"/>
          <w:szCs w:val="18"/>
          <w:color w:val="auto"/>
        </w:rPr>
        <w:t>), and can be inspected and copied at the public reference facilities maintained by the Commission at 100 F Street, N.E., Washington D.C. 20549.</w:t>
      </w:r>
    </w:p>
    <w:p>
      <w:pPr>
        <w:spacing w:after="0" w:line="288" w:lineRule="exact"/>
        <w:rPr>
          <w:sz w:val="20"/>
          <w:szCs w:val="20"/>
          <w:color w:val="auto"/>
        </w:rPr>
      </w:pPr>
    </w:p>
    <w:p>
      <w:pPr>
        <w:jc w:val="center"/>
        <w:ind w:right="-119"/>
        <w:spacing w:after="0"/>
        <w:rPr>
          <w:sz w:val="20"/>
          <w:szCs w:val="20"/>
          <w:color w:val="auto"/>
        </w:rPr>
      </w:pPr>
      <w:r>
        <w:rPr>
          <w:rFonts w:ascii="Arial" w:cs="Arial" w:eastAsia="Arial" w:hAnsi="Arial"/>
          <w:sz w:val="22"/>
          <w:szCs w:val="22"/>
          <w:color w:val="auto"/>
        </w:rPr>
        <w:t>I-2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7620</wp:posOffset>
            </wp:positionV>
            <wp:extent cx="7246620" cy="1714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320"/>
          </w:cols>
          <w:pgMar w:left="240" w:top="364" w:right="339" w:bottom="1440" w:gutter="0" w:footer="0" w:header="0"/>
        </w:sectPr>
      </w:pPr>
    </w:p>
    <w:bookmarkStart w:id="5" w:name="page6"/>
    <w:bookmarkEnd w:id="5"/>
    <w:p>
      <w:pPr>
        <w:jc w:val="center"/>
        <w:ind w:right="-20"/>
        <w:spacing w:after="0"/>
        <w:rPr>
          <w:sz w:val="20"/>
          <w:szCs w:val="20"/>
          <w:color w:val="auto"/>
        </w:rPr>
      </w:pPr>
      <w:r>
        <w:rPr>
          <w:rFonts w:ascii="Arial" w:cs="Arial" w:eastAsia="Arial" w:hAnsi="Arial"/>
          <w:sz w:val="18"/>
          <w:szCs w:val="18"/>
          <w:b w:val="1"/>
          <w:bCs w:val="1"/>
          <w:u w:val="single" w:color="auto"/>
          <w:color w:val="auto"/>
        </w:rPr>
        <w:t>PROSPECTUS</w:t>
      </w:r>
    </w:p>
    <w:p>
      <w:pPr>
        <w:spacing w:after="0" w:line="229" w:lineRule="exact"/>
        <w:rPr>
          <w:sz w:val="20"/>
          <w:szCs w:val="20"/>
          <w:color w:val="auto"/>
        </w:rPr>
      </w:pPr>
    </w:p>
    <w:p>
      <w:pPr>
        <w:ind w:left="100" w:right="559"/>
        <w:spacing w:after="0" w:line="264" w:lineRule="auto"/>
        <w:rPr>
          <w:sz w:val="20"/>
          <w:szCs w:val="20"/>
          <w:color w:val="auto"/>
        </w:rPr>
      </w:pPr>
      <w:r>
        <w:rPr>
          <w:rFonts w:ascii="Arial" w:cs="Arial" w:eastAsia="Arial" w:hAnsi="Arial"/>
          <w:sz w:val="18"/>
          <w:szCs w:val="18"/>
          <w:color w:val="auto"/>
        </w:rPr>
        <w:t>The Prospectus consists of the proposed form of American Depositary Receipt included as Exhibit A to the Form of Deposit Agreement filed as Exhibit (a) to this Registration Statement on Form F-6 and is incorporated herein by reference.</w:t>
      </w:r>
    </w:p>
    <w:p>
      <w:pPr>
        <w:spacing w:after="0" w:line="282" w:lineRule="exact"/>
        <w:rPr>
          <w:sz w:val="20"/>
          <w:szCs w:val="20"/>
          <w:color w:val="auto"/>
        </w:rPr>
      </w:pPr>
    </w:p>
    <w:p>
      <w:pPr>
        <w:jc w:val="center"/>
        <w:ind w:right="-20"/>
        <w:spacing w:after="0"/>
        <w:rPr>
          <w:sz w:val="20"/>
          <w:szCs w:val="20"/>
          <w:color w:val="auto"/>
        </w:rPr>
      </w:pPr>
      <w:r>
        <w:rPr>
          <w:rFonts w:ascii="Arial" w:cs="Arial" w:eastAsia="Arial" w:hAnsi="Arial"/>
          <w:sz w:val="22"/>
          <w:szCs w:val="22"/>
          <w:color w:val="auto"/>
        </w:rPr>
        <w:t>I-3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-756285</wp:posOffset>
            </wp:positionH>
            <wp:positionV relativeFrom="paragraph">
              <wp:posOffset>7620</wp:posOffset>
            </wp:positionV>
            <wp:extent cx="7246620" cy="1714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9019"/>
          </w:cols>
          <w:pgMar w:left="1440" w:top="337" w:right="1440" w:bottom="1440" w:gutter="0" w:footer="0" w:header="0"/>
        </w:sectPr>
      </w:pPr>
    </w:p>
    <w:bookmarkStart w:id="6" w:name="page7"/>
    <w:bookmarkEnd w:id="6"/>
    <w:p>
      <w:pPr>
        <w:jc w:val="center"/>
        <w:ind w:right="-79"/>
        <w:spacing w:after="0"/>
        <w:rPr>
          <w:sz w:val="20"/>
          <w:szCs w:val="20"/>
          <w:color w:val="auto"/>
        </w:rPr>
      </w:pPr>
      <w:r>
        <w:rPr>
          <w:rFonts w:ascii="Arial" w:cs="Arial" w:eastAsia="Arial" w:hAnsi="Arial"/>
          <w:sz w:val="18"/>
          <w:szCs w:val="18"/>
          <w:b w:val="1"/>
          <w:bCs w:val="1"/>
          <w:color w:val="auto"/>
        </w:rPr>
        <w:t>PART II</w:t>
      </w:r>
    </w:p>
    <w:p>
      <w:pPr>
        <w:spacing w:after="0" w:line="225" w:lineRule="exact"/>
        <w:rPr>
          <w:sz w:val="20"/>
          <w:szCs w:val="20"/>
          <w:color w:val="auto"/>
        </w:rPr>
      </w:pPr>
    </w:p>
    <w:p>
      <w:pPr>
        <w:jc w:val="center"/>
        <w:ind w:right="-79"/>
        <w:spacing w:after="0"/>
        <w:rPr>
          <w:sz w:val="20"/>
          <w:szCs w:val="20"/>
          <w:color w:val="auto"/>
        </w:rPr>
      </w:pPr>
      <w:r>
        <w:rPr>
          <w:rFonts w:ascii="Arial" w:cs="Arial" w:eastAsia="Arial" w:hAnsi="Arial"/>
          <w:sz w:val="18"/>
          <w:szCs w:val="18"/>
          <w:b w:val="1"/>
          <w:bCs w:val="1"/>
          <w:color w:val="auto"/>
        </w:rPr>
        <w:t>INFORMATION NOT REQUIRED IN PROSPECTUS</w:t>
      </w:r>
    </w:p>
    <w:p>
      <w:pPr>
        <w:spacing w:after="0" w:line="225" w:lineRule="exact"/>
        <w:rPr>
          <w:sz w:val="20"/>
          <w:szCs w:val="20"/>
          <w:color w:val="auto"/>
        </w:rPr>
      </w:pPr>
    </w:p>
    <w:p>
      <w:pPr>
        <w:spacing w:after="0"/>
        <w:tabs>
          <w:tab w:leader="none" w:pos="1280" w:val="left"/>
        </w:tabs>
        <w:rPr>
          <w:sz w:val="20"/>
          <w:szCs w:val="20"/>
          <w:color w:val="auto"/>
        </w:rPr>
      </w:pPr>
      <w:r>
        <w:rPr>
          <w:rFonts w:ascii="Arial" w:cs="Arial" w:eastAsia="Arial" w:hAnsi="Arial"/>
          <w:sz w:val="18"/>
          <w:szCs w:val="18"/>
          <w:b w:val="1"/>
          <w:bCs w:val="1"/>
          <w:color w:val="auto"/>
        </w:rPr>
        <w:t>Item 3.</w:t>
      </w:r>
      <w:r>
        <w:rPr>
          <w:sz w:val="20"/>
          <w:szCs w:val="20"/>
          <w:color w:val="auto"/>
        </w:rPr>
        <w:tab/>
      </w:r>
      <w:r>
        <w:rPr>
          <w:rFonts w:ascii="Arial" w:cs="Arial" w:eastAsia="Arial" w:hAnsi="Arial"/>
          <w:sz w:val="18"/>
          <w:szCs w:val="18"/>
          <w:b w:val="1"/>
          <w:bCs w:val="1"/>
          <w:color w:val="auto"/>
        </w:rPr>
        <w:t>EXHIBITS</w:t>
      </w:r>
    </w:p>
    <w:p>
      <w:pPr>
        <w:spacing w:after="0" w:line="229" w:lineRule="exact"/>
        <w:rPr>
          <w:sz w:val="20"/>
          <w:szCs w:val="20"/>
          <w:color w:val="auto"/>
        </w:rPr>
      </w:pPr>
    </w:p>
    <w:p>
      <w:pPr>
        <w:ind w:left="1300" w:hanging="644"/>
        <w:spacing w:after="0"/>
        <w:tabs>
          <w:tab w:leader="none" w:pos="1300" w:val="left"/>
        </w:tabs>
        <w:numPr>
          <w:ilvl w:val="0"/>
          <w:numId w:val="2"/>
        </w:numPr>
        <w:rPr>
          <w:rFonts w:ascii="Arial" w:cs="Arial" w:eastAsia="Arial" w:hAnsi="Arial"/>
          <w:sz w:val="18"/>
          <w:szCs w:val="18"/>
          <w:color w:val="auto"/>
        </w:rPr>
      </w:pPr>
      <w:r>
        <w:rPr>
          <w:rFonts w:ascii="Arial" w:cs="Arial" w:eastAsia="Arial" w:hAnsi="Arial"/>
          <w:sz w:val="18"/>
          <w:szCs w:val="18"/>
          <w:color w:val="auto"/>
        </w:rPr>
        <w:t>Form of Deposit Agreement, by and among Mereo BioPharma Group plc (the “</w:t>
      </w:r>
      <w:r>
        <w:rPr>
          <w:rFonts w:ascii="Arial" w:cs="Arial" w:eastAsia="Arial" w:hAnsi="Arial"/>
          <w:sz w:val="18"/>
          <w:szCs w:val="18"/>
          <w:u w:val="single" w:color="auto"/>
          <w:color w:val="auto"/>
        </w:rPr>
        <w:t>Company</w:t>
      </w:r>
      <w:r>
        <w:rPr>
          <w:rFonts w:ascii="Arial" w:cs="Arial" w:eastAsia="Arial" w:hAnsi="Arial"/>
          <w:sz w:val="18"/>
          <w:szCs w:val="18"/>
          <w:color w:val="auto"/>
        </w:rPr>
        <w:t>”), Citibank, N.A., as depositary (the</w:t>
      </w:r>
    </w:p>
    <w:p>
      <w:pPr>
        <w:spacing w:after="0" w:line="23" w:lineRule="exact"/>
        <w:rPr>
          <w:rFonts w:ascii="Arial" w:cs="Arial" w:eastAsia="Arial" w:hAnsi="Arial"/>
          <w:sz w:val="18"/>
          <w:szCs w:val="18"/>
          <w:color w:val="auto"/>
        </w:rPr>
      </w:pPr>
    </w:p>
    <w:p>
      <w:pPr>
        <w:ind w:left="1300" w:right="120"/>
        <w:spacing w:after="0" w:line="261" w:lineRule="auto"/>
        <w:rPr>
          <w:rFonts w:ascii="Arial" w:cs="Arial" w:eastAsia="Arial" w:hAnsi="Arial"/>
          <w:sz w:val="18"/>
          <w:szCs w:val="18"/>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Depositary</w:t>
      </w:r>
      <w:r>
        <w:rPr>
          <w:rFonts w:ascii="Arial" w:cs="Arial" w:eastAsia="Arial" w:hAnsi="Arial"/>
          <w:sz w:val="18"/>
          <w:szCs w:val="18"/>
          <w:color w:val="auto"/>
        </w:rPr>
        <w:t>”), and all Holders and Beneficial Owners of American Depositary Shares issued thereunder (“</w:t>
      </w:r>
      <w:r>
        <w:rPr>
          <w:rFonts w:ascii="Arial" w:cs="Arial" w:eastAsia="Arial" w:hAnsi="Arial"/>
          <w:sz w:val="18"/>
          <w:szCs w:val="18"/>
          <w:u w:val="single" w:color="auto"/>
          <w:color w:val="auto"/>
        </w:rPr>
        <w:t>Deposit Agreement</w:t>
      </w:r>
      <w:r>
        <w:rPr>
          <w:rFonts w:ascii="Arial" w:cs="Arial" w:eastAsia="Arial" w:hAnsi="Arial"/>
          <w:sz w:val="18"/>
          <w:szCs w:val="18"/>
          <w:color w:val="auto"/>
        </w:rPr>
        <w:t>”). — Filed herewith as Exhibit (a).</w:t>
      </w:r>
    </w:p>
    <w:p>
      <w:pPr>
        <w:spacing w:after="0" w:line="183" w:lineRule="exact"/>
        <w:rPr>
          <w:rFonts w:ascii="Arial" w:cs="Arial" w:eastAsia="Arial" w:hAnsi="Arial"/>
          <w:sz w:val="18"/>
          <w:szCs w:val="18"/>
          <w:color w:val="auto"/>
        </w:rPr>
      </w:pPr>
    </w:p>
    <w:p>
      <w:pPr>
        <w:ind w:left="1300" w:right="80" w:hanging="644"/>
        <w:spacing w:after="0" w:line="277" w:lineRule="auto"/>
        <w:tabs>
          <w:tab w:leader="none" w:pos="1300" w:val="left"/>
        </w:tabs>
        <w:numPr>
          <w:ilvl w:val="0"/>
          <w:numId w:val="2"/>
        </w:numPr>
        <w:rPr>
          <w:rFonts w:ascii="Arial" w:cs="Arial" w:eastAsia="Arial" w:hAnsi="Arial"/>
          <w:sz w:val="18"/>
          <w:szCs w:val="18"/>
          <w:color w:val="auto"/>
        </w:rPr>
      </w:pPr>
      <w:r>
        <w:rPr>
          <w:rFonts w:ascii="Arial" w:cs="Arial" w:eastAsia="Arial" w:hAnsi="Arial"/>
          <w:sz w:val="18"/>
          <w:szCs w:val="18"/>
          <w:color w:val="auto"/>
        </w:rPr>
        <w:t>Any other agreement to which the Depositary is a party relating to the issuance of the American Depositary Shares registered hereunder or the custody of the deposited securities represented thereby. — None.</w:t>
      </w:r>
    </w:p>
    <w:p>
      <w:pPr>
        <w:spacing w:after="0" w:line="170" w:lineRule="exact"/>
        <w:rPr>
          <w:rFonts w:ascii="Arial" w:cs="Arial" w:eastAsia="Arial" w:hAnsi="Arial"/>
          <w:sz w:val="18"/>
          <w:szCs w:val="18"/>
          <w:color w:val="auto"/>
        </w:rPr>
      </w:pPr>
    </w:p>
    <w:p>
      <w:pPr>
        <w:ind w:left="1300" w:right="40" w:hanging="644"/>
        <w:spacing w:after="0" w:line="277" w:lineRule="auto"/>
        <w:tabs>
          <w:tab w:leader="none" w:pos="1300" w:val="left"/>
        </w:tabs>
        <w:numPr>
          <w:ilvl w:val="0"/>
          <w:numId w:val="2"/>
        </w:numPr>
        <w:rPr>
          <w:rFonts w:ascii="Arial" w:cs="Arial" w:eastAsia="Arial" w:hAnsi="Arial"/>
          <w:sz w:val="18"/>
          <w:szCs w:val="18"/>
          <w:color w:val="auto"/>
        </w:rPr>
      </w:pPr>
      <w:r>
        <w:rPr>
          <w:rFonts w:ascii="Arial" w:cs="Arial" w:eastAsia="Arial" w:hAnsi="Arial"/>
          <w:sz w:val="18"/>
          <w:szCs w:val="18"/>
          <w:color w:val="auto"/>
        </w:rPr>
        <w:t>Every material contract relating to the deposited securities between the Depositary and the issuer of the deposited securities in effect at any time within the last three years. — None.</w:t>
      </w:r>
    </w:p>
    <w:p>
      <w:pPr>
        <w:spacing w:after="0" w:line="170" w:lineRule="exact"/>
        <w:rPr>
          <w:rFonts w:ascii="Arial" w:cs="Arial" w:eastAsia="Arial" w:hAnsi="Arial"/>
          <w:sz w:val="18"/>
          <w:szCs w:val="18"/>
          <w:color w:val="auto"/>
        </w:rPr>
      </w:pPr>
    </w:p>
    <w:p>
      <w:pPr>
        <w:ind w:left="1300" w:right="340" w:hanging="644"/>
        <w:spacing w:after="0" w:line="264" w:lineRule="auto"/>
        <w:tabs>
          <w:tab w:leader="none" w:pos="1300" w:val="left"/>
        </w:tabs>
        <w:numPr>
          <w:ilvl w:val="0"/>
          <w:numId w:val="2"/>
        </w:numPr>
        <w:rPr>
          <w:rFonts w:ascii="Arial" w:cs="Arial" w:eastAsia="Arial" w:hAnsi="Arial"/>
          <w:sz w:val="18"/>
          <w:szCs w:val="18"/>
          <w:color w:val="auto"/>
        </w:rPr>
      </w:pPr>
      <w:r>
        <w:rPr>
          <w:rFonts w:ascii="Arial" w:cs="Arial" w:eastAsia="Arial" w:hAnsi="Arial"/>
          <w:sz w:val="18"/>
          <w:szCs w:val="18"/>
          <w:color w:val="auto"/>
        </w:rPr>
        <w:t>Opinion of counsel for the Depositary as to the legality of the securities to be registered. — Previously filed as Exhibit (d) to the Registration Statement on Form F-6 (Reg. No. 333-223890) filed with the Commission on March 23, 2018, and incorporated herein by reference.</w:t>
      </w:r>
    </w:p>
    <w:p>
      <w:pPr>
        <w:spacing w:after="0" w:line="181" w:lineRule="exact"/>
        <w:rPr>
          <w:rFonts w:ascii="Arial" w:cs="Arial" w:eastAsia="Arial" w:hAnsi="Arial"/>
          <w:sz w:val="18"/>
          <w:szCs w:val="18"/>
          <w:color w:val="auto"/>
        </w:rPr>
      </w:pPr>
    </w:p>
    <w:p>
      <w:pPr>
        <w:ind w:left="1300" w:hanging="644"/>
        <w:spacing w:after="0"/>
        <w:tabs>
          <w:tab w:leader="none" w:pos="1300" w:val="left"/>
        </w:tabs>
        <w:numPr>
          <w:ilvl w:val="0"/>
          <w:numId w:val="2"/>
        </w:numPr>
        <w:rPr>
          <w:rFonts w:ascii="Arial" w:cs="Arial" w:eastAsia="Arial" w:hAnsi="Arial"/>
          <w:sz w:val="18"/>
          <w:szCs w:val="18"/>
          <w:color w:val="auto"/>
        </w:rPr>
      </w:pPr>
      <w:r>
        <w:rPr>
          <w:rFonts w:ascii="Arial" w:cs="Arial" w:eastAsia="Arial" w:hAnsi="Arial"/>
          <w:sz w:val="18"/>
          <w:szCs w:val="18"/>
          <w:color w:val="auto"/>
        </w:rPr>
        <w:t>Certificate under Rule 466. — None.</w:t>
      </w:r>
    </w:p>
    <w:p>
      <w:pPr>
        <w:spacing w:after="0" w:line="225" w:lineRule="exact"/>
        <w:rPr>
          <w:rFonts w:ascii="Arial" w:cs="Arial" w:eastAsia="Arial" w:hAnsi="Arial"/>
          <w:sz w:val="18"/>
          <w:szCs w:val="18"/>
          <w:color w:val="auto"/>
        </w:rPr>
      </w:pPr>
    </w:p>
    <w:p>
      <w:pPr>
        <w:ind w:left="1300" w:hanging="644"/>
        <w:spacing w:after="0" w:line="259" w:lineRule="auto"/>
        <w:tabs>
          <w:tab w:leader="none" w:pos="1300" w:val="left"/>
        </w:tabs>
        <w:numPr>
          <w:ilvl w:val="0"/>
          <w:numId w:val="2"/>
        </w:numPr>
        <w:rPr>
          <w:rFonts w:ascii="Arial" w:cs="Arial" w:eastAsia="Arial" w:hAnsi="Arial"/>
          <w:sz w:val="18"/>
          <w:szCs w:val="18"/>
          <w:color w:val="auto"/>
        </w:rPr>
      </w:pPr>
      <w:r>
        <w:rPr>
          <w:rFonts w:ascii="Arial" w:cs="Arial" w:eastAsia="Arial" w:hAnsi="Arial"/>
          <w:sz w:val="18"/>
          <w:szCs w:val="18"/>
          <w:color w:val="auto"/>
        </w:rPr>
        <w:t>Powers of Attorney for certain officers and directors and the authorized representative of the Company. — Previously filed on the signature pages to the Registration Statement on Form F-6 (Reg. No. 333-223890) filed with the Commission on March 23, 2018, and on the signature pages to the Pre-Effective Amendment No. 1 to Registration Statement on Form F-6 (Reg. No. 333-223890) filed with the Commission on April 9, 2018, and both incorporated herein by reference.</w:t>
      </w:r>
    </w:p>
    <w:p>
      <w:pPr>
        <w:spacing w:after="0" w:line="288" w:lineRule="exact"/>
        <w:rPr>
          <w:sz w:val="20"/>
          <w:szCs w:val="20"/>
          <w:color w:val="auto"/>
        </w:rPr>
      </w:pPr>
    </w:p>
    <w:p>
      <w:pPr>
        <w:jc w:val="center"/>
        <w:ind w:right="-79"/>
        <w:spacing w:after="0"/>
        <w:rPr>
          <w:sz w:val="20"/>
          <w:szCs w:val="20"/>
          <w:color w:val="auto"/>
        </w:rPr>
      </w:pPr>
      <w:r>
        <w:rPr>
          <w:rFonts w:ascii="Arial" w:cs="Arial" w:eastAsia="Arial" w:hAnsi="Arial"/>
          <w:sz w:val="22"/>
          <w:szCs w:val="22"/>
          <w:color w:val="auto"/>
        </w:rPr>
        <w:t>II-1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7620</wp:posOffset>
            </wp:positionV>
            <wp:extent cx="7246620" cy="17145"/>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360"/>
          </w:cols>
          <w:pgMar w:left="240" w:top="337" w:right="299" w:bottom="1440" w:gutter="0" w:footer="0" w:header="0"/>
        </w:sectPr>
      </w:pPr>
    </w:p>
    <w:bookmarkStart w:id="7" w:name="page8"/>
    <w:bookmarkEnd w:id="7"/>
    <w:p>
      <w:pPr>
        <w:spacing w:after="0"/>
        <w:tabs>
          <w:tab w:leader="none" w:pos="1280" w:val="left"/>
        </w:tabs>
        <w:rPr>
          <w:sz w:val="20"/>
          <w:szCs w:val="20"/>
          <w:color w:val="auto"/>
        </w:rPr>
      </w:pPr>
      <w:r>
        <w:rPr>
          <w:rFonts w:ascii="Arial" w:cs="Arial" w:eastAsia="Arial" w:hAnsi="Arial"/>
          <w:sz w:val="18"/>
          <w:szCs w:val="18"/>
          <w:b w:val="1"/>
          <w:bCs w:val="1"/>
          <w:color w:val="auto"/>
        </w:rPr>
        <w:t>Item 4.</w:t>
      </w:r>
      <w:r>
        <w:rPr>
          <w:sz w:val="20"/>
          <w:szCs w:val="20"/>
          <w:color w:val="auto"/>
        </w:rPr>
        <w:tab/>
      </w:r>
      <w:r>
        <w:rPr>
          <w:rFonts w:ascii="Arial" w:cs="Arial" w:eastAsia="Arial" w:hAnsi="Arial"/>
          <w:sz w:val="18"/>
          <w:szCs w:val="18"/>
          <w:b w:val="1"/>
          <w:bCs w:val="1"/>
          <w:color w:val="auto"/>
        </w:rPr>
        <w:t>UNDERTAKINGS</w:t>
      </w:r>
    </w:p>
    <w:p>
      <w:pPr>
        <w:spacing w:after="0" w:line="229" w:lineRule="exact"/>
        <w:rPr>
          <w:sz w:val="20"/>
          <w:szCs w:val="20"/>
          <w:color w:val="auto"/>
        </w:rPr>
      </w:pPr>
    </w:p>
    <w:p>
      <w:pPr>
        <w:ind w:left="1300" w:hanging="644"/>
        <w:spacing w:after="0" w:line="312" w:lineRule="auto"/>
        <w:tabs>
          <w:tab w:leader="none" w:pos="1300" w:val="left"/>
        </w:tabs>
        <w:numPr>
          <w:ilvl w:val="0"/>
          <w:numId w:val="3"/>
        </w:numPr>
        <w:rPr>
          <w:rFonts w:ascii="Arial" w:cs="Arial" w:eastAsia="Arial" w:hAnsi="Arial"/>
          <w:sz w:val="16"/>
          <w:szCs w:val="16"/>
          <w:color w:val="auto"/>
        </w:rPr>
      </w:pPr>
      <w:r>
        <w:rPr>
          <w:rFonts w:ascii="Arial" w:cs="Arial" w:eastAsia="Arial" w:hAnsi="Arial"/>
          <w:sz w:val="16"/>
          <w:szCs w:val="16"/>
          <w:color w:val="auto"/>
        </w:rPr>
        <w:t>The Depositary undertakes to make available at the principal office of the Depositary in the United States, for inspection by holders of ADSs, any reports and communications received from the issuer of the deposited securities which are both (1) received by the Depositary as the holder of the deposited securities, and (2) made generally available to the holders of the underlying securities by the issuer.</w:t>
      </w:r>
    </w:p>
    <w:p>
      <w:pPr>
        <w:spacing w:after="0" w:line="146" w:lineRule="exact"/>
        <w:rPr>
          <w:rFonts w:ascii="Arial" w:cs="Arial" w:eastAsia="Arial" w:hAnsi="Arial"/>
          <w:sz w:val="16"/>
          <w:szCs w:val="16"/>
          <w:color w:val="auto"/>
        </w:rPr>
      </w:pPr>
    </w:p>
    <w:p>
      <w:pPr>
        <w:ind w:left="1300" w:right="80" w:hanging="644"/>
        <w:spacing w:after="0" w:line="259" w:lineRule="auto"/>
        <w:tabs>
          <w:tab w:leader="none" w:pos="1300" w:val="left"/>
        </w:tabs>
        <w:numPr>
          <w:ilvl w:val="0"/>
          <w:numId w:val="3"/>
        </w:numPr>
        <w:rPr>
          <w:rFonts w:ascii="Arial" w:cs="Arial" w:eastAsia="Arial" w:hAnsi="Arial"/>
          <w:sz w:val="18"/>
          <w:szCs w:val="18"/>
          <w:color w:val="auto"/>
        </w:rPr>
      </w:pPr>
      <w:r>
        <w:rPr>
          <w:rFonts w:ascii="Arial" w:cs="Arial" w:eastAsia="Arial" w:hAnsi="Arial"/>
          <w:sz w:val="18"/>
          <w:szCs w:val="18"/>
          <w:color w:val="auto"/>
        </w:rPr>
        <w:t>If the amount of fees charged is not disclosed in the prospectus, the Depositary undertakes to prepare a separate document stating the amount of any fee charged and describing the service for which it is charged and to deliver promptly a copy of such fee schedule without charge to anyone upon request. The Depositary undertakes to notify each registered holder of an ADS thirty (30) days before any change in the fee schedule.</w:t>
      </w:r>
    </w:p>
    <w:p>
      <w:pPr>
        <w:spacing w:after="0" w:line="288" w:lineRule="exact"/>
        <w:rPr>
          <w:sz w:val="20"/>
          <w:szCs w:val="20"/>
          <w:color w:val="auto"/>
        </w:rPr>
      </w:pPr>
    </w:p>
    <w:p>
      <w:pPr>
        <w:jc w:val="center"/>
        <w:ind w:right="-19"/>
        <w:spacing w:after="0"/>
        <w:rPr>
          <w:sz w:val="20"/>
          <w:szCs w:val="20"/>
          <w:color w:val="auto"/>
        </w:rPr>
      </w:pPr>
      <w:r>
        <w:rPr>
          <w:rFonts w:ascii="Arial" w:cs="Arial" w:eastAsia="Arial" w:hAnsi="Arial"/>
          <w:sz w:val="22"/>
          <w:szCs w:val="22"/>
          <w:color w:val="auto"/>
        </w:rPr>
        <w:t>II-2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7620</wp:posOffset>
            </wp:positionV>
            <wp:extent cx="7246620" cy="17145"/>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337" w:right="239" w:bottom="1440" w:gutter="0" w:footer="0" w:header="0"/>
        </w:sectPr>
      </w:pPr>
    </w:p>
    <w:bookmarkStart w:id="8" w:name="page9"/>
    <w:bookmarkEnd w:id="8"/>
    <w:p>
      <w:pPr>
        <w:jc w:val="center"/>
        <w:spacing w:after="0"/>
        <w:rPr>
          <w:sz w:val="20"/>
          <w:szCs w:val="20"/>
          <w:color w:val="auto"/>
        </w:rPr>
      </w:pPr>
      <w:r>
        <w:rPr>
          <w:rFonts w:ascii="Arial" w:cs="Arial" w:eastAsia="Arial" w:hAnsi="Arial"/>
          <w:sz w:val="18"/>
          <w:szCs w:val="18"/>
          <w:b w:val="1"/>
          <w:bCs w:val="1"/>
          <w:u w:val="single" w:color="auto"/>
          <w:color w:val="auto"/>
        </w:rPr>
        <w:t>SIGNATURES</w:t>
      </w:r>
    </w:p>
    <w:p>
      <w:pPr>
        <w:spacing w:after="0" w:line="229" w:lineRule="exact"/>
        <w:rPr>
          <w:sz w:val="20"/>
          <w:szCs w:val="20"/>
          <w:color w:val="auto"/>
        </w:rPr>
      </w:pPr>
    </w:p>
    <w:p>
      <w:pPr>
        <w:ind w:right="180" w:firstLine="648"/>
        <w:spacing w:after="0" w:line="257" w:lineRule="auto"/>
        <w:rPr>
          <w:sz w:val="20"/>
          <w:szCs w:val="20"/>
          <w:color w:val="auto"/>
        </w:rPr>
      </w:pPr>
      <w:r>
        <w:rPr>
          <w:rFonts w:ascii="Arial" w:cs="Arial" w:eastAsia="Arial" w:hAnsi="Arial"/>
          <w:sz w:val="18"/>
          <w:szCs w:val="18"/>
          <w:color w:val="auto"/>
        </w:rPr>
        <w:t>Pursuant to the requirements of the Securities Act of 1933, as amended, Citibank, N.A., acting solely on behalf of the legal entity created by the Deposit Agreement, by and among Mereo BioPharma Group plc, Citibank, N.A., as depositary, and all Holders and Beneficial Owners of American Depositary Shares to be issued thereunder, certifies that it has reasonable grounds to believe that all the requirements for filing on Form F-6 are met and has duly caused this Pre-Effective Amendment No. 2 to Registration Statement on Form F-6 to be signed on its behalf by the undersigned, thereunto duly authorized, in the City of New York, State of New York, on the 24th day of January, 2019.</w:t>
      </w:r>
    </w:p>
    <w:p>
      <w:pPr>
        <w:spacing w:after="0" w:line="188" w:lineRule="exact"/>
        <w:rPr>
          <w:sz w:val="20"/>
          <w:szCs w:val="20"/>
          <w:color w:val="auto"/>
        </w:rPr>
      </w:pPr>
    </w:p>
    <w:p>
      <w:pPr>
        <w:ind w:left="5720"/>
        <w:spacing w:after="0"/>
        <w:rPr>
          <w:sz w:val="20"/>
          <w:szCs w:val="20"/>
          <w:color w:val="auto"/>
        </w:rPr>
      </w:pPr>
      <w:r>
        <w:rPr>
          <w:rFonts w:ascii="Arial" w:cs="Arial" w:eastAsia="Arial" w:hAnsi="Arial"/>
          <w:sz w:val="17"/>
          <w:szCs w:val="17"/>
          <w:color w:val="auto"/>
        </w:rPr>
        <w:t>Legal entity created by the Deposit Agreement under which the American</w:t>
      </w:r>
    </w:p>
    <w:p>
      <w:pPr>
        <w:spacing w:after="0" w:line="35" w:lineRule="exact"/>
        <w:rPr>
          <w:sz w:val="20"/>
          <w:szCs w:val="20"/>
          <w:color w:val="auto"/>
        </w:rPr>
      </w:pPr>
    </w:p>
    <w:p>
      <w:pPr>
        <w:ind w:left="5720"/>
        <w:spacing w:after="0"/>
        <w:rPr>
          <w:sz w:val="20"/>
          <w:szCs w:val="20"/>
          <w:color w:val="auto"/>
        </w:rPr>
      </w:pPr>
      <w:r>
        <w:rPr>
          <w:rFonts w:ascii="Arial" w:cs="Arial" w:eastAsia="Arial" w:hAnsi="Arial"/>
          <w:sz w:val="17"/>
          <w:szCs w:val="17"/>
          <w:color w:val="auto"/>
        </w:rPr>
        <w:t>Depositary Shares registered hereunder are to be issued, each American</w:t>
      </w:r>
    </w:p>
    <w:p>
      <w:pPr>
        <w:spacing w:after="0" w:line="21" w:lineRule="exact"/>
        <w:rPr>
          <w:sz w:val="20"/>
          <w:szCs w:val="20"/>
          <w:color w:val="auto"/>
        </w:rPr>
      </w:pPr>
    </w:p>
    <w:p>
      <w:pPr>
        <w:ind w:left="5720"/>
        <w:spacing w:after="0"/>
        <w:rPr>
          <w:sz w:val="20"/>
          <w:szCs w:val="20"/>
          <w:color w:val="auto"/>
        </w:rPr>
      </w:pPr>
      <w:r>
        <w:rPr>
          <w:rFonts w:ascii="Arial" w:cs="Arial" w:eastAsia="Arial" w:hAnsi="Arial"/>
          <w:sz w:val="16"/>
          <w:szCs w:val="16"/>
          <w:color w:val="auto"/>
        </w:rPr>
        <w:t>Depositary Share representing the right to receive five (5) Ordinary Shares of</w:t>
      </w:r>
    </w:p>
    <w:p>
      <w:pPr>
        <w:spacing w:after="0" w:line="32" w:lineRule="exact"/>
        <w:rPr>
          <w:sz w:val="20"/>
          <w:szCs w:val="20"/>
          <w:color w:val="auto"/>
        </w:rPr>
      </w:pPr>
    </w:p>
    <w:p>
      <w:pPr>
        <w:ind w:left="5720"/>
        <w:spacing w:after="0"/>
        <w:rPr>
          <w:sz w:val="20"/>
          <w:szCs w:val="20"/>
          <w:color w:val="auto"/>
        </w:rPr>
      </w:pPr>
      <w:r>
        <w:rPr>
          <w:rFonts w:ascii="Arial" w:cs="Arial" w:eastAsia="Arial" w:hAnsi="Arial"/>
          <w:sz w:val="18"/>
          <w:szCs w:val="18"/>
          <w:color w:val="auto"/>
        </w:rPr>
        <w:t>Mereo BioPharma Group plc.</w:t>
      </w:r>
    </w:p>
    <w:p>
      <w:pPr>
        <w:spacing w:after="0" w:line="211" w:lineRule="exact"/>
        <w:rPr>
          <w:sz w:val="20"/>
          <w:szCs w:val="20"/>
          <w:color w:val="auto"/>
        </w:rPr>
      </w:pPr>
    </w:p>
    <w:p>
      <w:pPr>
        <w:ind w:left="5720"/>
        <w:spacing w:after="0"/>
        <w:rPr>
          <w:sz w:val="20"/>
          <w:szCs w:val="20"/>
          <w:color w:val="auto"/>
        </w:rPr>
      </w:pPr>
      <w:r>
        <w:rPr>
          <w:rFonts w:ascii="Arial" w:cs="Arial" w:eastAsia="Arial" w:hAnsi="Arial"/>
          <w:sz w:val="18"/>
          <w:szCs w:val="18"/>
          <w:color w:val="auto"/>
        </w:rPr>
        <w:t>CITIBANK, N.A., solely in its capacity as Depositary</w:t>
      </w:r>
    </w:p>
    <w:p>
      <w:pPr>
        <w:spacing w:after="0" w:line="225" w:lineRule="exact"/>
        <w:rPr>
          <w:sz w:val="20"/>
          <w:szCs w:val="20"/>
          <w:color w:val="auto"/>
        </w:rPr>
      </w:pPr>
    </w:p>
    <w:tbl>
      <w:tblPr>
        <w:tblLayout w:type="fixed"/>
        <w:tblInd w:w="5720" w:type="dxa"/>
        <w:tblCellMar>
          <w:top w:w="0" w:type="dxa"/>
          <w:left w:w="0" w:type="dxa"/>
          <w:bottom w:w="0" w:type="dxa"/>
          <w:right w:w="0" w:type="dxa"/>
        </w:tblCellMar>
      </w:tblPr>
      <w:tr>
        <w:trPr>
          <w:trHeight w:val="230"/>
        </w:trPr>
        <w:tc>
          <w:tcPr>
            <w:tcW w:w="560" w:type="dxa"/>
            <w:vAlign w:val="bottom"/>
          </w:tcPr>
          <w:p>
            <w:pPr>
              <w:spacing w:after="0"/>
              <w:rPr>
                <w:sz w:val="20"/>
                <w:szCs w:val="20"/>
                <w:color w:val="auto"/>
              </w:rPr>
            </w:pPr>
            <w:r>
              <w:rPr>
                <w:rFonts w:ascii="Arial" w:cs="Arial" w:eastAsia="Arial" w:hAnsi="Arial"/>
                <w:sz w:val="18"/>
                <w:szCs w:val="18"/>
                <w:color w:val="auto"/>
              </w:rPr>
              <w:t>By:</w:t>
            </w:r>
          </w:p>
        </w:tc>
        <w:tc>
          <w:tcPr>
            <w:tcW w:w="514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/s/ Keith Galfo</w:t>
            </w:r>
          </w:p>
        </w:tc>
      </w:tr>
      <w:tr>
        <w:trPr>
          <w:trHeight w:val="195"/>
        </w:trPr>
        <w:tc>
          <w:tcPr>
            <w:tcW w:w="560" w:type="dxa"/>
            <w:vAlign w:val="bottom"/>
          </w:tcPr>
          <w:p>
            <w:pPr>
              <w:spacing w:after="0" w:line="195" w:lineRule="exact"/>
              <w:rPr>
                <w:sz w:val="20"/>
                <w:szCs w:val="20"/>
                <w:color w:val="auto"/>
              </w:rPr>
            </w:pPr>
            <w:r>
              <w:rPr>
                <w:rFonts w:ascii="Arial" w:cs="Arial" w:eastAsia="Arial" w:hAnsi="Arial"/>
                <w:sz w:val="18"/>
                <w:szCs w:val="18"/>
                <w:color w:val="auto"/>
              </w:rPr>
              <w:t>Name:</w:t>
            </w:r>
          </w:p>
        </w:tc>
        <w:tc>
          <w:tcPr>
            <w:tcW w:w="5140" w:type="dxa"/>
            <w:vAlign w:val="bottom"/>
          </w:tcPr>
          <w:p>
            <w:pPr>
              <w:spacing w:after="0" w:line="195" w:lineRule="exact"/>
              <w:rPr>
                <w:sz w:val="20"/>
                <w:szCs w:val="20"/>
                <w:color w:val="auto"/>
              </w:rPr>
            </w:pPr>
            <w:r>
              <w:rPr>
                <w:rFonts w:ascii="Arial" w:cs="Arial" w:eastAsia="Arial" w:hAnsi="Arial"/>
                <w:sz w:val="18"/>
                <w:szCs w:val="18"/>
                <w:color w:val="auto"/>
              </w:rPr>
              <w:t>Keith Galfo</w:t>
            </w:r>
          </w:p>
        </w:tc>
      </w:tr>
      <w:tr>
        <w:trPr>
          <w:trHeight w:val="230"/>
        </w:trPr>
        <w:tc>
          <w:tcPr>
            <w:tcW w:w="560" w:type="dxa"/>
            <w:vAlign w:val="bottom"/>
          </w:tcPr>
          <w:p>
            <w:pPr>
              <w:spacing w:after="0"/>
              <w:rPr>
                <w:sz w:val="20"/>
                <w:szCs w:val="20"/>
                <w:color w:val="auto"/>
              </w:rPr>
            </w:pPr>
            <w:r>
              <w:rPr>
                <w:rFonts w:ascii="Arial" w:cs="Arial" w:eastAsia="Arial" w:hAnsi="Arial"/>
                <w:sz w:val="18"/>
                <w:szCs w:val="18"/>
                <w:color w:val="auto"/>
              </w:rPr>
              <w:t>Title:</w:t>
            </w:r>
          </w:p>
        </w:tc>
        <w:tc>
          <w:tcPr>
            <w:tcW w:w="5140" w:type="dxa"/>
            <w:vAlign w:val="bottom"/>
          </w:tcPr>
          <w:p>
            <w:pPr>
              <w:spacing w:after="0"/>
              <w:rPr>
                <w:sz w:val="20"/>
                <w:szCs w:val="20"/>
                <w:color w:val="auto"/>
              </w:rPr>
            </w:pPr>
            <w:r>
              <w:rPr>
                <w:rFonts w:ascii="Arial" w:cs="Arial" w:eastAsia="Arial" w:hAnsi="Arial"/>
                <w:sz w:val="18"/>
                <w:szCs w:val="18"/>
                <w:color w:val="auto"/>
              </w:rPr>
              <w:t>Vice President</w:t>
            </w:r>
          </w:p>
        </w:tc>
      </w:tr>
    </w:tbl>
    <w:p>
      <w:pPr>
        <w:spacing w:after="0" w:line="303"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II-3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7620</wp:posOffset>
            </wp:positionV>
            <wp:extent cx="7246620" cy="17145"/>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337" w:right="239" w:bottom="1440" w:gutter="0" w:footer="0" w:header="0"/>
        </w:sectPr>
      </w:pPr>
    </w:p>
    <w:bookmarkStart w:id="9" w:name="page10"/>
    <w:bookmarkEnd w:id="9"/>
    <w:p>
      <w:pPr>
        <w:jc w:val="center"/>
        <w:spacing w:after="0"/>
        <w:rPr>
          <w:sz w:val="20"/>
          <w:szCs w:val="20"/>
          <w:color w:val="auto"/>
        </w:rPr>
      </w:pPr>
      <w:r>
        <w:rPr>
          <w:rFonts w:ascii="Arial" w:cs="Arial" w:eastAsia="Arial" w:hAnsi="Arial"/>
          <w:sz w:val="18"/>
          <w:szCs w:val="18"/>
          <w:b w:val="1"/>
          <w:bCs w:val="1"/>
          <w:u w:val="single" w:color="auto"/>
          <w:color w:val="auto"/>
        </w:rPr>
        <w:t>SIGNATURES</w:t>
      </w:r>
    </w:p>
    <w:p>
      <w:pPr>
        <w:spacing w:after="0" w:line="229" w:lineRule="exact"/>
        <w:rPr>
          <w:sz w:val="20"/>
          <w:szCs w:val="20"/>
          <w:color w:val="auto"/>
        </w:rPr>
      </w:pPr>
    </w:p>
    <w:p>
      <w:pPr>
        <w:ind w:right="160" w:firstLine="648"/>
        <w:spacing w:after="0" w:line="286" w:lineRule="auto"/>
        <w:rPr>
          <w:sz w:val="20"/>
          <w:szCs w:val="20"/>
          <w:color w:val="auto"/>
        </w:rPr>
      </w:pPr>
      <w:r>
        <w:rPr>
          <w:rFonts w:ascii="Arial" w:cs="Arial" w:eastAsia="Arial" w:hAnsi="Arial"/>
          <w:sz w:val="17"/>
          <w:szCs w:val="17"/>
          <w:color w:val="auto"/>
        </w:rPr>
        <w:t>Pursuant to the requirements of the Securities Act of 1933, as amended, Mereo BioPharma Group plc certifies that it has reasonable grounds to believe that all the requirements for filing on Form F-6 are met and has duly caused this Pre-Effective Amendment No. 2 to Registration Statement on Form F-6 to be signed on its behalf by the undersigned thereunto duly authorized, in London, United Kingdom, on January 24, 2019.</w:t>
      </w:r>
    </w:p>
    <w:p>
      <w:pPr>
        <w:spacing w:after="0" w:line="166" w:lineRule="exact"/>
        <w:rPr>
          <w:sz w:val="20"/>
          <w:szCs w:val="20"/>
          <w:color w:val="auto"/>
        </w:rPr>
      </w:pPr>
    </w:p>
    <w:p>
      <w:pPr>
        <w:ind w:left="5720"/>
        <w:spacing w:after="0"/>
        <w:rPr>
          <w:sz w:val="20"/>
          <w:szCs w:val="20"/>
          <w:color w:val="auto"/>
        </w:rPr>
      </w:pPr>
      <w:r>
        <w:rPr>
          <w:rFonts w:ascii="Arial" w:cs="Arial" w:eastAsia="Arial" w:hAnsi="Arial"/>
          <w:sz w:val="18"/>
          <w:szCs w:val="18"/>
          <w:color w:val="auto"/>
        </w:rPr>
        <w:t>MEREO BIOPHARMA GROUP PLC</w:t>
      </w:r>
    </w:p>
    <w:p>
      <w:pPr>
        <w:spacing w:after="0" w:line="225" w:lineRule="exact"/>
        <w:rPr>
          <w:sz w:val="20"/>
          <w:szCs w:val="20"/>
          <w:color w:val="auto"/>
        </w:rPr>
      </w:pPr>
    </w:p>
    <w:tbl>
      <w:tblPr>
        <w:tblLayout w:type="fixed"/>
        <w:tblInd w:w="5720" w:type="dxa"/>
        <w:tblCellMar>
          <w:top w:w="0" w:type="dxa"/>
          <w:left w:w="0" w:type="dxa"/>
          <w:bottom w:w="0" w:type="dxa"/>
          <w:right w:w="0" w:type="dxa"/>
        </w:tblCellMar>
      </w:tblPr>
      <w:tr>
        <w:trPr>
          <w:trHeight w:val="230"/>
        </w:trPr>
        <w:tc>
          <w:tcPr>
            <w:tcW w:w="560" w:type="dxa"/>
            <w:vAlign w:val="bottom"/>
          </w:tcPr>
          <w:p>
            <w:pPr>
              <w:spacing w:after="0"/>
              <w:rPr>
                <w:sz w:val="20"/>
                <w:szCs w:val="20"/>
                <w:color w:val="auto"/>
              </w:rPr>
            </w:pPr>
            <w:r>
              <w:rPr>
                <w:rFonts w:ascii="Arial" w:cs="Arial" w:eastAsia="Arial" w:hAnsi="Arial"/>
                <w:sz w:val="18"/>
                <w:szCs w:val="18"/>
                <w:color w:val="auto"/>
              </w:rPr>
              <w:t>By:</w:t>
            </w:r>
          </w:p>
        </w:tc>
        <w:tc>
          <w:tcPr>
            <w:tcW w:w="514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/s/ Denise Scots-Knight</w:t>
            </w:r>
          </w:p>
        </w:tc>
      </w:tr>
      <w:tr>
        <w:trPr>
          <w:trHeight w:val="195"/>
        </w:trPr>
        <w:tc>
          <w:tcPr>
            <w:tcW w:w="560" w:type="dxa"/>
            <w:vAlign w:val="bottom"/>
          </w:tcPr>
          <w:p>
            <w:pPr>
              <w:spacing w:after="0" w:line="195" w:lineRule="exact"/>
              <w:rPr>
                <w:sz w:val="20"/>
                <w:szCs w:val="20"/>
                <w:color w:val="auto"/>
              </w:rPr>
            </w:pPr>
            <w:r>
              <w:rPr>
                <w:rFonts w:ascii="Arial" w:cs="Arial" w:eastAsia="Arial" w:hAnsi="Arial"/>
                <w:sz w:val="18"/>
                <w:szCs w:val="18"/>
                <w:color w:val="auto"/>
              </w:rPr>
              <w:t>Name:</w:t>
            </w:r>
          </w:p>
        </w:tc>
        <w:tc>
          <w:tcPr>
            <w:tcW w:w="5140" w:type="dxa"/>
            <w:vAlign w:val="bottom"/>
          </w:tcPr>
          <w:p>
            <w:pPr>
              <w:spacing w:after="0" w:line="195" w:lineRule="exact"/>
              <w:rPr>
                <w:sz w:val="20"/>
                <w:szCs w:val="20"/>
                <w:color w:val="auto"/>
              </w:rPr>
            </w:pPr>
            <w:r>
              <w:rPr>
                <w:rFonts w:ascii="Arial" w:cs="Arial" w:eastAsia="Arial" w:hAnsi="Arial"/>
                <w:sz w:val="18"/>
                <w:szCs w:val="18"/>
                <w:color w:val="auto"/>
              </w:rPr>
              <w:t>Denise Scots-Knight, Ph.D.</w:t>
            </w:r>
          </w:p>
        </w:tc>
      </w:tr>
      <w:tr>
        <w:trPr>
          <w:trHeight w:val="216"/>
        </w:trPr>
        <w:tc>
          <w:tcPr>
            <w:tcW w:w="560" w:type="dxa"/>
            <w:vAlign w:val="bottom"/>
          </w:tcPr>
          <w:p>
            <w:pPr>
              <w:spacing w:after="0"/>
              <w:rPr>
                <w:sz w:val="20"/>
                <w:szCs w:val="20"/>
                <w:color w:val="auto"/>
              </w:rPr>
            </w:pPr>
            <w:r>
              <w:rPr>
                <w:rFonts w:ascii="Arial" w:cs="Arial" w:eastAsia="Arial" w:hAnsi="Arial"/>
                <w:sz w:val="18"/>
                <w:szCs w:val="18"/>
                <w:color w:val="auto"/>
              </w:rPr>
              <w:t>Title:</w:t>
            </w:r>
          </w:p>
        </w:tc>
        <w:tc>
          <w:tcPr>
            <w:tcW w:w="5140" w:type="dxa"/>
            <w:vAlign w:val="bottom"/>
          </w:tcPr>
          <w:p>
            <w:pPr>
              <w:spacing w:after="0"/>
              <w:rPr>
                <w:sz w:val="20"/>
                <w:szCs w:val="20"/>
                <w:color w:val="auto"/>
              </w:rPr>
            </w:pPr>
            <w:r>
              <w:rPr>
                <w:rFonts w:ascii="Arial" w:cs="Arial" w:eastAsia="Arial" w:hAnsi="Arial"/>
                <w:sz w:val="18"/>
                <w:szCs w:val="18"/>
                <w:color w:val="auto"/>
              </w:rPr>
              <w:t>Chief Executive Officer</w:t>
            </w:r>
          </w:p>
        </w:tc>
      </w:tr>
      <w:tr>
        <w:trPr>
          <w:trHeight w:val="230"/>
        </w:trPr>
        <w:tc>
          <w:tcPr>
            <w:tcW w:w="560" w:type="dxa"/>
            <w:vAlign w:val="bottom"/>
          </w:tcPr>
          <w:p>
            <w:pPr>
              <w:spacing w:after="0"/>
              <w:rPr>
                <w:sz w:val="20"/>
                <w:szCs w:val="20"/>
                <w:color w:val="auto"/>
              </w:rPr>
            </w:pPr>
          </w:p>
        </w:tc>
        <w:tc>
          <w:tcPr>
            <w:tcW w:w="5140" w:type="dxa"/>
            <w:vAlign w:val="bottom"/>
          </w:tcPr>
          <w:p>
            <w:pPr>
              <w:spacing w:after="0"/>
              <w:rPr>
                <w:sz w:val="20"/>
                <w:szCs w:val="20"/>
                <w:color w:val="auto"/>
              </w:rPr>
            </w:pPr>
            <w:r>
              <w:rPr>
                <w:rFonts w:ascii="Arial" w:cs="Arial" w:eastAsia="Arial" w:hAnsi="Arial"/>
                <w:sz w:val="18"/>
                <w:szCs w:val="18"/>
                <w:color w:val="auto"/>
              </w:rPr>
              <w:t>(Principal Executive Officer)</w:t>
            </w:r>
          </w:p>
        </w:tc>
      </w:tr>
    </w:tbl>
    <w:p>
      <w:pPr>
        <w:spacing w:after="0" w:line="303"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II-4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7620</wp:posOffset>
            </wp:positionV>
            <wp:extent cx="7246620" cy="17145"/>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337" w:right="239" w:bottom="1440" w:gutter="0" w:footer="0" w:header="0"/>
        </w:sectPr>
      </w:pPr>
    </w:p>
    <w:bookmarkStart w:id="10" w:name="page11"/>
    <w:bookmarkEnd w:id="10"/>
    <w:p>
      <w:pPr>
        <w:ind w:right="60"/>
        <w:spacing w:after="0" w:line="277" w:lineRule="auto"/>
        <w:rPr>
          <w:sz w:val="20"/>
          <w:szCs w:val="20"/>
          <w:color w:val="auto"/>
        </w:rPr>
      </w:pPr>
      <w:r>
        <w:rPr>
          <w:rFonts w:ascii="Arial" w:cs="Arial" w:eastAsia="Arial" w:hAnsi="Arial"/>
          <w:sz w:val="18"/>
          <w:szCs w:val="18"/>
          <w:color w:val="auto"/>
        </w:rPr>
        <w:t>Pursuant to the requirements of the Securities Act of 1933, as amended, this Pre-Effective Amendment No. 2 to Registration Statement on Form F-6 has been signed by the following persons in the following capacities on January 24, 2019.</w:t>
      </w:r>
    </w:p>
    <w:p>
      <w:pPr>
        <w:spacing w:after="0" w:line="153"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700" w:type="dxa"/>
            <w:vAlign w:val="bottom"/>
            <w:tcBorders>
              <w:bottom w:val="single" w:sz="8" w:color="auto"/>
            </w:tcBorders>
          </w:tcPr>
          <w:p>
            <w:pPr>
              <w:spacing w:after="0"/>
              <w:rPr>
                <w:sz w:val="20"/>
                <w:szCs w:val="20"/>
                <w:color w:val="auto"/>
              </w:rPr>
            </w:pPr>
            <w:r>
              <w:rPr>
                <w:rFonts w:ascii="Arial" w:cs="Arial" w:eastAsia="Arial" w:hAnsi="Arial"/>
                <w:sz w:val="18"/>
                <w:szCs w:val="18"/>
                <w:color w:val="auto"/>
                <w:w w:val="88"/>
              </w:rPr>
              <w:t>Signature</w:t>
            </w:r>
          </w:p>
        </w:tc>
        <w:tc>
          <w:tcPr>
            <w:tcW w:w="3880" w:type="dxa"/>
            <w:vAlign w:val="bottom"/>
          </w:tcPr>
          <w:p>
            <w:pPr>
              <w:spacing w:after="0"/>
              <w:rPr>
                <w:sz w:val="17"/>
                <w:szCs w:val="17"/>
                <w:color w:val="auto"/>
              </w:rPr>
            </w:pPr>
          </w:p>
        </w:tc>
        <w:tc>
          <w:tcPr>
            <w:tcW w:w="1140" w:type="dxa"/>
            <w:vAlign w:val="bottom"/>
          </w:tcPr>
          <w:p>
            <w:pPr>
              <w:spacing w:after="0"/>
              <w:rPr>
                <w:sz w:val="17"/>
                <w:szCs w:val="17"/>
                <w:color w:val="auto"/>
              </w:rPr>
            </w:pPr>
          </w:p>
        </w:tc>
        <w:tc>
          <w:tcPr>
            <w:tcW w:w="340" w:type="dxa"/>
            <w:vAlign w:val="bottom"/>
            <w:tcBorders>
              <w:bottom w:val="single" w:sz="8" w:color="auto"/>
            </w:tcBorders>
          </w:tcPr>
          <w:p>
            <w:pPr>
              <w:spacing w:after="0"/>
              <w:rPr>
                <w:sz w:val="20"/>
                <w:szCs w:val="20"/>
                <w:color w:val="auto"/>
              </w:rPr>
            </w:pPr>
            <w:r>
              <w:rPr>
                <w:rFonts w:ascii="Arial" w:cs="Arial" w:eastAsia="Arial" w:hAnsi="Arial"/>
                <w:sz w:val="18"/>
                <w:szCs w:val="18"/>
                <w:color w:val="auto"/>
                <w:w w:val="93"/>
              </w:rPr>
              <w:t>Title</w:t>
            </w:r>
          </w:p>
        </w:tc>
        <w:tc>
          <w:tcPr>
            <w:tcW w:w="5360" w:type="dxa"/>
            <w:vAlign w:val="bottom"/>
          </w:tcPr>
          <w:p>
            <w:pPr>
              <w:spacing w:after="0"/>
              <w:rPr>
                <w:sz w:val="17"/>
                <w:szCs w:val="17"/>
                <w:color w:val="auto"/>
              </w:rPr>
            </w:pPr>
          </w:p>
        </w:tc>
      </w:tr>
      <w:tr>
        <w:trPr>
          <w:trHeight w:val="453"/>
        </w:trPr>
        <w:tc>
          <w:tcPr>
            <w:tcW w:w="4580" w:type="dxa"/>
            <w:vAlign w:val="bottom"/>
            <w:tcBorders>
              <w:bottom w:val="single" w:sz="8" w:color="auto"/>
            </w:tcBorders>
            <w:gridSpan w:val="2"/>
          </w:tcPr>
          <w:p>
            <w:pPr>
              <w:spacing w:after="0"/>
              <w:rPr>
                <w:sz w:val="20"/>
                <w:szCs w:val="20"/>
                <w:color w:val="auto"/>
              </w:rPr>
            </w:pPr>
            <w:r>
              <w:rPr>
                <w:rFonts w:ascii="Arial" w:cs="Arial" w:eastAsia="Arial" w:hAnsi="Arial"/>
                <w:sz w:val="18"/>
                <w:szCs w:val="18"/>
                <w:color w:val="auto"/>
              </w:rPr>
              <w:t>/s/ Denise Scots-Knight</w:t>
            </w:r>
          </w:p>
        </w:tc>
        <w:tc>
          <w:tcPr>
            <w:tcW w:w="1140" w:type="dxa"/>
            <w:vAlign w:val="bottom"/>
          </w:tcPr>
          <w:p>
            <w:pPr>
              <w:spacing w:after="0"/>
              <w:rPr>
                <w:sz w:val="24"/>
                <w:szCs w:val="24"/>
                <w:color w:val="auto"/>
              </w:rPr>
            </w:pPr>
          </w:p>
        </w:tc>
        <w:tc>
          <w:tcPr>
            <w:tcW w:w="5700" w:type="dxa"/>
            <w:vAlign w:val="bottom"/>
            <w:gridSpan w:val="2"/>
          </w:tcPr>
          <w:p>
            <w:pPr>
              <w:spacing w:after="0"/>
              <w:rPr>
                <w:sz w:val="20"/>
                <w:szCs w:val="20"/>
                <w:color w:val="auto"/>
              </w:rPr>
            </w:pPr>
            <w:r>
              <w:rPr>
                <w:rFonts w:ascii="Arial" w:cs="Arial" w:eastAsia="Arial" w:hAnsi="Arial"/>
                <w:sz w:val="18"/>
                <w:szCs w:val="18"/>
                <w:color w:val="auto"/>
              </w:rPr>
              <w:t>Chief Executive Officer and Member of the Board</w:t>
            </w:r>
          </w:p>
        </w:tc>
      </w:tr>
      <w:tr>
        <w:trPr>
          <w:trHeight w:val="224"/>
        </w:trPr>
        <w:tc>
          <w:tcPr>
            <w:tcW w:w="4580" w:type="dxa"/>
            <w:vAlign w:val="bottom"/>
            <w:gridSpan w:val="2"/>
          </w:tcPr>
          <w:p>
            <w:pPr>
              <w:spacing w:after="0"/>
              <w:rPr>
                <w:sz w:val="20"/>
                <w:szCs w:val="20"/>
                <w:color w:val="auto"/>
              </w:rPr>
            </w:pPr>
            <w:r>
              <w:rPr>
                <w:rFonts w:ascii="Arial" w:cs="Arial" w:eastAsia="Arial" w:hAnsi="Arial"/>
                <w:sz w:val="18"/>
                <w:szCs w:val="18"/>
                <w:color w:val="auto"/>
              </w:rPr>
              <w:t>Denise Scots-Knight, Ph.D.</w:t>
            </w:r>
          </w:p>
        </w:tc>
        <w:tc>
          <w:tcPr>
            <w:tcW w:w="1140" w:type="dxa"/>
            <w:vAlign w:val="bottom"/>
          </w:tcPr>
          <w:p>
            <w:pPr>
              <w:spacing w:after="0"/>
              <w:rPr>
                <w:sz w:val="19"/>
                <w:szCs w:val="19"/>
                <w:color w:val="auto"/>
              </w:rPr>
            </w:pPr>
          </w:p>
        </w:tc>
        <w:tc>
          <w:tcPr>
            <w:tcW w:w="5700" w:type="dxa"/>
            <w:vAlign w:val="bottom"/>
            <w:gridSpan w:val="2"/>
          </w:tcPr>
          <w:p>
            <w:pPr>
              <w:spacing w:after="0"/>
              <w:rPr>
                <w:sz w:val="20"/>
                <w:szCs w:val="20"/>
                <w:color w:val="auto"/>
              </w:rPr>
            </w:pPr>
            <w:r>
              <w:rPr>
                <w:rFonts w:ascii="Arial" w:cs="Arial" w:eastAsia="Arial" w:hAnsi="Arial"/>
                <w:sz w:val="18"/>
                <w:szCs w:val="18"/>
                <w:color w:val="auto"/>
              </w:rPr>
              <w:t>(Principal Executive Officer)</w:t>
            </w:r>
          </w:p>
        </w:tc>
      </w:tr>
      <w:tr>
        <w:trPr>
          <w:trHeight w:val="418"/>
        </w:trPr>
        <w:tc>
          <w:tcPr>
            <w:tcW w:w="4580" w:type="dxa"/>
            <w:vAlign w:val="bottom"/>
            <w:tcBorders>
              <w:bottom w:val="single" w:sz="8" w:color="auto"/>
            </w:tcBorders>
            <w:gridSpan w:val="2"/>
          </w:tcPr>
          <w:p>
            <w:pPr>
              <w:spacing w:after="0"/>
              <w:rPr>
                <w:sz w:val="20"/>
                <w:szCs w:val="20"/>
                <w:color w:val="auto"/>
              </w:rPr>
            </w:pPr>
            <w:r>
              <w:rPr>
                <w:rFonts w:ascii="Arial" w:cs="Arial" w:eastAsia="Arial" w:hAnsi="Arial"/>
                <w:sz w:val="18"/>
                <w:szCs w:val="18"/>
                <w:color w:val="auto"/>
              </w:rPr>
              <w:t>/s/ Richard Jones</w:t>
            </w:r>
          </w:p>
        </w:tc>
        <w:tc>
          <w:tcPr>
            <w:tcW w:w="1140" w:type="dxa"/>
            <w:vAlign w:val="bottom"/>
          </w:tcPr>
          <w:p>
            <w:pPr>
              <w:spacing w:after="0"/>
              <w:rPr>
                <w:sz w:val="24"/>
                <w:szCs w:val="24"/>
                <w:color w:val="auto"/>
              </w:rPr>
            </w:pPr>
          </w:p>
        </w:tc>
        <w:tc>
          <w:tcPr>
            <w:tcW w:w="5700" w:type="dxa"/>
            <w:vAlign w:val="bottom"/>
            <w:gridSpan w:val="2"/>
          </w:tcPr>
          <w:p>
            <w:pPr>
              <w:spacing w:after="0"/>
              <w:rPr>
                <w:sz w:val="20"/>
                <w:szCs w:val="20"/>
                <w:color w:val="auto"/>
              </w:rPr>
            </w:pPr>
            <w:r>
              <w:rPr>
                <w:rFonts w:ascii="Arial" w:cs="Arial" w:eastAsia="Arial" w:hAnsi="Arial"/>
                <w:sz w:val="18"/>
                <w:szCs w:val="18"/>
                <w:color w:val="auto"/>
              </w:rPr>
              <w:t>Chief Financial Officer and Member of the Board</w:t>
            </w:r>
          </w:p>
        </w:tc>
      </w:tr>
      <w:tr>
        <w:trPr>
          <w:trHeight w:val="224"/>
        </w:trPr>
        <w:tc>
          <w:tcPr>
            <w:tcW w:w="4580" w:type="dxa"/>
            <w:vAlign w:val="bottom"/>
            <w:gridSpan w:val="2"/>
          </w:tcPr>
          <w:p>
            <w:pPr>
              <w:spacing w:after="0"/>
              <w:rPr>
                <w:sz w:val="20"/>
                <w:szCs w:val="20"/>
                <w:color w:val="auto"/>
              </w:rPr>
            </w:pPr>
            <w:r>
              <w:rPr>
                <w:rFonts w:ascii="Arial" w:cs="Arial" w:eastAsia="Arial" w:hAnsi="Arial"/>
                <w:sz w:val="18"/>
                <w:szCs w:val="18"/>
                <w:color w:val="auto"/>
              </w:rPr>
              <w:t>Richard Jones</w:t>
            </w:r>
          </w:p>
        </w:tc>
        <w:tc>
          <w:tcPr>
            <w:tcW w:w="1140" w:type="dxa"/>
            <w:vAlign w:val="bottom"/>
          </w:tcPr>
          <w:p>
            <w:pPr>
              <w:spacing w:after="0"/>
              <w:rPr>
                <w:sz w:val="19"/>
                <w:szCs w:val="19"/>
                <w:color w:val="auto"/>
              </w:rPr>
            </w:pPr>
          </w:p>
        </w:tc>
        <w:tc>
          <w:tcPr>
            <w:tcW w:w="5700" w:type="dxa"/>
            <w:vAlign w:val="bottom"/>
            <w:gridSpan w:val="2"/>
          </w:tcPr>
          <w:p>
            <w:pPr>
              <w:spacing w:after="0"/>
              <w:rPr>
                <w:sz w:val="20"/>
                <w:szCs w:val="20"/>
                <w:color w:val="auto"/>
              </w:rPr>
            </w:pPr>
            <w:r>
              <w:rPr>
                <w:rFonts w:ascii="Arial" w:cs="Arial" w:eastAsia="Arial" w:hAnsi="Arial"/>
                <w:sz w:val="18"/>
                <w:szCs w:val="18"/>
                <w:color w:val="auto"/>
              </w:rPr>
              <w:t>(Principal Financial Officer and Principal Accounting Officer)</w:t>
            </w:r>
          </w:p>
        </w:tc>
      </w:tr>
      <w:tr>
        <w:trPr>
          <w:trHeight w:val="418"/>
        </w:trPr>
        <w:tc>
          <w:tcPr>
            <w:tcW w:w="4580" w:type="dxa"/>
            <w:vAlign w:val="bottom"/>
            <w:tcBorders>
              <w:bottom w:val="single" w:sz="8" w:color="auto"/>
            </w:tcBorders>
            <w:gridSpan w:val="2"/>
          </w:tcPr>
          <w:p>
            <w:pPr>
              <w:spacing w:after="0"/>
              <w:rPr>
                <w:sz w:val="20"/>
                <w:szCs w:val="20"/>
                <w:color w:val="auto"/>
              </w:rPr>
            </w:pPr>
            <w:r>
              <w:rPr>
                <w:rFonts w:ascii="Arial" w:cs="Arial" w:eastAsia="Arial" w:hAnsi="Arial"/>
                <w:sz w:val="18"/>
                <w:szCs w:val="18"/>
                <w:color w:val="auto"/>
              </w:rPr>
              <w:t>/s/ Peter Fellner</w:t>
            </w:r>
          </w:p>
        </w:tc>
        <w:tc>
          <w:tcPr>
            <w:tcW w:w="1140" w:type="dxa"/>
            <w:vAlign w:val="bottom"/>
          </w:tcPr>
          <w:p>
            <w:pPr>
              <w:spacing w:after="0"/>
              <w:rPr>
                <w:sz w:val="24"/>
                <w:szCs w:val="24"/>
                <w:color w:val="auto"/>
              </w:rPr>
            </w:pPr>
          </w:p>
        </w:tc>
        <w:tc>
          <w:tcPr>
            <w:tcW w:w="5700" w:type="dxa"/>
            <w:vAlign w:val="bottom"/>
            <w:gridSpan w:val="2"/>
          </w:tcPr>
          <w:p>
            <w:pPr>
              <w:spacing w:after="0"/>
              <w:rPr>
                <w:sz w:val="20"/>
                <w:szCs w:val="20"/>
                <w:color w:val="auto"/>
              </w:rPr>
            </w:pPr>
            <w:r>
              <w:rPr>
                <w:rFonts w:ascii="Arial" w:cs="Arial" w:eastAsia="Arial" w:hAnsi="Arial"/>
                <w:sz w:val="18"/>
                <w:szCs w:val="18"/>
                <w:color w:val="auto"/>
              </w:rPr>
              <w:t>Chairman of the Board</w:t>
            </w:r>
          </w:p>
        </w:tc>
      </w:tr>
      <w:tr>
        <w:trPr>
          <w:trHeight w:val="224"/>
        </w:trPr>
        <w:tc>
          <w:tcPr>
            <w:tcW w:w="4580" w:type="dxa"/>
            <w:vAlign w:val="bottom"/>
            <w:gridSpan w:val="2"/>
          </w:tcPr>
          <w:p>
            <w:pPr>
              <w:spacing w:after="0"/>
              <w:rPr>
                <w:sz w:val="20"/>
                <w:szCs w:val="20"/>
                <w:color w:val="auto"/>
              </w:rPr>
            </w:pPr>
            <w:r>
              <w:rPr>
                <w:rFonts w:ascii="Arial" w:cs="Arial" w:eastAsia="Arial" w:hAnsi="Arial"/>
                <w:sz w:val="18"/>
                <w:szCs w:val="18"/>
                <w:color w:val="auto"/>
              </w:rPr>
              <w:t>Peter Fellner, Ph.D.</w:t>
            </w:r>
          </w:p>
        </w:tc>
        <w:tc>
          <w:tcPr>
            <w:tcW w:w="114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5360" w:type="dxa"/>
            <w:vAlign w:val="bottom"/>
          </w:tcPr>
          <w:p>
            <w:pPr>
              <w:spacing w:after="0"/>
              <w:rPr>
                <w:sz w:val="19"/>
                <w:szCs w:val="19"/>
                <w:color w:val="auto"/>
              </w:rPr>
            </w:pPr>
          </w:p>
        </w:tc>
      </w:tr>
      <w:tr>
        <w:trPr>
          <w:trHeight w:val="418"/>
        </w:trPr>
        <w:tc>
          <w:tcPr>
            <w:tcW w:w="4580" w:type="dxa"/>
            <w:vAlign w:val="bottom"/>
            <w:tcBorders>
              <w:bottom w:val="single" w:sz="8" w:color="auto"/>
            </w:tcBorders>
            <w:gridSpan w:val="2"/>
          </w:tcPr>
          <w:p>
            <w:pPr>
              <w:spacing w:after="0"/>
              <w:rPr>
                <w:sz w:val="20"/>
                <w:szCs w:val="20"/>
                <w:color w:val="auto"/>
              </w:rPr>
            </w:pPr>
            <w:r>
              <w:rPr>
                <w:rFonts w:ascii="Arial" w:cs="Arial" w:eastAsia="Arial" w:hAnsi="Arial"/>
                <w:sz w:val="18"/>
                <w:szCs w:val="18"/>
                <w:color w:val="auto"/>
              </w:rPr>
              <w:t>/s/ Frank Armstrong</w:t>
            </w:r>
          </w:p>
        </w:tc>
        <w:tc>
          <w:tcPr>
            <w:tcW w:w="1140" w:type="dxa"/>
            <w:vAlign w:val="bottom"/>
          </w:tcPr>
          <w:p>
            <w:pPr>
              <w:spacing w:after="0"/>
              <w:rPr>
                <w:sz w:val="24"/>
                <w:szCs w:val="24"/>
                <w:color w:val="auto"/>
              </w:rPr>
            </w:pPr>
          </w:p>
        </w:tc>
        <w:tc>
          <w:tcPr>
            <w:tcW w:w="5700" w:type="dxa"/>
            <w:vAlign w:val="bottom"/>
            <w:gridSpan w:val="2"/>
          </w:tcPr>
          <w:p>
            <w:pPr>
              <w:spacing w:after="0"/>
              <w:rPr>
                <w:sz w:val="20"/>
                <w:szCs w:val="20"/>
                <w:color w:val="auto"/>
              </w:rPr>
            </w:pPr>
            <w:r>
              <w:rPr>
                <w:rFonts w:ascii="Arial" w:cs="Arial" w:eastAsia="Arial" w:hAnsi="Arial"/>
                <w:sz w:val="18"/>
                <w:szCs w:val="18"/>
                <w:color w:val="auto"/>
              </w:rPr>
              <w:t>Member of the Board</w:t>
            </w:r>
          </w:p>
        </w:tc>
      </w:tr>
      <w:tr>
        <w:trPr>
          <w:trHeight w:val="224"/>
        </w:trPr>
        <w:tc>
          <w:tcPr>
            <w:tcW w:w="4580" w:type="dxa"/>
            <w:vAlign w:val="bottom"/>
            <w:gridSpan w:val="2"/>
          </w:tcPr>
          <w:p>
            <w:pPr>
              <w:spacing w:after="0"/>
              <w:rPr>
                <w:sz w:val="20"/>
                <w:szCs w:val="20"/>
                <w:color w:val="auto"/>
              </w:rPr>
            </w:pPr>
            <w:r>
              <w:rPr>
                <w:rFonts w:ascii="Arial" w:cs="Arial" w:eastAsia="Arial" w:hAnsi="Arial"/>
                <w:sz w:val="18"/>
                <w:szCs w:val="18"/>
                <w:color w:val="auto"/>
              </w:rPr>
              <w:t>Frank Armstrong, MBChB</w:t>
            </w:r>
          </w:p>
        </w:tc>
        <w:tc>
          <w:tcPr>
            <w:tcW w:w="114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5360" w:type="dxa"/>
            <w:vAlign w:val="bottom"/>
          </w:tcPr>
          <w:p>
            <w:pPr>
              <w:spacing w:after="0"/>
              <w:rPr>
                <w:sz w:val="19"/>
                <w:szCs w:val="19"/>
                <w:color w:val="auto"/>
              </w:rPr>
            </w:pPr>
          </w:p>
        </w:tc>
      </w:tr>
      <w:tr>
        <w:trPr>
          <w:trHeight w:val="418"/>
        </w:trPr>
        <w:tc>
          <w:tcPr>
            <w:tcW w:w="4580" w:type="dxa"/>
            <w:vAlign w:val="bottom"/>
            <w:tcBorders>
              <w:bottom w:val="single" w:sz="8" w:color="auto"/>
            </w:tcBorders>
            <w:gridSpan w:val="2"/>
          </w:tcPr>
          <w:p>
            <w:pPr>
              <w:spacing w:after="0"/>
              <w:rPr>
                <w:sz w:val="20"/>
                <w:szCs w:val="20"/>
                <w:color w:val="auto"/>
              </w:rPr>
            </w:pPr>
            <w:r>
              <w:rPr>
                <w:rFonts w:ascii="Arial" w:cs="Arial" w:eastAsia="Arial" w:hAnsi="Arial"/>
                <w:sz w:val="18"/>
                <w:szCs w:val="18"/>
                <w:color w:val="auto"/>
              </w:rPr>
              <w:t>/s/ Peter Bains</w:t>
            </w:r>
          </w:p>
        </w:tc>
        <w:tc>
          <w:tcPr>
            <w:tcW w:w="1140" w:type="dxa"/>
            <w:vAlign w:val="bottom"/>
          </w:tcPr>
          <w:p>
            <w:pPr>
              <w:spacing w:after="0"/>
              <w:rPr>
                <w:sz w:val="24"/>
                <w:szCs w:val="24"/>
                <w:color w:val="auto"/>
              </w:rPr>
            </w:pPr>
          </w:p>
        </w:tc>
        <w:tc>
          <w:tcPr>
            <w:tcW w:w="5700" w:type="dxa"/>
            <w:vAlign w:val="bottom"/>
            <w:gridSpan w:val="2"/>
          </w:tcPr>
          <w:p>
            <w:pPr>
              <w:spacing w:after="0"/>
              <w:rPr>
                <w:sz w:val="20"/>
                <w:szCs w:val="20"/>
                <w:color w:val="auto"/>
              </w:rPr>
            </w:pPr>
            <w:r>
              <w:rPr>
                <w:rFonts w:ascii="Arial" w:cs="Arial" w:eastAsia="Arial" w:hAnsi="Arial"/>
                <w:sz w:val="18"/>
                <w:szCs w:val="18"/>
                <w:color w:val="auto"/>
              </w:rPr>
              <w:t>Member of the Board</w:t>
            </w:r>
          </w:p>
        </w:tc>
      </w:tr>
      <w:tr>
        <w:trPr>
          <w:trHeight w:val="224"/>
        </w:trPr>
        <w:tc>
          <w:tcPr>
            <w:tcW w:w="4580" w:type="dxa"/>
            <w:vAlign w:val="bottom"/>
            <w:gridSpan w:val="2"/>
          </w:tcPr>
          <w:p>
            <w:pPr>
              <w:spacing w:after="0"/>
              <w:rPr>
                <w:sz w:val="20"/>
                <w:szCs w:val="20"/>
                <w:color w:val="auto"/>
              </w:rPr>
            </w:pPr>
            <w:r>
              <w:rPr>
                <w:rFonts w:ascii="Arial" w:cs="Arial" w:eastAsia="Arial" w:hAnsi="Arial"/>
                <w:sz w:val="18"/>
                <w:szCs w:val="18"/>
                <w:color w:val="auto"/>
              </w:rPr>
              <w:t>Peter Bains</w:t>
            </w:r>
          </w:p>
        </w:tc>
        <w:tc>
          <w:tcPr>
            <w:tcW w:w="114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5360" w:type="dxa"/>
            <w:vAlign w:val="bottom"/>
          </w:tcPr>
          <w:p>
            <w:pPr>
              <w:spacing w:after="0"/>
              <w:rPr>
                <w:sz w:val="19"/>
                <w:szCs w:val="19"/>
                <w:color w:val="auto"/>
              </w:rPr>
            </w:pPr>
          </w:p>
        </w:tc>
      </w:tr>
      <w:tr>
        <w:trPr>
          <w:trHeight w:val="418"/>
        </w:trPr>
        <w:tc>
          <w:tcPr>
            <w:tcW w:w="4580" w:type="dxa"/>
            <w:vAlign w:val="bottom"/>
            <w:tcBorders>
              <w:bottom w:val="single" w:sz="8" w:color="auto"/>
            </w:tcBorders>
            <w:gridSpan w:val="2"/>
          </w:tcPr>
          <w:p>
            <w:pPr>
              <w:spacing w:after="0"/>
              <w:rPr>
                <w:sz w:val="20"/>
                <w:szCs w:val="20"/>
                <w:color w:val="auto"/>
              </w:rPr>
            </w:pPr>
            <w:r>
              <w:rPr>
                <w:rFonts w:ascii="Arial" w:cs="Arial" w:eastAsia="Arial" w:hAnsi="Arial"/>
                <w:sz w:val="18"/>
                <w:szCs w:val="18"/>
                <w:color w:val="auto"/>
              </w:rPr>
              <w:t>/s/ Paul Blackburn</w:t>
            </w:r>
          </w:p>
        </w:tc>
        <w:tc>
          <w:tcPr>
            <w:tcW w:w="1140" w:type="dxa"/>
            <w:vAlign w:val="bottom"/>
          </w:tcPr>
          <w:p>
            <w:pPr>
              <w:spacing w:after="0"/>
              <w:rPr>
                <w:sz w:val="24"/>
                <w:szCs w:val="24"/>
                <w:color w:val="auto"/>
              </w:rPr>
            </w:pPr>
          </w:p>
        </w:tc>
        <w:tc>
          <w:tcPr>
            <w:tcW w:w="5700" w:type="dxa"/>
            <w:vAlign w:val="bottom"/>
            <w:gridSpan w:val="2"/>
          </w:tcPr>
          <w:p>
            <w:pPr>
              <w:spacing w:after="0"/>
              <w:rPr>
                <w:sz w:val="20"/>
                <w:szCs w:val="20"/>
                <w:color w:val="auto"/>
              </w:rPr>
            </w:pPr>
            <w:r>
              <w:rPr>
                <w:rFonts w:ascii="Arial" w:cs="Arial" w:eastAsia="Arial" w:hAnsi="Arial"/>
                <w:sz w:val="18"/>
                <w:szCs w:val="18"/>
                <w:color w:val="auto"/>
              </w:rPr>
              <w:t>Member of the Board</w:t>
            </w:r>
          </w:p>
        </w:tc>
      </w:tr>
      <w:tr>
        <w:trPr>
          <w:trHeight w:val="224"/>
        </w:trPr>
        <w:tc>
          <w:tcPr>
            <w:tcW w:w="4580" w:type="dxa"/>
            <w:vAlign w:val="bottom"/>
            <w:gridSpan w:val="2"/>
          </w:tcPr>
          <w:p>
            <w:pPr>
              <w:spacing w:after="0"/>
              <w:rPr>
                <w:sz w:val="20"/>
                <w:szCs w:val="20"/>
                <w:color w:val="auto"/>
              </w:rPr>
            </w:pPr>
            <w:r>
              <w:rPr>
                <w:rFonts w:ascii="Arial" w:cs="Arial" w:eastAsia="Arial" w:hAnsi="Arial"/>
                <w:sz w:val="18"/>
                <w:szCs w:val="18"/>
                <w:color w:val="auto"/>
              </w:rPr>
              <w:t>Paul Blackburn</w:t>
            </w:r>
          </w:p>
        </w:tc>
        <w:tc>
          <w:tcPr>
            <w:tcW w:w="114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5360" w:type="dxa"/>
            <w:vAlign w:val="bottom"/>
          </w:tcPr>
          <w:p>
            <w:pPr>
              <w:spacing w:after="0"/>
              <w:rPr>
                <w:sz w:val="19"/>
                <w:szCs w:val="19"/>
                <w:color w:val="auto"/>
              </w:rPr>
            </w:pPr>
          </w:p>
        </w:tc>
      </w:tr>
      <w:tr>
        <w:trPr>
          <w:trHeight w:val="418"/>
        </w:trPr>
        <w:tc>
          <w:tcPr>
            <w:tcW w:w="4580" w:type="dxa"/>
            <w:vAlign w:val="bottom"/>
            <w:tcBorders>
              <w:bottom w:val="single" w:sz="8" w:color="auto"/>
            </w:tcBorders>
            <w:gridSpan w:val="2"/>
          </w:tcPr>
          <w:p>
            <w:pPr>
              <w:spacing w:after="0"/>
              <w:rPr>
                <w:sz w:val="20"/>
                <w:szCs w:val="20"/>
                <w:color w:val="auto"/>
              </w:rPr>
            </w:pPr>
            <w:r>
              <w:rPr>
                <w:rFonts w:ascii="Arial" w:cs="Arial" w:eastAsia="Arial" w:hAnsi="Arial"/>
                <w:sz w:val="18"/>
                <w:szCs w:val="18"/>
                <w:color w:val="auto"/>
              </w:rPr>
              <w:t>/s/ Anders Ekblom</w:t>
            </w:r>
          </w:p>
        </w:tc>
        <w:tc>
          <w:tcPr>
            <w:tcW w:w="1140" w:type="dxa"/>
            <w:vAlign w:val="bottom"/>
          </w:tcPr>
          <w:p>
            <w:pPr>
              <w:spacing w:after="0"/>
              <w:rPr>
                <w:sz w:val="24"/>
                <w:szCs w:val="24"/>
                <w:color w:val="auto"/>
              </w:rPr>
            </w:pPr>
          </w:p>
        </w:tc>
        <w:tc>
          <w:tcPr>
            <w:tcW w:w="5700" w:type="dxa"/>
            <w:vAlign w:val="bottom"/>
            <w:gridSpan w:val="2"/>
          </w:tcPr>
          <w:p>
            <w:pPr>
              <w:spacing w:after="0"/>
              <w:rPr>
                <w:sz w:val="20"/>
                <w:szCs w:val="20"/>
                <w:color w:val="auto"/>
              </w:rPr>
            </w:pPr>
            <w:r>
              <w:rPr>
                <w:rFonts w:ascii="Arial" w:cs="Arial" w:eastAsia="Arial" w:hAnsi="Arial"/>
                <w:sz w:val="18"/>
                <w:szCs w:val="18"/>
                <w:color w:val="auto"/>
              </w:rPr>
              <w:t>Member of the Board</w:t>
            </w:r>
          </w:p>
        </w:tc>
      </w:tr>
      <w:tr>
        <w:trPr>
          <w:trHeight w:val="224"/>
        </w:trPr>
        <w:tc>
          <w:tcPr>
            <w:tcW w:w="4580" w:type="dxa"/>
            <w:vAlign w:val="bottom"/>
            <w:gridSpan w:val="2"/>
          </w:tcPr>
          <w:p>
            <w:pPr>
              <w:spacing w:after="0"/>
              <w:rPr>
                <w:sz w:val="20"/>
                <w:szCs w:val="20"/>
                <w:color w:val="auto"/>
              </w:rPr>
            </w:pPr>
            <w:r>
              <w:rPr>
                <w:rFonts w:ascii="Arial" w:cs="Arial" w:eastAsia="Arial" w:hAnsi="Arial"/>
                <w:sz w:val="18"/>
                <w:szCs w:val="18"/>
                <w:color w:val="auto"/>
              </w:rPr>
              <w:t>Anders Ekblom, M.D., Ph.D.</w:t>
            </w:r>
          </w:p>
        </w:tc>
        <w:tc>
          <w:tcPr>
            <w:tcW w:w="114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5360" w:type="dxa"/>
            <w:vAlign w:val="bottom"/>
          </w:tcPr>
          <w:p>
            <w:pPr>
              <w:spacing w:after="0"/>
              <w:rPr>
                <w:sz w:val="19"/>
                <w:szCs w:val="19"/>
                <w:color w:val="auto"/>
              </w:rPr>
            </w:pPr>
          </w:p>
        </w:tc>
      </w:tr>
      <w:tr>
        <w:trPr>
          <w:trHeight w:val="418"/>
        </w:trPr>
        <w:tc>
          <w:tcPr>
            <w:tcW w:w="4580" w:type="dxa"/>
            <w:vAlign w:val="bottom"/>
            <w:tcBorders>
              <w:bottom w:val="single" w:sz="8" w:color="auto"/>
            </w:tcBorders>
            <w:gridSpan w:val="2"/>
          </w:tcPr>
          <w:p>
            <w:pPr>
              <w:spacing w:after="0"/>
              <w:rPr>
                <w:sz w:val="20"/>
                <w:szCs w:val="20"/>
                <w:color w:val="auto"/>
              </w:rPr>
            </w:pPr>
            <w:r>
              <w:rPr>
                <w:rFonts w:ascii="Arial" w:cs="Arial" w:eastAsia="Arial" w:hAnsi="Arial"/>
                <w:sz w:val="18"/>
                <w:szCs w:val="18"/>
                <w:color w:val="auto"/>
              </w:rPr>
              <w:t>/s/ Kunal Kashyap</w:t>
            </w:r>
          </w:p>
        </w:tc>
        <w:tc>
          <w:tcPr>
            <w:tcW w:w="1140" w:type="dxa"/>
            <w:vAlign w:val="bottom"/>
          </w:tcPr>
          <w:p>
            <w:pPr>
              <w:spacing w:after="0"/>
              <w:rPr>
                <w:sz w:val="24"/>
                <w:szCs w:val="24"/>
                <w:color w:val="auto"/>
              </w:rPr>
            </w:pPr>
          </w:p>
        </w:tc>
        <w:tc>
          <w:tcPr>
            <w:tcW w:w="5700" w:type="dxa"/>
            <w:vAlign w:val="bottom"/>
            <w:gridSpan w:val="2"/>
          </w:tcPr>
          <w:p>
            <w:pPr>
              <w:spacing w:after="0"/>
              <w:rPr>
                <w:sz w:val="20"/>
                <w:szCs w:val="20"/>
                <w:color w:val="auto"/>
              </w:rPr>
            </w:pPr>
            <w:r>
              <w:rPr>
                <w:rFonts w:ascii="Arial" w:cs="Arial" w:eastAsia="Arial" w:hAnsi="Arial"/>
                <w:sz w:val="18"/>
                <w:szCs w:val="18"/>
                <w:color w:val="auto"/>
              </w:rPr>
              <w:t>Member of the Board</w:t>
            </w:r>
          </w:p>
        </w:tc>
      </w:tr>
      <w:tr>
        <w:trPr>
          <w:trHeight w:val="224"/>
        </w:trPr>
        <w:tc>
          <w:tcPr>
            <w:tcW w:w="4580" w:type="dxa"/>
            <w:vAlign w:val="bottom"/>
            <w:gridSpan w:val="2"/>
          </w:tcPr>
          <w:p>
            <w:pPr>
              <w:spacing w:after="0"/>
              <w:rPr>
                <w:sz w:val="20"/>
                <w:szCs w:val="20"/>
                <w:color w:val="auto"/>
              </w:rPr>
            </w:pPr>
            <w:r>
              <w:rPr>
                <w:rFonts w:ascii="Arial" w:cs="Arial" w:eastAsia="Arial" w:hAnsi="Arial"/>
                <w:sz w:val="18"/>
                <w:szCs w:val="18"/>
                <w:color w:val="auto"/>
              </w:rPr>
              <w:t>Kunal Kashyap</w:t>
            </w:r>
          </w:p>
        </w:tc>
        <w:tc>
          <w:tcPr>
            <w:tcW w:w="114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5360" w:type="dxa"/>
            <w:vAlign w:val="bottom"/>
          </w:tcPr>
          <w:p>
            <w:pPr>
              <w:spacing w:after="0"/>
              <w:rPr>
                <w:sz w:val="19"/>
                <w:szCs w:val="19"/>
                <w:color w:val="auto"/>
              </w:rPr>
            </w:pPr>
          </w:p>
        </w:tc>
      </w:tr>
      <w:tr>
        <w:trPr>
          <w:trHeight w:val="587"/>
        </w:trPr>
        <w:tc>
          <w:tcPr>
            <w:tcW w:w="700" w:type="dxa"/>
            <w:vAlign w:val="bottom"/>
            <w:tcBorders>
              <w:bottom w:val="single" w:sz="8" w:color="auto"/>
            </w:tcBorders>
          </w:tcPr>
          <w:p>
            <w:pPr>
              <w:spacing w:after="0"/>
              <w:rPr>
                <w:sz w:val="24"/>
                <w:szCs w:val="24"/>
                <w:color w:val="auto"/>
              </w:rPr>
            </w:pPr>
          </w:p>
        </w:tc>
        <w:tc>
          <w:tcPr>
            <w:tcW w:w="3880" w:type="dxa"/>
            <w:vAlign w:val="bottom"/>
            <w:tcBorders>
              <w:bottom w:val="single" w:sz="8" w:color="auto"/>
            </w:tcBorders>
          </w:tcPr>
          <w:p>
            <w:pPr>
              <w:spacing w:after="0"/>
              <w:rPr>
                <w:sz w:val="24"/>
                <w:szCs w:val="24"/>
                <w:color w:val="auto"/>
              </w:rPr>
            </w:pPr>
          </w:p>
        </w:tc>
        <w:tc>
          <w:tcPr>
            <w:tcW w:w="6840" w:type="dxa"/>
            <w:vAlign w:val="bottom"/>
            <w:tcBorders>
              <w:bottom w:val="single" w:sz="8" w:color="auto"/>
            </w:tcBorders>
            <w:gridSpan w:val="3"/>
          </w:tcPr>
          <w:p>
            <w:pPr>
              <w:ind w:left="980"/>
              <w:spacing w:after="0"/>
              <w:rPr>
                <w:sz w:val="20"/>
                <w:szCs w:val="20"/>
                <w:color w:val="auto"/>
              </w:rPr>
            </w:pPr>
            <w:r>
              <w:rPr>
                <w:rFonts w:ascii="Arial" w:cs="Arial" w:eastAsia="Arial" w:hAnsi="Arial"/>
                <w:sz w:val="22"/>
                <w:szCs w:val="22"/>
                <w:color w:val="auto"/>
              </w:rPr>
              <w:t>II-5</w:t>
            </w:r>
          </w:p>
        </w:tc>
      </w:tr>
    </w:tbl>
    <w:p>
      <w:pPr>
        <w:sectPr>
          <w:pgSz w:w="11900" w:h="16838" w:orient="portrait"/>
          <w:cols w:equalWidth="0" w:num="1">
            <w:col w:w="11420"/>
          </w:cols>
          <w:pgMar w:left="240" w:top="341" w:right="239" w:bottom="1440" w:gutter="0" w:footer="0" w:header="0"/>
        </w:sectPr>
      </w:pPr>
    </w:p>
    <w:bookmarkStart w:id="11" w:name="page12"/>
    <w:bookmarkEnd w:id="11"/>
    <w:p>
      <w:pPr>
        <w:jc w:val="center"/>
        <w:spacing w:after="0"/>
        <w:rPr>
          <w:sz w:val="20"/>
          <w:szCs w:val="20"/>
          <w:color w:val="auto"/>
        </w:rPr>
      </w:pPr>
      <w:r>
        <w:rPr>
          <w:rFonts w:ascii="Arial" w:cs="Arial" w:eastAsia="Arial" w:hAnsi="Arial"/>
          <w:sz w:val="18"/>
          <w:szCs w:val="18"/>
          <w:color w:val="auto"/>
        </w:rPr>
        <w:t>SIGNATURE OF AUTHORIZED U.S. REPRESENTATIVE OF REGISTRANT</w:t>
      </w:r>
    </w:p>
    <w:p>
      <w:pPr>
        <w:spacing w:after="0" w:line="225" w:lineRule="exact"/>
        <w:rPr>
          <w:sz w:val="20"/>
          <w:szCs w:val="20"/>
          <w:color w:val="auto"/>
        </w:rPr>
      </w:pPr>
    </w:p>
    <w:p>
      <w:pPr>
        <w:ind w:right="360"/>
        <w:spacing w:after="0" w:line="277" w:lineRule="auto"/>
        <w:rPr>
          <w:sz w:val="20"/>
          <w:szCs w:val="20"/>
          <w:color w:val="auto"/>
        </w:rPr>
      </w:pPr>
      <w:r>
        <w:rPr>
          <w:rFonts w:ascii="Arial" w:cs="Arial" w:eastAsia="Arial" w:hAnsi="Arial"/>
          <w:sz w:val="18"/>
          <w:szCs w:val="18"/>
          <w:color w:val="auto"/>
        </w:rPr>
        <w:t>Pursuant to the requirements of the Securities Act of 1933, as amended, the undersigned, the duly authorized representative in the United States of Mereo BioPharma Group plc has signed this registration statement on January 24, 2019.</w:t>
      </w:r>
    </w:p>
    <w:p>
      <w:pPr>
        <w:spacing w:after="0" w:line="170" w:lineRule="exact"/>
        <w:rPr>
          <w:sz w:val="20"/>
          <w:szCs w:val="20"/>
          <w:color w:val="auto"/>
        </w:rPr>
      </w:pPr>
    </w:p>
    <w:tbl>
      <w:tblPr>
        <w:tblLayout w:type="fixed"/>
        <w:tblInd w:w="5720" w:type="dxa"/>
        <w:tblCellMar>
          <w:top w:w="0" w:type="dxa"/>
          <w:left w:w="0" w:type="dxa"/>
          <w:bottom w:w="0" w:type="dxa"/>
          <w:right w:w="0" w:type="dxa"/>
        </w:tblCellMar>
      </w:tblPr>
      <w:tr>
        <w:trPr>
          <w:trHeight w:val="230"/>
        </w:trPr>
        <w:tc>
          <w:tcPr>
            <w:tcW w:w="560" w:type="dxa"/>
            <w:vAlign w:val="bottom"/>
          </w:tcPr>
          <w:p>
            <w:pPr>
              <w:spacing w:after="0"/>
              <w:rPr>
                <w:sz w:val="20"/>
                <w:szCs w:val="20"/>
                <w:color w:val="auto"/>
              </w:rPr>
            </w:pPr>
            <w:r>
              <w:rPr>
                <w:rFonts w:ascii="Arial" w:cs="Arial" w:eastAsia="Arial" w:hAnsi="Arial"/>
                <w:sz w:val="18"/>
                <w:szCs w:val="18"/>
                <w:color w:val="auto"/>
              </w:rPr>
              <w:t>By:</w:t>
            </w:r>
          </w:p>
        </w:tc>
        <w:tc>
          <w:tcPr>
            <w:tcW w:w="514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/s/ Colleen A. DeVries</w:t>
            </w:r>
          </w:p>
        </w:tc>
      </w:tr>
      <w:tr>
        <w:trPr>
          <w:trHeight w:val="195"/>
        </w:trPr>
        <w:tc>
          <w:tcPr>
            <w:tcW w:w="560" w:type="dxa"/>
            <w:vAlign w:val="bottom"/>
          </w:tcPr>
          <w:p>
            <w:pPr>
              <w:spacing w:after="0" w:line="195" w:lineRule="exact"/>
              <w:rPr>
                <w:sz w:val="20"/>
                <w:szCs w:val="20"/>
                <w:color w:val="auto"/>
              </w:rPr>
            </w:pPr>
            <w:r>
              <w:rPr>
                <w:rFonts w:ascii="Arial" w:cs="Arial" w:eastAsia="Arial" w:hAnsi="Arial"/>
                <w:sz w:val="18"/>
                <w:szCs w:val="18"/>
                <w:color w:val="auto"/>
              </w:rPr>
              <w:t>Name:</w:t>
            </w:r>
          </w:p>
        </w:tc>
        <w:tc>
          <w:tcPr>
            <w:tcW w:w="5140" w:type="dxa"/>
            <w:vAlign w:val="bottom"/>
          </w:tcPr>
          <w:p>
            <w:pPr>
              <w:spacing w:after="0" w:line="195" w:lineRule="exact"/>
              <w:rPr>
                <w:sz w:val="20"/>
                <w:szCs w:val="20"/>
                <w:color w:val="auto"/>
              </w:rPr>
            </w:pPr>
            <w:r>
              <w:rPr>
                <w:rFonts w:ascii="Arial" w:cs="Arial" w:eastAsia="Arial" w:hAnsi="Arial"/>
                <w:sz w:val="18"/>
                <w:szCs w:val="18"/>
                <w:color w:val="auto"/>
              </w:rPr>
              <w:t>Colleen A. DeVries</w:t>
            </w:r>
          </w:p>
        </w:tc>
      </w:tr>
      <w:tr>
        <w:trPr>
          <w:trHeight w:val="230"/>
        </w:trPr>
        <w:tc>
          <w:tcPr>
            <w:tcW w:w="560" w:type="dxa"/>
            <w:vAlign w:val="bottom"/>
          </w:tcPr>
          <w:p>
            <w:pPr>
              <w:spacing w:after="0"/>
              <w:rPr>
                <w:sz w:val="20"/>
                <w:szCs w:val="20"/>
                <w:color w:val="auto"/>
              </w:rPr>
            </w:pPr>
            <w:r>
              <w:rPr>
                <w:rFonts w:ascii="Arial" w:cs="Arial" w:eastAsia="Arial" w:hAnsi="Arial"/>
                <w:sz w:val="18"/>
                <w:szCs w:val="18"/>
                <w:color w:val="auto"/>
              </w:rPr>
              <w:t>Title:</w:t>
            </w:r>
          </w:p>
        </w:tc>
        <w:tc>
          <w:tcPr>
            <w:tcW w:w="5140" w:type="dxa"/>
            <w:vAlign w:val="bottom"/>
          </w:tcPr>
          <w:p>
            <w:pPr>
              <w:spacing w:after="0"/>
              <w:rPr>
                <w:sz w:val="20"/>
                <w:szCs w:val="20"/>
                <w:color w:val="auto"/>
              </w:rPr>
            </w:pPr>
            <w:r>
              <w:rPr>
                <w:rFonts w:ascii="Arial" w:cs="Arial" w:eastAsia="Arial" w:hAnsi="Arial"/>
                <w:sz w:val="18"/>
                <w:szCs w:val="18"/>
                <w:color w:val="auto"/>
              </w:rPr>
              <w:t>SVP on behalf of Cogency Global Inc.</w:t>
            </w:r>
          </w:p>
        </w:tc>
      </w:tr>
    </w:tbl>
    <w:p>
      <w:pPr>
        <w:spacing w:after="0" w:line="303"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II-6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7620</wp:posOffset>
            </wp:positionV>
            <wp:extent cx="7246620" cy="17145"/>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368" w:right="239" w:bottom="1440" w:gutter="0" w:footer="0" w:header="0"/>
        </w:sectPr>
      </w:pPr>
    </w:p>
    <w:bookmarkStart w:id="12" w:name="page13"/>
    <w:bookmarkEnd w:id="12"/>
    <w:tbl>
      <w:tblPr>
        <w:tblLayout w:type="fixed"/>
        <w:tblInd w:w="0" w:type="dxa"/>
        <w:tblCellMar>
          <w:top w:w="0" w:type="dxa"/>
          <w:left w:w="0" w:type="dxa"/>
          <w:bottom w:w="0" w:type="dxa"/>
          <w:right w:w="0" w:type="dxa"/>
        </w:tblCellMar>
      </w:tblPr>
      <w:tr>
        <w:trPr>
          <w:trHeight w:val="207"/>
        </w:trPr>
        <w:tc>
          <w:tcPr>
            <w:tcW w:w="580" w:type="dxa"/>
            <w:vAlign w:val="bottom"/>
          </w:tcPr>
          <w:p>
            <w:pPr>
              <w:spacing w:after="0"/>
              <w:rPr>
                <w:sz w:val="17"/>
                <w:szCs w:val="17"/>
                <w:color w:val="auto"/>
              </w:rPr>
            </w:pPr>
          </w:p>
        </w:tc>
        <w:tc>
          <w:tcPr>
            <w:tcW w:w="296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720" w:type="dxa"/>
            <w:vAlign w:val="bottom"/>
          </w:tcPr>
          <w:p>
            <w:pPr>
              <w:spacing w:after="0"/>
              <w:rPr>
                <w:sz w:val="17"/>
                <w:szCs w:val="17"/>
                <w:color w:val="auto"/>
              </w:rPr>
            </w:pPr>
          </w:p>
        </w:tc>
        <w:tc>
          <w:tcPr>
            <w:tcW w:w="1320" w:type="dxa"/>
            <w:vAlign w:val="bottom"/>
            <w:tcBorders>
              <w:bottom w:val="single" w:sz="8" w:color="auto"/>
            </w:tcBorders>
          </w:tcPr>
          <w:p>
            <w:pPr>
              <w:spacing w:after="0"/>
              <w:rPr>
                <w:sz w:val="20"/>
                <w:szCs w:val="20"/>
                <w:color w:val="auto"/>
              </w:rPr>
            </w:pPr>
            <w:r>
              <w:rPr>
                <w:rFonts w:ascii="Arial" w:cs="Arial" w:eastAsia="Arial" w:hAnsi="Arial"/>
                <w:sz w:val="18"/>
                <w:szCs w:val="18"/>
                <w:b w:val="1"/>
                <w:bCs w:val="1"/>
                <w:color w:val="auto"/>
                <w:w w:val="90"/>
              </w:rPr>
              <w:t>Index to Exhibits</w:t>
            </w:r>
          </w:p>
        </w:tc>
        <w:tc>
          <w:tcPr>
            <w:tcW w:w="1740" w:type="dxa"/>
            <w:vAlign w:val="bottom"/>
          </w:tcPr>
          <w:p>
            <w:pPr>
              <w:spacing w:after="0"/>
              <w:rPr>
                <w:sz w:val="17"/>
                <w:szCs w:val="17"/>
                <w:color w:val="auto"/>
              </w:rPr>
            </w:pPr>
          </w:p>
        </w:tc>
        <w:tc>
          <w:tcPr>
            <w:tcW w:w="1220" w:type="dxa"/>
            <w:vAlign w:val="bottom"/>
          </w:tcPr>
          <w:p>
            <w:pPr>
              <w:spacing w:after="0"/>
              <w:rPr>
                <w:sz w:val="17"/>
                <w:szCs w:val="17"/>
                <w:color w:val="auto"/>
              </w:rPr>
            </w:pPr>
          </w:p>
        </w:tc>
      </w:tr>
      <w:tr>
        <w:trPr>
          <w:trHeight w:val="434"/>
        </w:trPr>
        <w:tc>
          <w:tcPr>
            <w:tcW w:w="580" w:type="dxa"/>
            <w:vAlign w:val="bottom"/>
          </w:tcPr>
          <w:p>
            <w:pPr>
              <w:spacing w:after="0"/>
              <w:rPr>
                <w:sz w:val="24"/>
                <w:szCs w:val="24"/>
                <w:color w:val="auto"/>
              </w:rPr>
            </w:pPr>
          </w:p>
        </w:tc>
        <w:tc>
          <w:tcPr>
            <w:tcW w:w="296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1320" w:type="dxa"/>
            <w:vAlign w:val="bottom"/>
          </w:tcPr>
          <w:p>
            <w:pPr>
              <w:spacing w:after="0"/>
              <w:rPr>
                <w:sz w:val="24"/>
                <w:szCs w:val="24"/>
                <w:color w:val="auto"/>
              </w:rPr>
            </w:pPr>
          </w:p>
        </w:tc>
        <w:tc>
          <w:tcPr>
            <w:tcW w:w="1740" w:type="dxa"/>
            <w:vAlign w:val="bottom"/>
          </w:tcPr>
          <w:p>
            <w:pPr>
              <w:spacing w:after="0"/>
              <w:rPr>
                <w:sz w:val="24"/>
                <w:szCs w:val="24"/>
                <w:color w:val="auto"/>
              </w:rPr>
            </w:pPr>
          </w:p>
        </w:tc>
        <w:tc>
          <w:tcPr>
            <w:tcW w:w="1220" w:type="dxa"/>
            <w:vAlign w:val="bottom"/>
          </w:tcPr>
          <w:p>
            <w:pPr>
              <w:spacing w:after="0"/>
              <w:rPr>
                <w:sz w:val="20"/>
                <w:szCs w:val="20"/>
                <w:color w:val="auto"/>
              </w:rPr>
            </w:pPr>
            <w:r>
              <w:rPr>
                <w:rFonts w:ascii="Arial" w:cs="Arial" w:eastAsia="Arial" w:hAnsi="Arial"/>
                <w:sz w:val="18"/>
                <w:szCs w:val="18"/>
                <w:b w:val="1"/>
                <w:bCs w:val="1"/>
                <w:color w:val="auto"/>
              </w:rPr>
              <w:t>Sequentially</w:t>
            </w:r>
          </w:p>
        </w:tc>
      </w:tr>
      <w:tr>
        <w:trPr>
          <w:trHeight w:val="194"/>
        </w:trPr>
        <w:tc>
          <w:tcPr>
            <w:tcW w:w="580" w:type="dxa"/>
            <w:vAlign w:val="bottom"/>
            <w:tcBorders>
              <w:bottom w:val="single" w:sz="8" w:color="auto"/>
            </w:tcBorders>
          </w:tcPr>
          <w:p>
            <w:pPr>
              <w:spacing w:after="0" w:line="194" w:lineRule="exact"/>
              <w:rPr>
                <w:sz w:val="20"/>
                <w:szCs w:val="20"/>
                <w:color w:val="auto"/>
              </w:rPr>
            </w:pPr>
            <w:r>
              <w:rPr>
                <w:rFonts w:ascii="Arial" w:cs="Arial" w:eastAsia="Arial" w:hAnsi="Arial"/>
                <w:sz w:val="18"/>
                <w:szCs w:val="18"/>
                <w:b w:val="1"/>
                <w:bCs w:val="1"/>
                <w:color w:val="auto"/>
                <w:w w:val="93"/>
              </w:rPr>
              <w:t>Exhibit</w:t>
            </w:r>
          </w:p>
        </w:tc>
        <w:tc>
          <w:tcPr>
            <w:tcW w:w="2960" w:type="dxa"/>
            <w:vAlign w:val="bottom"/>
          </w:tcPr>
          <w:p>
            <w:pPr>
              <w:spacing w:after="0"/>
              <w:rPr>
                <w:sz w:val="16"/>
                <w:szCs w:val="16"/>
                <w:color w:val="auto"/>
              </w:rPr>
            </w:pPr>
          </w:p>
        </w:tc>
        <w:tc>
          <w:tcPr>
            <w:tcW w:w="800" w:type="dxa"/>
            <w:vAlign w:val="bottom"/>
            <w:tcBorders>
              <w:bottom w:val="single" w:sz="8" w:color="auto"/>
            </w:tcBorders>
          </w:tcPr>
          <w:p>
            <w:pPr>
              <w:spacing w:after="0" w:line="194" w:lineRule="exact"/>
              <w:rPr>
                <w:sz w:val="20"/>
                <w:szCs w:val="20"/>
                <w:color w:val="auto"/>
              </w:rPr>
            </w:pPr>
            <w:r>
              <w:rPr>
                <w:rFonts w:ascii="Arial" w:cs="Arial" w:eastAsia="Arial" w:hAnsi="Arial"/>
                <w:sz w:val="18"/>
                <w:szCs w:val="18"/>
                <w:b w:val="1"/>
                <w:bCs w:val="1"/>
                <w:color w:val="auto"/>
                <w:w w:val="88"/>
              </w:rPr>
              <w:t>Document</w:t>
            </w:r>
          </w:p>
        </w:tc>
        <w:tc>
          <w:tcPr>
            <w:tcW w:w="2040" w:type="dxa"/>
            <w:vAlign w:val="bottom"/>
            <w:gridSpan w:val="2"/>
          </w:tcPr>
          <w:p>
            <w:pPr>
              <w:spacing w:after="0"/>
              <w:rPr>
                <w:sz w:val="16"/>
                <w:szCs w:val="16"/>
                <w:color w:val="auto"/>
              </w:rPr>
            </w:pPr>
          </w:p>
        </w:tc>
        <w:tc>
          <w:tcPr>
            <w:tcW w:w="1740" w:type="dxa"/>
            <w:vAlign w:val="bottom"/>
          </w:tcPr>
          <w:p>
            <w:pPr>
              <w:spacing w:after="0"/>
              <w:rPr>
                <w:sz w:val="16"/>
                <w:szCs w:val="16"/>
                <w:color w:val="auto"/>
              </w:rPr>
            </w:pPr>
          </w:p>
        </w:tc>
        <w:tc>
          <w:tcPr>
            <w:tcW w:w="1220" w:type="dxa"/>
            <w:vAlign w:val="bottom"/>
            <w:tcBorders>
              <w:bottom w:val="single" w:sz="8" w:color="auto"/>
            </w:tcBorders>
          </w:tcPr>
          <w:p>
            <w:pPr>
              <w:spacing w:after="0" w:line="194" w:lineRule="exact"/>
              <w:rPr>
                <w:sz w:val="20"/>
                <w:szCs w:val="20"/>
                <w:color w:val="auto"/>
              </w:rPr>
            </w:pPr>
            <w:r>
              <w:rPr>
                <w:rFonts w:ascii="Arial" w:cs="Arial" w:eastAsia="Arial" w:hAnsi="Arial"/>
                <w:sz w:val="18"/>
                <w:szCs w:val="18"/>
                <w:b w:val="1"/>
                <w:bCs w:val="1"/>
                <w:color w:val="auto"/>
                <w:w w:val="87"/>
              </w:rPr>
              <w:t>Numbered Page</w:t>
            </w:r>
          </w:p>
        </w:tc>
      </w:tr>
      <w:tr>
        <w:trPr>
          <w:trHeight w:val="453"/>
        </w:trPr>
        <w:tc>
          <w:tcPr>
            <w:tcW w:w="580" w:type="dxa"/>
            <w:vAlign w:val="bottom"/>
          </w:tcPr>
          <w:p>
            <w:pPr>
              <w:spacing w:after="0"/>
              <w:rPr>
                <w:sz w:val="20"/>
                <w:szCs w:val="20"/>
                <w:color w:val="auto"/>
              </w:rPr>
            </w:pPr>
            <w:r>
              <w:rPr>
                <w:rFonts w:ascii="Arial" w:cs="Arial" w:eastAsia="Arial" w:hAnsi="Arial"/>
                <w:sz w:val="18"/>
                <w:szCs w:val="18"/>
                <w:color w:val="auto"/>
              </w:rPr>
              <w:t>(a)</w:t>
            </w:r>
          </w:p>
        </w:tc>
        <w:tc>
          <w:tcPr>
            <w:tcW w:w="5800" w:type="dxa"/>
            <w:vAlign w:val="bottom"/>
            <w:gridSpan w:val="4"/>
          </w:tcPr>
          <w:p>
            <w:pPr>
              <w:ind w:left="2960"/>
              <w:spacing w:after="0"/>
              <w:rPr>
                <w:sz w:val="20"/>
                <w:szCs w:val="20"/>
                <w:color w:val="auto"/>
              </w:rPr>
            </w:pPr>
            <w:r>
              <w:rPr>
                <w:rFonts w:ascii="Arial" w:cs="Arial" w:eastAsia="Arial" w:hAnsi="Arial"/>
                <w:sz w:val="18"/>
                <w:szCs w:val="18"/>
                <w:color w:val="auto"/>
              </w:rPr>
              <w:t>Form of Deposit Agreement</w:t>
            </w:r>
          </w:p>
        </w:tc>
        <w:tc>
          <w:tcPr>
            <w:tcW w:w="1740" w:type="dxa"/>
            <w:vAlign w:val="bottom"/>
          </w:tcPr>
          <w:p>
            <w:pPr>
              <w:spacing w:after="0"/>
              <w:rPr>
                <w:sz w:val="24"/>
                <w:szCs w:val="24"/>
                <w:color w:val="auto"/>
              </w:rPr>
            </w:pPr>
          </w:p>
        </w:tc>
        <w:tc>
          <w:tcPr>
            <w:tcW w:w="1220" w:type="dxa"/>
            <w:vAlign w:val="bottom"/>
          </w:tcPr>
          <w:p>
            <w:pPr>
              <w:spacing w:after="0"/>
              <w:rPr>
                <w:sz w:val="24"/>
                <w:szCs w:val="24"/>
                <w:color w:val="auto"/>
              </w:rPr>
            </w:pPr>
          </w:p>
        </w:tc>
      </w:tr>
    </w:tbl>
    <w:p>
      <w:pPr>
        <w:sectPr>
          <w:pgSz w:w="11900" w:h="16838" w:orient="portrait"/>
          <w:cols w:equalWidth="0" w:num="1">
            <w:col w:w="10219"/>
          </w:cols>
          <w:pgMar w:left="240" w:top="324" w:right="1440" w:bottom="1440" w:gutter="0" w:footer="0" w:header="0"/>
        </w:sectPr>
      </w:pPr>
    </w:p>
    <w:bookmarkStart w:id="13" w:name="page14"/>
    <w:bookmarkEnd w:id="13"/>
    <w:p>
      <w:pPr>
        <w:jc w:val="center"/>
        <w:ind w:right="-20"/>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157480</wp:posOffset>
            </wp:positionH>
            <wp:positionV relativeFrom="page">
              <wp:posOffset>397510</wp:posOffset>
            </wp:positionV>
            <wp:extent cx="7246620" cy="8890"/>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7246620" cy="8890"/>
                    </a:xfrm>
                    <a:prstGeom prst="rect">
                      <a:avLst/>
                    </a:prstGeom>
                    <a:noFill/>
                  </pic:spPr>
                </pic:pic>
              </a:graphicData>
            </a:graphic>
          </wp:anchor>
        </w:drawing>
        <w:t>DEPOSIT AGREEMENT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-756285</wp:posOffset>
            </wp:positionH>
            <wp:positionV relativeFrom="paragraph">
              <wp:posOffset>300355</wp:posOffset>
            </wp:positionV>
            <wp:extent cx="7246620" cy="8890"/>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68" w:lineRule="exact"/>
        <w:rPr>
          <w:sz w:val="20"/>
          <w:szCs w:val="20"/>
          <w:color w:val="auto"/>
        </w:rPr>
      </w:pPr>
    </w:p>
    <w:p>
      <w:pPr>
        <w:jc w:val="center"/>
        <w:ind w:right="-20"/>
        <w:spacing w:after="0"/>
        <w:rPr>
          <w:sz w:val="20"/>
          <w:szCs w:val="20"/>
          <w:color w:val="auto"/>
        </w:rPr>
      </w:pPr>
      <w:r>
        <w:rPr>
          <w:rFonts w:ascii="Arial" w:cs="Arial" w:eastAsia="Arial" w:hAnsi="Arial"/>
          <w:sz w:val="18"/>
          <w:szCs w:val="18"/>
          <w:color w:val="auto"/>
        </w:rPr>
        <w:t>by and among</w:t>
      </w:r>
    </w:p>
    <w:p>
      <w:pPr>
        <w:spacing w:after="0" w:line="221" w:lineRule="exact"/>
        <w:rPr>
          <w:sz w:val="20"/>
          <w:szCs w:val="20"/>
          <w:color w:val="auto"/>
        </w:rPr>
      </w:pPr>
    </w:p>
    <w:p>
      <w:pPr>
        <w:jc w:val="center"/>
        <w:ind w:right="-20"/>
        <w:spacing w:after="0"/>
        <w:rPr>
          <w:sz w:val="20"/>
          <w:szCs w:val="20"/>
          <w:color w:val="auto"/>
        </w:rPr>
      </w:pPr>
      <w:r>
        <w:rPr>
          <w:rFonts w:ascii="Arial" w:cs="Arial" w:eastAsia="Arial" w:hAnsi="Arial"/>
          <w:sz w:val="18"/>
          <w:szCs w:val="18"/>
          <w:b w:val="1"/>
          <w:bCs w:val="1"/>
          <w:color w:val="auto"/>
        </w:rPr>
        <w:t>MEREO BIOPHARMA GROUP PLC</w:t>
      </w:r>
    </w:p>
    <w:p>
      <w:pPr>
        <w:spacing w:after="0" w:line="229" w:lineRule="exact"/>
        <w:rPr>
          <w:sz w:val="20"/>
          <w:szCs w:val="20"/>
          <w:color w:val="auto"/>
        </w:rPr>
      </w:pPr>
    </w:p>
    <w:p>
      <w:pPr>
        <w:jc w:val="center"/>
        <w:ind w:right="-20"/>
        <w:spacing w:after="0"/>
        <w:rPr>
          <w:sz w:val="20"/>
          <w:szCs w:val="20"/>
          <w:color w:val="auto"/>
        </w:rPr>
      </w:pPr>
      <w:r>
        <w:rPr>
          <w:rFonts w:ascii="Arial" w:cs="Arial" w:eastAsia="Arial" w:hAnsi="Arial"/>
          <w:sz w:val="18"/>
          <w:szCs w:val="18"/>
          <w:color w:val="auto"/>
        </w:rPr>
        <w:t>and</w:t>
      </w:r>
    </w:p>
    <w:p>
      <w:pPr>
        <w:spacing w:after="0" w:line="221" w:lineRule="exact"/>
        <w:rPr>
          <w:sz w:val="20"/>
          <w:szCs w:val="20"/>
          <w:color w:val="auto"/>
        </w:rPr>
      </w:pPr>
    </w:p>
    <w:p>
      <w:pPr>
        <w:jc w:val="center"/>
        <w:ind w:right="-20"/>
        <w:spacing w:after="0"/>
        <w:rPr>
          <w:sz w:val="20"/>
          <w:szCs w:val="20"/>
          <w:color w:val="auto"/>
        </w:rPr>
      </w:pPr>
      <w:r>
        <w:rPr>
          <w:rFonts w:ascii="Arial" w:cs="Arial" w:eastAsia="Arial" w:hAnsi="Arial"/>
          <w:sz w:val="18"/>
          <w:szCs w:val="18"/>
          <w:b w:val="1"/>
          <w:bCs w:val="1"/>
          <w:color w:val="auto"/>
        </w:rPr>
        <w:t>CITIBANK, N.A.,</w:t>
      </w:r>
    </w:p>
    <w:p>
      <w:pPr>
        <w:spacing w:after="0" w:line="27" w:lineRule="exact"/>
        <w:rPr>
          <w:sz w:val="20"/>
          <w:szCs w:val="20"/>
          <w:color w:val="auto"/>
        </w:rPr>
      </w:pPr>
    </w:p>
    <w:p>
      <w:pPr>
        <w:jc w:val="center"/>
        <w:ind w:right="-20"/>
        <w:spacing w:after="0"/>
        <w:rPr>
          <w:sz w:val="20"/>
          <w:szCs w:val="20"/>
          <w:color w:val="auto"/>
        </w:rPr>
      </w:pPr>
      <w:r>
        <w:rPr>
          <w:rFonts w:ascii="Arial" w:cs="Arial" w:eastAsia="Arial" w:hAnsi="Arial"/>
          <w:sz w:val="18"/>
          <w:szCs w:val="18"/>
          <w:color w:val="auto"/>
        </w:rPr>
        <w:t>as Depositary,</w:t>
      </w:r>
    </w:p>
    <w:p>
      <w:pPr>
        <w:spacing w:after="0" w:line="211" w:lineRule="exact"/>
        <w:rPr>
          <w:sz w:val="20"/>
          <w:szCs w:val="20"/>
          <w:color w:val="auto"/>
        </w:rPr>
      </w:pPr>
    </w:p>
    <w:p>
      <w:pPr>
        <w:jc w:val="center"/>
        <w:ind w:right="-20"/>
        <w:spacing w:after="0"/>
        <w:rPr>
          <w:sz w:val="20"/>
          <w:szCs w:val="20"/>
          <w:color w:val="auto"/>
        </w:rPr>
      </w:pPr>
      <w:r>
        <w:rPr>
          <w:rFonts w:ascii="Arial" w:cs="Arial" w:eastAsia="Arial" w:hAnsi="Arial"/>
          <w:sz w:val="18"/>
          <w:szCs w:val="18"/>
          <w:color w:val="auto"/>
        </w:rPr>
        <w:t>and</w:t>
      </w:r>
    </w:p>
    <w:p>
      <w:pPr>
        <w:spacing w:after="0" w:line="221" w:lineRule="exact"/>
        <w:rPr>
          <w:sz w:val="20"/>
          <w:szCs w:val="20"/>
          <w:color w:val="auto"/>
        </w:rPr>
      </w:pPr>
    </w:p>
    <w:p>
      <w:pPr>
        <w:jc w:val="center"/>
        <w:ind w:right="-20"/>
        <w:spacing w:after="0"/>
        <w:rPr>
          <w:sz w:val="20"/>
          <w:szCs w:val="20"/>
          <w:color w:val="auto"/>
        </w:rPr>
      </w:pPr>
      <w:r>
        <w:rPr>
          <w:rFonts w:ascii="Arial" w:cs="Arial" w:eastAsia="Arial" w:hAnsi="Arial"/>
          <w:sz w:val="18"/>
          <w:szCs w:val="18"/>
          <w:b w:val="1"/>
          <w:bCs w:val="1"/>
          <w:color w:val="auto"/>
        </w:rPr>
        <w:t>ALL HOLDERS AND BENEFICIAL OWNERS OF</w:t>
      </w:r>
    </w:p>
    <w:p>
      <w:pPr>
        <w:spacing w:after="0" w:line="27" w:lineRule="exact"/>
        <w:rPr>
          <w:sz w:val="20"/>
          <w:szCs w:val="20"/>
          <w:color w:val="auto"/>
        </w:rPr>
      </w:pPr>
    </w:p>
    <w:p>
      <w:pPr>
        <w:jc w:val="center"/>
        <w:ind w:right="-20"/>
        <w:spacing w:after="0"/>
        <w:rPr>
          <w:sz w:val="20"/>
          <w:szCs w:val="20"/>
          <w:color w:val="auto"/>
        </w:rPr>
      </w:pPr>
      <w:r>
        <w:rPr>
          <w:rFonts w:ascii="Arial" w:cs="Arial" w:eastAsia="Arial" w:hAnsi="Arial"/>
          <w:sz w:val="18"/>
          <w:szCs w:val="18"/>
          <w:b w:val="1"/>
          <w:bCs w:val="1"/>
          <w:color w:val="auto"/>
        </w:rPr>
        <w:t>AMERICAN DEPOSITARY SHARES</w:t>
      </w:r>
    </w:p>
    <w:p>
      <w:pPr>
        <w:spacing w:after="0" w:line="9" w:lineRule="exact"/>
        <w:rPr>
          <w:sz w:val="20"/>
          <w:szCs w:val="20"/>
          <w:color w:val="auto"/>
        </w:rPr>
      </w:pPr>
    </w:p>
    <w:p>
      <w:pPr>
        <w:jc w:val="center"/>
        <w:ind w:right="-20"/>
        <w:spacing w:after="0"/>
        <w:rPr>
          <w:sz w:val="20"/>
          <w:szCs w:val="20"/>
          <w:color w:val="auto"/>
        </w:rPr>
      </w:pPr>
      <w:r>
        <w:rPr>
          <w:rFonts w:ascii="Arial" w:cs="Arial" w:eastAsia="Arial" w:hAnsi="Arial"/>
          <w:sz w:val="18"/>
          <w:szCs w:val="18"/>
          <w:b w:val="1"/>
          <w:bCs w:val="1"/>
          <w:color w:val="auto"/>
        </w:rPr>
        <w:t>ISSUED HEREUNDER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-756285</wp:posOffset>
            </wp:positionH>
            <wp:positionV relativeFrom="paragraph">
              <wp:posOffset>142875</wp:posOffset>
            </wp:positionV>
            <wp:extent cx="7246620" cy="8890"/>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200" w:lineRule="exact"/>
        <w:rPr>
          <w:sz w:val="20"/>
          <w:szCs w:val="20"/>
          <w:color w:val="auto"/>
        </w:rPr>
      </w:pPr>
    </w:p>
    <w:p>
      <w:pPr>
        <w:spacing w:after="0" w:line="220" w:lineRule="exact"/>
        <w:rPr>
          <w:sz w:val="20"/>
          <w:szCs w:val="20"/>
          <w:color w:val="auto"/>
        </w:rPr>
      </w:pPr>
    </w:p>
    <w:p>
      <w:pPr>
        <w:jc w:val="center"/>
        <w:ind w:right="-20"/>
        <w:spacing w:after="0"/>
        <w:rPr>
          <w:sz w:val="20"/>
          <w:szCs w:val="20"/>
          <w:color w:val="auto"/>
        </w:rPr>
      </w:pPr>
      <w:r>
        <w:rPr>
          <w:rFonts w:ascii="Arial" w:cs="Arial" w:eastAsia="Arial" w:hAnsi="Arial"/>
          <w:sz w:val="18"/>
          <w:szCs w:val="18"/>
          <w:color w:val="auto"/>
        </w:rPr>
        <w:t>Dated as of [DATE], 2019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-756285</wp:posOffset>
            </wp:positionH>
            <wp:positionV relativeFrom="paragraph">
              <wp:posOffset>220980</wp:posOffset>
            </wp:positionV>
            <wp:extent cx="7246620" cy="17145"/>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9019"/>
          </w:cols>
          <w:pgMar w:left="1440" w:top="1053" w:right="1440" w:bottom="1440" w:gutter="0" w:footer="0" w:header="0"/>
        </w:sectPr>
      </w:pPr>
    </w:p>
    <w:bookmarkStart w:id="14" w:name="page15"/>
    <w:bookmarkEnd w:id="14"/>
    <w:tbl>
      <w:tblPr>
        <w:tblLayout w:type="fixed"/>
        <w:tblInd w:w="0" w:type="dxa"/>
        <w:tblCellMar>
          <w:top w:w="0" w:type="dxa"/>
          <w:left w:w="0" w:type="dxa"/>
          <w:bottom w:w="0" w:type="dxa"/>
          <w:right w:w="0" w:type="dxa"/>
        </w:tblCellMar>
      </w:tblPr>
      <w:tr>
        <w:trPr>
          <w:trHeight w:val="230"/>
        </w:trPr>
        <w:tc>
          <w:tcPr>
            <w:tcW w:w="1480" w:type="dxa"/>
            <w:vAlign w:val="bottom"/>
          </w:tcPr>
          <w:p>
            <w:pPr>
              <w:spacing w:after="0"/>
              <w:rPr>
                <w:sz w:val="20"/>
                <w:szCs w:val="20"/>
                <w:color w:val="auto"/>
              </w:rPr>
            </w:pPr>
          </w:p>
        </w:tc>
        <w:tc>
          <w:tcPr>
            <w:tcW w:w="8460" w:type="dxa"/>
            <w:vAlign w:val="bottom"/>
          </w:tcPr>
          <w:p>
            <w:pPr>
              <w:ind w:left="3320"/>
              <w:spacing w:after="0"/>
              <w:rPr>
                <w:sz w:val="20"/>
                <w:szCs w:val="20"/>
                <w:color w:val="auto"/>
              </w:rPr>
            </w:pPr>
            <w:r>
              <w:rPr>
                <w:rFonts w:ascii="Arial" w:cs="Arial" w:eastAsia="Arial" w:hAnsi="Arial"/>
                <w:sz w:val="18"/>
                <w:szCs w:val="18"/>
                <w:color w:val="auto"/>
              </w:rPr>
              <w:t>TABLE OF CONTENTS</w:t>
            </w:r>
          </w:p>
        </w:tc>
        <w:tc>
          <w:tcPr>
            <w:tcW w:w="1480" w:type="dxa"/>
            <w:vAlign w:val="bottom"/>
          </w:tcPr>
          <w:p>
            <w:pPr>
              <w:spacing w:after="0"/>
              <w:rPr>
                <w:sz w:val="20"/>
                <w:szCs w:val="20"/>
                <w:color w:val="auto"/>
              </w:rPr>
            </w:pPr>
          </w:p>
        </w:tc>
      </w:tr>
      <w:tr>
        <w:trPr>
          <w:trHeight w:val="216"/>
        </w:trPr>
        <w:tc>
          <w:tcPr>
            <w:tcW w:w="994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ARTICLE I DEFINITIONS</w:t>
            </w:r>
          </w:p>
        </w:tc>
        <w:tc>
          <w:tcPr>
            <w:tcW w:w="14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w:t>
            </w:r>
          </w:p>
        </w:tc>
      </w:tr>
      <w:tr>
        <w:trPr>
          <w:trHeight w:val="216"/>
        </w:trPr>
        <w:tc>
          <w:tcPr>
            <w:tcW w:w="1480" w:type="dxa"/>
            <w:vAlign w:val="bottom"/>
          </w:tcPr>
          <w:p>
            <w:pPr>
              <w:ind w:left="340"/>
              <w:spacing w:after="0"/>
              <w:rPr>
                <w:sz w:val="20"/>
                <w:szCs w:val="20"/>
                <w:color w:val="auto"/>
              </w:rPr>
            </w:pPr>
            <w:r>
              <w:rPr>
                <w:rFonts w:ascii="Arial" w:cs="Arial" w:eastAsia="Arial" w:hAnsi="Arial"/>
                <w:sz w:val="18"/>
                <w:szCs w:val="18"/>
                <w:color w:val="auto"/>
              </w:rPr>
              <w:t>Section 1.1</w:t>
            </w:r>
          </w:p>
        </w:tc>
        <w:tc>
          <w:tcPr>
            <w:tcW w:w="8460" w:type="dxa"/>
            <w:vAlign w:val="bottom"/>
          </w:tcPr>
          <w:p>
            <w:pPr>
              <w:ind w:left="240"/>
              <w:spacing w:after="0"/>
              <w:rPr>
                <w:sz w:val="20"/>
                <w:szCs w:val="20"/>
                <w:color w:val="auto"/>
              </w:rPr>
            </w:pPr>
            <w:r>
              <w:rPr>
                <w:rFonts w:ascii="Arial" w:cs="Arial" w:eastAsia="Arial" w:hAnsi="Arial"/>
                <w:sz w:val="18"/>
                <w:szCs w:val="18"/>
                <w:color w:val="auto"/>
              </w:rPr>
              <w:t>“ADS Record Date”</w:t>
            </w:r>
          </w:p>
        </w:tc>
        <w:tc>
          <w:tcPr>
            <w:tcW w:w="1480" w:type="dxa"/>
            <w:vAlign w:val="bottom"/>
          </w:tcPr>
          <w:p>
            <w:pPr>
              <w:jc w:val="right"/>
              <w:spacing w:after="0"/>
              <w:rPr>
                <w:sz w:val="20"/>
                <w:szCs w:val="20"/>
                <w:color w:val="auto"/>
              </w:rPr>
            </w:pPr>
            <w:r>
              <w:rPr>
                <w:rFonts w:ascii="Arial" w:cs="Arial" w:eastAsia="Arial" w:hAnsi="Arial"/>
                <w:sz w:val="18"/>
                <w:szCs w:val="18"/>
                <w:color w:val="auto"/>
              </w:rPr>
              <w:t>1</w:t>
            </w:r>
          </w:p>
        </w:tc>
      </w:tr>
      <w:tr>
        <w:trPr>
          <w:trHeight w:val="216"/>
        </w:trPr>
        <w:tc>
          <w:tcPr>
            <w:tcW w:w="1480" w:type="dxa"/>
            <w:vAlign w:val="bottom"/>
            <w:shd w:val="clear" w:color="auto" w:fill="CCEEFF"/>
          </w:tcPr>
          <w:p>
            <w:pPr>
              <w:ind w:left="340"/>
              <w:spacing w:after="0"/>
              <w:rPr>
                <w:sz w:val="20"/>
                <w:szCs w:val="20"/>
                <w:color w:val="auto"/>
              </w:rPr>
            </w:pPr>
            <w:r>
              <w:rPr>
                <w:rFonts w:ascii="Arial" w:cs="Arial" w:eastAsia="Arial" w:hAnsi="Arial"/>
                <w:sz w:val="18"/>
                <w:szCs w:val="18"/>
                <w:color w:val="auto"/>
              </w:rPr>
              <w:t>Section 1.2</w:t>
            </w:r>
          </w:p>
        </w:tc>
        <w:tc>
          <w:tcPr>
            <w:tcW w:w="8460" w:type="dxa"/>
            <w:vAlign w:val="bottom"/>
            <w:shd w:val="clear" w:color="auto" w:fill="CCEEFF"/>
          </w:tcPr>
          <w:p>
            <w:pPr>
              <w:ind w:left="240"/>
              <w:spacing w:after="0"/>
              <w:rPr>
                <w:sz w:val="20"/>
                <w:szCs w:val="20"/>
                <w:color w:val="auto"/>
              </w:rPr>
            </w:pPr>
            <w:r>
              <w:rPr>
                <w:rFonts w:ascii="Arial" w:cs="Arial" w:eastAsia="Arial" w:hAnsi="Arial"/>
                <w:sz w:val="18"/>
                <w:szCs w:val="18"/>
                <w:color w:val="auto"/>
              </w:rPr>
              <w:t>“Affiliate”</w:t>
            </w:r>
          </w:p>
        </w:tc>
        <w:tc>
          <w:tcPr>
            <w:tcW w:w="14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w:t>
            </w:r>
          </w:p>
        </w:tc>
      </w:tr>
      <w:tr>
        <w:trPr>
          <w:trHeight w:val="216"/>
        </w:trPr>
        <w:tc>
          <w:tcPr>
            <w:tcW w:w="1480" w:type="dxa"/>
            <w:vAlign w:val="bottom"/>
          </w:tcPr>
          <w:p>
            <w:pPr>
              <w:ind w:left="340"/>
              <w:spacing w:after="0"/>
              <w:rPr>
                <w:sz w:val="20"/>
                <w:szCs w:val="20"/>
                <w:color w:val="auto"/>
              </w:rPr>
            </w:pPr>
            <w:r>
              <w:rPr>
                <w:rFonts w:ascii="Arial" w:cs="Arial" w:eastAsia="Arial" w:hAnsi="Arial"/>
                <w:sz w:val="18"/>
                <w:szCs w:val="18"/>
                <w:color w:val="auto"/>
              </w:rPr>
              <w:t>Section 1.3</w:t>
            </w:r>
          </w:p>
        </w:tc>
        <w:tc>
          <w:tcPr>
            <w:tcW w:w="8460" w:type="dxa"/>
            <w:vAlign w:val="bottom"/>
          </w:tcPr>
          <w:p>
            <w:pPr>
              <w:ind w:left="240"/>
              <w:spacing w:after="0"/>
              <w:rPr>
                <w:sz w:val="20"/>
                <w:szCs w:val="20"/>
                <w:color w:val="auto"/>
              </w:rPr>
            </w:pPr>
            <w:r>
              <w:rPr>
                <w:rFonts w:ascii="Arial" w:cs="Arial" w:eastAsia="Arial" w:hAnsi="Arial"/>
                <w:sz w:val="18"/>
                <w:szCs w:val="18"/>
                <w:color w:val="auto"/>
              </w:rPr>
              <w:t>“American Depositary Receipt(s)”, “ADR(s)” and “Receipt(s)”</w:t>
            </w:r>
          </w:p>
        </w:tc>
        <w:tc>
          <w:tcPr>
            <w:tcW w:w="1480" w:type="dxa"/>
            <w:vAlign w:val="bottom"/>
          </w:tcPr>
          <w:p>
            <w:pPr>
              <w:jc w:val="right"/>
              <w:spacing w:after="0"/>
              <w:rPr>
                <w:sz w:val="20"/>
                <w:szCs w:val="20"/>
                <w:color w:val="auto"/>
              </w:rPr>
            </w:pPr>
            <w:r>
              <w:rPr>
                <w:rFonts w:ascii="Arial" w:cs="Arial" w:eastAsia="Arial" w:hAnsi="Arial"/>
                <w:sz w:val="18"/>
                <w:szCs w:val="18"/>
                <w:color w:val="auto"/>
              </w:rPr>
              <w:t>1</w:t>
            </w:r>
          </w:p>
        </w:tc>
      </w:tr>
      <w:tr>
        <w:trPr>
          <w:trHeight w:val="216"/>
        </w:trPr>
        <w:tc>
          <w:tcPr>
            <w:tcW w:w="1480" w:type="dxa"/>
            <w:vAlign w:val="bottom"/>
            <w:shd w:val="clear" w:color="auto" w:fill="CCEEFF"/>
          </w:tcPr>
          <w:p>
            <w:pPr>
              <w:ind w:left="340"/>
              <w:spacing w:after="0"/>
              <w:rPr>
                <w:sz w:val="20"/>
                <w:szCs w:val="20"/>
                <w:color w:val="auto"/>
              </w:rPr>
            </w:pPr>
            <w:r>
              <w:rPr>
                <w:rFonts w:ascii="Arial" w:cs="Arial" w:eastAsia="Arial" w:hAnsi="Arial"/>
                <w:sz w:val="18"/>
                <w:szCs w:val="18"/>
                <w:color w:val="auto"/>
              </w:rPr>
              <w:t>Section 1.4</w:t>
            </w:r>
          </w:p>
        </w:tc>
        <w:tc>
          <w:tcPr>
            <w:tcW w:w="8460" w:type="dxa"/>
            <w:vAlign w:val="bottom"/>
            <w:shd w:val="clear" w:color="auto" w:fill="CCEEFF"/>
          </w:tcPr>
          <w:p>
            <w:pPr>
              <w:ind w:left="240"/>
              <w:spacing w:after="0"/>
              <w:rPr>
                <w:sz w:val="20"/>
                <w:szCs w:val="20"/>
                <w:color w:val="auto"/>
              </w:rPr>
            </w:pPr>
            <w:r>
              <w:rPr>
                <w:rFonts w:ascii="Arial" w:cs="Arial" w:eastAsia="Arial" w:hAnsi="Arial"/>
                <w:sz w:val="18"/>
                <w:szCs w:val="18"/>
                <w:color w:val="auto"/>
              </w:rPr>
              <w:t>“American Depositary Share(s)” and “ADS(s)”</w:t>
            </w:r>
          </w:p>
        </w:tc>
        <w:tc>
          <w:tcPr>
            <w:tcW w:w="14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w:t>
            </w:r>
          </w:p>
        </w:tc>
      </w:tr>
      <w:tr>
        <w:trPr>
          <w:trHeight w:val="216"/>
        </w:trPr>
        <w:tc>
          <w:tcPr>
            <w:tcW w:w="1480" w:type="dxa"/>
            <w:vAlign w:val="bottom"/>
          </w:tcPr>
          <w:p>
            <w:pPr>
              <w:ind w:left="340"/>
              <w:spacing w:after="0"/>
              <w:rPr>
                <w:sz w:val="20"/>
                <w:szCs w:val="20"/>
                <w:color w:val="auto"/>
              </w:rPr>
            </w:pPr>
            <w:r>
              <w:rPr>
                <w:rFonts w:ascii="Arial" w:cs="Arial" w:eastAsia="Arial" w:hAnsi="Arial"/>
                <w:sz w:val="18"/>
                <w:szCs w:val="18"/>
                <w:color w:val="auto"/>
              </w:rPr>
              <w:t>Section 1.5</w:t>
            </w:r>
          </w:p>
        </w:tc>
        <w:tc>
          <w:tcPr>
            <w:tcW w:w="8460" w:type="dxa"/>
            <w:vAlign w:val="bottom"/>
          </w:tcPr>
          <w:p>
            <w:pPr>
              <w:ind w:left="240"/>
              <w:spacing w:after="0"/>
              <w:rPr>
                <w:sz w:val="20"/>
                <w:szCs w:val="20"/>
                <w:color w:val="auto"/>
              </w:rPr>
            </w:pPr>
            <w:r>
              <w:rPr>
                <w:rFonts w:ascii="Arial" w:cs="Arial" w:eastAsia="Arial" w:hAnsi="Arial"/>
                <w:sz w:val="18"/>
                <w:szCs w:val="18"/>
                <w:color w:val="auto"/>
              </w:rPr>
              <w:t>“Applicant”</w:t>
            </w:r>
          </w:p>
        </w:tc>
        <w:tc>
          <w:tcPr>
            <w:tcW w:w="1480" w:type="dxa"/>
            <w:vAlign w:val="bottom"/>
          </w:tcPr>
          <w:p>
            <w:pPr>
              <w:jc w:val="right"/>
              <w:spacing w:after="0"/>
              <w:rPr>
                <w:sz w:val="20"/>
                <w:szCs w:val="20"/>
                <w:color w:val="auto"/>
              </w:rPr>
            </w:pPr>
            <w:r>
              <w:rPr>
                <w:rFonts w:ascii="Arial" w:cs="Arial" w:eastAsia="Arial" w:hAnsi="Arial"/>
                <w:sz w:val="18"/>
                <w:szCs w:val="18"/>
                <w:color w:val="auto"/>
              </w:rPr>
              <w:t>2</w:t>
            </w:r>
          </w:p>
        </w:tc>
      </w:tr>
      <w:tr>
        <w:trPr>
          <w:trHeight w:val="216"/>
        </w:trPr>
        <w:tc>
          <w:tcPr>
            <w:tcW w:w="1480" w:type="dxa"/>
            <w:vAlign w:val="bottom"/>
            <w:shd w:val="clear" w:color="auto" w:fill="CCEEFF"/>
          </w:tcPr>
          <w:p>
            <w:pPr>
              <w:ind w:left="340"/>
              <w:spacing w:after="0"/>
              <w:rPr>
                <w:sz w:val="20"/>
                <w:szCs w:val="20"/>
                <w:color w:val="auto"/>
              </w:rPr>
            </w:pPr>
            <w:r>
              <w:rPr>
                <w:rFonts w:ascii="Arial" w:cs="Arial" w:eastAsia="Arial" w:hAnsi="Arial"/>
                <w:sz w:val="18"/>
                <w:szCs w:val="18"/>
                <w:color w:val="auto"/>
              </w:rPr>
              <w:t>Section 1.6</w:t>
            </w:r>
          </w:p>
        </w:tc>
        <w:tc>
          <w:tcPr>
            <w:tcW w:w="8460" w:type="dxa"/>
            <w:vAlign w:val="bottom"/>
            <w:shd w:val="clear" w:color="auto" w:fill="CCEEFF"/>
          </w:tcPr>
          <w:p>
            <w:pPr>
              <w:ind w:left="240"/>
              <w:spacing w:after="0"/>
              <w:rPr>
                <w:sz w:val="20"/>
                <w:szCs w:val="20"/>
                <w:color w:val="auto"/>
              </w:rPr>
            </w:pPr>
            <w:r>
              <w:rPr>
                <w:rFonts w:ascii="Arial" w:cs="Arial" w:eastAsia="Arial" w:hAnsi="Arial"/>
                <w:sz w:val="18"/>
                <w:szCs w:val="18"/>
                <w:color w:val="auto"/>
              </w:rPr>
              <w:t>“Articles of Association”</w:t>
            </w:r>
          </w:p>
        </w:tc>
        <w:tc>
          <w:tcPr>
            <w:tcW w:w="14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w:t>
            </w:r>
          </w:p>
        </w:tc>
      </w:tr>
      <w:tr>
        <w:trPr>
          <w:trHeight w:val="216"/>
        </w:trPr>
        <w:tc>
          <w:tcPr>
            <w:tcW w:w="1480" w:type="dxa"/>
            <w:vAlign w:val="bottom"/>
          </w:tcPr>
          <w:p>
            <w:pPr>
              <w:ind w:left="340"/>
              <w:spacing w:after="0"/>
              <w:rPr>
                <w:sz w:val="20"/>
                <w:szCs w:val="20"/>
                <w:color w:val="auto"/>
              </w:rPr>
            </w:pPr>
            <w:r>
              <w:rPr>
                <w:rFonts w:ascii="Arial" w:cs="Arial" w:eastAsia="Arial" w:hAnsi="Arial"/>
                <w:sz w:val="18"/>
                <w:szCs w:val="18"/>
                <w:color w:val="auto"/>
              </w:rPr>
              <w:t>Section 1.7</w:t>
            </w:r>
          </w:p>
        </w:tc>
        <w:tc>
          <w:tcPr>
            <w:tcW w:w="8460" w:type="dxa"/>
            <w:vAlign w:val="bottom"/>
          </w:tcPr>
          <w:p>
            <w:pPr>
              <w:ind w:left="240"/>
              <w:spacing w:after="0"/>
              <w:rPr>
                <w:sz w:val="20"/>
                <w:szCs w:val="20"/>
                <w:color w:val="auto"/>
              </w:rPr>
            </w:pPr>
            <w:r>
              <w:rPr>
                <w:rFonts w:ascii="Arial" w:cs="Arial" w:eastAsia="Arial" w:hAnsi="Arial"/>
                <w:sz w:val="18"/>
                <w:szCs w:val="18"/>
                <w:color w:val="auto"/>
              </w:rPr>
              <w:t>“Beneficial Owner”</w:t>
            </w:r>
          </w:p>
        </w:tc>
        <w:tc>
          <w:tcPr>
            <w:tcW w:w="1480" w:type="dxa"/>
            <w:vAlign w:val="bottom"/>
          </w:tcPr>
          <w:p>
            <w:pPr>
              <w:jc w:val="right"/>
              <w:spacing w:after="0"/>
              <w:rPr>
                <w:sz w:val="20"/>
                <w:szCs w:val="20"/>
                <w:color w:val="auto"/>
              </w:rPr>
            </w:pPr>
            <w:r>
              <w:rPr>
                <w:rFonts w:ascii="Arial" w:cs="Arial" w:eastAsia="Arial" w:hAnsi="Arial"/>
                <w:sz w:val="18"/>
                <w:szCs w:val="18"/>
                <w:color w:val="auto"/>
              </w:rPr>
              <w:t>2</w:t>
            </w:r>
          </w:p>
        </w:tc>
      </w:tr>
      <w:tr>
        <w:trPr>
          <w:trHeight w:val="216"/>
        </w:trPr>
        <w:tc>
          <w:tcPr>
            <w:tcW w:w="1480" w:type="dxa"/>
            <w:vAlign w:val="bottom"/>
            <w:shd w:val="clear" w:color="auto" w:fill="CCEEFF"/>
          </w:tcPr>
          <w:p>
            <w:pPr>
              <w:ind w:left="340"/>
              <w:spacing w:after="0"/>
              <w:rPr>
                <w:sz w:val="20"/>
                <w:szCs w:val="20"/>
                <w:color w:val="auto"/>
              </w:rPr>
            </w:pPr>
            <w:r>
              <w:rPr>
                <w:rFonts w:ascii="Arial" w:cs="Arial" w:eastAsia="Arial" w:hAnsi="Arial"/>
                <w:sz w:val="18"/>
                <w:szCs w:val="18"/>
                <w:color w:val="auto"/>
              </w:rPr>
              <w:t>Section 1.8</w:t>
            </w:r>
          </w:p>
        </w:tc>
        <w:tc>
          <w:tcPr>
            <w:tcW w:w="8460" w:type="dxa"/>
            <w:vAlign w:val="bottom"/>
            <w:shd w:val="clear" w:color="auto" w:fill="CCEEFF"/>
          </w:tcPr>
          <w:p>
            <w:pPr>
              <w:ind w:left="240"/>
              <w:spacing w:after="0"/>
              <w:rPr>
                <w:sz w:val="20"/>
                <w:szCs w:val="20"/>
                <w:color w:val="auto"/>
              </w:rPr>
            </w:pPr>
            <w:r>
              <w:rPr>
                <w:rFonts w:ascii="Arial" w:cs="Arial" w:eastAsia="Arial" w:hAnsi="Arial"/>
                <w:sz w:val="18"/>
                <w:szCs w:val="18"/>
                <w:color w:val="auto"/>
              </w:rPr>
              <w:t>“Certificated ADS(s)”</w:t>
            </w:r>
          </w:p>
        </w:tc>
        <w:tc>
          <w:tcPr>
            <w:tcW w:w="14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w:t>
            </w:r>
          </w:p>
        </w:tc>
      </w:tr>
      <w:tr>
        <w:trPr>
          <w:trHeight w:val="216"/>
        </w:trPr>
        <w:tc>
          <w:tcPr>
            <w:tcW w:w="1480" w:type="dxa"/>
            <w:vAlign w:val="bottom"/>
          </w:tcPr>
          <w:p>
            <w:pPr>
              <w:ind w:left="340"/>
              <w:spacing w:after="0"/>
              <w:rPr>
                <w:sz w:val="20"/>
                <w:szCs w:val="20"/>
                <w:color w:val="auto"/>
              </w:rPr>
            </w:pPr>
            <w:r>
              <w:rPr>
                <w:rFonts w:ascii="Arial" w:cs="Arial" w:eastAsia="Arial" w:hAnsi="Arial"/>
                <w:sz w:val="18"/>
                <w:szCs w:val="18"/>
                <w:color w:val="auto"/>
              </w:rPr>
              <w:t>Section 1.9</w:t>
            </w:r>
          </w:p>
        </w:tc>
        <w:tc>
          <w:tcPr>
            <w:tcW w:w="8460" w:type="dxa"/>
            <w:vAlign w:val="bottom"/>
          </w:tcPr>
          <w:p>
            <w:pPr>
              <w:ind w:left="240"/>
              <w:spacing w:after="0"/>
              <w:rPr>
                <w:sz w:val="20"/>
                <w:szCs w:val="20"/>
                <w:color w:val="auto"/>
              </w:rPr>
            </w:pPr>
            <w:r>
              <w:rPr>
                <w:rFonts w:ascii="Arial" w:cs="Arial" w:eastAsia="Arial" w:hAnsi="Arial"/>
                <w:sz w:val="18"/>
                <w:szCs w:val="18"/>
                <w:color w:val="auto"/>
              </w:rPr>
              <w:t>“Citibank”</w:t>
            </w:r>
          </w:p>
        </w:tc>
        <w:tc>
          <w:tcPr>
            <w:tcW w:w="1480" w:type="dxa"/>
            <w:vAlign w:val="bottom"/>
          </w:tcPr>
          <w:p>
            <w:pPr>
              <w:jc w:val="right"/>
              <w:spacing w:after="0"/>
              <w:rPr>
                <w:sz w:val="20"/>
                <w:szCs w:val="20"/>
                <w:color w:val="auto"/>
              </w:rPr>
            </w:pPr>
            <w:r>
              <w:rPr>
                <w:rFonts w:ascii="Arial" w:cs="Arial" w:eastAsia="Arial" w:hAnsi="Arial"/>
                <w:sz w:val="18"/>
                <w:szCs w:val="18"/>
                <w:color w:val="auto"/>
              </w:rPr>
              <w:t>3</w:t>
            </w:r>
          </w:p>
        </w:tc>
      </w:tr>
      <w:tr>
        <w:trPr>
          <w:trHeight w:val="216"/>
        </w:trPr>
        <w:tc>
          <w:tcPr>
            <w:tcW w:w="1480" w:type="dxa"/>
            <w:vAlign w:val="bottom"/>
            <w:shd w:val="clear" w:color="auto" w:fill="CCEEFF"/>
          </w:tcPr>
          <w:p>
            <w:pPr>
              <w:ind w:left="340"/>
              <w:spacing w:after="0"/>
              <w:rPr>
                <w:sz w:val="20"/>
                <w:szCs w:val="20"/>
                <w:color w:val="auto"/>
              </w:rPr>
            </w:pPr>
            <w:r>
              <w:rPr>
                <w:rFonts w:ascii="Arial" w:cs="Arial" w:eastAsia="Arial" w:hAnsi="Arial"/>
                <w:sz w:val="18"/>
                <w:szCs w:val="18"/>
                <w:color w:val="auto"/>
              </w:rPr>
              <w:t>Section 1.10</w:t>
            </w:r>
          </w:p>
        </w:tc>
        <w:tc>
          <w:tcPr>
            <w:tcW w:w="8460" w:type="dxa"/>
            <w:vAlign w:val="bottom"/>
            <w:shd w:val="clear" w:color="auto" w:fill="CCEEFF"/>
          </w:tcPr>
          <w:p>
            <w:pPr>
              <w:ind w:left="240"/>
              <w:spacing w:after="0"/>
              <w:rPr>
                <w:sz w:val="20"/>
                <w:szCs w:val="20"/>
                <w:color w:val="auto"/>
              </w:rPr>
            </w:pPr>
            <w:r>
              <w:rPr>
                <w:rFonts w:ascii="Arial" w:cs="Arial" w:eastAsia="Arial" w:hAnsi="Arial"/>
                <w:sz w:val="18"/>
                <w:szCs w:val="18"/>
                <w:color w:val="auto"/>
              </w:rPr>
              <w:t>“Commission”</w:t>
            </w:r>
          </w:p>
        </w:tc>
        <w:tc>
          <w:tcPr>
            <w:tcW w:w="14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w:t>
            </w:r>
          </w:p>
        </w:tc>
      </w:tr>
      <w:tr>
        <w:trPr>
          <w:trHeight w:val="216"/>
        </w:trPr>
        <w:tc>
          <w:tcPr>
            <w:tcW w:w="1480" w:type="dxa"/>
            <w:vAlign w:val="bottom"/>
          </w:tcPr>
          <w:p>
            <w:pPr>
              <w:ind w:left="340"/>
              <w:spacing w:after="0"/>
              <w:rPr>
                <w:sz w:val="20"/>
                <w:szCs w:val="20"/>
                <w:color w:val="auto"/>
              </w:rPr>
            </w:pPr>
            <w:r>
              <w:rPr>
                <w:rFonts w:ascii="Arial" w:cs="Arial" w:eastAsia="Arial" w:hAnsi="Arial"/>
                <w:sz w:val="18"/>
                <w:szCs w:val="18"/>
                <w:color w:val="auto"/>
              </w:rPr>
              <w:t>Section 1.11</w:t>
            </w:r>
          </w:p>
        </w:tc>
        <w:tc>
          <w:tcPr>
            <w:tcW w:w="8460" w:type="dxa"/>
            <w:vAlign w:val="bottom"/>
          </w:tcPr>
          <w:p>
            <w:pPr>
              <w:ind w:left="240"/>
              <w:spacing w:after="0"/>
              <w:rPr>
                <w:sz w:val="20"/>
                <w:szCs w:val="20"/>
                <w:color w:val="auto"/>
              </w:rPr>
            </w:pPr>
            <w:r>
              <w:rPr>
                <w:rFonts w:ascii="Arial" w:cs="Arial" w:eastAsia="Arial" w:hAnsi="Arial"/>
                <w:sz w:val="18"/>
                <w:szCs w:val="18"/>
                <w:color w:val="auto"/>
              </w:rPr>
              <w:t>“Company”</w:t>
            </w:r>
          </w:p>
        </w:tc>
        <w:tc>
          <w:tcPr>
            <w:tcW w:w="1480" w:type="dxa"/>
            <w:vAlign w:val="bottom"/>
          </w:tcPr>
          <w:p>
            <w:pPr>
              <w:jc w:val="right"/>
              <w:spacing w:after="0"/>
              <w:rPr>
                <w:sz w:val="20"/>
                <w:szCs w:val="20"/>
                <w:color w:val="auto"/>
              </w:rPr>
            </w:pPr>
            <w:r>
              <w:rPr>
                <w:rFonts w:ascii="Arial" w:cs="Arial" w:eastAsia="Arial" w:hAnsi="Arial"/>
                <w:sz w:val="18"/>
                <w:szCs w:val="18"/>
                <w:color w:val="auto"/>
              </w:rPr>
              <w:t>3</w:t>
            </w:r>
          </w:p>
        </w:tc>
      </w:tr>
      <w:tr>
        <w:trPr>
          <w:trHeight w:val="216"/>
        </w:trPr>
        <w:tc>
          <w:tcPr>
            <w:tcW w:w="1480" w:type="dxa"/>
            <w:vAlign w:val="bottom"/>
            <w:shd w:val="clear" w:color="auto" w:fill="CCEEFF"/>
          </w:tcPr>
          <w:p>
            <w:pPr>
              <w:ind w:left="340"/>
              <w:spacing w:after="0"/>
              <w:rPr>
                <w:sz w:val="20"/>
                <w:szCs w:val="20"/>
                <w:color w:val="auto"/>
              </w:rPr>
            </w:pPr>
            <w:r>
              <w:rPr>
                <w:rFonts w:ascii="Arial" w:cs="Arial" w:eastAsia="Arial" w:hAnsi="Arial"/>
                <w:sz w:val="18"/>
                <w:szCs w:val="18"/>
                <w:color w:val="auto"/>
              </w:rPr>
              <w:t>Section 1.12</w:t>
            </w:r>
          </w:p>
        </w:tc>
        <w:tc>
          <w:tcPr>
            <w:tcW w:w="8460" w:type="dxa"/>
            <w:vAlign w:val="bottom"/>
            <w:shd w:val="clear" w:color="auto" w:fill="CCEEFF"/>
          </w:tcPr>
          <w:p>
            <w:pPr>
              <w:ind w:left="240"/>
              <w:spacing w:after="0"/>
              <w:rPr>
                <w:sz w:val="20"/>
                <w:szCs w:val="20"/>
                <w:color w:val="auto"/>
              </w:rPr>
            </w:pPr>
            <w:r>
              <w:rPr>
                <w:rFonts w:ascii="Arial" w:cs="Arial" w:eastAsia="Arial" w:hAnsi="Arial"/>
                <w:sz w:val="18"/>
                <w:szCs w:val="18"/>
                <w:color w:val="auto"/>
              </w:rPr>
              <w:t>“CREST”</w:t>
            </w:r>
          </w:p>
        </w:tc>
        <w:tc>
          <w:tcPr>
            <w:tcW w:w="14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w:t>
            </w:r>
          </w:p>
        </w:tc>
      </w:tr>
      <w:tr>
        <w:trPr>
          <w:trHeight w:val="216"/>
        </w:trPr>
        <w:tc>
          <w:tcPr>
            <w:tcW w:w="1480" w:type="dxa"/>
            <w:vAlign w:val="bottom"/>
          </w:tcPr>
          <w:p>
            <w:pPr>
              <w:ind w:left="340"/>
              <w:spacing w:after="0"/>
              <w:rPr>
                <w:sz w:val="20"/>
                <w:szCs w:val="20"/>
                <w:color w:val="auto"/>
              </w:rPr>
            </w:pPr>
            <w:r>
              <w:rPr>
                <w:rFonts w:ascii="Arial" w:cs="Arial" w:eastAsia="Arial" w:hAnsi="Arial"/>
                <w:sz w:val="18"/>
                <w:szCs w:val="18"/>
                <w:color w:val="auto"/>
              </w:rPr>
              <w:t>Section 1.13</w:t>
            </w:r>
          </w:p>
        </w:tc>
        <w:tc>
          <w:tcPr>
            <w:tcW w:w="8460" w:type="dxa"/>
            <w:vAlign w:val="bottom"/>
          </w:tcPr>
          <w:p>
            <w:pPr>
              <w:ind w:left="240"/>
              <w:spacing w:after="0"/>
              <w:rPr>
                <w:sz w:val="20"/>
                <w:szCs w:val="20"/>
                <w:color w:val="auto"/>
              </w:rPr>
            </w:pPr>
            <w:r>
              <w:rPr>
                <w:rFonts w:ascii="Arial" w:cs="Arial" w:eastAsia="Arial" w:hAnsi="Arial"/>
                <w:sz w:val="18"/>
                <w:szCs w:val="18"/>
                <w:color w:val="auto"/>
              </w:rPr>
              <w:t>“Custodian”</w:t>
            </w:r>
          </w:p>
        </w:tc>
        <w:tc>
          <w:tcPr>
            <w:tcW w:w="1480" w:type="dxa"/>
            <w:vAlign w:val="bottom"/>
          </w:tcPr>
          <w:p>
            <w:pPr>
              <w:jc w:val="right"/>
              <w:spacing w:after="0"/>
              <w:rPr>
                <w:sz w:val="20"/>
                <w:szCs w:val="20"/>
                <w:color w:val="auto"/>
              </w:rPr>
            </w:pPr>
            <w:r>
              <w:rPr>
                <w:rFonts w:ascii="Arial" w:cs="Arial" w:eastAsia="Arial" w:hAnsi="Arial"/>
                <w:sz w:val="18"/>
                <w:szCs w:val="18"/>
                <w:color w:val="auto"/>
              </w:rPr>
              <w:t>3</w:t>
            </w:r>
          </w:p>
        </w:tc>
      </w:tr>
      <w:tr>
        <w:trPr>
          <w:trHeight w:val="216"/>
        </w:trPr>
        <w:tc>
          <w:tcPr>
            <w:tcW w:w="1480" w:type="dxa"/>
            <w:vAlign w:val="bottom"/>
            <w:shd w:val="clear" w:color="auto" w:fill="CCEEFF"/>
          </w:tcPr>
          <w:p>
            <w:pPr>
              <w:ind w:left="340"/>
              <w:spacing w:after="0"/>
              <w:rPr>
                <w:sz w:val="20"/>
                <w:szCs w:val="20"/>
                <w:color w:val="auto"/>
              </w:rPr>
            </w:pPr>
            <w:r>
              <w:rPr>
                <w:rFonts w:ascii="Arial" w:cs="Arial" w:eastAsia="Arial" w:hAnsi="Arial"/>
                <w:sz w:val="18"/>
                <w:szCs w:val="18"/>
                <w:color w:val="auto"/>
              </w:rPr>
              <w:t>Section 1.14</w:t>
            </w:r>
          </w:p>
        </w:tc>
        <w:tc>
          <w:tcPr>
            <w:tcW w:w="8460" w:type="dxa"/>
            <w:vAlign w:val="bottom"/>
            <w:shd w:val="clear" w:color="auto" w:fill="CCEEFF"/>
          </w:tcPr>
          <w:p>
            <w:pPr>
              <w:ind w:left="240"/>
              <w:spacing w:after="0"/>
              <w:rPr>
                <w:sz w:val="20"/>
                <w:szCs w:val="20"/>
                <w:color w:val="auto"/>
              </w:rPr>
            </w:pPr>
            <w:r>
              <w:rPr>
                <w:rFonts w:ascii="Arial" w:cs="Arial" w:eastAsia="Arial" w:hAnsi="Arial"/>
                <w:sz w:val="18"/>
                <w:szCs w:val="18"/>
                <w:color w:val="auto"/>
              </w:rPr>
              <w:t>“Deliver” and “Delivery”</w:t>
            </w:r>
          </w:p>
        </w:tc>
        <w:tc>
          <w:tcPr>
            <w:tcW w:w="14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w:t>
            </w:r>
          </w:p>
        </w:tc>
      </w:tr>
      <w:tr>
        <w:trPr>
          <w:trHeight w:val="216"/>
        </w:trPr>
        <w:tc>
          <w:tcPr>
            <w:tcW w:w="1480" w:type="dxa"/>
            <w:vAlign w:val="bottom"/>
          </w:tcPr>
          <w:p>
            <w:pPr>
              <w:ind w:left="340"/>
              <w:spacing w:after="0"/>
              <w:rPr>
                <w:sz w:val="20"/>
                <w:szCs w:val="20"/>
                <w:color w:val="auto"/>
              </w:rPr>
            </w:pPr>
            <w:r>
              <w:rPr>
                <w:rFonts w:ascii="Arial" w:cs="Arial" w:eastAsia="Arial" w:hAnsi="Arial"/>
                <w:sz w:val="18"/>
                <w:szCs w:val="18"/>
                <w:color w:val="auto"/>
              </w:rPr>
              <w:t>Section 1.15</w:t>
            </w:r>
          </w:p>
        </w:tc>
        <w:tc>
          <w:tcPr>
            <w:tcW w:w="8460" w:type="dxa"/>
            <w:vAlign w:val="bottom"/>
          </w:tcPr>
          <w:p>
            <w:pPr>
              <w:ind w:left="240"/>
              <w:spacing w:after="0"/>
              <w:rPr>
                <w:sz w:val="20"/>
                <w:szCs w:val="20"/>
                <w:color w:val="auto"/>
              </w:rPr>
            </w:pPr>
            <w:r>
              <w:rPr>
                <w:rFonts w:ascii="Arial" w:cs="Arial" w:eastAsia="Arial" w:hAnsi="Arial"/>
                <w:sz w:val="18"/>
                <w:szCs w:val="18"/>
                <w:color w:val="auto"/>
              </w:rPr>
              <w:t>“Deposit Agreement”</w:t>
            </w:r>
          </w:p>
        </w:tc>
        <w:tc>
          <w:tcPr>
            <w:tcW w:w="1480" w:type="dxa"/>
            <w:vAlign w:val="bottom"/>
          </w:tcPr>
          <w:p>
            <w:pPr>
              <w:jc w:val="right"/>
              <w:spacing w:after="0"/>
              <w:rPr>
                <w:sz w:val="20"/>
                <w:szCs w:val="20"/>
                <w:color w:val="auto"/>
              </w:rPr>
            </w:pPr>
            <w:r>
              <w:rPr>
                <w:rFonts w:ascii="Arial" w:cs="Arial" w:eastAsia="Arial" w:hAnsi="Arial"/>
                <w:sz w:val="18"/>
                <w:szCs w:val="18"/>
                <w:color w:val="auto"/>
              </w:rPr>
              <w:t>4</w:t>
            </w:r>
          </w:p>
        </w:tc>
      </w:tr>
      <w:tr>
        <w:trPr>
          <w:trHeight w:val="216"/>
        </w:trPr>
        <w:tc>
          <w:tcPr>
            <w:tcW w:w="1480" w:type="dxa"/>
            <w:vAlign w:val="bottom"/>
            <w:shd w:val="clear" w:color="auto" w:fill="CCEEFF"/>
          </w:tcPr>
          <w:p>
            <w:pPr>
              <w:ind w:left="340"/>
              <w:spacing w:after="0"/>
              <w:rPr>
                <w:sz w:val="20"/>
                <w:szCs w:val="20"/>
                <w:color w:val="auto"/>
              </w:rPr>
            </w:pPr>
            <w:r>
              <w:rPr>
                <w:rFonts w:ascii="Arial" w:cs="Arial" w:eastAsia="Arial" w:hAnsi="Arial"/>
                <w:sz w:val="18"/>
                <w:szCs w:val="18"/>
                <w:color w:val="auto"/>
              </w:rPr>
              <w:t>Section 1.16</w:t>
            </w:r>
          </w:p>
        </w:tc>
        <w:tc>
          <w:tcPr>
            <w:tcW w:w="8460" w:type="dxa"/>
            <w:vAlign w:val="bottom"/>
            <w:shd w:val="clear" w:color="auto" w:fill="CCEEFF"/>
          </w:tcPr>
          <w:p>
            <w:pPr>
              <w:ind w:left="240"/>
              <w:spacing w:after="0"/>
              <w:rPr>
                <w:sz w:val="20"/>
                <w:szCs w:val="20"/>
                <w:color w:val="auto"/>
              </w:rPr>
            </w:pPr>
            <w:r>
              <w:rPr>
                <w:rFonts w:ascii="Arial" w:cs="Arial" w:eastAsia="Arial" w:hAnsi="Arial"/>
                <w:sz w:val="18"/>
                <w:szCs w:val="18"/>
                <w:color w:val="auto"/>
              </w:rPr>
              <w:t>“Depositary”</w:t>
            </w:r>
          </w:p>
        </w:tc>
        <w:tc>
          <w:tcPr>
            <w:tcW w:w="14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w:t>
            </w:r>
          </w:p>
        </w:tc>
      </w:tr>
      <w:tr>
        <w:trPr>
          <w:trHeight w:val="216"/>
        </w:trPr>
        <w:tc>
          <w:tcPr>
            <w:tcW w:w="1480" w:type="dxa"/>
            <w:vAlign w:val="bottom"/>
          </w:tcPr>
          <w:p>
            <w:pPr>
              <w:ind w:left="340"/>
              <w:spacing w:after="0"/>
              <w:rPr>
                <w:sz w:val="20"/>
                <w:szCs w:val="20"/>
                <w:color w:val="auto"/>
              </w:rPr>
            </w:pPr>
            <w:r>
              <w:rPr>
                <w:rFonts w:ascii="Arial" w:cs="Arial" w:eastAsia="Arial" w:hAnsi="Arial"/>
                <w:sz w:val="18"/>
                <w:szCs w:val="18"/>
                <w:color w:val="auto"/>
              </w:rPr>
              <w:t>Section 1.17</w:t>
            </w:r>
          </w:p>
        </w:tc>
        <w:tc>
          <w:tcPr>
            <w:tcW w:w="8460" w:type="dxa"/>
            <w:vAlign w:val="bottom"/>
          </w:tcPr>
          <w:p>
            <w:pPr>
              <w:ind w:left="240"/>
              <w:spacing w:after="0"/>
              <w:rPr>
                <w:sz w:val="20"/>
                <w:szCs w:val="20"/>
                <w:color w:val="auto"/>
              </w:rPr>
            </w:pPr>
            <w:r>
              <w:rPr>
                <w:rFonts w:ascii="Arial" w:cs="Arial" w:eastAsia="Arial" w:hAnsi="Arial"/>
                <w:sz w:val="18"/>
                <w:szCs w:val="18"/>
                <w:color w:val="auto"/>
              </w:rPr>
              <w:t>“Deposited Property”</w:t>
            </w:r>
          </w:p>
        </w:tc>
        <w:tc>
          <w:tcPr>
            <w:tcW w:w="1480" w:type="dxa"/>
            <w:vAlign w:val="bottom"/>
          </w:tcPr>
          <w:p>
            <w:pPr>
              <w:jc w:val="right"/>
              <w:spacing w:after="0"/>
              <w:rPr>
                <w:sz w:val="20"/>
                <w:szCs w:val="20"/>
                <w:color w:val="auto"/>
              </w:rPr>
            </w:pPr>
            <w:r>
              <w:rPr>
                <w:rFonts w:ascii="Arial" w:cs="Arial" w:eastAsia="Arial" w:hAnsi="Arial"/>
                <w:sz w:val="18"/>
                <w:szCs w:val="18"/>
                <w:color w:val="auto"/>
              </w:rPr>
              <w:t>4</w:t>
            </w:r>
          </w:p>
        </w:tc>
      </w:tr>
      <w:tr>
        <w:trPr>
          <w:trHeight w:val="216"/>
        </w:trPr>
        <w:tc>
          <w:tcPr>
            <w:tcW w:w="1480" w:type="dxa"/>
            <w:vAlign w:val="bottom"/>
            <w:shd w:val="clear" w:color="auto" w:fill="CCEEFF"/>
          </w:tcPr>
          <w:p>
            <w:pPr>
              <w:ind w:left="340"/>
              <w:spacing w:after="0"/>
              <w:rPr>
                <w:sz w:val="20"/>
                <w:szCs w:val="20"/>
                <w:color w:val="auto"/>
              </w:rPr>
            </w:pPr>
            <w:r>
              <w:rPr>
                <w:rFonts w:ascii="Arial" w:cs="Arial" w:eastAsia="Arial" w:hAnsi="Arial"/>
                <w:sz w:val="18"/>
                <w:szCs w:val="18"/>
                <w:color w:val="auto"/>
              </w:rPr>
              <w:t>Section 1.18</w:t>
            </w:r>
          </w:p>
        </w:tc>
        <w:tc>
          <w:tcPr>
            <w:tcW w:w="8460" w:type="dxa"/>
            <w:vAlign w:val="bottom"/>
            <w:shd w:val="clear" w:color="auto" w:fill="CCEEFF"/>
          </w:tcPr>
          <w:p>
            <w:pPr>
              <w:ind w:left="240"/>
              <w:spacing w:after="0"/>
              <w:rPr>
                <w:sz w:val="20"/>
                <w:szCs w:val="20"/>
                <w:color w:val="auto"/>
              </w:rPr>
            </w:pPr>
            <w:r>
              <w:rPr>
                <w:rFonts w:ascii="Arial" w:cs="Arial" w:eastAsia="Arial" w:hAnsi="Arial"/>
                <w:sz w:val="18"/>
                <w:szCs w:val="18"/>
                <w:color w:val="auto"/>
              </w:rPr>
              <w:t>“Deposited Securities”</w:t>
            </w:r>
          </w:p>
        </w:tc>
        <w:tc>
          <w:tcPr>
            <w:tcW w:w="14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w:t>
            </w:r>
          </w:p>
        </w:tc>
      </w:tr>
      <w:tr>
        <w:trPr>
          <w:trHeight w:val="216"/>
        </w:trPr>
        <w:tc>
          <w:tcPr>
            <w:tcW w:w="1480" w:type="dxa"/>
            <w:vAlign w:val="bottom"/>
          </w:tcPr>
          <w:p>
            <w:pPr>
              <w:ind w:left="340"/>
              <w:spacing w:after="0"/>
              <w:rPr>
                <w:sz w:val="20"/>
                <w:szCs w:val="20"/>
                <w:color w:val="auto"/>
              </w:rPr>
            </w:pPr>
            <w:r>
              <w:rPr>
                <w:rFonts w:ascii="Arial" w:cs="Arial" w:eastAsia="Arial" w:hAnsi="Arial"/>
                <w:sz w:val="18"/>
                <w:szCs w:val="18"/>
                <w:color w:val="auto"/>
              </w:rPr>
              <w:t>Section 1.19</w:t>
            </w:r>
          </w:p>
        </w:tc>
        <w:tc>
          <w:tcPr>
            <w:tcW w:w="8460" w:type="dxa"/>
            <w:vAlign w:val="bottom"/>
          </w:tcPr>
          <w:p>
            <w:pPr>
              <w:ind w:left="240"/>
              <w:spacing w:after="0"/>
              <w:rPr>
                <w:sz w:val="20"/>
                <w:szCs w:val="20"/>
                <w:color w:val="auto"/>
              </w:rPr>
            </w:pPr>
            <w:r>
              <w:rPr>
                <w:rFonts w:ascii="Arial" w:cs="Arial" w:eastAsia="Arial" w:hAnsi="Arial"/>
                <w:sz w:val="18"/>
                <w:szCs w:val="18"/>
                <w:color w:val="auto"/>
              </w:rPr>
              <w:t>“Dollars” and “$”</w:t>
            </w:r>
          </w:p>
        </w:tc>
        <w:tc>
          <w:tcPr>
            <w:tcW w:w="1480" w:type="dxa"/>
            <w:vAlign w:val="bottom"/>
          </w:tcPr>
          <w:p>
            <w:pPr>
              <w:jc w:val="right"/>
              <w:spacing w:after="0"/>
              <w:rPr>
                <w:sz w:val="20"/>
                <w:szCs w:val="20"/>
                <w:color w:val="auto"/>
              </w:rPr>
            </w:pPr>
            <w:r>
              <w:rPr>
                <w:rFonts w:ascii="Arial" w:cs="Arial" w:eastAsia="Arial" w:hAnsi="Arial"/>
                <w:sz w:val="18"/>
                <w:szCs w:val="18"/>
                <w:color w:val="auto"/>
              </w:rPr>
              <w:t>4</w:t>
            </w:r>
          </w:p>
        </w:tc>
      </w:tr>
      <w:tr>
        <w:trPr>
          <w:trHeight w:val="216"/>
        </w:trPr>
        <w:tc>
          <w:tcPr>
            <w:tcW w:w="1480" w:type="dxa"/>
            <w:vAlign w:val="bottom"/>
            <w:shd w:val="clear" w:color="auto" w:fill="CCEEFF"/>
          </w:tcPr>
          <w:p>
            <w:pPr>
              <w:ind w:left="340"/>
              <w:spacing w:after="0"/>
              <w:rPr>
                <w:sz w:val="20"/>
                <w:szCs w:val="20"/>
                <w:color w:val="auto"/>
              </w:rPr>
            </w:pPr>
            <w:r>
              <w:rPr>
                <w:rFonts w:ascii="Arial" w:cs="Arial" w:eastAsia="Arial" w:hAnsi="Arial"/>
                <w:sz w:val="18"/>
                <w:szCs w:val="18"/>
                <w:color w:val="auto"/>
              </w:rPr>
              <w:t>Section 1.20</w:t>
            </w:r>
          </w:p>
        </w:tc>
        <w:tc>
          <w:tcPr>
            <w:tcW w:w="8460" w:type="dxa"/>
            <w:vAlign w:val="bottom"/>
            <w:shd w:val="clear" w:color="auto" w:fill="CCEEFF"/>
          </w:tcPr>
          <w:p>
            <w:pPr>
              <w:ind w:left="240"/>
              <w:spacing w:after="0"/>
              <w:rPr>
                <w:sz w:val="20"/>
                <w:szCs w:val="20"/>
                <w:color w:val="auto"/>
              </w:rPr>
            </w:pPr>
            <w:r>
              <w:rPr>
                <w:rFonts w:ascii="Arial" w:cs="Arial" w:eastAsia="Arial" w:hAnsi="Arial"/>
                <w:sz w:val="18"/>
                <w:szCs w:val="18"/>
                <w:color w:val="auto"/>
              </w:rPr>
              <w:t>“DTC”</w:t>
            </w:r>
          </w:p>
        </w:tc>
        <w:tc>
          <w:tcPr>
            <w:tcW w:w="14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w:t>
            </w:r>
          </w:p>
        </w:tc>
      </w:tr>
      <w:tr>
        <w:trPr>
          <w:trHeight w:val="216"/>
        </w:trPr>
        <w:tc>
          <w:tcPr>
            <w:tcW w:w="1480" w:type="dxa"/>
            <w:vAlign w:val="bottom"/>
          </w:tcPr>
          <w:p>
            <w:pPr>
              <w:ind w:left="340"/>
              <w:spacing w:after="0"/>
              <w:rPr>
                <w:sz w:val="20"/>
                <w:szCs w:val="20"/>
                <w:color w:val="auto"/>
              </w:rPr>
            </w:pPr>
            <w:r>
              <w:rPr>
                <w:rFonts w:ascii="Arial" w:cs="Arial" w:eastAsia="Arial" w:hAnsi="Arial"/>
                <w:sz w:val="18"/>
                <w:szCs w:val="18"/>
                <w:color w:val="auto"/>
              </w:rPr>
              <w:t>Section 1.21</w:t>
            </w:r>
          </w:p>
        </w:tc>
        <w:tc>
          <w:tcPr>
            <w:tcW w:w="8460" w:type="dxa"/>
            <w:vAlign w:val="bottom"/>
          </w:tcPr>
          <w:p>
            <w:pPr>
              <w:ind w:left="240"/>
              <w:spacing w:after="0"/>
              <w:rPr>
                <w:sz w:val="20"/>
                <w:szCs w:val="20"/>
                <w:color w:val="auto"/>
              </w:rPr>
            </w:pPr>
            <w:r>
              <w:rPr>
                <w:rFonts w:ascii="Arial" w:cs="Arial" w:eastAsia="Arial" w:hAnsi="Arial"/>
                <w:sz w:val="18"/>
                <w:szCs w:val="18"/>
                <w:color w:val="auto"/>
              </w:rPr>
              <w:t>“DTC Participant”</w:t>
            </w:r>
          </w:p>
        </w:tc>
        <w:tc>
          <w:tcPr>
            <w:tcW w:w="1480" w:type="dxa"/>
            <w:vAlign w:val="bottom"/>
          </w:tcPr>
          <w:p>
            <w:pPr>
              <w:jc w:val="right"/>
              <w:spacing w:after="0"/>
              <w:rPr>
                <w:sz w:val="20"/>
                <w:szCs w:val="20"/>
                <w:color w:val="auto"/>
              </w:rPr>
            </w:pPr>
            <w:r>
              <w:rPr>
                <w:rFonts w:ascii="Arial" w:cs="Arial" w:eastAsia="Arial" w:hAnsi="Arial"/>
                <w:sz w:val="18"/>
                <w:szCs w:val="18"/>
                <w:color w:val="auto"/>
              </w:rPr>
              <w:t>4</w:t>
            </w:r>
          </w:p>
        </w:tc>
      </w:tr>
      <w:tr>
        <w:trPr>
          <w:trHeight w:val="216"/>
        </w:trPr>
        <w:tc>
          <w:tcPr>
            <w:tcW w:w="1480" w:type="dxa"/>
            <w:vAlign w:val="bottom"/>
            <w:shd w:val="clear" w:color="auto" w:fill="CCEEFF"/>
          </w:tcPr>
          <w:p>
            <w:pPr>
              <w:ind w:left="340"/>
              <w:spacing w:after="0"/>
              <w:rPr>
                <w:sz w:val="20"/>
                <w:szCs w:val="20"/>
                <w:color w:val="auto"/>
              </w:rPr>
            </w:pPr>
            <w:r>
              <w:rPr>
                <w:rFonts w:ascii="Arial" w:cs="Arial" w:eastAsia="Arial" w:hAnsi="Arial"/>
                <w:sz w:val="18"/>
                <w:szCs w:val="18"/>
                <w:color w:val="auto"/>
              </w:rPr>
              <w:t>Section 1.22</w:t>
            </w:r>
          </w:p>
        </w:tc>
        <w:tc>
          <w:tcPr>
            <w:tcW w:w="8460" w:type="dxa"/>
            <w:vAlign w:val="bottom"/>
            <w:shd w:val="clear" w:color="auto" w:fill="CCEEFF"/>
          </w:tcPr>
          <w:p>
            <w:pPr>
              <w:ind w:left="240"/>
              <w:spacing w:after="0"/>
              <w:rPr>
                <w:sz w:val="20"/>
                <w:szCs w:val="20"/>
                <w:color w:val="auto"/>
              </w:rPr>
            </w:pPr>
            <w:r>
              <w:rPr>
                <w:rFonts w:ascii="Arial" w:cs="Arial" w:eastAsia="Arial" w:hAnsi="Arial"/>
                <w:sz w:val="18"/>
                <w:szCs w:val="18"/>
                <w:color w:val="auto"/>
              </w:rPr>
              <w:t>“Exchange Act”</w:t>
            </w:r>
          </w:p>
        </w:tc>
        <w:tc>
          <w:tcPr>
            <w:tcW w:w="14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w:t>
            </w:r>
          </w:p>
        </w:tc>
      </w:tr>
      <w:tr>
        <w:trPr>
          <w:trHeight w:val="216"/>
        </w:trPr>
        <w:tc>
          <w:tcPr>
            <w:tcW w:w="1480" w:type="dxa"/>
            <w:vAlign w:val="bottom"/>
          </w:tcPr>
          <w:p>
            <w:pPr>
              <w:ind w:left="340"/>
              <w:spacing w:after="0"/>
              <w:rPr>
                <w:sz w:val="20"/>
                <w:szCs w:val="20"/>
                <w:color w:val="auto"/>
              </w:rPr>
            </w:pPr>
            <w:r>
              <w:rPr>
                <w:rFonts w:ascii="Arial" w:cs="Arial" w:eastAsia="Arial" w:hAnsi="Arial"/>
                <w:sz w:val="18"/>
                <w:szCs w:val="18"/>
                <w:color w:val="auto"/>
              </w:rPr>
              <w:t>Section 1.23</w:t>
            </w:r>
          </w:p>
        </w:tc>
        <w:tc>
          <w:tcPr>
            <w:tcW w:w="8460" w:type="dxa"/>
            <w:vAlign w:val="bottom"/>
          </w:tcPr>
          <w:p>
            <w:pPr>
              <w:ind w:left="240"/>
              <w:spacing w:after="0"/>
              <w:rPr>
                <w:sz w:val="20"/>
                <w:szCs w:val="20"/>
                <w:color w:val="auto"/>
              </w:rPr>
            </w:pPr>
            <w:r>
              <w:rPr>
                <w:rFonts w:ascii="Arial" w:cs="Arial" w:eastAsia="Arial" w:hAnsi="Arial"/>
                <w:sz w:val="18"/>
                <w:szCs w:val="18"/>
                <w:color w:val="auto"/>
              </w:rPr>
              <w:t>“Foreign Currency”</w:t>
            </w:r>
          </w:p>
        </w:tc>
        <w:tc>
          <w:tcPr>
            <w:tcW w:w="1480" w:type="dxa"/>
            <w:vAlign w:val="bottom"/>
          </w:tcPr>
          <w:p>
            <w:pPr>
              <w:jc w:val="right"/>
              <w:spacing w:after="0"/>
              <w:rPr>
                <w:sz w:val="20"/>
                <w:szCs w:val="20"/>
                <w:color w:val="auto"/>
              </w:rPr>
            </w:pPr>
            <w:r>
              <w:rPr>
                <w:rFonts w:ascii="Arial" w:cs="Arial" w:eastAsia="Arial" w:hAnsi="Arial"/>
                <w:sz w:val="18"/>
                <w:szCs w:val="18"/>
                <w:color w:val="auto"/>
              </w:rPr>
              <w:t>4</w:t>
            </w:r>
          </w:p>
        </w:tc>
      </w:tr>
      <w:tr>
        <w:trPr>
          <w:trHeight w:val="216"/>
        </w:trPr>
        <w:tc>
          <w:tcPr>
            <w:tcW w:w="1480" w:type="dxa"/>
            <w:vAlign w:val="bottom"/>
            <w:shd w:val="clear" w:color="auto" w:fill="CCEEFF"/>
          </w:tcPr>
          <w:p>
            <w:pPr>
              <w:ind w:left="340"/>
              <w:spacing w:after="0"/>
              <w:rPr>
                <w:sz w:val="20"/>
                <w:szCs w:val="20"/>
                <w:color w:val="auto"/>
              </w:rPr>
            </w:pPr>
            <w:r>
              <w:rPr>
                <w:rFonts w:ascii="Arial" w:cs="Arial" w:eastAsia="Arial" w:hAnsi="Arial"/>
                <w:sz w:val="18"/>
                <w:szCs w:val="18"/>
                <w:color w:val="auto"/>
              </w:rPr>
              <w:t>Section 1.24</w:t>
            </w:r>
          </w:p>
        </w:tc>
        <w:tc>
          <w:tcPr>
            <w:tcW w:w="8460" w:type="dxa"/>
            <w:vAlign w:val="bottom"/>
            <w:shd w:val="clear" w:color="auto" w:fill="CCEEFF"/>
          </w:tcPr>
          <w:p>
            <w:pPr>
              <w:ind w:left="240"/>
              <w:spacing w:after="0"/>
              <w:rPr>
                <w:sz w:val="20"/>
                <w:szCs w:val="20"/>
                <w:color w:val="auto"/>
              </w:rPr>
            </w:pPr>
            <w:r>
              <w:rPr>
                <w:rFonts w:ascii="Arial" w:cs="Arial" w:eastAsia="Arial" w:hAnsi="Arial"/>
                <w:sz w:val="18"/>
                <w:szCs w:val="18"/>
                <w:color w:val="auto"/>
              </w:rPr>
              <w:t>“Full Entitlement ADR(s)”, “Full Entitlement ADS(s)” and “Full Entitlement Share(s)”</w:t>
            </w:r>
          </w:p>
        </w:tc>
        <w:tc>
          <w:tcPr>
            <w:tcW w:w="14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w:t>
            </w:r>
          </w:p>
        </w:tc>
      </w:tr>
      <w:tr>
        <w:trPr>
          <w:trHeight w:val="216"/>
        </w:trPr>
        <w:tc>
          <w:tcPr>
            <w:tcW w:w="1480" w:type="dxa"/>
            <w:vAlign w:val="bottom"/>
          </w:tcPr>
          <w:p>
            <w:pPr>
              <w:ind w:left="340"/>
              <w:spacing w:after="0"/>
              <w:rPr>
                <w:sz w:val="20"/>
                <w:szCs w:val="20"/>
                <w:color w:val="auto"/>
              </w:rPr>
            </w:pPr>
            <w:r>
              <w:rPr>
                <w:rFonts w:ascii="Arial" w:cs="Arial" w:eastAsia="Arial" w:hAnsi="Arial"/>
                <w:sz w:val="18"/>
                <w:szCs w:val="18"/>
                <w:color w:val="auto"/>
              </w:rPr>
              <w:t>Section 1.25</w:t>
            </w:r>
          </w:p>
        </w:tc>
        <w:tc>
          <w:tcPr>
            <w:tcW w:w="8460" w:type="dxa"/>
            <w:vAlign w:val="bottom"/>
          </w:tcPr>
          <w:p>
            <w:pPr>
              <w:ind w:left="240"/>
              <w:spacing w:after="0"/>
              <w:rPr>
                <w:sz w:val="20"/>
                <w:szCs w:val="20"/>
                <w:color w:val="auto"/>
              </w:rPr>
            </w:pPr>
            <w:r>
              <w:rPr>
                <w:rFonts w:ascii="Arial" w:cs="Arial" w:eastAsia="Arial" w:hAnsi="Arial"/>
                <w:sz w:val="18"/>
                <w:szCs w:val="18"/>
                <w:color w:val="auto"/>
              </w:rPr>
              <w:t>“Holder(s)”</w:t>
            </w:r>
          </w:p>
        </w:tc>
        <w:tc>
          <w:tcPr>
            <w:tcW w:w="1480" w:type="dxa"/>
            <w:vAlign w:val="bottom"/>
          </w:tcPr>
          <w:p>
            <w:pPr>
              <w:jc w:val="right"/>
              <w:spacing w:after="0"/>
              <w:rPr>
                <w:sz w:val="20"/>
                <w:szCs w:val="20"/>
                <w:color w:val="auto"/>
              </w:rPr>
            </w:pPr>
            <w:r>
              <w:rPr>
                <w:rFonts w:ascii="Arial" w:cs="Arial" w:eastAsia="Arial" w:hAnsi="Arial"/>
                <w:sz w:val="18"/>
                <w:szCs w:val="18"/>
                <w:color w:val="auto"/>
              </w:rPr>
              <w:t>5</w:t>
            </w:r>
          </w:p>
        </w:tc>
      </w:tr>
      <w:tr>
        <w:trPr>
          <w:trHeight w:val="216"/>
        </w:trPr>
        <w:tc>
          <w:tcPr>
            <w:tcW w:w="1480" w:type="dxa"/>
            <w:vAlign w:val="bottom"/>
            <w:shd w:val="clear" w:color="auto" w:fill="CCEEFF"/>
          </w:tcPr>
          <w:p>
            <w:pPr>
              <w:ind w:left="340"/>
              <w:spacing w:after="0"/>
              <w:rPr>
                <w:sz w:val="20"/>
                <w:szCs w:val="20"/>
                <w:color w:val="auto"/>
              </w:rPr>
            </w:pPr>
            <w:r>
              <w:rPr>
                <w:rFonts w:ascii="Arial" w:cs="Arial" w:eastAsia="Arial" w:hAnsi="Arial"/>
                <w:sz w:val="18"/>
                <w:szCs w:val="18"/>
                <w:color w:val="auto"/>
              </w:rPr>
              <w:t>Section 1.26</w:t>
            </w:r>
          </w:p>
        </w:tc>
        <w:tc>
          <w:tcPr>
            <w:tcW w:w="8460" w:type="dxa"/>
            <w:vAlign w:val="bottom"/>
            <w:shd w:val="clear" w:color="auto" w:fill="CCEEFF"/>
          </w:tcPr>
          <w:p>
            <w:pPr>
              <w:ind w:left="240"/>
              <w:spacing w:after="0"/>
              <w:rPr>
                <w:sz w:val="20"/>
                <w:szCs w:val="20"/>
                <w:color w:val="auto"/>
              </w:rPr>
            </w:pPr>
            <w:r>
              <w:rPr>
                <w:rFonts w:ascii="Arial" w:cs="Arial" w:eastAsia="Arial" w:hAnsi="Arial"/>
                <w:sz w:val="18"/>
                <w:szCs w:val="18"/>
                <w:color w:val="auto"/>
              </w:rPr>
              <w:t>“Partial Entitlement ADR(s)”, “Partial Entitlement ADS(s)” and “Partial Entitlement Share(s)”</w:t>
            </w:r>
          </w:p>
        </w:tc>
        <w:tc>
          <w:tcPr>
            <w:tcW w:w="14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w:t>
            </w:r>
          </w:p>
        </w:tc>
      </w:tr>
      <w:tr>
        <w:trPr>
          <w:trHeight w:val="216"/>
        </w:trPr>
        <w:tc>
          <w:tcPr>
            <w:tcW w:w="1480" w:type="dxa"/>
            <w:vAlign w:val="bottom"/>
          </w:tcPr>
          <w:p>
            <w:pPr>
              <w:ind w:left="340"/>
              <w:spacing w:after="0"/>
              <w:rPr>
                <w:sz w:val="20"/>
                <w:szCs w:val="20"/>
                <w:color w:val="auto"/>
              </w:rPr>
            </w:pPr>
            <w:r>
              <w:rPr>
                <w:rFonts w:ascii="Arial" w:cs="Arial" w:eastAsia="Arial" w:hAnsi="Arial"/>
                <w:sz w:val="18"/>
                <w:szCs w:val="18"/>
                <w:color w:val="auto"/>
              </w:rPr>
              <w:t>Section 1.27</w:t>
            </w:r>
          </w:p>
        </w:tc>
        <w:tc>
          <w:tcPr>
            <w:tcW w:w="8460" w:type="dxa"/>
            <w:vAlign w:val="bottom"/>
          </w:tcPr>
          <w:p>
            <w:pPr>
              <w:ind w:left="240"/>
              <w:spacing w:after="0"/>
              <w:rPr>
                <w:sz w:val="20"/>
                <w:szCs w:val="20"/>
                <w:color w:val="auto"/>
              </w:rPr>
            </w:pPr>
            <w:r>
              <w:rPr>
                <w:rFonts w:ascii="Arial" w:cs="Arial" w:eastAsia="Arial" w:hAnsi="Arial"/>
                <w:sz w:val="18"/>
                <w:szCs w:val="18"/>
                <w:color w:val="auto"/>
              </w:rPr>
              <w:t>“Pounds”, “Pence” and “£”</w:t>
            </w:r>
          </w:p>
        </w:tc>
        <w:tc>
          <w:tcPr>
            <w:tcW w:w="1480" w:type="dxa"/>
            <w:vAlign w:val="bottom"/>
          </w:tcPr>
          <w:p>
            <w:pPr>
              <w:jc w:val="right"/>
              <w:spacing w:after="0"/>
              <w:rPr>
                <w:sz w:val="20"/>
                <w:szCs w:val="20"/>
                <w:color w:val="auto"/>
              </w:rPr>
            </w:pPr>
            <w:r>
              <w:rPr>
                <w:rFonts w:ascii="Arial" w:cs="Arial" w:eastAsia="Arial" w:hAnsi="Arial"/>
                <w:sz w:val="18"/>
                <w:szCs w:val="18"/>
                <w:color w:val="auto"/>
              </w:rPr>
              <w:t>5</w:t>
            </w:r>
          </w:p>
        </w:tc>
      </w:tr>
      <w:tr>
        <w:trPr>
          <w:trHeight w:val="216"/>
        </w:trPr>
        <w:tc>
          <w:tcPr>
            <w:tcW w:w="1480" w:type="dxa"/>
            <w:vAlign w:val="bottom"/>
            <w:shd w:val="clear" w:color="auto" w:fill="CCEEFF"/>
          </w:tcPr>
          <w:p>
            <w:pPr>
              <w:ind w:left="340"/>
              <w:spacing w:after="0"/>
              <w:rPr>
                <w:sz w:val="20"/>
                <w:szCs w:val="20"/>
                <w:color w:val="auto"/>
              </w:rPr>
            </w:pPr>
            <w:r>
              <w:rPr>
                <w:rFonts w:ascii="Arial" w:cs="Arial" w:eastAsia="Arial" w:hAnsi="Arial"/>
                <w:sz w:val="18"/>
                <w:szCs w:val="18"/>
                <w:color w:val="auto"/>
              </w:rPr>
              <w:t>Section 1.28</w:t>
            </w:r>
          </w:p>
        </w:tc>
        <w:tc>
          <w:tcPr>
            <w:tcW w:w="8460" w:type="dxa"/>
            <w:vAlign w:val="bottom"/>
            <w:shd w:val="clear" w:color="auto" w:fill="CCEEFF"/>
          </w:tcPr>
          <w:p>
            <w:pPr>
              <w:ind w:left="240"/>
              <w:spacing w:after="0"/>
              <w:rPr>
                <w:sz w:val="20"/>
                <w:szCs w:val="20"/>
                <w:color w:val="auto"/>
              </w:rPr>
            </w:pPr>
            <w:r>
              <w:rPr>
                <w:rFonts w:ascii="Arial" w:cs="Arial" w:eastAsia="Arial" w:hAnsi="Arial"/>
                <w:sz w:val="18"/>
                <w:szCs w:val="18"/>
                <w:color w:val="auto"/>
              </w:rPr>
              <w:t>“Principal Office”</w:t>
            </w:r>
          </w:p>
        </w:tc>
        <w:tc>
          <w:tcPr>
            <w:tcW w:w="14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w:t>
            </w:r>
          </w:p>
        </w:tc>
      </w:tr>
      <w:tr>
        <w:trPr>
          <w:trHeight w:val="216"/>
        </w:trPr>
        <w:tc>
          <w:tcPr>
            <w:tcW w:w="1480" w:type="dxa"/>
            <w:vAlign w:val="bottom"/>
          </w:tcPr>
          <w:p>
            <w:pPr>
              <w:ind w:left="340"/>
              <w:spacing w:after="0"/>
              <w:rPr>
                <w:sz w:val="20"/>
                <w:szCs w:val="20"/>
                <w:color w:val="auto"/>
              </w:rPr>
            </w:pPr>
            <w:r>
              <w:rPr>
                <w:rFonts w:ascii="Arial" w:cs="Arial" w:eastAsia="Arial" w:hAnsi="Arial"/>
                <w:sz w:val="18"/>
                <w:szCs w:val="18"/>
                <w:color w:val="auto"/>
              </w:rPr>
              <w:t>Section 1.29</w:t>
            </w:r>
          </w:p>
        </w:tc>
        <w:tc>
          <w:tcPr>
            <w:tcW w:w="8460" w:type="dxa"/>
            <w:vAlign w:val="bottom"/>
          </w:tcPr>
          <w:p>
            <w:pPr>
              <w:ind w:left="240"/>
              <w:spacing w:after="0"/>
              <w:rPr>
                <w:sz w:val="20"/>
                <w:szCs w:val="20"/>
                <w:color w:val="auto"/>
              </w:rPr>
            </w:pPr>
            <w:r>
              <w:rPr>
                <w:rFonts w:ascii="Arial" w:cs="Arial" w:eastAsia="Arial" w:hAnsi="Arial"/>
                <w:sz w:val="18"/>
                <w:szCs w:val="18"/>
                <w:color w:val="auto"/>
              </w:rPr>
              <w:t>“Registrar”</w:t>
            </w:r>
          </w:p>
        </w:tc>
        <w:tc>
          <w:tcPr>
            <w:tcW w:w="1480" w:type="dxa"/>
            <w:vAlign w:val="bottom"/>
          </w:tcPr>
          <w:p>
            <w:pPr>
              <w:jc w:val="right"/>
              <w:spacing w:after="0"/>
              <w:rPr>
                <w:sz w:val="20"/>
                <w:szCs w:val="20"/>
                <w:color w:val="auto"/>
              </w:rPr>
            </w:pPr>
            <w:r>
              <w:rPr>
                <w:rFonts w:ascii="Arial" w:cs="Arial" w:eastAsia="Arial" w:hAnsi="Arial"/>
                <w:sz w:val="18"/>
                <w:szCs w:val="18"/>
                <w:color w:val="auto"/>
              </w:rPr>
              <w:t>5</w:t>
            </w:r>
          </w:p>
        </w:tc>
      </w:tr>
      <w:tr>
        <w:trPr>
          <w:trHeight w:val="216"/>
        </w:trPr>
        <w:tc>
          <w:tcPr>
            <w:tcW w:w="1480" w:type="dxa"/>
            <w:vAlign w:val="bottom"/>
            <w:shd w:val="clear" w:color="auto" w:fill="CCEEFF"/>
          </w:tcPr>
          <w:p>
            <w:pPr>
              <w:ind w:left="340"/>
              <w:spacing w:after="0"/>
              <w:rPr>
                <w:sz w:val="20"/>
                <w:szCs w:val="20"/>
                <w:color w:val="auto"/>
              </w:rPr>
            </w:pPr>
            <w:r>
              <w:rPr>
                <w:rFonts w:ascii="Arial" w:cs="Arial" w:eastAsia="Arial" w:hAnsi="Arial"/>
                <w:sz w:val="18"/>
                <w:szCs w:val="18"/>
                <w:color w:val="auto"/>
              </w:rPr>
              <w:t>Section 1.30</w:t>
            </w:r>
          </w:p>
        </w:tc>
        <w:tc>
          <w:tcPr>
            <w:tcW w:w="8460" w:type="dxa"/>
            <w:vAlign w:val="bottom"/>
            <w:shd w:val="clear" w:color="auto" w:fill="CCEEFF"/>
          </w:tcPr>
          <w:p>
            <w:pPr>
              <w:ind w:left="240"/>
              <w:spacing w:after="0"/>
              <w:rPr>
                <w:sz w:val="20"/>
                <w:szCs w:val="20"/>
                <w:color w:val="auto"/>
              </w:rPr>
            </w:pPr>
            <w:r>
              <w:rPr>
                <w:rFonts w:ascii="Arial" w:cs="Arial" w:eastAsia="Arial" w:hAnsi="Arial"/>
                <w:sz w:val="18"/>
                <w:szCs w:val="18"/>
                <w:color w:val="auto"/>
              </w:rPr>
              <w:t>“Restricted Securities”</w:t>
            </w:r>
          </w:p>
        </w:tc>
        <w:tc>
          <w:tcPr>
            <w:tcW w:w="14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w:t>
            </w:r>
          </w:p>
        </w:tc>
      </w:tr>
      <w:tr>
        <w:trPr>
          <w:trHeight w:val="216"/>
        </w:trPr>
        <w:tc>
          <w:tcPr>
            <w:tcW w:w="1480" w:type="dxa"/>
            <w:vAlign w:val="bottom"/>
          </w:tcPr>
          <w:p>
            <w:pPr>
              <w:ind w:left="340"/>
              <w:spacing w:after="0"/>
              <w:rPr>
                <w:sz w:val="20"/>
                <w:szCs w:val="20"/>
                <w:color w:val="auto"/>
              </w:rPr>
            </w:pPr>
            <w:r>
              <w:rPr>
                <w:rFonts w:ascii="Arial" w:cs="Arial" w:eastAsia="Arial" w:hAnsi="Arial"/>
                <w:sz w:val="18"/>
                <w:szCs w:val="18"/>
                <w:color w:val="auto"/>
              </w:rPr>
              <w:t>Section 1.31</w:t>
            </w:r>
          </w:p>
        </w:tc>
        <w:tc>
          <w:tcPr>
            <w:tcW w:w="8460" w:type="dxa"/>
            <w:vAlign w:val="bottom"/>
          </w:tcPr>
          <w:p>
            <w:pPr>
              <w:ind w:left="240"/>
              <w:spacing w:after="0"/>
              <w:rPr>
                <w:sz w:val="20"/>
                <w:szCs w:val="20"/>
                <w:color w:val="auto"/>
              </w:rPr>
            </w:pPr>
            <w:r>
              <w:rPr>
                <w:rFonts w:ascii="Arial" w:cs="Arial" w:eastAsia="Arial" w:hAnsi="Arial"/>
                <w:sz w:val="18"/>
                <w:szCs w:val="18"/>
                <w:color w:val="auto"/>
              </w:rPr>
              <w:t>“Restricted ADR(s)”, “Restricted ADS(s)” and “Restricted Shares”</w:t>
            </w:r>
          </w:p>
        </w:tc>
        <w:tc>
          <w:tcPr>
            <w:tcW w:w="1480" w:type="dxa"/>
            <w:vAlign w:val="bottom"/>
          </w:tcPr>
          <w:p>
            <w:pPr>
              <w:jc w:val="right"/>
              <w:spacing w:after="0"/>
              <w:rPr>
                <w:sz w:val="20"/>
                <w:szCs w:val="20"/>
                <w:color w:val="auto"/>
              </w:rPr>
            </w:pPr>
            <w:r>
              <w:rPr>
                <w:rFonts w:ascii="Arial" w:cs="Arial" w:eastAsia="Arial" w:hAnsi="Arial"/>
                <w:sz w:val="18"/>
                <w:szCs w:val="18"/>
                <w:color w:val="auto"/>
              </w:rPr>
              <w:t>5</w:t>
            </w:r>
          </w:p>
        </w:tc>
      </w:tr>
      <w:tr>
        <w:trPr>
          <w:trHeight w:val="216"/>
        </w:trPr>
        <w:tc>
          <w:tcPr>
            <w:tcW w:w="1480" w:type="dxa"/>
            <w:vAlign w:val="bottom"/>
            <w:shd w:val="clear" w:color="auto" w:fill="CCEEFF"/>
          </w:tcPr>
          <w:p>
            <w:pPr>
              <w:ind w:left="340"/>
              <w:spacing w:after="0"/>
              <w:rPr>
                <w:sz w:val="20"/>
                <w:szCs w:val="20"/>
                <w:color w:val="auto"/>
              </w:rPr>
            </w:pPr>
            <w:r>
              <w:rPr>
                <w:rFonts w:ascii="Arial" w:cs="Arial" w:eastAsia="Arial" w:hAnsi="Arial"/>
                <w:sz w:val="18"/>
                <w:szCs w:val="18"/>
                <w:color w:val="auto"/>
              </w:rPr>
              <w:t>Section 1.32</w:t>
            </w:r>
          </w:p>
        </w:tc>
        <w:tc>
          <w:tcPr>
            <w:tcW w:w="8460" w:type="dxa"/>
            <w:vAlign w:val="bottom"/>
            <w:shd w:val="clear" w:color="auto" w:fill="CCEEFF"/>
          </w:tcPr>
          <w:p>
            <w:pPr>
              <w:ind w:left="240"/>
              <w:spacing w:after="0"/>
              <w:rPr>
                <w:sz w:val="20"/>
                <w:szCs w:val="20"/>
                <w:color w:val="auto"/>
              </w:rPr>
            </w:pPr>
            <w:r>
              <w:rPr>
                <w:rFonts w:ascii="Arial" w:cs="Arial" w:eastAsia="Arial" w:hAnsi="Arial"/>
                <w:sz w:val="18"/>
                <w:szCs w:val="18"/>
                <w:color w:val="auto"/>
              </w:rPr>
              <w:t>“Securities Act”</w:t>
            </w:r>
          </w:p>
        </w:tc>
        <w:tc>
          <w:tcPr>
            <w:tcW w:w="14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w:t>
            </w:r>
          </w:p>
        </w:tc>
      </w:tr>
      <w:tr>
        <w:trPr>
          <w:trHeight w:val="216"/>
        </w:trPr>
        <w:tc>
          <w:tcPr>
            <w:tcW w:w="1480" w:type="dxa"/>
            <w:vAlign w:val="bottom"/>
          </w:tcPr>
          <w:p>
            <w:pPr>
              <w:ind w:left="340"/>
              <w:spacing w:after="0"/>
              <w:rPr>
                <w:sz w:val="20"/>
                <w:szCs w:val="20"/>
                <w:color w:val="auto"/>
              </w:rPr>
            </w:pPr>
            <w:r>
              <w:rPr>
                <w:rFonts w:ascii="Arial" w:cs="Arial" w:eastAsia="Arial" w:hAnsi="Arial"/>
                <w:sz w:val="18"/>
                <w:szCs w:val="18"/>
                <w:color w:val="auto"/>
              </w:rPr>
              <w:t>Section 1.33</w:t>
            </w:r>
          </w:p>
        </w:tc>
        <w:tc>
          <w:tcPr>
            <w:tcW w:w="8460" w:type="dxa"/>
            <w:vAlign w:val="bottom"/>
          </w:tcPr>
          <w:p>
            <w:pPr>
              <w:ind w:left="240"/>
              <w:spacing w:after="0"/>
              <w:rPr>
                <w:sz w:val="20"/>
                <w:szCs w:val="20"/>
                <w:color w:val="auto"/>
              </w:rPr>
            </w:pPr>
            <w:r>
              <w:rPr>
                <w:rFonts w:ascii="Arial" w:cs="Arial" w:eastAsia="Arial" w:hAnsi="Arial"/>
                <w:sz w:val="18"/>
                <w:szCs w:val="18"/>
                <w:color w:val="auto"/>
              </w:rPr>
              <w:t>“Share Registrar”</w:t>
            </w:r>
          </w:p>
        </w:tc>
        <w:tc>
          <w:tcPr>
            <w:tcW w:w="1480" w:type="dxa"/>
            <w:vAlign w:val="bottom"/>
          </w:tcPr>
          <w:p>
            <w:pPr>
              <w:jc w:val="right"/>
              <w:spacing w:after="0"/>
              <w:rPr>
                <w:sz w:val="20"/>
                <w:szCs w:val="20"/>
                <w:color w:val="auto"/>
              </w:rPr>
            </w:pPr>
            <w:r>
              <w:rPr>
                <w:rFonts w:ascii="Arial" w:cs="Arial" w:eastAsia="Arial" w:hAnsi="Arial"/>
                <w:sz w:val="18"/>
                <w:szCs w:val="18"/>
                <w:color w:val="auto"/>
              </w:rPr>
              <w:t>6</w:t>
            </w:r>
          </w:p>
        </w:tc>
      </w:tr>
      <w:tr>
        <w:trPr>
          <w:trHeight w:val="216"/>
        </w:trPr>
        <w:tc>
          <w:tcPr>
            <w:tcW w:w="1480" w:type="dxa"/>
            <w:vAlign w:val="bottom"/>
            <w:shd w:val="clear" w:color="auto" w:fill="CCEEFF"/>
          </w:tcPr>
          <w:p>
            <w:pPr>
              <w:ind w:left="340"/>
              <w:spacing w:after="0"/>
              <w:rPr>
                <w:sz w:val="20"/>
                <w:szCs w:val="20"/>
                <w:color w:val="auto"/>
              </w:rPr>
            </w:pPr>
            <w:r>
              <w:rPr>
                <w:rFonts w:ascii="Arial" w:cs="Arial" w:eastAsia="Arial" w:hAnsi="Arial"/>
                <w:sz w:val="18"/>
                <w:szCs w:val="18"/>
                <w:color w:val="auto"/>
              </w:rPr>
              <w:t>Section 1.34</w:t>
            </w:r>
          </w:p>
        </w:tc>
        <w:tc>
          <w:tcPr>
            <w:tcW w:w="8460" w:type="dxa"/>
            <w:vAlign w:val="bottom"/>
            <w:shd w:val="clear" w:color="auto" w:fill="CCEEFF"/>
          </w:tcPr>
          <w:p>
            <w:pPr>
              <w:ind w:left="240"/>
              <w:spacing w:after="0"/>
              <w:rPr>
                <w:sz w:val="20"/>
                <w:szCs w:val="20"/>
                <w:color w:val="auto"/>
              </w:rPr>
            </w:pPr>
            <w:r>
              <w:rPr>
                <w:rFonts w:ascii="Arial" w:cs="Arial" w:eastAsia="Arial" w:hAnsi="Arial"/>
                <w:sz w:val="18"/>
                <w:szCs w:val="18"/>
                <w:color w:val="auto"/>
              </w:rPr>
              <w:t>“Shares”</w:t>
            </w:r>
          </w:p>
        </w:tc>
        <w:tc>
          <w:tcPr>
            <w:tcW w:w="14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w:t>
            </w:r>
          </w:p>
        </w:tc>
      </w:tr>
      <w:tr>
        <w:trPr>
          <w:trHeight w:val="216"/>
        </w:trPr>
        <w:tc>
          <w:tcPr>
            <w:tcW w:w="1480" w:type="dxa"/>
            <w:vAlign w:val="bottom"/>
          </w:tcPr>
          <w:p>
            <w:pPr>
              <w:ind w:left="340"/>
              <w:spacing w:after="0"/>
              <w:rPr>
                <w:sz w:val="20"/>
                <w:szCs w:val="20"/>
                <w:color w:val="auto"/>
              </w:rPr>
            </w:pPr>
            <w:r>
              <w:rPr>
                <w:rFonts w:ascii="Arial" w:cs="Arial" w:eastAsia="Arial" w:hAnsi="Arial"/>
                <w:sz w:val="18"/>
                <w:szCs w:val="18"/>
                <w:color w:val="auto"/>
              </w:rPr>
              <w:t>Section 1.35</w:t>
            </w:r>
          </w:p>
        </w:tc>
        <w:tc>
          <w:tcPr>
            <w:tcW w:w="8460" w:type="dxa"/>
            <w:vAlign w:val="bottom"/>
          </w:tcPr>
          <w:p>
            <w:pPr>
              <w:ind w:left="240"/>
              <w:spacing w:after="0"/>
              <w:rPr>
                <w:sz w:val="20"/>
                <w:szCs w:val="20"/>
                <w:color w:val="auto"/>
              </w:rPr>
            </w:pPr>
            <w:r>
              <w:rPr>
                <w:rFonts w:ascii="Arial" w:cs="Arial" w:eastAsia="Arial" w:hAnsi="Arial"/>
                <w:sz w:val="18"/>
                <w:szCs w:val="18"/>
                <w:color w:val="auto"/>
              </w:rPr>
              <w:t>“Uncertificated ADS(s)”</w:t>
            </w:r>
          </w:p>
        </w:tc>
        <w:tc>
          <w:tcPr>
            <w:tcW w:w="1480" w:type="dxa"/>
            <w:vAlign w:val="bottom"/>
          </w:tcPr>
          <w:p>
            <w:pPr>
              <w:jc w:val="right"/>
              <w:spacing w:after="0"/>
              <w:rPr>
                <w:sz w:val="20"/>
                <w:szCs w:val="20"/>
                <w:color w:val="auto"/>
              </w:rPr>
            </w:pPr>
            <w:r>
              <w:rPr>
                <w:rFonts w:ascii="Arial" w:cs="Arial" w:eastAsia="Arial" w:hAnsi="Arial"/>
                <w:sz w:val="18"/>
                <w:szCs w:val="18"/>
                <w:color w:val="auto"/>
              </w:rPr>
              <w:t>6</w:t>
            </w:r>
          </w:p>
        </w:tc>
      </w:tr>
      <w:tr>
        <w:trPr>
          <w:trHeight w:val="216"/>
        </w:trPr>
        <w:tc>
          <w:tcPr>
            <w:tcW w:w="1480" w:type="dxa"/>
            <w:vAlign w:val="bottom"/>
            <w:shd w:val="clear" w:color="auto" w:fill="CCEEFF"/>
          </w:tcPr>
          <w:p>
            <w:pPr>
              <w:ind w:left="340"/>
              <w:spacing w:after="0"/>
              <w:rPr>
                <w:sz w:val="20"/>
                <w:szCs w:val="20"/>
                <w:color w:val="auto"/>
              </w:rPr>
            </w:pPr>
            <w:r>
              <w:rPr>
                <w:rFonts w:ascii="Arial" w:cs="Arial" w:eastAsia="Arial" w:hAnsi="Arial"/>
                <w:sz w:val="18"/>
                <w:szCs w:val="18"/>
                <w:color w:val="auto"/>
              </w:rPr>
              <w:t>Section 1.36</w:t>
            </w:r>
          </w:p>
        </w:tc>
        <w:tc>
          <w:tcPr>
            <w:tcW w:w="8460" w:type="dxa"/>
            <w:vAlign w:val="bottom"/>
            <w:shd w:val="clear" w:color="auto" w:fill="CCEEFF"/>
          </w:tcPr>
          <w:p>
            <w:pPr>
              <w:ind w:left="240"/>
              <w:spacing w:after="0"/>
              <w:rPr>
                <w:sz w:val="20"/>
                <w:szCs w:val="20"/>
                <w:color w:val="auto"/>
              </w:rPr>
            </w:pPr>
            <w:r>
              <w:rPr>
                <w:rFonts w:ascii="Arial" w:cs="Arial" w:eastAsia="Arial" w:hAnsi="Arial"/>
                <w:sz w:val="18"/>
                <w:szCs w:val="18"/>
                <w:color w:val="auto"/>
              </w:rPr>
              <w:t>“United States” and “U.S.”</w:t>
            </w:r>
          </w:p>
        </w:tc>
        <w:tc>
          <w:tcPr>
            <w:tcW w:w="14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w:t>
            </w:r>
          </w:p>
        </w:tc>
      </w:tr>
    </w:tbl>
    <w:p>
      <w:pPr>
        <w:spacing w:after="0" w:line="330"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7620</wp:posOffset>
            </wp:positionV>
            <wp:extent cx="7246620" cy="17145"/>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341" w:right="239" w:bottom="1440" w:gutter="0" w:footer="0" w:header="0"/>
        </w:sectPr>
      </w:pPr>
    </w:p>
    <w:bookmarkStart w:id="15" w:name="page16"/>
    <w:bookmarkEnd w:id="15"/>
    <w:tbl>
      <w:tblPr>
        <w:tblLayout w:type="fixed"/>
        <w:tblInd w:w="0" w:type="dxa"/>
        <w:tblCellMar>
          <w:top w:w="0" w:type="dxa"/>
          <w:left w:w="0" w:type="dxa"/>
          <w:bottom w:w="0" w:type="dxa"/>
          <w:right w:w="0" w:type="dxa"/>
        </w:tblCellMar>
      </w:tblPr>
      <w:tr>
        <w:trPr>
          <w:trHeight w:val="216"/>
        </w:trPr>
        <w:tc>
          <w:tcPr>
            <w:tcW w:w="10980" w:type="dxa"/>
            <w:vAlign w:val="bottom"/>
            <w:gridSpan w:val="3"/>
          </w:tcPr>
          <w:p>
            <w:pPr>
              <w:spacing w:after="0"/>
              <w:rPr>
                <w:sz w:val="20"/>
                <w:szCs w:val="20"/>
                <w:color w:val="auto"/>
              </w:rPr>
            </w:pPr>
            <w:r>
              <w:rPr>
                <w:rFonts w:ascii="Arial" w:cs="Arial" w:eastAsia="Arial" w:hAnsi="Arial"/>
                <w:sz w:val="18"/>
                <w:szCs w:val="18"/>
                <w:color w:val="auto"/>
                <w:w w:val="97"/>
              </w:rPr>
              <w:t>ARTICLE II APPOINTMENT OF DEPOSITARY; FORM OF RECEIPTS; DEPOSIT OF SHARES; EXECUTION AND DELIVERY, TRANSFER</w:t>
            </w:r>
          </w:p>
        </w:tc>
        <w:tc>
          <w:tcPr>
            <w:tcW w:w="4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10980" w:type="dxa"/>
            <w:vAlign w:val="bottom"/>
            <w:gridSpan w:val="3"/>
          </w:tcPr>
          <w:p>
            <w:pPr>
              <w:spacing w:after="0"/>
              <w:rPr>
                <w:sz w:val="20"/>
                <w:szCs w:val="20"/>
                <w:color w:val="auto"/>
              </w:rPr>
            </w:pPr>
            <w:r>
              <w:rPr>
                <w:rFonts w:ascii="Arial" w:cs="Arial" w:eastAsia="Arial" w:hAnsi="Arial"/>
                <w:sz w:val="18"/>
                <w:szCs w:val="18"/>
                <w:color w:val="auto"/>
              </w:rPr>
              <w:t>AND SURRENDER OF RECEIPTS</w:t>
            </w:r>
          </w:p>
        </w:tc>
        <w:tc>
          <w:tcPr>
            <w:tcW w:w="460" w:type="dxa"/>
            <w:vAlign w:val="bottom"/>
            <w:gridSpan w:val="2"/>
          </w:tcPr>
          <w:p>
            <w:pPr>
              <w:jc w:val="right"/>
              <w:ind w:right="20"/>
              <w:spacing w:after="0"/>
              <w:rPr>
                <w:sz w:val="20"/>
                <w:szCs w:val="20"/>
                <w:color w:val="auto"/>
              </w:rPr>
            </w:pPr>
            <w:r>
              <w:rPr>
                <w:rFonts w:ascii="Arial" w:cs="Arial" w:eastAsia="Arial" w:hAnsi="Arial"/>
                <w:sz w:val="18"/>
                <w:szCs w:val="18"/>
                <w:color w:val="auto"/>
              </w:rPr>
              <w:t>6</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460" w:type="dxa"/>
            <w:vAlign w:val="bottom"/>
            <w:shd w:val="clear" w:color="auto" w:fill="CCEEFF"/>
          </w:tcPr>
          <w:p>
            <w:pPr>
              <w:ind w:left="320"/>
              <w:spacing w:after="0"/>
              <w:rPr>
                <w:sz w:val="20"/>
                <w:szCs w:val="20"/>
                <w:color w:val="auto"/>
              </w:rPr>
            </w:pPr>
            <w:r>
              <w:rPr>
                <w:rFonts w:ascii="Arial" w:cs="Arial" w:eastAsia="Arial" w:hAnsi="Arial"/>
                <w:sz w:val="18"/>
                <w:szCs w:val="18"/>
                <w:color w:val="auto"/>
              </w:rPr>
              <w:t>Section 2.1</w:t>
            </w:r>
          </w:p>
        </w:tc>
        <w:tc>
          <w:tcPr>
            <w:tcW w:w="9500" w:type="dxa"/>
            <w:vAlign w:val="bottom"/>
            <w:shd w:val="clear" w:color="auto" w:fill="CCEEFF"/>
          </w:tcPr>
          <w:p>
            <w:pPr>
              <w:ind w:left="240"/>
              <w:spacing w:after="0"/>
              <w:rPr>
                <w:sz w:val="20"/>
                <w:szCs w:val="20"/>
                <w:color w:val="auto"/>
              </w:rPr>
            </w:pPr>
            <w:r>
              <w:rPr>
                <w:rFonts w:ascii="Arial" w:cs="Arial" w:eastAsia="Arial" w:hAnsi="Arial"/>
                <w:sz w:val="18"/>
                <w:szCs w:val="18"/>
                <w:color w:val="auto"/>
              </w:rPr>
              <w:t>Appointment of Depositary.</w:t>
            </w:r>
          </w:p>
        </w:tc>
        <w:tc>
          <w:tcPr>
            <w:tcW w:w="4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460" w:type="dxa"/>
            <w:vAlign w:val="bottom"/>
          </w:tcPr>
          <w:p>
            <w:pPr>
              <w:ind w:left="320"/>
              <w:spacing w:after="0"/>
              <w:rPr>
                <w:sz w:val="20"/>
                <w:szCs w:val="20"/>
                <w:color w:val="auto"/>
              </w:rPr>
            </w:pPr>
            <w:r>
              <w:rPr>
                <w:rFonts w:ascii="Arial" w:cs="Arial" w:eastAsia="Arial" w:hAnsi="Arial"/>
                <w:sz w:val="18"/>
                <w:szCs w:val="18"/>
                <w:color w:val="auto"/>
              </w:rPr>
              <w:t>Section 2.2</w:t>
            </w:r>
          </w:p>
        </w:tc>
        <w:tc>
          <w:tcPr>
            <w:tcW w:w="9500" w:type="dxa"/>
            <w:vAlign w:val="bottom"/>
          </w:tcPr>
          <w:p>
            <w:pPr>
              <w:ind w:left="240"/>
              <w:spacing w:after="0"/>
              <w:rPr>
                <w:sz w:val="20"/>
                <w:szCs w:val="20"/>
                <w:color w:val="auto"/>
              </w:rPr>
            </w:pPr>
            <w:r>
              <w:rPr>
                <w:rFonts w:ascii="Arial" w:cs="Arial" w:eastAsia="Arial" w:hAnsi="Arial"/>
                <w:sz w:val="18"/>
                <w:szCs w:val="18"/>
                <w:color w:val="auto"/>
              </w:rPr>
              <w:t>Form and Transferability of ADSs.</w:t>
            </w:r>
          </w:p>
        </w:tc>
        <w:tc>
          <w:tcPr>
            <w:tcW w:w="440" w:type="dxa"/>
            <w:vAlign w:val="bottom"/>
          </w:tcPr>
          <w:p>
            <w:pPr>
              <w:jc w:val="right"/>
              <w:spacing w:after="0"/>
              <w:rPr>
                <w:sz w:val="20"/>
                <w:szCs w:val="20"/>
                <w:color w:val="auto"/>
              </w:rPr>
            </w:pPr>
            <w:r>
              <w:rPr>
                <w:rFonts w:ascii="Arial" w:cs="Arial" w:eastAsia="Arial" w:hAnsi="Arial"/>
                <w:sz w:val="18"/>
                <w:szCs w:val="18"/>
                <w:color w:val="auto"/>
              </w:rPr>
              <w:t>7</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460" w:type="dxa"/>
            <w:vAlign w:val="bottom"/>
            <w:shd w:val="clear" w:color="auto" w:fill="CCEEFF"/>
          </w:tcPr>
          <w:p>
            <w:pPr>
              <w:ind w:left="320"/>
              <w:spacing w:after="0"/>
              <w:rPr>
                <w:sz w:val="20"/>
                <w:szCs w:val="20"/>
                <w:color w:val="auto"/>
              </w:rPr>
            </w:pPr>
            <w:r>
              <w:rPr>
                <w:rFonts w:ascii="Arial" w:cs="Arial" w:eastAsia="Arial" w:hAnsi="Arial"/>
                <w:sz w:val="18"/>
                <w:szCs w:val="18"/>
                <w:color w:val="auto"/>
              </w:rPr>
              <w:t>Section 2.3</w:t>
            </w:r>
          </w:p>
        </w:tc>
        <w:tc>
          <w:tcPr>
            <w:tcW w:w="9500" w:type="dxa"/>
            <w:vAlign w:val="bottom"/>
            <w:shd w:val="clear" w:color="auto" w:fill="CCEEFF"/>
          </w:tcPr>
          <w:p>
            <w:pPr>
              <w:ind w:left="240"/>
              <w:spacing w:after="0"/>
              <w:rPr>
                <w:sz w:val="20"/>
                <w:szCs w:val="20"/>
                <w:color w:val="auto"/>
              </w:rPr>
            </w:pPr>
            <w:r>
              <w:rPr>
                <w:rFonts w:ascii="Arial" w:cs="Arial" w:eastAsia="Arial" w:hAnsi="Arial"/>
                <w:sz w:val="18"/>
                <w:szCs w:val="18"/>
                <w:color w:val="auto"/>
              </w:rPr>
              <w:t>Deposit of Shares.</w:t>
            </w:r>
          </w:p>
        </w:tc>
        <w:tc>
          <w:tcPr>
            <w:tcW w:w="4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460" w:type="dxa"/>
            <w:vAlign w:val="bottom"/>
          </w:tcPr>
          <w:p>
            <w:pPr>
              <w:ind w:left="320"/>
              <w:spacing w:after="0"/>
              <w:rPr>
                <w:sz w:val="20"/>
                <w:szCs w:val="20"/>
                <w:color w:val="auto"/>
              </w:rPr>
            </w:pPr>
            <w:r>
              <w:rPr>
                <w:rFonts w:ascii="Arial" w:cs="Arial" w:eastAsia="Arial" w:hAnsi="Arial"/>
                <w:sz w:val="18"/>
                <w:szCs w:val="18"/>
                <w:color w:val="auto"/>
              </w:rPr>
              <w:t>Section 2.4</w:t>
            </w:r>
          </w:p>
        </w:tc>
        <w:tc>
          <w:tcPr>
            <w:tcW w:w="9500" w:type="dxa"/>
            <w:vAlign w:val="bottom"/>
          </w:tcPr>
          <w:p>
            <w:pPr>
              <w:ind w:left="240"/>
              <w:spacing w:after="0"/>
              <w:rPr>
                <w:sz w:val="20"/>
                <w:szCs w:val="20"/>
                <w:color w:val="auto"/>
              </w:rPr>
            </w:pPr>
            <w:r>
              <w:rPr>
                <w:rFonts w:ascii="Arial" w:cs="Arial" w:eastAsia="Arial" w:hAnsi="Arial"/>
                <w:sz w:val="18"/>
                <w:szCs w:val="18"/>
                <w:color w:val="auto"/>
              </w:rPr>
              <w:t>Registration and Safekeeping of Deposited Securities.</w:t>
            </w:r>
          </w:p>
        </w:tc>
        <w:tc>
          <w:tcPr>
            <w:tcW w:w="440" w:type="dxa"/>
            <w:vAlign w:val="bottom"/>
          </w:tcPr>
          <w:p>
            <w:pPr>
              <w:jc w:val="right"/>
              <w:spacing w:after="0"/>
              <w:rPr>
                <w:sz w:val="20"/>
                <w:szCs w:val="20"/>
                <w:color w:val="auto"/>
              </w:rPr>
            </w:pPr>
            <w:r>
              <w:rPr>
                <w:rFonts w:ascii="Arial" w:cs="Arial" w:eastAsia="Arial" w:hAnsi="Arial"/>
                <w:sz w:val="18"/>
                <w:szCs w:val="18"/>
                <w:color w:val="auto"/>
              </w:rPr>
              <w:t>9</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460" w:type="dxa"/>
            <w:vAlign w:val="bottom"/>
            <w:shd w:val="clear" w:color="auto" w:fill="CCEEFF"/>
          </w:tcPr>
          <w:p>
            <w:pPr>
              <w:ind w:left="320"/>
              <w:spacing w:after="0"/>
              <w:rPr>
                <w:sz w:val="20"/>
                <w:szCs w:val="20"/>
                <w:color w:val="auto"/>
              </w:rPr>
            </w:pPr>
            <w:r>
              <w:rPr>
                <w:rFonts w:ascii="Arial" w:cs="Arial" w:eastAsia="Arial" w:hAnsi="Arial"/>
                <w:sz w:val="18"/>
                <w:szCs w:val="18"/>
                <w:color w:val="auto"/>
              </w:rPr>
              <w:t>Section 2.5</w:t>
            </w:r>
          </w:p>
        </w:tc>
        <w:tc>
          <w:tcPr>
            <w:tcW w:w="9500" w:type="dxa"/>
            <w:vAlign w:val="bottom"/>
            <w:shd w:val="clear" w:color="auto" w:fill="CCEEFF"/>
          </w:tcPr>
          <w:p>
            <w:pPr>
              <w:ind w:left="240"/>
              <w:spacing w:after="0"/>
              <w:rPr>
                <w:sz w:val="20"/>
                <w:szCs w:val="20"/>
                <w:color w:val="auto"/>
              </w:rPr>
            </w:pPr>
            <w:r>
              <w:rPr>
                <w:rFonts w:ascii="Arial" w:cs="Arial" w:eastAsia="Arial" w:hAnsi="Arial"/>
                <w:sz w:val="18"/>
                <w:szCs w:val="18"/>
                <w:color w:val="auto"/>
              </w:rPr>
              <w:t>Issuance of ADSs.</w:t>
            </w:r>
          </w:p>
        </w:tc>
        <w:tc>
          <w:tcPr>
            <w:tcW w:w="4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460" w:type="dxa"/>
            <w:vAlign w:val="bottom"/>
          </w:tcPr>
          <w:p>
            <w:pPr>
              <w:ind w:left="320"/>
              <w:spacing w:after="0"/>
              <w:rPr>
                <w:sz w:val="20"/>
                <w:szCs w:val="20"/>
                <w:color w:val="auto"/>
              </w:rPr>
            </w:pPr>
            <w:r>
              <w:rPr>
                <w:rFonts w:ascii="Arial" w:cs="Arial" w:eastAsia="Arial" w:hAnsi="Arial"/>
                <w:sz w:val="18"/>
                <w:szCs w:val="18"/>
                <w:color w:val="auto"/>
              </w:rPr>
              <w:t>Section 2.6</w:t>
            </w:r>
          </w:p>
        </w:tc>
        <w:tc>
          <w:tcPr>
            <w:tcW w:w="9500" w:type="dxa"/>
            <w:vAlign w:val="bottom"/>
          </w:tcPr>
          <w:p>
            <w:pPr>
              <w:ind w:left="240"/>
              <w:spacing w:after="0"/>
              <w:rPr>
                <w:sz w:val="20"/>
                <w:szCs w:val="20"/>
                <w:color w:val="auto"/>
              </w:rPr>
            </w:pPr>
            <w:r>
              <w:rPr>
                <w:rFonts w:ascii="Arial" w:cs="Arial" w:eastAsia="Arial" w:hAnsi="Arial"/>
                <w:sz w:val="18"/>
                <w:szCs w:val="18"/>
                <w:color w:val="auto"/>
              </w:rPr>
              <w:t>Transfer, Combination and Split-up of ADRs.</w:t>
            </w:r>
          </w:p>
        </w:tc>
        <w:tc>
          <w:tcPr>
            <w:tcW w:w="440" w:type="dxa"/>
            <w:vAlign w:val="bottom"/>
          </w:tcPr>
          <w:p>
            <w:pPr>
              <w:jc w:val="right"/>
              <w:spacing w:after="0"/>
              <w:rPr>
                <w:sz w:val="20"/>
                <w:szCs w:val="20"/>
                <w:color w:val="auto"/>
              </w:rPr>
            </w:pPr>
            <w:r>
              <w:rPr>
                <w:rFonts w:ascii="Arial" w:cs="Arial" w:eastAsia="Arial" w:hAnsi="Arial"/>
                <w:sz w:val="18"/>
                <w:szCs w:val="18"/>
                <w:color w:val="auto"/>
              </w:rPr>
              <w:t>10</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460" w:type="dxa"/>
            <w:vAlign w:val="bottom"/>
            <w:shd w:val="clear" w:color="auto" w:fill="CCEEFF"/>
          </w:tcPr>
          <w:p>
            <w:pPr>
              <w:ind w:left="320"/>
              <w:spacing w:after="0"/>
              <w:rPr>
                <w:sz w:val="20"/>
                <w:szCs w:val="20"/>
                <w:color w:val="auto"/>
              </w:rPr>
            </w:pPr>
            <w:r>
              <w:rPr>
                <w:rFonts w:ascii="Arial" w:cs="Arial" w:eastAsia="Arial" w:hAnsi="Arial"/>
                <w:sz w:val="18"/>
                <w:szCs w:val="18"/>
                <w:color w:val="auto"/>
              </w:rPr>
              <w:t>Section 2.7</w:t>
            </w:r>
          </w:p>
        </w:tc>
        <w:tc>
          <w:tcPr>
            <w:tcW w:w="9500" w:type="dxa"/>
            <w:vAlign w:val="bottom"/>
            <w:shd w:val="clear" w:color="auto" w:fill="CCEEFF"/>
          </w:tcPr>
          <w:p>
            <w:pPr>
              <w:ind w:left="240"/>
              <w:spacing w:after="0"/>
              <w:rPr>
                <w:sz w:val="20"/>
                <w:szCs w:val="20"/>
                <w:color w:val="auto"/>
              </w:rPr>
            </w:pPr>
            <w:r>
              <w:rPr>
                <w:rFonts w:ascii="Arial" w:cs="Arial" w:eastAsia="Arial" w:hAnsi="Arial"/>
                <w:sz w:val="18"/>
                <w:szCs w:val="18"/>
                <w:color w:val="auto"/>
              </w:rPr>
              <w:t>Surrender of ADSs and Withdrawal of Deposited Securities.</w:t>
            </w:r>
          </w:p>
        </w:tc>
        <w:tc>
          <w:tcPr>
            <w:tcW w:w="4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460" w:type="dxa"/>
            <w:vAlign w:val="bottom"/>
          </w:tcPr>
          <w:p>
            <w:pPr>
              <w:ind w:left="320"/>
              <w:spacing w:after="0"/>
              <w:rPr>
                <w:sz w:val="20"/>
                <w:szCs w:val="20"/>
                <w:color w:val="auto"/>
              </w:rPr>
            </w:pPr>
            <w:r>
              <w:rPr>
                <w:rFonts w:ascii="Arial" w:cs="Arial" w:eastAsia="Arial" w:hAnsi="Arial"/>
                <w:sz w:val="18"/>
                <w:szCs w:val="18"/>
                <w:color w:val="auto"/>
              </w:rPr>
              <w:t>Section 2.8</w:t>
            </w:r>
          </w:p>
        </w:tc>
        <w:tc>
          <w:tcPr>
            <w:tcW w:w="9500" w:type="dxa"/>
            <w:vAlign w:val="bottom"/>
          </w:tcPr>
          <w:p>
            <w:pPr>
              <w:ind w:left="240"/>
              <w:spacing w:after="0"/>
              <w:rPr>
                <w:sz w:val="20"/>
                <w:szCs w:val="20"/>
                <w:color w:val="auto"/>
              </w:rPr>
            </w:pPr>
            <w:r>
              <w:rPr>
                <w:rFonts w:ascii="Arial" w:cs="Arial" w:eastAsia="Arial" w:hAnsi="Arial"/>
                <w:sz w:val="18"/>
                <w:szCs w:val="18"/>
                <w:color w:val="auto"/>
              </w:rPr>
              <w:t>Limitations on Execution and Delivery, Transfer, etc. of ADSs; Suspension of Delivery, Transfer, etc.</w:t>
            </w:r>
          </w:p>
        </w:tc>
        <w:tc>
          <w:tcPr>
            <w:tcW w:w="440" w:type="dxa"/>
            <w:vAlign w:val="bottom"/>
          </w:tcPr>
          <w:p>
            <w:pPr>
              <w:jc w:val="right"/>
              <w:spacing w:after="0"/>
              <w:rPr>
                <w:sz w:val="20"/>
                <w:szCs w:val="20"/>
                <w:color w:val="auto"/>
              </w:rPr>
            </w:pPr>
            <w:r>
              <w:rPr>
                <w:rFonts w:ascii="Arial" w:cs="Arial" w:eastAsia="Arial" w:hAnsi="Arial"/>
                <w:sz w:val="18"/>
                <w:szCs w:val="18"/>
                <w:color w:val="auto"/>
              </w:rPr>
              <w:t>12</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460" w:type="dxa"/>
            <w:vAlign w:val="bottom"/>
            <w:shd w:val="clear" w:color="auto" w:fill="CCEEFF"/>
          </w:tcPr>
          <w:p>
            <w:pPr>
              <w:ind w:left="320"/>
              <w:spacing w:after="0"/>
              <w:rPr>
                <w:sz w:val="20"/>
                <w:szCs w:val="20"/>
                <w:color w:val="auto"/>
              </w:rPr>
            </w:pPr>
            <w:r>
              <w:rPr>
                <w:rFonts w:ascii="Arial" w:cs="Arial" w:eastAsia="Arial" w:hAnsi="Arial"/>
                <w:sz w:val="18"/>
                <w:szCs w:val="18"/>
                <w:color w:val="auto"/>
              </w:rPr>
              <w:t>Section 2.9</w:t>
            </w:r>
          </w:p>
        </w:tc>
        <w:tc>
          <w:tcPr>
            <w:tcW w:w="9500" w:type="dxa"/>
            <w:vAlign w:val="bottom"/>
            <w:shd w:val="clear" w:color="auto" w:fill="CCEEFF"/>
          </w:tcPr>
          <w:p>
            <w:pPr>
              <w:ind w:left="240"/>
              <w:spacing w:after="0"/>
              <w:rPr>
                <w:sz w:val="20"/>
                <w:szCs w:val="20"/>
                <w:color w:val="auto"/>
              </w:rPr>
            </w:pPr>
            <w:r>
              <w:rPr>
                <w:rFonts w:ascii="Arial" w:cs="Arial" w:eastAsia="Arial" w:hAnsi="Arial"/>
                <w:sz w:val="18"/>
                <w:szCs w:val="18"/>
                <w:color w:val="auto"/>
              </w:rPr>
              <w:t>Lost ADRs, etc.</w:t>
            </w:r>
          </w:p>
        </w:tc>
        <w:tc>
          <w:tcPr>
            <w:tcW w:w="4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13</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460" w:type="dxa"/>
            <w:vAlign w:val="bottom"/>
          </w:tcPr>
          <w:p>
            <w:pPr>
              <w:ind w:left="320"/>
              <w:spacing w:after="0"/>
              <w:rPr>
                <w:sz w:val="20"/>
                <w:szCs w:val="20"/>
                <w:color w:val="auto"/>
              </w:rPr>
            </w:pPr>
            <w:r>
              <w:rPr>
                <w:rFonts w:ascii="Arial" w:cs="Arial" w:eastAsia="Arial" w:hAnsi="Arial"/>
                <w:sz w:val="18"/>
                <w:szCs w:val="18"/>
                <w:color w:val="auto"/>
              </w:rPr>
              <w:t>Section 2.10</w:t>
            </w:r>
          </w:p>
        </w:tc>
        <w:tc>
          <w:tcPr>
            <w:tcW w:w="9500" w:type="dxa"/>
            <w:vAlign w:val="bottom"/>
          </w:tcPr>
          <w:p>
            <w:pPr>
              <w:ind w:left="240"/>
              <w:spacing w:after="0"/>
              <w:rPr>
                <w:sz w:val="20"/>
                <w:szCs w:val="20"/>
                <w:color w:val="auto"/>
              </w:rPr>
            </w:pPr>
            <w:r>
              <w:rPr>
                <w:rFonts w:ascii="Arial" w:cs="Arial" w:eastAsia="Arial" w:hAnsi="Arial"/>
                <w:sz w:val="18"/>
                <w:szCs w:val="18"/>
                <w:color w:val="auto"/>
              </w:rPr>
              <w:t>Cancellation and Destruction of Surrendered ADRs; Maintenance of Records.</w:t>
            </w:r>
          </w:p>
        </w:tc>
        <w:tc>
          <w:tcPr>
            <w:tcW w:w="440" w:type="dxa"/>
            <w:vAlign w:val="bottom"/>
          </w:tcPr>
          <w:p>
            <w:pPr>
              <w:jc w:val="right"/>
              <w:spacing w:after="0"/>
              <w:rPr>
                <w:sz w:val="20"/>
                <w:szCs w:val="20"/>
                <w:color w:val="auto"/>
              </w:rPr>
            </w:pPr>
            <w:r>
              <w:rPr>
                <w:rFonts w:ascii="Arial" w:cs="Arial" w:eastAsia="Arial" w:hAnsi="Arial"/>
                <w:sz w:val="18"/>
                <w:szCs w:val="18"/>
                <w:color w:val="auto"/>
              </w:rPr>
              <w:t>13</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460" w:type="dxa"/>
            <w:vAlign w:val="bottom"/>
            <w:shd w:val="clear" w:color="auto" w:fill="CCEEFF"/>
          </w:tcPr>
          <w:p>
            <w:pPr>
              <w:ind w:left="320"/>
              <w:spacing w:after="0"/>
              <w:rPr>
                <w:sz w:val="20"/>
                <w:szCs w:val="20"/>
                <w:color w:val="auto"/>
              </w:rPr>
            </w:pPr>
            <w:r>
              <w:rPr>
                <w:rFonts w:ascii="Arial" w:cs="Arial" w:eastAsia="Arial" w:hAnsi="Arial"/>
                <w:sz w:val="18"/>
                <w:szCs w:val="18"/>
                <w:color w:val="auto"/>
              </w:rPr>
              <w:t>Section 2.11</w:t>
            </w:r>
          </w:p>
        </w:tc>
        <w:tc>
          <w:tcPr>
            <w:tcW w:w="9500" w:type="dxa"/>
            <w:vAlign w:val="bottom"/>
            <w:shd w:val="clear" w:color="auto" w:fill="CCEEFF"/>
          </w:tcPr>
          <w:p>
            <w:pPr>
              <w:ind w:left="240"/>
              <w:spacing w:after="0"/>
              <w:rPr>
                <w:sz w:val="20"/>
                <w:szCs w:val="20"/>
                <w:color w:val="auto"/>
              </w:rPr>
            </w:pPr>
            <w:r>
              <w:rPr>
                <w:rFonts w:ascii="Arial" w:cs="Arial" w:eastAsia="Arial" w:hAnsi="Arial"/>
                <w:sz w:val="18"/>
                <w:szCs w:val="18"/>
                <w:color w:val="auto"/>
              </w:rPr>
              <w:t>Escheatment.</w:t>
            </w:r>
          </w:p>
        </w:tc>
        <w:tc>
          <w:tcPr>
            <w:tcW w:w="4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14</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460" w:type="dxa"/>
            <w:vAlign w:val="bottom"/>
          </w:tcPr>
          <w:p>
            <w:pPr>
              <w:ind w:left="320"/>
              <w:spacing w:after="0"/>
              <w:rPr>
                <w:sz w:val="20"/>
                <w:szCs w:val="20"/>
                <w:color w:val="auto"/>
              </w:rPr>
            </w:pPr>
            <w:r>
              <w:rPr>
                <w:rFonts w:ascii="Arial" w:cs="Arial" w:eastAsia="Arial" w:hAnsi="Arial"/>
                <w:sz w:val="18"/>
                <w:szCs w:val="18"/>
                <w:color w:val="auto"/>
              </w:rPr>
              <w:t>Section 2.12</w:t>
            </w:r>
          </w:p>
        </w:tc>
        <w:tc>
          <w:tcPr>
            <w:tcW w:w="9500" w:type="dxa"/>
            <w:vAlign w:val="bottom"/>
          </w:tcPr>
          <w:p>
            <w:pPr>
              <w:ind w:left="240"/>
              <w:spacing w:after="0"/>
              <w:rPr>
                <w:sz w:val="20"/>
                <w:szCs w:val="20"/>
                <w:color w:val="auto"/>
              </w:rPr>
            </w:pPr>
            <w:r>
              <w:rPr>
                <w:rFonts w:ascii="Arial" w:cs="Arial" w:eastAsia="Arial" w:hAnsi="Arial"/>
                <w:sz w:val="18"/>
                <w:szCs w:val="18"/>
                <w:color w:val="auto"/>
              </w:rPr>
              <w:t>Partial Entitlement ADSs.</w:t>
            </w:r>
          </w:p>
        </w:tc>
        <w:tc>
          <w:tcPr>
            <w:tcW w:w="440" w:type="dxa"/>
            <w:vAlign w:val="bottom"/>
          </w:tcPr>
          <w:p>
            <w:pPr>
              <w:jc w:val="right"/>
              <w:spacing w:after="0"/>
              <w:rPr>
                <w:sz w:val="20"/>
                <w:szCs w:val="20"/>
                <w:color w:val="auto"/>
              </w:rPr>
            </w:pPr>
            <w:r>
              <w:rPr>
                <w:rFonts w:ascii="Arial" w:cs="Arial" w:eastAsia="Arial" w:hAnsi="Arial"/>
                <w:sz w:val="18"/>
                <w:szCs w:val="18"/>
                <w:color w:val="auto"/>
              </w:rPr>
              <w:t>14</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460" w:type="dxa"/>
            <w:vAlign w:val="bottom"/>
            <w:shd w:val="clear" w:color="auto" w:fill="CCEEFF"/>
          </w:tcPr>
          <w:p>
            <w:pPr>
              <w:ind w:left="320"/>
              <w:spacing w:after="0"/>
              <w:rPr>
                <w:sz w:val="20"/>
                <w:szCs w:val="20"/>
                <w:color w:val="auto"/>
              </w:rPr>
            </w:pPr>
            <w:r>
              <w:rPr>
                <w:rFonts w:ascii="Arial" w:cs="Arial" w:eastAsia="Arial" w:hAnsi="Arial"/>
                <w:sz w:val="18"/>
                <w:szCs w:val="18"/>
                <w:color w:val="auto"/>
              </w:rPr>
              <w:t>Section 2.13</w:t>
            </w:r>
          </w:p>
        </w:tc>
        <w:tc>
          <w:tcPr>
            <w:tcW w:w="9500" w:type="dxa"/>
            <w:vAlign w:val="bottom"/>
            <w:shd w:val="clear" w:color="auto" w:fill="CCEEFF"/>
          </w:tcPr>
          <w:p>
            <w:pPr>
              <w:ind w:left="240"/>
              <w:spacing w:after="0"/>
              <w:rPr>
                <w:sz w:val="20"/>
                <w:szCs w:val="20"/>
                <w:color w:val="auto"/>
              </w:rPr>
            </w:pPr>
            <w:r>
              <w:rPr>
                <w:rFonts w:ascii="Arial" w:cs="Arial" w:eastAsia="Arial" w:hAnsi="Arial"/>
                <w:sz w:val="18"/>
                <w:szCs w:val="18"/>
                <w:color w:val="auto"/>
              </w:rPr>
              <w:t>Certificated/Uncertificated ADSs.</w:t>
            </w:r>
          </w:p>
        </w:tc>
        <w:tc>
          <w:tcPr>
            <w:tcW w:w="4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14</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1460" w:type="dxa"/>
            <w:vAlign w:val="bottom"/>
          </w:tcPr>
          <w:p>
            <w:pPr>
              <w:ind w:left="320"/>
              <w:spacing w:after="0"/>
              <w:rPr>
                <w:sz w:val="20"/>
                <w:szCs w:val="20"/>
                <w:color w:val="auto"/>
              </w:rPr>
            </w:pPr>
            <w:r>
              <w:rPr>
                <w:rFonts w:ascii="Arial" w:cs="Arial" w:eastAsia="Arial" w:hAnsi="Arial"/>
                <w:sz w:val="18"/>
                <w:szCs w:val="18"/>
                <w:color w:val="auto"/>
              </w:rPr>
              <w:t>Section 2.14</w:t>
            </w:r>
          </w:p>
        </w:tc>
        <w:tc>
          <w:tcPr>
            <w:tcW w:w="9500" w:type="dxa"/>
            <w:vAlign w:val="bottom"/>
          </w:tcPr>
          <w:p>
            <w:pPr>
              <w:ind w:left="240"/>
              <w:spacing w:after="0"/>
              <w:rPr>
                <w:sz w:val="20"/>
                <w:szCs w:val="20"/>
                <w:color w:val="auto"/>
              </w:rPr>
            </w:pPr>
            <w:r>
              <w:rPr>
                <w:rFonts w:ascii="Arial" w:cs="Arial" w:eastAsia="Arial" w:hAnsi="Arial"/>
                <w:sz w:val="18"/>
                <w:szCs w:val="18"/>
                <w:color w:val="auto"/>
              </w:rPr>
              <w:t>Restricted ADSs.</w:t>
            </w:r>
          </w:p>
        </w:tc>
        <w:tc>
          <w:tcPr>
            <w:tcW w:w="440" w:type="dxa"/>
            <w:vAlign w:val="bottom"/>
          </w:tcPr>
          <w:p>
            <w:pPr>
              <w:jc w:val="right"/>
              <w:spacing w:after="0"/>
              <w:rPr>
                <w:sz w:val="20"/>
                <w:szCs w:val="20"/>
                <w:color w:val="auto"/>
              </w:rPr>
            </w:pPr>
            <w:r>
              <w:rPr>
                <w:rFonts w:ascii="Arial" w:cs="Arial" w:eastAsia="Arial" w:hAnsi="Arial"/>
                <w:sz w:val="18"/>
                <w:szCs w:val="18"/>
                <w:color w:val="auto"/>
              </w:rPr>
              <w:t>16</w:t>
            </w: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02"/>
        </w:trPr>
        <w:tc>
          <w:tcPr>
            <w:tcW w:w="20" w:type="dxa"/>
            <w:vAlign w:val="bottom"/>
            <w:vMerge w:val="restart"/>
          </w:tcPr>
          <w:p>
            <w:pPr>
              <w:spacing w:after="0"/>
              <w:rPr>
                <w:sz w:val="17"/>
                <w:szCs w:val="17"/>
                <w:color w:val="auto"/>
              </w:rPr>
            </w:pPr>
          </w:p>
        </w:tc>
        <w:tc>
          <w:tcPr>
            <w:tcW w:w="10960" w:type="dxa"/>
            <w:vAlign w:val="bottom"/>
            <w:gridSpan w:val="2"/>
          </w:tcPr>
          <w:p>
            <w:pPr>
              <w:spacing w:after="0"/>
              <w:rPr>
                <w:sz w:val="17"/>
                <w:szCs w:val="17"/>
                <w:color w:val="auto"/>
              </w:rPr>
            </w:pPr>
          </w:p>
        </w:tc>
        <w:tc>
          <w:tcPr>
            <w:tcW w:w="440" w:type="dxa"/>
            <w:vAlign w:val="bottom"/>
          </w:tcPr>
          <w:p>
            <w:pPr>
              <w:spacing w:after="0"/>
              <w:rPr>
                <w:sz w:val="17"/>
                <w:szCs w:val="17"/>
                <w:color w:val="auto"/>
              </w:rPr>
            </w:pPr>
          </w:p>
        </w:tc>
        <w:tc>
          <w:tcPr>
            <w:tcW w:w="20" w:type="dxa"/>
            <w:vAlign w:val="bottom"/>
            <w:vMerge w:val="restart"/>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1096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ARTICLE III CERTAIN OBLIGATIONS OF HOLDERS AND BENEFICIAL OWNERS OF ADSs</w:t>
            </w:r>
          </w:p>
        </w:tc>
        <w:tc>
          <w:tcPr>
            <w:tcW w:w="4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17</w:t>
            </w:r>
          </w:p>
        </w:tc>
        <w:tc>
          <w:tcPr>
            <w:tcW w:w="2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460" w:type="dxa"/>
            <w:vAlign w:val="bottom"/>
          </w:tcPr>
          <w:p>
            <w:pPr>
              <w:ind w:left="320"/>
              <w:spacing w:after="0"/>
              <w:rPr>
                <w:sz w:val="20"/>
                <w:szCs w:val="20"/>
                <w:color w:val="auto"/>
              </w:rPr>
            </w:pPr>
            <w:r>
              <w:rPr>
                <w:rFonts w:ascii="Arial" w:cs="Arial" w:eastAsia="Arial" w:hAnsi="Arial"/>
                <w:sz w:val="18"/>
                <w:szCs w:val="18"/>
                <w:color w:val="auto"/>
              </w:rPr>
              <w:t>Section 3.1</w:t>
            </w:r>
          </w:p>
        </w:tc>
        <w:tc>
          <w:tcPr>
            <w:tcW w:w="9500" w:type="dxa"/>
            <w:vAlign w:val="bottom"/>
          </w:tcPr>
          <w:p>
            <w:pPr>
              <w:ind w:left="240"/>
              <w:spacing w:after="0"/>
              <w:rPr>
                <w:sz w:val="20"/>
                <w:szCs w:val="20"/>
                <w:color w:val="auto"/>
              </w:rPr>
            </w:pPr>
            <w:r>
              <w:rPr>
                <w:rFonts w:ascii="Arial" w:cs="Arial" w:eastAsia="Arial" w:hAnsi="Arial"/>
                <w:sz w:val="18"/>
                <w:szCs w:val="18"/>
                <w:color w:val="auto"/>
              </w:rPr>
              <w:t>Proofs, Certificates and Other Information.</w:t>
            </w:r>
          </w:p>
        </w:tc>
        <w:tc>
          <w:tcPr>
            <w:tcW w:w="440" w:type="dxa"/>
            <w:vAlign w:val="bottom"/>
          </w:tcPr>
          <w:p>
            <w:pPr>
              <w:jc w:val="right"/>
              <w:spacing w:after="0"/>
              <w:rPr>
                <w:sz w:val="20"/>
                <w:szCs w:val="20"/>
                <w:color w:val="auto"/>
              </w:rPr>
            </w:pPr>
            <w:r>
              <w:rPr>
                <w:rFonts w:ascii="Arial" w:cs="Arial" w:eastAsia="Arial" w:hAnsi="Arial"/>
                <w:sz w:val="18"/>
                <w:szCs w:val="18"/>
                <w:color w:val="auto"/>
              </w:rPr>
              <w:t>17</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460" w:type="dxa"/>
            <w:vAlign w:val="bottom"/>
            <w:shd w:val="clear" w:color="auto" w:fill="CCEEFF"/>
          </w:tcPr>
          <w:p>
            <w:pPr>
              <w:ind w:left="320"/>
              <w:spacing w:after="0"/>
              <w:rPr>
                <w:sz w:val="20"/>
                <w:szCs w:val="20"/>
                <w:color w:val="auto"/>
              </w:rPr>
            </w:pPr>
            <w:r>
              <w:rPr>
                <w:rFonts w:ascii="Arial" w:cs="Arial" w:eastAsia="Arial" w:hAnsi="Arial"/>
                <w:sz w:val="18"/>
                <w:szCs w:val="18"/>
                <w:color w:val="auto"/>
              </w:rPr>
              <w:t>Section 3.2</w:t>
            </w:r>
          </w:p>
        </w:tc>
        <w:tc>
          <w:tcPr>
            <w:tcW w:w="9500" w:type="dxa"/>
            <w:vAlign w:val="bottom"/>
            <w:shd w:val="clear" w:color="auto" w:fill="CCEEFF"/>
          </w:tcPr>
          <w:p>
            <w:pPr>
              <w:ind w:left="240"/>
              <w:spacing w:after="0"/>
              <w:rPr>
                <w:sz w:val="20"/>
                <w:szCs w:val="20"/>
                <w:color w:val="auto"/>
              </w:rPr>
            </w:pPr>
            <w:r>
              <w:rPr>
                <w:rFonts w:ascii="Arial" w:cs="Arial" w:eastAsia="Arial" w:hAnsi="Arial"/>
                <w:sz w:val="18"/>
                <w:szCs w:val="18"/>
                <w:color w:val="auto"/>
              </w:rPr>
              <w:t>Liability for Taxes and Other Charges.</w:t>
            </w:r>
          </w:p>
        </w:tc>
        <w:tc>
          <w:tcPr>
            <w:tcW w:w="4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18</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460" w:type="dxa"/>
            <w:vAlign w:val="bottom"/>
          </w:tcPr>
          <w:p>
            <w:pPr>
              <w:ind w:left="320"/>
              <w:spacing w:after="0"/>
              <w:rPr>
                <w:sz w:val="20"/>
                <w:szCs w:val="20"/>
                <w:color w:val="auto"/>
              </w:rPr>
            </w:pPr>
            <w:r>
              <w:rPr>
                <w:rFonts w:ascii="Arial" w:cs="Arial" w:eastAsia="Arial" w:hAnsi="Arial"/>
                <w:sz w:val="18"/>
                <w:szCs w:val="18"/>
                <w:color w:val="auto"/>
              </w:rPr>
              <w:t>Section 3.3</w:t>
            </w:r>
          </w:p>
        </w:tc>
        <w:tc>
          <w:tcPr>
            <w:tcW w:w="9500" w:type="dxa"/>
            <w:vAlign w:val="bottom"/>
          </w:tcPr>
          <w:p>
            <w:pPr>
              <w:ind w:left="240"/>
              <w:spacing w:after="0"/>
              <w:rPr>
                <w:sz w:val="20"/>
                <w:szCs w:val="20"/>
                <w:color w:val="auto"/>
              </w:rPr>
            </w:pPr>
            <w:r>
              <w:rPr>
                <w:rFonts w:ascii="Arial" w:cs="Arial" w:eastAsia="Arial" w:hAnsi="Arial"/>
                <w:sz w:val="18"/>
                <w:szCs w:val="18"/>
                <w:color w:val="auto"/>
              </w:rPr>
              <w:t>Representations and Warranties on Deposit of Shares.</w:t>
            </w:r>
          </w:p>
        </w:tc>
        <w:tc>
          <w:tcPr>
            <w:tcW w:w="440" w:type="dxa"/>
            <w:vAlign w:val="bottom"/>
          </w:tcPr>
          <w:p>
            <w:pPr>
              <w:jc w:val="right"/>
              <w:spacing w:after="0"/>
              <w:rPr>
                <w:sz w:val="20"/>
                <w:szCs w:val="20"/>
                <w:color w:val="auto"/>
              </w:rPr>
            </w:pPr>
            <w:r>
              <w:rPr>
                <w:rFonts w:ascii="Arial" w:cs="Arial" w:eastAsia="Arial" w:hAnsi="Arial"/>
                <w:sz w:val="18"/>
                <w:szCs w:val="18"/>
                <w:color w:val="auto"/>
              </w:rPr>
              <w:t>18</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460" w:type="dxa"/>
            <w:vAlign w:val="bottom"/>
            <w:shd w:val="clear" w:color="auto" w:fill="CCEEFF"/>
          </w:tcPr>
          <w:p>
            <w:pPr>
              <w:ind w:left="320"/>
              <w:spacing w:after="0"/>
              <w:rPr>
                <w:sz w:val="20"/>
                <w:szCs w:val="20"/>
                <w:color w:val="auto"/>
              </w:rPr>
            </w:pPr>
            <w:r>
              <w:rPr>
                <w:rFonts w:ascii="Arial" w:cs="Arial" w:eastAsia="Arial" w:hAnsi="Arial"/>
                <w:sz w:val="18"/>
                <w:szCs w:val="18"/>
                <w:color w:val="auto"/>
              </w:rPr>
              <w:t>Section 3.4</w:t>
            </w:r>
          </w:p>
        </w:tc>
        <w:tc>
          <w:tcPr>
            <w:tcW w:w="9500" w:type="dxa"/>
            <w:vAlign w:val="bottom"/>
            <w:shd w:val="clear" w:color="auto" w:fill="CCEEFF"/>
          </w:tcPr>
          <w:p>
            <w:pPr>
              <w:ind w:left="240"/>
              <w:spacing w:after="0"/>
              <w:rPr>
                <w:sz w:val="20"/>
                <w:szCs w:val="20"/>
                <w:color w:val="auto"/>
              </w:rPr>
            </w:pPr>
            <w:r>
              <w:rPr>
                <w:rFonts w:ascii="Arial" w:cs="Arial" w:eastAsia="Arial" w:hAnsi="Arial"/>
                <w:sz w:val="18"/>
                <w:szCs w:val="18"/>
                <w:color w:val="auto"/>
              </w:rPr>
              <w:t>Compliance with Information Requests.</w:t>
            </w:r>
          </w:p>
        </w:tc>
        <w:tc>
          <w:tcPr>
            <w:tcW w:w="4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19</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460" w:type="dxa"/>
            <w:vAlign w:val="bottom"/>
          </w:tcPr>
          <w:p>
            <w:pPr>
              <w:ind w:left="320"/>
              <w:spacing w:after="0"/>
              <w:rPr>
                <w:sz w:val="20"/>
                <w:szCs w:val="20"/>
                <w:color w:val="auto"/>
              </w:rPr>
            </w:pPr>
            <w:r>
              <w:rPr>
                <w:rFonts w:ascii="Arial" w:cs="Arial" w:eastAsia="Arial" w:hAnsi="Arial"/>
                <w:sz w:val="18"/>
                <w:szCs w:val="18"/>
                <w:color w:val="auto"/>
              </w:rPr>
              <w:t>Section 3.5</w:t>
            </w:r>
          </w:p>
        </w:tc>
        <w:tc>
          <w:tcPr>
            <w:tcW w:w="9500" w:type="dxa"/>
            <w:vAlign w:val="bottom"/>
          </w:tcPr>
          <w:p>
            <w:pPr>
              <w:ind w:left="240"/>
              <w:spacing w:after="0"/>
              <w:rPr>
                <w:sz w:val="20"/>
                <w:szCs w:val="20"/>
                <w:color w:val="auto"/>
              </w:rPr>
            </w:pPr>
            <w:r>
              <w:rPr>
                <w:rFonts w:ascii="Arial" w:cs="Arial" w:eastAsia="Arial" w:hAnsi="Arial"/>
                <w:sz w:val="18"/>
                <w:szCs w:val="18"/>
                <w:color w:val="auto"/>
              </w:rPr>
              <w:t>Ownership Restrictions.</w:t>
            </w:r>
          </w:p>
        </w:tc>
        <w:tc>
          <w:tcPr>
            <w:tcW w:w="440" w:type="dxa"/>
            <w:vAlign w:val="bottom"/>
          </w:tcPr>
          <w:p>
            <w:pPr>
              <w:jc w:val="right"/>
              <w:spacing w:after="0"/>
              <w:rPr>
                <w:sz w:val="20"/>
                <w:szCs w:val="20"/>
                <w:color w:val="auto"/>
              </w:rPr>
            </w:pPr>
            <w:r>
              <w:rPr>
                <w:rFonts w:ascii="Arial" w:cs="Arial" w:eastAsia="Arial" w:hAnsi="Arial"/>
                <w:sz w:val="18"/>
                <w:szCs w:val="18"/>
                <w:color w:val="auto"/>
              </w:rPr>
              <w:t>19</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460" w:type="dxa"/>
            <w:vAlign w:val="bottom"/>
            <w:shd w:val="clear" w:color="auto" w:fill="CCEEFF"/>
          </w:tcPr>
          <w:p>
            <w:pPr>
              <w:ind w:left="320"/>
              <w:spacing w:after="0"/>
              <w:rPr>
                <w:sz w:val="20"/>
                <w:szCs w:val="20"/>
                <w:color w:val="auto"/>
              </w:rPr>
            </w:pPr>
            <w:r>
              <w:rPr>
                <w:rFonts w:ascii="Arial" w:cs="Arial" w:eastAsia="Arial" w:hAnsi="Arial"/>
                <w:sz w:val="18"/>
                <w:szCs w:val="18"/>
                <w:color w:val="auto"/>
              </w:rPr>
              <w:t>Section 3.6</w:t>
            </w:r>
          </w:p>
        </w:tc>
        <w:tc>
          <w:tcPr>
            <w:tcW w:w="9500" w:type="dxa"/>
            <w:vAlign w:val="bottom"/>
            <w:shd w:val="clear" w:color="auto" w:fill="CCEEFF"/>
          </w:tcPr>
          <w:p>
            <w:pPr>
              <w:ind w:left="240"/>
              <w:spacing w:after="0"/>
              <w:rPr>
                <w:sz w:val="20"/>
                <w:szCs w:val="20"/>
                <w:color w:val="auto"/>
              </w:rPr>
            </w:pPr>
            <w:r>
              <w:rPr>
                <w:rFonts w:ascii="Arial" w:cs="Arial" w:eastAsia="Arial" w:hAnsi="Arial"/>
                <w:sz w:val="18"/>
                <w:szCs w:val="18"/>
                <w:color w:val="auto"/>
              </w:rPr>
              <w:t>Reporting Obligations and Regulatory Approvals.</w:t>
            </w:r>
          </w:p>
        </w:tc>
        <w:tc>
          <w:tcPr>
            <w:tcW w:w="4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19</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10960" w:type="dxa"/>
            <w:vAlign w:val="bottom"/>
            <w:gridSpan w:val="2"/>
          </w:tcPr>
          <w:p>
            <w:pPr>
              <w:spacing w:after="0"/>
              <w:rPr>
                <w:sz w:val="18"/>
                <w:szCs w:val="18"/>
                <w:color w:val="auto"/>
              </w:rPr>
            </w:pPr>
          </w:p>
        </w:tc>
        <w:tc>
          <w:tcPr>
            <w:tcW w:w="440" w:type="dxa"/>
            <w:vAlign w:val="bottom"/>
          </w:tcPr>
          <w:p>
            <w:pPr>
              <w:spacing w:after="0"/>
              <w:rPr>
                <w:sz w:val="18"/>
                <w:szCs w:val="18"/>
                <w:color w:val="auto"/>
              </w:rPr>
            </w:pPr>
          </w:p>
        </w:tc>
        <w:tc>
          <w:tcPr>
            <w:tcW w:w="20" w:type="dxa"/>
            <w:vAlign w:val="bottom"/>
            <w:vMerge w:val="restart"/>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1096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ARTICLE IV THE DEPOSITED SECURITIES</w:t>
            </w:r>
          </w:p>
        </w:tc>
        <w:tc>
          <w:tcPr>
            <w:tcW w:w="4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20</w:t>
            </w:r>
          </w:p>
        </w:tc>
        <w:tc>
          <w:tcPr>
            <w:tcW w:w="2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460" w:type="dxa"/>
            <w:vAlign w:val="bottom"/>
          </w:tcPr>
          <w:p>
            <w:pPr>
              <w:ind w:left="320"/>
              <w:spacing w:after="0"/>
              <w:rPr>
                <w:sz w:val="20"/>
                <w:szCs w:val="20"/>
                <w:color w:val="auto"/>
              </w:rPr>
            </w:pPr>
            <w:r>
              <w:rPr>
                <w:rFonts w:ascii="Arial" w:cs="Arial" w:eastAsia="Arial" w:hAnsi="Arial"/>
                <w:sz w:val="18"/>
                <w:szCs w:val="18"/>
                <w:color w:val="auto"/>
              </w:rPr>
              <w:t>Section 4.1</w:t>
            </w:r>
          </w:p>
        </w:tc>
        <w:tc>
          <w:tcPr>
            <w:tcW w:w="9500" w:type="dxa"/>
            <w:vAlign w:val="bottom"/>
          </w:tcPr>
          <w:p>
            <w:pPr>
              <w:ind w:left="240"/>
              <w:spacing w:after="0"/>
              <w:rPr>
                <w:sz w:val="20"/>
                <w:szCs w:val="20"/>
                <w:color w:val="auto"/>
              </w:rPr>
            </w:pPr>
            <w:r>
              <w:rPr>
                <w:rFonts w:ascii="Arial" w:cs="Arial" w:eastAsia="Arial" w:hAnsi="Arial"/>
                <w:sz w:val="18"/>
                <w:szCs w:val="18"/>
                <w:color w:val="auto"/>
              </w:rPr>
              <w:t>Cash Distributions.</w:t>
            </w:r>
          </w:p>
        </w:tc>
        <w:tc>
          <w:tcPr>
            <w:tcW w:w="440" w:type="dxa"/>
            <w:vAlign w:val="bottom"/>
          </w:tcPr>
          <w:p>
            <w:pPr>
              <w:jc w:val="right"/>
              <w:spacing w:after="0"/>
              <w:rPr>
                <w:sz w:val="20"/>
                <w:szCs w:val="20"/>
                <w:color w:val="auto"/>
              </w:rPr>
            </w:pPr>
            <w:r>
              <w:rPr>
                <w:rFonts w:ascii="Arial" w:cs="Arial" w:eastAsia="Arial" w:hAnsi="Arial"/>
                <w:sz w:val="18"/>
                <w:szCs w:val="18"/>
                <w:color w:val="auto"/>
              </w:rPr>
              <w:t>20</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460" w:type="dxa"/>
            <w:vAlign w:val="bottom"/>
            <w:shd w:val="clear" w:color="auto" w:fill="CCEEFF"/>
          </w:tcPr>
          <w:p>
            <w:pPr>
              <w:ind w:left="320"/>
              <w:spacing w:after="0"/>
              <w:rPr>
                <w:sz w:val="20"/>
                <w:szCs w:val="20"/>
                <w:color w:val="auto"/>
              </w:rPr>
            </w:pPr>
            <w:r>
              <w:rPr>
                <w:rFonts w:ascii="Arial" w:cs="Arial" w:eastAsia="Arial" w:hAnsi="Arial"/>
                <w:sz w:val="18"/>
                <w:szCs w:val="18"/>
                <w:color w:val="auto"/>
              </w:rPr>
              <w:t>Section 4.2</w:t>
            </w:r>
          </w:p>
        </w:tc>
        <w:tc>
          <w:tcPr>
            <w:tcW w:w="9500" w:type="dxa"/>
            <w:vAlign w:val="bottom"/>
            <w:shd w:val="clear" w:color="auto" w:fill="CCEEFF"/>
          </w:tcPr>
          <w:p>
            <w:pPr>
              <w:ind w:left="240"/>
              <w:spacing w:after="0"/>
              <w:rPr>
                <w:sz w:val="20"/>
                <w:szCs w:val="20"/>
                <w:color w:val="auto"/>
              </w:rPr>
            </w:pPr>
            <w:r>
              <w:rPr>
                <w:rFonts w:ascii="Arial" w:cs="Arial" w:eastAsia="Arial" w:hAnsi="Arial"/>
                <w:sz w:val="18"/>
                <w:szCs w:val="18"/>
                <w:color w:val="auto"/>
              </w:rPr>
              <w:t>Distribution in Shares.</w:t>
            </w:r>
          </w:p>
        </w:tc>
        <w:tc>
          <w:tcPr>
            <w:tcW w:w="4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21</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460" w:type="dxa"/>
            <w:vAlign w:val="bottom"/>
          </w:tcPr>
          <w:p>
            <w:pPr>
              <w:ind w:left="320"/>
              <w:spacing w:after="0"/>
              <w:rPr>
                <w:sz w:val="20"/>
                <w:szCs w:val="20"/>
                <w:color w:val="auto"/>
              </w:rPr>
            </w:pPr>
            <w:r>
              <w:rPr>
                <w:rFonts w:ascii="Arial" w:cs="Arial" w:eastAsia="Arial" w:hAnsi="Arial"/>
                <w:sz w:val="18"/>
                <w:szCs w:val="18"/>
                <w:color w:val="auto"/>
              </w:rPr>
              <w:t>Section 4.3</w:t>
            </w:r>
          </w:p>
        </w:tc>
        <w:tc>
          <w:tcPr>
            <w:tcW w:w="9500" w:type="dxa"/>
            <w:vAlign w:val="bottom"/>
          </w:tcPr>
          <w:p>
            <w:pPr>
              <w:ind w:left="240"/>
              <w:spacing w:after="0"/>
              <w:rPr>
                <w:sz w:val="20"/>
                <w:szCs w:val="20"/>
                <w:color w:val="auto"/>
              </w:rPr>
            </w:pPr>
            <w:r>
              <w:rPr>
                <w:rFonts w:ascii="Arial" w:cs="Arial" w:eastAsia="Arial" w:hAnsi="Arial"/>
                <w:sz w:val="18"/>
                <w:szCs w:val="18"/>
                <w:color w:val="auto"/>
              </w:rPr>
              <w:t>Elective Distributions in Cash or Shares.</w:t>
            </w:r>
          </w:p>
        </w:tc>
        <w:tc>
          <w:tcPr>
            <w:tcW w:w="440" w:type="dxa"/>
            <w:vAlign w:val="bottom"/>
          </w:tcPr>
          <w:p>
            <w:pPr>
              <w:jc w:val="right"/>
              <w:spacing w:after="0"/>
              <w:rPr>
                <w:sz w:val="20"/>
                <w:szCs w:val="20"/>
                <w:color w:val="auto"/>
              </w:rPr>
            </w:pPr>
            <w:r>
              <w:rPr>
                <w:rFonts w:ascii="Arial" w:cs="Arial" w:eastAsia="Arial" w:hAnsi="Arial"/>
                <w:sz w:val="18"/>
                <w:szCs w:val="18"/>
                <w:color w:val="auto"/>
              </w:rPr>
              <w:t>22</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460" w:type="dxa"/>
            <w:vAlign w:val="bottom"/>
            <w:shd w:val="clear" w:color="auto" w:fill="CCEEFF"/>
          </w:tcPr>
          <w:p>
            <w:pPr>
              <w:ind w:left="320"/>
              <w:spacing w:after="0"/>
              <w:rPr>
                <w:sz w:val="20"/>
                <w:szCs w:val="20"/>
                <w:color w:val="auto"/>
              </w:rPr>
            </w:pPr>
            <w:r>
              <w:rPr>
                <w:rFonts w:ascii="Arial" w:cs="Arial" w:eastAsia="Arial" w:hAnsi="Arial"/>
                <w:sz w:val="18"/>
                <w:szCs w:val="18"/>
                <w:color w:val="auto"/>
              </w:rPr>
              <w:t>Section 4.4</w:t>
            </w:r>
          </w:p>
        </w:tc>
        <w:tc>
          <w:tcPr>
            <w:tcW w:w="9500" w:type="dxa"/>
            <w:vAlign w:val="bottom"/>
            <w:shd w:val="clear" w:color="auto" w:fill="CCEEFF"/>
          </w:tcPr>
          <w:p>
            <w:pPr>
              <w:ind w:left="240"/>
              <w:spacing w:after="0"/>
              <w:rPr>
                <w:sz w:val="20"/>
                <w:szCs w:val="20"/>
                <w:color w:val="auto"/>
              </w:rPr>
            </w:pPr>
            <w:r>
              <w:rPr>
                <w:rFonts w:ascii="Arial" w:cs="Arial" w:eastAsia="Arial" w:hAnsi="Arial"/>
                <w:sz w:val="18"/>
                <w:szCs w:val="18"/>
                <w:color w:val="auto"/>
              </w:rPr>
              <w:t>Distribution of Rights to Purchase Additional ADSs.</w:t>
            </w:r>
          </w:p>
        </w:tc>
        <w:tc>
          <w:tcPr>
            <w:tcW w:w="4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22</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460" w:type="dxa"/>
            <w:vAlign w:val="bottom"/>
          </w:tcPr>
          <w:p>
            <w:pPr>
              <w:ind w:left="320"/>
              <w:spacing w:after="0"/>
              <w:rPr>
                <w:sz w:val="20"/>
                <w:szCs w:val="20"/>
                <w:color w:val="auto"/>
              </w:rPr>
            </w:pPr>
            <w:r>
              <w:rPr>
                <w:rFonts w:ascii="Arial" w:cs="Arial" w:eastAsia="Arial" w:hAnsi="Arial"/>
                <w:sz w:val="18"/>
                <w:szCs w:val="18"/>
                <w:color w:val="auto"/>
              </w:rPr>
              <w:t>Section 4.5</w:t>
            </w:r>
          </w:p>
        </w:tc>
        <w:tc>
          <w:tcPr>
            <w:tcW w:w="9500" w:type="dxa"/>
            <w:vAlign w:val="bottom"/>
          </w:tcPr>
          <w:p>
            <w:pPr>
              <w:ind w:left="240"/>
              <w:spacing w:after="0"/>
              <w:rPr>
                <w:sz w:val="20"/>
                <w:szCs w:val="20"/>
                <w:color w:val="auto"/>
              </w:rPr>
            </w:pPr>
            <w:r>
              <w:rPr>
                <w:rFonts w:ascii="Arial" w:cs="Arial" w:eastAsia="Arial" w:hAnsi="Arial"/>
                <w:sz w:val="18"/>
                <w:szCs w:val="18"/>
                <w:color w:val="auto"/>
              </w:rPr>
              <w:t>Distributions Other Than Cash, Shares or Rights to Purchase Shares.</w:t>
            </w:r>
          </w:p>
        </w:tc>
        <w:tc>
          <w:tcPr>
            <w:tcW w:w="440" w:type="dxa"/>
            <w:vAlign w:val="bottom"/>
          </w:tcPr>
          <w:p>
            <w:pPr>
              <w:jc w:val="right"/>
              <w:spacing w:after="0"/>
              <w:rPr>
                <w:sz w:val="20"/>
                <w:szCs w:val="20"/>
                <w:color w:val="auto"/>
              </w:rPr>
            </w:pPr>
            <w:r>
              <w:rPr>
                <w:rFonts w:ascii="Arial" w:cs="Arial" w:eastAsia="Arial" w:hAnsi="Arial"/>
                <w:sz w:val="18"/>
                <w:szCs w:val="18"/>
                <w:color w:val="auto"/>
              </w:rPr>
              <w:t>24</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460" w:type="dxa"/>
            <w:vAlign w:val="bottom"/>
            <w:shd w:val="clear" w:color="auto" w:fill="CCEEFF"/>
          </w:tcPr>
          <w:p>
            <w:pPr>
              <w:ind w:left="320"/>
              <w:spacing w:after="0"/>
              <w:rPr>
                <w:sz w:val="20"/>
                <w:szCs w:val="20"/>
                <w:color w:val="auto"/>
              </w:rPr>
            </w:pPr>
            <w:r>
              <w:rPr>
                <w:rFonts w:ascii="Arial" w:cs="Arial" w:eastAsia="Arial" w:hAnsi="Arial"/>
                <w:sz w:val="18"/>
                <w:szCs w:val="18"/>
                <w:color w:val="auto"/>
              </w:rPr>
              <w:t>Section 4.6</w:t>
            </w:r>
          </w:p>
        </w:tc>
        <w:tc>
          <w:tcPr>
            <w:tcW w:w="9500" w:type="dxa"/>
            <w:vAlign w:val="bottom"/>
            <w:shd w:val="clear" w:color="auto" w:fill="CCEEFF"/>
          </w:tcPr>
          <w:p>
            <w:pPr>
              <w:ind w:left="240"/>
              <w:spacing w:after="0"/>
              <w:rPr>
                <w:sz w:val="20"/>
                <w:szCs w:val="20"/>
                <w:color w:val="auto"/>
              </w:rPr>
            </w:pPr>
            <w:r>
              <w:rPr>
                <w:rFonts w:ascii="Arial" w:cs="Arial" w:eastAsia="Arial" w:hAnsi="Arial"/>
                <w:sz w:val="18"/>
                <w:szCs w:val="18"/>
                <w:color w:val="auto"/>
              </w:rPr>
              <w:t>Distributions with Respect to Deposited Securities in Bearer Form.</w:t>
            </w:r>
          </w:p>
        </w:tc>
        <w:tc>
          <w:tcPr>
            <w:tcW w:w="4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25</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460" w:type="dxa"/>
            <w:vAlign w:val="bottom"/>
          </w:tcPr>
          <w:p>
            <w:pPr>
              <w:ind w:left="320"/>
              <w:spacing w:after="0"/>
              <w:rPr>
                <w:sz w:val="20"/>
                <w:szCs w:val="20"/>
                <w:color w:val="auto"/>
              </w:rPr>
            </w:pPr>
            <w:r>
              <w:rPr>
                <w:rFonts w:ascii="Arial" w:cs="Arial" w:eastAsia="Arial" w:hAnsi="Arial"/>
                <w:sz w:val="18"/>
                <w:szCs w:val="18"/>
                <w:color w:val="auto"/>
              </w:rPr>
              <w:t>Section 4.7</w:t>
            </w:r>
          </w:p>
        </w:tc>
        <w:tc>
          <w:tcPr>
            <w:tcW w:w="9500" w:type="dxa"/>
            <w:vAlign w:val="bottom"/>
          </w:tcPr>
          <w:p>
            <w:pPr>
              <w:ind w:left="240"/>
              <w:spacing w:after="0"/>
              <w:rPr>
                <w:sz w:val="20"/>
                <w:szCs w:val="20"/>
                <w:color w:val="auto"/>
              </w:rPr>
            </w:pPr>
            <w:r>
              <w:rPr>
                <w:rFonts w:ascii="Arial" w:cs="Arial" w:eastAsia="Arial" w:hAnsi="Arial"/>
                <w:sz w:val="18"/>
                <w:szCs w:val="18"/>
                <w:color w:val="auto"/>
              </w:rPr>
              <w:t>Redemption.</w:t>
            </w:r>
          </w:p>
        </w:tc>
        <w:tc>
          <w:tcPr>
            <w:tcW w:w="440" w:type="dxa"/>
            <w:vAlign w:val="bottom"/>
          </w:tcPr>
          <w:p>
            <w:pPr>
              <w:jc w:val="right"/>
              <w:spacing w:after="0"/>
              <w:rPr>
                <w:sz w:val="20"/>
                <w:szCs w:val="20"/>
                <w:color w:val="auto"/>
              </w:rPr>
            </w:pPr>
            <w:r>
              <w:rPr>
                <w:rFonts w:ascii="Arial" w:cs="Arial" w:eastAsia="Arial" w:hAnsi="Arial"/>
                <w:sz w:val="18"/>
                <w:szCs w:val="18"/>
                <w:color w:val="auto"/>
              </w:rPr>
              <w:t>25</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460" w:type="dxa"/>
            <w:vAlign w:val="bottom"/>
            <w:shd w:val="clear" w:color="auto" w:fill="CCEEFF"/>
          </w:tcPr>
          <w:p>
            <w:pPr>
              <w:ind w:left="320"/>
              <w:spacing w:after="0"/>
              <w:rPr>
                <w:sz w:val="20"/>
                <w:szCs w:val="20"/>
                <w:color w:val="auto"/>
              </w:rPr>
            </w:pPr>
            <w:r>
              <w:rPr>
                <w:rFonts w:ascii="Arial" w:cs="Arial" w:eastAsia="Arial" w:hAnsi="Arial"/>
                <w:sz w:val="18"/>
                <w:szCs w:val="18"/>
                <w:color w:val="auto"/>
              </w:rPr>
              <w:t>Section 4.8</w:t>
            </w:r>
          </w:p>
        </w:tc>
        <w:tc>
          <w:tcPr>
            <w:tcW w:w="9500" w:type="dxa"/>
            <w:vAlign w:val="bottom"/>
            <w:shd w:val="clear" w:color="auto" w:fill="CCEEFF"/>
          </w:tcPr>
          <w:p>
            <w:pPr>
              <w:ind w:left="240"/>
              <w:spacing w:after="0"/>
              <w:rPr>
                <w:sz w:val="20"/>
                <w:szCs w:val="20"/>
                <w:color w:val="auto"/>
              </w:rPr>
            </w:pPr>
            <w:r>
              <w:rPr>
                <w:rFonts w:ascii="Arial" w:cs="Arial" w:eastAsia="Arial" w:hAnsi="Arial"/>
                <w:sz w:val="18"/>
                <w:szCs w:val="18"/>
                <w:color w:val="auto"/>
              </w:rPr>
              <w:t>Conversion of Foreign Currency.</w:t>
            </w:r>
          </w:p>
        </w:tc>
        <w:tc>
          <w:tcPr>
            <w:tcW w:w="4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26</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460" w:type="dxa"/>
            <w:vAlign w:val="bottom"/>
          </w:tcPr>
          <w:p>
            <w:pPr>
              <w:ind w:left="320"/>
              <w:spacing w:after="0"/>
              <w:rPr>
                <w:sz w:val="20"/>
                <w:szCs w:val="20"/>
                <w:color w:val="auto"/>
              </w:rPr>
            </w:pPr>
            <w:r>
              <w:rPr>
                <w:rFonts w:ascii="Arial" w:cs="Arial" w:eastAsia="Arial" w:hAnsi="Arial"/>
                <w:sz w:val="18"/>
                <w:szCs w:val="18"/>
                <w:color w:val="auto"/>
              </w:rPr>
              <w:t>Section 4.9</w:t>
            </w:r>
          </w:p>
        </w:tc>
        <w:tc>
          <w:tcPr>
            <w:tcW w:w="9500" w:type="dxa"/>
            <w:vAlign w:val="bottom"/>
          </w:tcPr>
          <w:p>
            <w:pPr>
              <w:ind w:left="240"/>
              <w:spacing w:after="0"/>
              <w:rPr>
                <w:sz w:val="20"/>
                <w:szCs w:val="20"/>
                <w:color w:val="auto"/>
              </w:rPr>
            </w:pPr>
            <w:r>
              <w:rPr>
                <w:rFonts w:ascii="Arial" w:cs="Arial" w:eastAsia="Arial" w:hAnsi="Arial"/>
                <w:sz w:val="18"/>
                <w:szCs w:val="18"/>
                <w:color w:val="auto"/>
              </w:rPr>
              <w:t>Fixing of ADS Record Date.</w:t>
            </w:r>
          </w:p>
        </w:tc>
        <w:tc>
          <w:tcPr>
            <w:tcW w:w="440" w:type="dxa"/>
            <w:vAlign w:val="bottom"/>
          </w:tcPr>
          <w:p>
            <w:pPr>
              <w:jc w:val="right"/>
              <w:spacing w:after="0"/>
              <w:rPr>
                <w:sz w:val="20"/>
                <w:szCs w:val="20"/>
                <w:color w:val="auto"/>
              </w:rPr>
            </w:pPr>
            <w:r>
              <w:rPr>
                <w:rFonts w:ascii="Arial" w:cs="Arial" w:eastAsia="Arial" w:hAnsi="Arial"/>
                <w:sz w:val="18"/>
                <w:szCs w:val="18"/>
                <w:color w:val="auto"/>
              </w:rPr>
              <w:t>27</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460" w:type="dxa"/>
            <w:vAlign w:val="bottom"/>
            <w:shd w:val="clear" w:color="auto" w:fill="CCEEFF"/>
          </w:tcPr>
          <w:p>
            <w:pPr>
              <w:ind w:left="320"/>
              <w:spacing w:after="0"/>
              <w:rPr>
                <w:sz w:val="20"/>
                <w:szCs w:val="20"/>
                <w:color w:val="auto"/>
              </w:rPr>
            </w:pPr>
            <w:r>
              <w:rPr>
                <w:rFonts w:ascii="Arial" w:cs="Arial" w:eastAsia="Arial" w:hAnsi="Arial"/>
                <w:sz w:val="18"/>
                <w:szCs w:val="18"/>
                <w:color w:val="auto"/>
              </w:rPr>
              <w:t>Section 4.10</w:t>
            </w:r>
          </w:p>
        </w:tc>
        <w:tc>
          <w:tcPr>
            <w:tcW w:w="9500" w:type="dxa"/>
            <w:vAlign w:val="bottom"/>
            <w:shd w:val="clear" w:color="auto" w:fill="CCEEFF"/>
          </w:tcPr>
          <w:p>
            <w:pPr>
              <w:ind w:left="240"/>
              <w:spacing w:after="0"/>
              <w:rPr>
                <w:sz w:val="20"/>
                <w:szCs w:val="20"/>
                <w:color w:val="auto"/>
              </w:rPr>
            </w:pPr>
            <w:r>
              <w:rPr>
                <w:rFonts w:ascii="Arial" w:cs="Arial" w:eastAsia="Arial" w:hAnsi="Arial"/>
                <w:sz w:val="18"/>
                <w:szCs w:val="18"/>
                <w:color w:val="auto"/>
              </w:rPr>
              <w:t>Voting of Deposited Securities.</w:t>
            </w:r>
          </w:p>
        </w:tc>
        <w:tc>
          <w:tcPr>
            <w:tcW w:w="4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27</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1460" w:type="dxa"/>
            <w:vAlign w:val="bottom"/>
          </w:tcPr>
          <w:p>
            <w:pPr>
              <w:ind w:left="320"/>
              <w:spacing w:after="0"/>
              <w:rPr>
                <w:sz w:val="20"/>
                <w:szCs w:val="20"/>
                <w:color w:val="auto"/>
              </w:rPr>
            </w:pPr>
            <w:r>
              <w:rPr>
                <w:rFonts w:ascii="Arial" w:cs="Arial" w:eastAsia="Arial" w:hAnsi="Arial"/>
                <w:sz w:val="18"/>
                <w:szCs w:val="18"/>
                <w:color w:val="auto"/>
              </w:rPr>
              <w:t>Section 4.11</w:t>
            </w:r>
          </w:p>
        </w:tc>
        <w:tc>
          <w:tcPr>
            <w:tcW w:w="9500" w:type="dxa"/>
            <w:vAlign w:val="bottom"/>
          </w:tcPr>
          <w:p>
            <w:pPr>
              <w:ind w:left="240"/>
              <w:spacing w:after="0"/>
              <w:rPr>
                <w:sz w:val="20"/>
                <w:szCs w:val="20"/>
                <w:color w:val="auto"/>
              </w:rPr>
            </w:pPr>
            <w:r>
              <w:rPr>
                <w:rFonts w:ascii="Arial" w:cs="Arial" w:eastAsia="Arial" w:hAnsi="Arial"/>
                <w:sz w:val="18"/>
                <w:szCs w:val="18"/>
                <w:color w:val="auto"/>
              </w:rPr>
              <w:t>Changes Affecting Deposited Securities.</w:t>
            </w:r>
          </w:p>
        </w:tc>
        <w:tc>
          <w:tcPr>
            <w:tcW w:w="440" w:type="dxa"/>
            <w:vAlign w:val="bottom"/>
          </w:tcPr>
          <w:p>
            <w:pPr>
              <w:jc w:val="right"/>
              <w:spacing w:after="0"/>
              <w:rPr>
                <w:sz w:val="20"/>
                <w:szCs w:val="20"/>
                <w:color w:val="auto"/>
              </w:rPr>
            </w:pPr>
            <w:r>
              <w:rPr>
                <w:rFonts w:ascii="Arial" w:cs="Arial" w:eastAsia="Arial" w:hAnsi="Arial"/>
                <w:sz w:val="18"/>
                <w:szCs w:val="18"/>
                <w:color w:val="auto"/>
              </w:rPr>
              <w:t>29</w:t>
            </w: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bl>
    <w:p>
      <w:pPr>
        <w:spacing w:after="0" w:line="315"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ii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7620</wp:posOffset>
            </wp:positionV>
            <wp:extent cx="7246620" cy="17145"/>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368" w:right="239" w:bottom="1440" w:gutter="0" w:footer="0" w:header="0"/>
        </w:sectPr>
      </w:pPr>
    </w:p>
    <w:bookmarkStart w:id="16" w:name="page17"/>
    <w:bookmarkEnd w:id="16"/>
    <w:tbl>
      <w:tblPr>
        <w:tblLayout w:type="fixed"/>
        <w:tblInd w:w="0" w:type="dxa"/>
        <w:tblCellMar>
          <w:top w:w="0" w:type="dxa"/>
          <w:left w:w="0" w:type="dxa"/>
          <w:bottom w:w="0" w:type="dxa"/>
          <w:right w:w="0" w:type="dxa"/>
        </w:tblCellMar>
      </w:tblPr>
      <w:tr>
        <w:trPr>
          <w:trHeight w:val="230"/>
        </w:trPr>
        <w:tc>
          <w:tcPr>
            <w:tcW w:w="20" w:type="dxa"/>
            <w:vAlign w:val="bottom"/>
          </w:tcPr>
          <w:p>
            <w:pPr>
              <w:spacing w:after="0"/>
              <w:rPr>
                <w:sz w:val="20"/>
                <w:szCs w:val="20"/>
                <w:color w:val="auto"/>
              </w:rPr>
            </w:pPr>
          </w:p>
        </w:tc>
        <w:tc>
          <w:tcPr>
            <w:tcW w:w="1460" w:type="dxa"/>
            <w:vAlign w:val="bottom"/>
          </w:tcPr>
          <w:p>
            <w:pPr>
              <w:ind w:left="320"/>
              <w:spacing w:after="0"/>
              <w:rPr>
                <w:sz w:val="20"/>
                <w:szCs w:val="20"/>
                <w:color w:val="auto"/>
              </w:rPr>
            </w:pPr>
            <w:r>
              <w:rPr>
                <w:rFonts w:ascii="Arial" w:cs="Arial" w:eastAsia="Arial" w:hAnsi="Arial"/>
                <w:sz w:val="18"/>
                <w:szCs w:val="18"/>
                <w:color w:val="auto"/>
              </w:rPr>
              <w:t>Section 4.12</w:t>
            </w:r>
          </w:p>
        </w:tc>
        <w:tc>
          <w:tcPr>
            <w:tcW w:w="7960" w:type="dxa"/>
            <w:vAlign w:val="bottom"/>
          </w:tcPr>
          <w:p>
            <w:pPr>
              <w:ind w:left="240"/>
              <w:spacing w:after="0"/>
              <w:rPr>
                <w:sz w:val="20"/>
                <w:szCs w:val="20"/>
                <w:color w:val="auto"/>
              </w:rPr>
            </w:pPr>
            <w:r>
              <w:rPr>
                <w:rFonts w:ascii="Arial" w:cs="Arial" w:eastAsia="Arial" w:hAnsi="Arial"/>
                <w:sz w:val="18"/>
                <w:szCs w:val="18"/>
                <w:color w:val="auto"/>
              </w:rPr>
              <w:t>Available Information.</w:t>
            </w:r>
          </w:p>
        </w:tc>
        <w:tc>
          <w:tcPr>
            <w:tcW w:w="2000" w:type="dxa"/>
            <w:vAlign w:val="bottom"/>
            <w:gridSpan w:val="2"/>
          </w:tcPr>
          <w:p>
            <w:pPr>
              <w:jc w:val="right"/>
              <w:ind w:right="20"/>
              <w:spacing w:after="0"/>
              <w:rPr>
                <w:sz w:val="20"/>
                <w:szCs w:val="20"/>
                <w:color w:val="auto"/>
              </w:rPr>
            </w:pPr>
            <w:r>
              <w:rPr>
                <w:rFonts w:ascii="Arial" w:cs="Arial" w:eastAsia="Arial" w:hAnsi="Arial"/>
                <w:sz w:val="18"/>
                <w:szCs w:val="18"/>
                <w:color w:val="auto"/>
              </w:rPr>
              <w:t>30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460" w:type="dxa"/>
            <w:vAlign w:val="bottom"/>
            <w:shd w:val="clear" w:color="auto" w:fill="CCEEFF"/>
          </w:tcPr>
          <w:p>
            <w:pPr>
              <w:ind w:left="320"/>
              <w:spacing w:after="0"/>
              <w:rPr>
                <w:sz w:val="20"/>
                <w:szCs w:val="20"/>
                <w:color w:val="auto"/>
              </w:rPr>
            </w:pPr>
            <w:r>
              <w:rPr>
                <w:rFonts w:ascii="Arial" w:cs="Arial" w:eastAsia="Arial" w:hAnsi="Arial"/>
                <w:sz w:val="18"/>
                <w:szCs w:val="18"/>
                <w:color w:val="auto"/>
              </w:rPr>
              <w:t>Section 4.13</w:t>
            </w:r>
          </w:p>
        </w:tc>
        <w:tc>
          <w:tcPr>
            <w:tcW w:w="7960" w:type="dxa"/>
            <w:vAlign w:val="bottom"/>
            <w:shd w:val="clear" w:color="auto" w:fill="CCEEFF"/>
          </w:tcPr>
          <w:p>
            <w:pPr>
              <w:ind w:left="240"/>
              <w:spacing w:after="0"/>
              <w:rPr>
                <w:sz w:val="20"/>
                <w:szCs w:val="20"/>
                <w:color w:val="auto"/>
              </w:rPr>
            </w:pPr>
            <w:r>
              <w:rPr>
                <w:rFonts w:ascii="Arial" w:cs="Arial" w:eastAsia="Arial" w:hAnsi="Arial"/>
                <w:sz w:val="18"/>
                <w:szCs w:val="18"/>
                <w:color w:val="auto"/>
              </w:rPr>
              <w:t>Reports.</w:t>
            </w:r>
          </w:p>
        </w:tc>
        <w:tc>
          <w:tcPr>
            <w:tcW w:w="19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30</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460" w:type="dxa"/>
            <w:vAlign w:val="bottom"/>
          </w:tcPr>
          <w:p>
            <w:pPr>
              <w:ind w:left="320"/>
              <w:spacing w:after="0"/>
              <w:rPr>
                <w:sz w:val="20"/>
                <w:szCs w:val="20"/>
                <w:color w:val="auto"/>
              </w:rPr>
            </w:pPr>
            <w:r>
              <w:rPr>
                <w:rFonts w:ascii="Arial" w:cs="Arial" w:eastAsia="Arial" w:hAnsi="Arial"/>
                <w:sz w:val="18"/>
                <w:szCs w:val="18"/>
                <w:color w:val="auto"/>
              </w:rPr>
              <w:t>Section 4.14</w:t>
            </w:r>
          </w:p>
        </w:tc>
        <w:tc>
          <w:tcPr>
            <w:tcW w:w="7960" w:type="dxa"/>
            <w:vAlign w:val="bottom"/>
          </w:tcPr>
          <w:p>
            <w:pPr>
              <w:ind w:left="240"/>
              <w:spacing w:after="0"/>
              <w:rPr>
                <w:sz w:val="20"/>
                <w:szCs w:val="20"/>
                <w:color w:val="auto"/>
              </w:rPr>
            </w:pPr>
            <w:r>
              <w:rPr>
                <w:rFonts w:ascii="Arial" w:cs="Arial" w:eastAsia="Arial" w:hAnsi="Arial"/>
                <w:sz w:val="18"/>
                <w:szCs w:val="18"/>
                <w:color w:val="auto"/>
              </w:rPr>
              <w:t>List of Holders.</w:t>
            </w:r>
          </w:p>
        </w:tc>
        <w:tc>
          <w:tcPr>
            <w:tcW w:w="1980" w:type="dxa"/>
            <w:vAlign w:val="bottom"/>
          </w:tcPr>
          <w:p>
            <w:pPr>
              <w:jc w:val="right"/>
              <w:spacing w:after="0"/>
              <w:rPr>
                <w:sz w:val="20"/>
                <w:szCs w:val="20"/>
                <w:color w:val="auto"/>
              </w:rPr>
            </w:pPr>
            <w:r>
              <w:rPr>
                <w:rFonts w:ascii="Arial" w:cs="Arial" w:eastAsia="Arial" w:hAnsi="Arial"/>
                <w:sz w:val="18"/>
                <w:szCs w:val="18"/>
                <w:color w:val="auto"/>
              </w:rPr>
              <w:t>30</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460" w:type="dxa"/>
            <w:vAlign w:val="bottom"/>
            <w:shd w:val="clear" w:color="auto" w:fill="CCEEFF"/>
          </w:tcPr>
          <w:p>
            <w:pPr>
              <w:ind w:left="320"/>
              <w:spacing w:after="0"/>
              <w:rPr>
                <w:sz w:val="20"/>
                <w:szCs w:val="20"/>
                <w:color w:val="auto"/>
              </w:rPr>
            </w:pPr>
            <w:r>
              <w:rPr>
                <w:rFonts w:ascii="Arial" w:cs="Arial" w:eastAsia="Arial" w:hAnsi="Arial"/>
                <w:sz w:val="18"/>
                <w:szCs w:val="18"/>
                <w:color w:val="auto"/>
              </w:rPr>
              <w:t>Section 4.15</w:t>
            </w:r>
          </w:p>
        </w:tc>
        <w:tc>
          <w:tcPr>
            <w:tcW w:w="7960" w:type="dxa"/>
            <w:vAlign w:val="bottom"/>
            <w:shd w:val="clear" w:color="auto" w:fill="CCEEFF"/>
          </w:tcPr>
          <w:p>
            <w:pPr>
              <w:ind w:left="240"/>
              <w:spacing w:after="0"/>
              <w:rPr>
                <w:sz w:val="20"/>
                <w:szCs w:val="20"/>
                <w:color w:val="auto"/>
              </w:rPr>
            </w:pPr>
            <w:r>
              <w:rPr>
                <w:rFonts w:ascii="Arial" w:cs="Arial" w:eastAsia="Arial" w:hAnsi="Arial"/>
                <w:sz w:val="18"/>
                <w:szCs w:val="18"/>
                <w:color w:val="auto"/>
              </w:rPr>
              <w:t>Taxation.</w:t>
            </w:r>
          </w:p>
        </w:tc>
        <w:tc>
          <w:tcPr>
            <w:tcW w:w="19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30</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9420" w:type="dxa"/>
            <w:vAlign w:val="bottom"/>
            <w:gridSpan w:val="2"/>
          </w:tcPr>
          <w:p>
            <w:pPr>
              <w:spacing w:after="0"/>
              <w:rPr>
                <w:sz w:val="18"/>
                <w:szCs w:val="18"/>
                <w:color w:val="auto"/>
              </w:rPr>
            </w:pPr>
          </w:p>
        </w:tc>
        <w:tc>
          <w:tcPr>
            <w:tcW w:w="1980" w:type="dxa"/>
            <w:vAlign w:val="bottom"/>
          </w:tcPr>
          <w:p>
            <w:pPr>
              <w:spacing w:after="0"/>
              <w:rPr>
                <w:sz w:val="18"/>
                <w:szCs w:val="18"/>
                <w:color w:val="auto"/>
              </w:rPr>
            </w:pPr>
          </w:p>
        </w:tc>
        <w:tc>
          <w:tcPr>
            <w:tcW w:w="20" w:type="dxa"/>
            <w:vAlign w:val="bottom"/>
            <w:vMerge w:val="restart"/>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942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ARTICLE V THE DEPOSITARY, THE CUSTODIAN AND THE COMPANY</w:t>
            </w:r>
          </w:p>
        </w:tc>
        <w:tc>
          <w:tcPr>
            <w:tcW w:w="19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31</w:t>
            </w:r>
          </w:p>
        </w:tc>
        <w:tc>
          <w:tcPr>
            <w:tcW w:w="2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460" w:type="dxa"/>
            <w:vAlign w:val="bottom"/>
          </w:tcPr>
          <w:p>
            <w:pPr>
              <w:ind w:left="320"/>
              <w:spacing w:after="0"/>
              <w:rPr>
                <w:sz w:val="20"/>
                <w:szCs w:val="20"/>
                <w:color w:val="auto"/>
              </w:rPr>
            </w:pPr>
            <w:r>
              <w:rPr>
                <w:rFonts w:ascii="Arial" w:cs="Arial" w:eastAsia="Arial" w:hAnsi="Arial"/>
                <w:sz w:val="18"/>
                <w:szCs w:val="18"/>
                <w:color w:val="auto"/>
              </w:rPr>
              <w:t>Section 5.1</w:t>
            </w:r>
          </w:p>
        </w:tc>
        <w:tc>
          <w:tcPr>
            <w:tcW w:w="7960" w:type="dxa"/>
            <w:vAlign w:val="bottom"/>
          </w:tcPr>
          <w:p>
            <w:pPr>
              <w:ind w:left="240"/>
              <w:spacing w:after="0"/>
              <w:rPr>
                <w:sz w:val="20"/>
                <w:szCs w:val="20"/>
                <w:color w:val="auto"/>
              </w:rPr>
            </w:pPr>
            <w:r>
              <w:rPr>
                <w:rFonts w:ascii="Arial" w:cs="Arial" w:eastAsia="Arial" w:hAnsi="Arial"/>
                <w:sz w:val="18"/>
                <w:szCs w:val="18"/>
                <w:color w:val="auto"/>
              </w:rPr>
              <w:t>Maintenance of Office and Transfer Books by the Registrar.</w:t>
            </w:r>
          </w:p>
        </w:tc>
        <w:tc>
          <w:tcPr>
            <w:tcW w:w="1980" w:type="dxa"/>
            <w:vAlign w:val="bottom"/>
          </w:tcPr>
          <w:p>
            <w:pPr>
              <w:jc w:val="right"/>
              <w:spacing w:after="0"/>
              <w:rPr>
                <w:sz w:val="20"/>
                <w:szCs w:val="20"/>
                <w:color w:val="auto"/>
              </w:rPr>
            </w:pPr>
            <w:r>
              <w:rPr>
                <w:rFonts w:ascii="Arial" w:cs="Arial" w:eastAsia="Arial" w:hAnsi="Arial"/>
                <w:sz w:val="18"/>
                <w:szCs w:val="18"/>
                <w:color w:val="auto"/>
              </w:rPr>
              <w:t>31</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460" w:type="dxa"/>
            <w:vAlign w:val="bottom"/>
            <w:shd w:val="clear" w:color="auto" w:fill="CCEEFF"/>
          </w:tcPr>
          <w:p>
            <w:pPr>
              <w:ind w:left="320"/>
              <w:spacing w:after="0"/>
              <w:rPr>
                <w:sz w:val="20"/>
                <w:szCs w:val="20"/>
                <w:color w:val="auto"/>
              </w:rPr>
            </w:pPr>
            <w:r>
              <w:rPr>
                <w:rFonts w:ascii="Arial" w:cs="Arial" w:eastAsia="Arial" w:hAnsi="Arial"/>
                <w:sz w:val="18"/>
                <w:szCs w:val="18"/>
                <w:color w:val="auto"/>
              </w:rPr>
              <w:t>Section 5.2</w:t>
            </w:r>
          </w:p>
        </w:tc>
        <w:tc>
          <w:tcPr>
            <w:tcW w:w="7960" w:type="dxa"/>
            <w:vAlign w:val="bottom"/>
            <w:shd w:val="clear" w:color="auto" w:fill="CCEEFF"/>
          </w:tcPr>
          <w:p>
            <w:pPr>
              <w:ind w:left="240"/>
              <w:spacing w:after="0"/>
              <w:rPr>
                <w:sz w:val="20"/>
                <w:szCs w:val="20"/>
                <w:color w:val="auto"/>
              </w:rPr>
            </w:pPr>
            <w:r>
              <w:rPr>
                <w:rFonts w:ascii="Arial" w:cs="Arial" w:eastAsia="Arial" w:hAnsi="Arial"/>
                <w:sz w:val="18"/>
                <w:szCs w:val="18"/>
                <w:color w:val="auto"/>
              </w:rPr>
              <w:t>Exoneration.</w:t>
            </w:r>
          </w:p>
        </w:tc>
        <w:tc>
          <w:tcPr>
            <w:tcW w:w="19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32</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460" w:type="dxa"/>
            <w:vAlign w:val="bottom"/>
          </w:tcPr>
          <w:p>
            <w:pPr>
              <w:ind w:left="320"/>
              <w:spacing w:after="0"/>
              <w:rPr>
                <w:sz w:val="20"/>
                <w:szCs w:val="20"/>
                <w:color w:val="auto"/>
              </w:rPr>
            </w:pPr>
            <w:r>
              <w:rPr>
                <w:rFonts w:ascii="Arial" w:cs="Arial" w:eastAsia="Arial" w:hAnsi="Arial"/>
                <w:sz w:val="18"/>
                <w:szCs w:val="18"/>
                <w:color w:val="auto"/>
              </w:rPr>
              <w:t>Section 5.3</w:t>
            </w:r>
          </w:p>
        </w:tc>
        <w:tc>
          <w:tcPr>
            <w:tcW w:w="7960" w:type="dxa"/>
            <w:vAlign w:val="bottom"/>
          </w:tcPr>
          <w:p>
            <w:pPr>
              <w:ind w:left="240"/>
              <w:spacing w:after="0"/>
              <w:rPr>
                <w:sz w:val="20"/>
                <w:szCs w:val="20"/>
                <w:color w:val="auto"/>
              </w:rPr>
            </w:pPr>
            <w:r>
              <w:rPr>
                <w:rFonts w:ascii="Arial" w:cs="Arial" w:eastAsia="Arial" w:hAnsi="Arial"/>
                <w:sz w:val="18"/>
                <w:szCs w:val="18"/>
                <w:color w:val="auto"/>
              </w:rPr>
              <w:t>Standard of Care.</w:t>
            </w:r>
          </w:p>
        </w:tc>
        <w:tc>
          <w:tcPr>
            <w:tcW w:w="1980" w:type="dxa"/>
            <w:vAlign w:val="bottom"/>
          </w:tcPr>
          <w:p>
            <w:pPr>
              <w:jc w:val="right"/>
              <w:spacing w:after="0"/>
              <w:rPr>
                <w:sz w:val="20"/>
                <w:szCs w:val="20"/>
                <w:color w:val="auto"/>
              </w:rPr>
            </w:pPr>
            <w:r>
              <w:rPr>
                <w:rFonts w:ascii="Arial" w:cs="Arial" w:eastAsia="Arial" w:hAnsi="Arial"/>
                <w:sz w:val="18"/>
                <w:szCs w:val="18"/>
                <w:color w:val="auto"/>
              </w:rPr>
              <w:t>33</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460" w:type="dxa"/>
            <w:vAlign w:val="bottom"/>
            <w:shd w:val="clear" w:color="auto" w:fill="CCEEFF"/>
          </w:tcPr>
          <w:p>
            <w:pPr>
              <w:ind w:left="320"/>
              <w:spacing w:after="0"/>
              <w:rPr>
                <w:sz w:val="20"/>
                <w:szCs w:val="20"/>
                <w:color w:val="auto"/>
              </w:rPr>
            </w:pPr>
            <w:r>
              <w:rPr>
                <w:rFonts w:ascii="Arial" w:cs="Arial" w:eastAsia="Arial" w:hAnsi="Arial"/>
                <w:sz w:val="18"/>
                <w:szCs w:val="18"/>
                <w:color w:val="auto"/>
              </w:rPr>
              <w:t>Section 5.4</w:t>
            </w:r>
          </w:p>
        </w:tc>
        <w:tc>
          <w:tcPr>
            <w:tcW w:w="7960" w:type="dxa"/>
            <w:vAlign w:val="bottom"/>
            <w:shd w:val="clear" w:color="auto" w:fill="CCEEFF"/>
          </w:tcPr>
          <w:p>
            <w:pPr>
              <w:ind w:left="240"/>
              <w:spacing w:after="0"/>
              <w:rPr>
                <w:sz w:val="20"/>
                <w:szCs w:val="20"/>
                <w:color w:val="auto"/>
              </w:rPr>
            </w:pPr>
            <w:r>
              <w:rPr>
                <w:rFonts w:ascii="Arial" w:cs="Arial" w:eastAsia="Arial" w:hAnsi="Arial"/>
                <w:sz w:val="18"/>
                <w:szCs w:val="18"/>
                <w:color w:val="auto"/>
              </w:rPr>
              <w:t>Resignation and Removal of the Depositary; Appointment of Successor Depositary.</w:t>
            </w:r>
          </w:p>
        </w:tc>
        <w:tc>
          <w:tcPr>
            <w:tcW w:w="19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34</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460" w:type="dxa"/>
            <w:vAlign w:val="bottom"/>
          </w:tcPr>
          <w:p>
            <w:pPr>
              <w:ind w:left="320"/>
              <w:spacing w:after="0"/>
              <w:rPr>
                <w:sz w:val="20"/>
                <w:szCs w:val="20"/>
                <w:color w:val="auto"/>
              </w:rPr>
            </w:pPr>
            <w:r>
              <w:rPr>
                <w:rFonts w:ascii="Arial" w:cs="Arial" w:eastAsia="Arial" w:hAnsi="Arial"/>
                <w:sz w:val="18"/>
                <w:szCs w:val="18"/>
                <w:color w:val="auto"/>
              </w:rPr>
              <w:t>Section 5.5</w:t>
            </w:r>
          </w:p>
        </w:tc>
        <w:tc>
          <w:tcPr>
            <w:tcW w:w="7960" w:type="dxa"/>
            <w:vAlign w:val="bottom"/>
          </w:tcPr>
          <w:p>
            <w:pPr>
              <w:ind w:left="240"/>
              <w:spacing w:after="0"/>
              <w:rPr>
                <w:sz w:val="20"/>
                <w:szCs w:val="20"/>
                <w:color w:val="auto"/>
              </w:rPr>
            </w:pPr>
            <w:r>
              <w:rPr>
                <w:rFonts w:ascii="Arial" w:cs="Arial" w:eastAsia="Arial" w:hAnsi="Arial"/>
                <w:sz w:val="18"/>
                <w:szCs w:val="18"/>
                <w:color w:val="auto"/>
              </w:rPr>
              <w:t>The Custodian.</w:t>
            </w:r>
          </w:p>
        </w:tc>
        <w:tc>
          <w:tcPr>
            <w:tcW w:w="1980" w:type="dxa"/>
            <w:vAlign w:val="bottom"/>
          </w:tcPr>
          <w:p>
            <w:pPr>
              <w:jc w:val="right"/>
              <w:spacing w:after="0"/>
              <w:rPr>
                <w:sz w:val="20"/>
                <w:szCs w:val="20"/>
                <w:color w:val="auto"/>
              </w:rPr>
            </w:pPr>
            <w:r>
              <w:rPr>
                <w:rFonts w:ascii="Arial" w:cs="Arial" w:eastAsia="Arial" w:hAnsi="Arial"/>
                <w:sz w:val="18"/>
                <w:szCs w:val="18"/>
                <w:color w:val="auto"/>
              </w:rPr>
              <w:t>34</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460" w:type="dxa"/>
            <w:vAlign w:val="bottom"/>
            <w:shd w:val="clear" w:color="auto" w:fill="CCEEFF"/>
          </w:tcPr>
          <w:p>
            <w:pPr>
              <w:ind w:left="320"/>
              <w:spacing w:after="0"/>
              <w:rPr>
                <w:sz w:val="20"/>
                <w:szCs w:val="20"/>
                <w:color w:val="auto"/>
              </w:rPr>
            </w:pPr>
            <w:r>
              <w:rPr>
                <w:rFonts w:ascii="Arial" w:cs="Arial" w:eastAsia="Arial" w:hAnsi="Arial"/>
                <w:sz w:val="18"/>
                <w:szCs w:val="18"/>
                <w:color w:val="auto"/>
              </w:rPr>
              <w:t>Section 5.6</w:t>
            </w:r>
          </w:p>
        </w:tc>
        <w:tc>
          <w:tcPr>
            <w:tcW w:w="7960" w:type="dxa"/>
            <w:vAlign w:val="bottom"/>
            <w:shd w:val="clear" w:color="auto" w:fill="CCEEFF"/>
          </w:tcPr>
          <w:p>
            <w:pPr>
              <w:ind w:left="240"/>
              <w:spacing w:after="0"/>
              <w:rPr>
                <w:sz w:val="20"/>
                <w:szCs w:val="20"/>
                <w:color w:val="auto"/>
              </w:rPr>
            </w:pPr>
            <w:r>
              <w:rPr>
                <w:rFonts w:ascii="Arial" w:cs="Arial" w:eastAsia="Arial" w:hAnsi="Arial"/>
                <w:sz w:val="18"/>
                <w:szCs w:val="18"/>
                <w:color w:val="auto"/>
              </w:rPr>
              <w:t>Notices and Reports.</w:t>
            </w:r>
          </w:p>
        </w:tc>
        <w:tc>
          <w:tcPr>
            <w:tcW w:w="19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35</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460" w:type="dxa"/>
            <w:vAlign w:val="bottom"/>
          </w:tcPr>
          <w:p>
            <w:pPr>
              <w:ind w:left="320"/>
              <w:spacing w:after="0"/>
              <w:rPr>
                <w:sz w:val="20"/>
                <w:szCs w:val="20"/>
                <w:color w:val="auto"/>
              </w:rPr>
            </w:pPr>
            <w:r>
              <w:rPr>
                <w:rFonts w:ascii="Arial" w:cs="Arial" w:eastAsia="Arial" w:hAnsi="Arial"/>
                <w:sz w:val="18"/>
                <w:szCs w:val="18"/>
                <w:color w:val="auto"/>
              </w:rPr>
              <w:t>Section 5.7</w:t>
            </w:r>
          </w:p>
        </w:tc>
        <w:tc>
          <w:tcPr>
            <w:tcW w:w="7960" w:type="dxa"/>
            <w:vAlign w:val="bottom"/>
          </w:tcPr>
          <w:p>
            <w:pPr>
              <w:ind w:left="240"/>
              <w:spacing w:after="0"/>
              <w:rPr>
                <w:sz w:val="20"/>
                <w:szCs w:val="20"/>
                <w:color w:val="auto"/>
              </w:rPr>
            </w:pPr>
            <w:r>
              <w:rPr>
                <w:rFonts w:ascii="Arial" w:cs="Arial" w:eastAsia="Arial" w:hAnsi="Arial"/>
                <w:sz w:val="18"/>
                <w:szCs w:val="18"/>
                <w:color w:val="auto"/>
              </w:rPr>
              <w:t>Issuance of Additional Shares, ADSs etc.</w:t>
            </w:r>
          </w:p>
        </w:tc>
        <w:tc>
          <w:tcPr>
            <w:tcW w:w="1980" w:type="dxa"/>
            <w:vAlign w:val="bottom"/>
          </w:tcPr>
          <w:p>
            <w:pPr>
              <w:jc w:val="right"/>
              <w:spacing w:after="0"/>
              <w:rPr>
                <w:sz w:val="20"/>
                <w:szCs w:val="20"/>
                <w:color w:val="auto"/>
              </w:rPr>
            </w:pPr>
            <w:r>
              <w:rPr>
                <w:rFonts w:ascii="Arial" w:cs="Arial" w:eastAsia="Arial" w:hAnsi="Arial"/>
                <w:sz w:val="18"/>
                <w:szCs w:val="18"/>
                <w:color w:val="auto"/>
              </w:rPr>
              <w:t>36</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460" w:type="dxa"/>
            <w:vAlign w:val="bottom"/>
            <w:shd w:val="clear" w:color="auto" w:fill="CCEEFF"/>
          </w:tcPr>
          <w:p>
            <w:pPr>
              <w:ind w:left="320"/>
              <w:spacing w:after="0"/>
              <w:rPr>
                <w:sz w:val="20"/>
                <w:szCs w:val="20"/>
                <w:color w:val="auto"/>
              </w:rPr>
            </w:pPr>
            <w:r>
              <w:rPr>
                <w:rFonts w:ascii="Arial" w:cs="Arial" w:eastAsia="Arial" w:hAnsi="Arial"/>
                <w:sz w:val="18"/>
                <w:szCs w:val="18"/>
                <w:color w:val="auto"/>
              </w:rPr>
              <w:t>Section 5.8</w:t>
            </w:r>
          </w:p>
        </w:tc>
        <w:tc>
          <w:tcPr>
            <w:tcW w:w="7960" w:type="dxa"/>
            <w:vAlign w:val="bottom"/>
            <w:shd w:val="clear" w:color="auto" w:fill="CCEEFF"/>
          </w:tcPr>
          <w:p>
            <w:pPr>
              <w:ind w:left="240"/>
              <w:spacing w:after="0"/>
              <w:rPr>
                <w:sz w:val="20"/>
                <w:szCs w:val="20"/>
                <w:color w:val="auto"/>
              </w:rPr>
            </w:pPr>
            <w:r>
              <w:rPr>
                <w:rFonts w:ascii="Arial" w:cs="Arial" w:eastAsia="Arial" w:hAnsi="Arial"/>
                <w:sz w:val="18"/>
                <w:szCs w:val="18"/>
                <w:color w:val="auto"/>
              </w:rPr>
              <w:t>Indemnification.</w:t>
            </w:r>
          </w:p>
        </w:tc>
        <w:tc>
          <w:tcPr>
            <w:tcW w:w="19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37</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460" w:type="dxa"/>
            <w:vAlign w:val="bottom"/>
          </w:tcPr>
          <w:p>
            <w:pPr>
              <w:ind w:left="320"/>
              <w:spacing w:after="0"/>
              <w:rPr>
                <w:sz w:val="20"/>
                <w:szCs w:val="20"/>
                <w:color w:val="auto"/>
              </w:rPr>
            </w:pPr>
            <w:r>
              <w:rPr>
                <w:rFonts w:ascii="Arial" w:cs="Arial" w:eastAsia="Arial" w:hAnsi="Arial"/>
                <w:sz w:val="18"/>
                <w:szCs w:val="18"/>
                <w:color w:val="auto"/>
              </w:rPr>
              <w:t>Section 5.9</w:t>
            </w:r>
          </w:p>
        </w:tc>
        <w:tc>
          <w:tcPr>
            <w:tcW w:w="7960" w:type="dxa"/>
            <w:vAlign w:val="bottom"/>
          </w:tcPr>
          <w:p>
            <w:pPr>
              <w:ind w:left="240"/>
              <w:spacing w:after="0"/>
              <w:rPr>
                <w:sz w:val="20"/>
                <w:szCs w:val="20"/>
                <w:color w:val="auto"/>
              </w:rPr>
            </w:pPr>
            <w:r>
              <w:rPr>
                <w:rFonts w:ascii="Arial" w:cs="Arial" w:eastAsia="Arial" w:hAnsi="Arial"/>
                <w:sz w:val="18"/>
                <w:szCs w:val="18"/>
                <w:color w:val="auto"/>
              </w:rPr>
              <w:t>ADS Fees and Charges.</w:t>
            </w:r>
          </w:p>
        </w:tc>
        <w:tc>
          <w:tcPr>
            <w:tcW w:w="1980" w:type="dxa"/>
            <w:vAlign w:val="bottom"/>
          </w:tcPr>
          <w:p>
            <w:pPr>
              <w:jc w:val="right"/>
              <w:spacing w:after="0"/>
              <w:rPr>
                <w:sz w:val="20"/>
                <w:szCs w:val="20"/>
                <w:color w:val="auto"/>
              </w:rPr>
            </w:pPr>
            <w:r>
              <w:rPr>
                <w:rFonts w:ascii="Arial" w:cs="Arial" w:eastAsia="Arial" w:hAnsi="Arial"/>
                <w:sz w:val="18"/>
                <w:szCs w:val="18"/>
                <w:color w:val="auto"/>
              </w:rPr>
              <w:t>37</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460" w:type="dxa"/>
            <w:vAlign w:val="bottom"/>
            <w:shd w:val="clear" w:color="auto" w:fill="CCEEFF"/>
          </w:tcPr>
          <w:p>
            <w:pPr>
              <w:ind w:left="320"/>
              <w:spacing w:after="0"/>
              <w:rPr>
                <w:sz w:val="20"/>
                <w:szCs w:val="20"/>
                <w:color w:val="auto"/>
              </w:rPr>
            </w:pPr>
            <w:r>
              <w:rPr>
                <w:rFonts w:ascii="Arial" w:cs="Arial" w:eastAsia="Arial" w:hAnsi="Arial"/>
                <w:sz w:val="18"/>
                <w:szCs w:val="18"/>
                <w:color w:val="auto"/>
              </w:rPr>
              <w:t>Section 5.10</w:t>
            </w:r>
          </w:p>
        </w:tc>
        <w:tc>
          <w:tcPr>
            <w:tcW w:w="7960" w:type="dxa"/>
            <w:vAlign w:val="bottom"/>
            <w:shd w:val="clear" w:color="auto" w:fill="CCEEFF"/>
          </w:tcPr>
          <w:p>
            <w:pPr>
              <w:ind w:left="240"/>
              <w:spacing w:after="0"/>
              <w:rPr>
                <w:sz w:val="20"/>
                <w:szCs w:val="20"/>
                <w:color w:val="auto"/>
              </w:rPr>
            </w:pPr>
            <w:r>
              <w:rPr>
                <w:rFonts w:ascii="Arial" w:cs="Arial" w:eastAsia="Arial" w:hAnsi="Arial"/>
                <w:sz w:val="18"/>
                <w:szCs w:val="18"/>
                <w:color w:val="auto"/>
              </w:rPr>
              <w:t>Restricted Securities Owners.</w:t>
            </w:r>
          </w:p>
        </w:tc>
        <w:tc>
          <w:tcPr>
            <w:tcW w:w="19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39</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9420" w:type="dxa"/>
            <w:vAlign w:val="bottom"/>
            <w:gridSpan w:val="2"/>
          </w:tcPr>
          <w:p>
            <w:pPr>
              <w:spacing w:after="0"/>
              <w:rPr>
                <w:sz w:val="18"/>
                <w:szCs w:val="18"/>
                <w:color w:val="auto"/>
              </w:rPr>
            </w:pPr>
          </w:p>
        </w:tc>
        <w:tc>
          <w:tcPr>
            <w:tcW w:w="1980" w:type="dxa"/>
            <w:vAlign w:val="bottom"/>
          </w:tcPr>
          <w:p>
            <w:pPr>
              <w:spacing w:after="0"/>
              <w:rPr>
                <w:sz w:val="18"/>
                <w:szCs w:val="18"/>
                <w:color w:val="auto"/>
              </w:rPr>
            </w:pPr>
          </w:p>
        </w:tc>
        <w:tc>
          <w:tcPr>
            <w:tcW w:w="20" w:type="dxa"/>
            <w:vAlign w:val="bottom"/>
            <w:vMerge w:val="restart"/>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942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ARTICLE VI AMENDMENT AND TERMINATION</w:t>
            </w:r>
          </w:p>
        </w:tc>
        <w:tc>
          <w:tcPr>
            <w:tcW w:w="19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39</w:t>
            </w:r>
          </w:p>
        </w:tc>
        <w:tc>
          <w:tcPr>
            <w:tcW w:w="2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460" w:type="dxa"/>
            <w:vAlign w:val="bottom"/>
          </w:tcPr>
          <w:p>
            <w:pPr>
              <w:ind w:left="320"/>
              <w:spacing w:after="0"/>
              <w:rPr>
                <w:sz w:val="20"/>
                <w:szCs w:val="20"/>
                <w:color w:val="auto"/>
              </w:rPr>
            </w:pPr>
            <w:r>
              <w:rPr>
                <w:rFonts w:ascii="Arial" w:cs="Arial" w:eastAsia="Arial" w:hAnsi="Arial"/>
                <w:sz w:val="18"/>
                <w:szCs w:val="18"/>
                <w:color w:val="auto"/>
              </w:rPr>
              <w:t>Section 6.1</w:t>
            </w:r>
          </w:p>
        </w:tc>
        <w:tc>
          <w:tcPr>
            <w:tcW w:w="7960" w:type="dxa"/>
            <w:vAlign w:val="bottom"/>
          </w:tcPr>
          <w:p>
            <w:pPr>
              <w:ind w:left="240"/>
              <w:spacing w:after="0"/>
              <w:rPr>
                <w:sz w:val="20"/>
                <w:szCs w:val="20"/>
                <w:color w:val="auto"/>
              </w:rPr>
            </w:pPr>
            <w:r>
              <w:rPr>
                <w:rFonts w:ascii="Arial" w:cs="Arial" w:eastAsia="Arial" w:hAnsi="Arial"/>
                <w:sz w:val="18"/>
                <w:szCs w:val="18"/>
                <w:color w:val="auto"/>
              </w:rPr>
              <w:t>Amendment/Supplement.</w:t>
            </w:r>
          </w:p>
        </w:tc>
        <w:tc>
          <w:tcPr>
            <w:tcW w:w="1980" w:type="dxa"/>
            <w:vAlign w:val="bottom"/>
          </w:tcPr>
          <w:p>
            <w:pPr>
              <w:jc w:val="right"/>
              <w:spacing w:after="0"/>
              <w:rPr>
                <w:sz w:val="20"/>
                <w:szCs w:val="20"/>
                <w:color w:val="auto"/>
              </w:rPr>
            </w:pPr>
            <w:r>
              <w:rPr>
                <w:rFonts w:ascii="Arial" w:cs="Arial" w:eastAsia="Arial" w:hAnsi="Arial"/>
                <w:sz w:val="18"/>
                <w:szCs w:val="18"/>
                <w:color w:val="auto"/>
              </w:rPr>
              <w:t>39</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460" w:type="dxa"/>
            <w:vAlign w:val="bottom"/>
            <w:shd w:val="clear" w:color="auto" w:fill="CCEEFF"/>
          </w:tcPr>
          <w:p>
            <w:pPr>
              <w:ind w:left="320"/>
              <w:spacing w:after="0"/>
              <w:rPr>
                <w:sz w:val="20"/>
                <w:szCs w:val="20"/>
                <w:color w:val="auto"/>
              </w:rPr>
            </w:pPr>
            <w:r>
              <w:rPr>
                <w:rFonts w:ascii="Arial" w:cs="Arial" w:eastAsia="Arial" w:hAnsi="Arial"/>
                <w:sz w:val="18"/>
                <w:szCs w:val="18"/>
                <w:color w:val="auto"/>
              </w:rPr>
              <w:t>Section 6.2</w:t>
            </w:r>
          </w:p>
        </w:tc>
        <w:tc>
          <w:tcPr>
            <w:tcW w:w="7960" w:type="dxa"/>
            <w:vAlign w:val="bottom"/>
            <w:shd w:val="clear" w:color="auto" w:fill="CCEEFF"/>
          </w:tcPr>
          <w:p>
            <w:pPr>
              <w:ind w:left="240"/>
              <w:spacing w:after="0"/>
              <w:rPr>
                <w:sz w:val="20"/>
                <w:szCs w:val="20"/>
                <w:color w:val="auto"/>
              </w:rPr>
            </w:pPr>
            <w:r>
              <w:rPr>
                <w:rFonts w:ascii="Arial" w:cs="Arial" w:eastAsia="Arial" w:hAnsi="Arial"/>
                <w:sz w:val="18"/>
                <w:szCs w:val="18"/>
                <w:color w:val="auto"/>
              </w:rPr>
              <w:t>Termination.</w:t>
            </w:r>
          </w:p>
        </w:tc>
        <w:tc>
          <w:tcPr>
            <w:tcW w:w="19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40</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9420" w:type="dxa"/>
            <w:vAlign w:val="bottom"/>
            <w:gridSpan w:val="2"/>
          </w:tcPr>
          <w:p>
            <w:pPr>
              <w:spacing w:after="0"/>
              <w:rPr>
                <w:sz w:val="18"/>
                <w:szCs w:val="18"/>
                <w:color w:val="auto"/>
              </w:rPr>
            </w:pPr>
          </w:p>
        </w:tc>
        <w:tc>
          <w:tcPr>
            <w:tcW w:w="1980" w:type="dxa"/>
            <w:vAlign w:val="bottom"/>
          </w:tcPr>
          <w:p>
            <w:pPr>
              <w:spacing w:after="0"/>
              <w:rPr>
                <w:sz w:val="18"/>
                <w:szCs w:val="18"/>
                <w:color w:val="auto"/>
              </w:rPr>
            </w:pPr>
          </w:p>
        </w:tc>
        <w:tc>
          <w:tcPr>
            <w:tcW w:w="20" w:type="dxa"/>
            <w:vAlign w:val="bottom"/>
            <w:vMerge w:val="restart"/>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942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ARTICLE VII MISCELLANEOUS</w:t>
            </w:r>
          </w:p>
        </w:tc>
        <w:tc>
          <w:tcPr>
            <w:tcW w:w="19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41</w:t>
            </w:r>
          </w:p>
        </w:tc>
        <w:tc>
          <w:tcPr>
            <w:tcW w:w="2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460" w:type="dxa"/>
            <w:vAlign w:val="bottom"/>
          </w:tcPr>
          <w:p>
            <w:pPr>
              <w:ind w:left="320"/>
              <w:spacing w:after="0"/>
              <w:rPr>
                <w:sz w:val="20"/>
                <w:szCs w:val="20"/>
                <w:color w:val="auto"/>
              </w:rPr>
            </w:pPr>
            <w:r>
              <w:rPr>
                <w:rFonts w:ascii="Arial" w:cs="Arial" w:eastAsia="Arial" w:hAnsi="Arial"/>
                <w:sz w:val="18"/>
                <w:szCs w:val="18"/>
                <w:color w:val="auto"/>
              </w:rPr>
              <w:t>Section 7.1</w:t>
            </w:r>
          </w:p>
        </w:tc>
        <w:tc>
          <w:tcPr>
            <w:tcW w:w="7960" w:type="dxa"/>
            <w:vAlign w:val="bottom"/>
          </w:tcPr>
          <w:p>
            <w:pPr>
              <w:ind w:left="240"/>
              <w:spacing w:after="0"/>
              <w:rPr>
                <w:sz w:val="20"/>
                <w:szCs w:val="20"/>
                <w:color w:val="auto"/>
              </w:rPr>
            </w:pPr>
            <w:r>
              <w:rPr>
                <w:rFonts w:ascii="Arial" w:cs="Arial" w:eastAsia="Arial" w:hAnsi="Arial"/>
                <w:sz w:val="18"/>
                <w:szCs w:val="18"/>
                <w:color w:val="auto"/>
              </w:rPr>
              <w:t>Counterparts.</w:t>
            </w:r>
          </w:p>
        </w:tc>
        <w:tc>
          <w:tcPr>
            <w:tcW w:w="1980" w:type="dxa"/>
            <w:vAlign w:val="bottom"/>
          </w:tcPr>
          <w:p>
            <w:pPr>
              <w:jc w:val="right"/>
              <w:spacing w:after="0"/>
              <w:rPr>
                <w:sz w:val="20"/>
                <w:szCs w:val="20"/>
                <w:color w:val="auto"/>
              </w:rPr>
            </w:pPr>
            <w:r>
              <w:rPr>
                <w:rFonts w:ascii="Arial" w:cs="Arial" w:eastAsia="Arial" w:hAnsi="Arial"/>
                <w:sz w:val="18"/>
                <w:szCs w:val="18"/>
                <w:color w:val="auto"/>
              </w:rPr>
              <w:t>41</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460" w:type="dxa"/>
            <w:vAlign w:val="bottom"/>
            <w:shd w:val="clear" w:color="auto" w:fill="CCEEFF"/>
          </w:tcPr>
          <w:p>
            <w:pPr>
              <w:ind w:left="320"/>
              <w:spacing w:after="0"/>
              <w:rPr>
                <w:sz w:val="20"/>
                <w:szCs w:val="20"/>
                <w:color w:val="auto"/>
              </w:rPr>
            </w:pPr>
            <w:r>
              <w:rPr>
                <w:rFonts w:ascii="Arial" w:cs="Arial" w:eastAsia="Arial" w:hAnsi="Arial"/>
                <w:sz w:val="18"/>
                <w:szCs w:val="18"/>
                <w:color w:val="auto"/>
              </w:rPr>
              <w:t>Section 7.2</w:t>
            </w:r>
          </w:p>
        </w:tc>
        <w:tc>
          <w:tcPr>
            <w:tcW w:w="7960" w:type="dxa"/>
            <w:vAlign w:val="bottom"/>
            <w:shd w:val="clear" w:color="auto" w:fill="CCEEFF"/>
          </w:tcPr>
          <w:p>
            <w:pPr>
              <w:ind w:left="240"/>
              <w:spacing w:after="0"/>
              <w:rPr>
                <w:sz w:val="20"/>
                <w:szCs w:val="20"/>
                <w:color w:val="auto"/>
              </w:rPr>
            </w:pPr>
            <w:r>
              <w:rPr>
                <w:rFonts w:ascii="Arial" w:cs="Arial" w:eastAsia="Arial" w:hAnsi="Arial"/>
                <w:sz w:val="18"/>
                <w:szCs w:val="18"/>
                <w:color w:val="auto"/>
              </w:rPr>
              <w:t>No Third Party Beneficiaries.</w:t>
            </w:r>
          </w:p>
        </w:tc>
        <w:tc>
          <w:tcPr>
            <w:tcW w:w="19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42</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460" w:type="dxa"/>
            <w:vAlign w:val="bottom"/>
          </w:tcPr>
          <w:p>
            <w:pPr>
              <w:ind w:left="320"/>
              <w:spacing w:after="0"/>
              <w:rPr>
                <w:sz w:val="20"/>
                <w:szCs w:val="20"/>
                <w:color w:val="auto"/>
              </w:rPr>
            </w:pPr>
            <w:r>
              <w:rPr>
                <w:rFonts w:ascii="Arial" w:cs="Arial" w:eastAsia="Arial" w:hAnsi="Arial"/>
                <w:sz w:val="18"/>
                <w:szCs w:val="18"/>
                <w:color w:val="auto"/>
              </w:rPr>
              <w:t>Section 7.3</w:t>
            </w:r>
          </w:p>
        </w:tc>
        <w:tc>
          <w:tcPr>
            <w:tcW w:w="7960" w:type="dxa"/>
            <w:vAlign w:val="bottom"/>
          </w:tcPr>
          <w:p>
            <w:pPr>
              <w:ind w:left="240"/>
              <w:spacing w:after="0"/>
              <w:rPr>
                <w:sz w:val="20"/>
                <w:szCs w:val="20"/>
                <w:color w:val="auto"/>
              </w:rPr>
            </w:pPr>
            <w:r>
              <w:rPr>
                <w:rFonts w:ascii="Arial" w:cs="Arial" w:eastAsia="Arial" w:hAnsi="Arial"/>
                <w:sz w:val="18"/>
                <w:szCs w:val="18"/>
                <w:color w:val="auto"/>
              </w:rPr>
              <w:t>Severability.</w:t>
            </w:r>
          </w:p>
        </w:tc>
        <w:tc>
          <w:tcPr>
            <w:tcW w:w="1980" w:type="dxa"/>
            <w:vAlign w:val="bottom"/>
          </w:tcPr>
          <w:p>
            <w:pPr>
              <w:jc w:val="right"/>
              <w:spacing w:after="0"/>
              <w:rPr>
                <w:sz w:val="20"/>
                <w:szCs w:val="20"/>
                <w:color w:val="auto"/>
              </w:rPr>
            </w:pPr>
            <w:r>
              <w:rPr>
                <w:rFonts w:ascii="Arial" w:cs="Arial" w:eastAsia="Arial" w:hAnsi="Arial"/>
                <w:sz w:val="18"/>
                <w:szCs w:val="18"/>
                <w:color w:val="auto"/>
              </w:rPr>
              <w:t>42</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460" w:type="dxa"/>
            <w:vAlign w:val="bottom"/>
            <w:shd w:val="clear" w:color="auto" w:fill="CCEEFF"/>
          </w:tcPr>
          <w:p>
            <w:pPr>
              <w:ind w:left="320"/>
              <w:spacing w:after="0"/>
              <w:rPr>
                <w:sz w:val="20"/>
                <w:szCs w:val="20"/>
                <w:color w:val="auto"/>
              </w:rPr>
            </w:pPr>
            <w:r>
              <w:rPr>
                <w:rFonts w:ascii="Arial" w:cs="Arial" w:eastAsia="Arial" w:hAnsi="Arial"/>
                <w:sz w:val="18"/>
                <w:szCs w:val="18"/>
                <w:color w:val="auto"/>
              </w:rPr>
              <w:t>Section 7.4</w:t>
            </w:r>
          </w:p>
        </w:tc>
        <w:tc>
          <w:tcPr>
            <w:tcW w:w="7960" w:type="dxa"/>
            <w:vAlign w:val="bottom"/>
            <w:shd w:val="clear" w:color="auto" w:fill="CCEEFF"/>
          </w:tcPr>
          <w:p>
            <w:pPr>
              <w:ind w:left="240"/>
              <w:spacing w:after="0"/>
              <w:rPr>
                <w:sz w:val="20"/>
                <w:szCs w:val="20"/>
                <w:color w:val="auto"/>
              </w:rPr>
            </w:pPr>
            <w:r>
              <w:rPr>
                <w:rFonts w:ascii="Arial" w:cs="Arial" w:eastAsia="Arial" w:hAnsi="Arial"/>
                <w:sz w:val="18"/>
                <w:szCs w:val="18"/>
                <w:color w:val="auto"/>
              </w:rPr>
              <w:t>Holders and Beneficial Owners as Parties; Binding Effect.</w:t>
            </w:r>
          </w:p>
        </w:tc>
        <w:tc>
          <w:tcPr>
            <w:tcW w:w="19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42</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460" w:type="dxa"/>
            <w:vAlign w:val="bottom"/>
          </w:tcPr>
          <w:p>
            <w:pPr>
              <w:ind w:left="320"/>
              <w:spacing w:after="0"/>
              <w:rPr>
                <w:sz w:val="20"/>
                <w:szCs w:val="20"/>
                <w:color w:val="auto"/>
              </w:rPr>
            </w:pPr>
            <w:r>
              <w:rPr>
                <w:rFonts w:ascii="Arial" w:cs="Arial" w:eastAsia="Arial" w:hAnsi="Arial"/>
                <w:sz w:val="18"/>
                <w:szCs w:val="18"/>
                <w:color w:val="auto"/>
              </w:rPr>
              <w:t>Section 7.5</w:t>
            </w:r>
          </w:p>
        </w:tc>
        <w:tc>
          <w:tcPr>
            <w:tcW w:w="7960" w:type="dxa"/>
            <w:vAlign w:val="bottom"/>
          </w:tcPr>
          <w:p>
            <w:pPr>
              <w:ind w:left="240"/>
              <w:spacing w:after="0"/>
              <w:rPr>
                <w:sz w:val="20"/>
                <w:szCs w:val="20"/>
                <w:color w:val="auto"/>
              </w:rPr>
            </w:pPr>
            <w:r>
              <w:rPr>
                <w:rFonts w:ascii="Arial" w:cs="Arial" w:eastAsia="Arial" w:hAnsi="Arial"/>
                <w:sz w:val="18"/>
                <w:szCs w:val="18"/>
                <w:color w:val="auto"/>
              </w:rPr>
              <w:t>Notices.</w:t>
            </w:r>
          </w:p>
        </w:tc>
        <w:tc>
          <w:tcPr>
            <w:tcW w:w="1980" w:type="dxa"/>
            <w:vAlign w:val="bottom"/>
          </w:tcPr>
          <w:p>
            <w:pPr>
              <w:jc w:val="right"/>
              <w:spacing w:after="0"/>
              <w:rPr>
                <w:sz w:val="20"/>
                <w:szCs w:val="20"/>
                <w:color w:val="auto"/>
              </w:rPr>
            </w:pPr>
            <w:r>
              <w:rPr>
                <w:rFonts w:ascii="Arial" w:cs="Arial" w:eastAsia="Arial" w:hAnsi="Arial"/>
                <w:sz w:val="18"/>
                <w:szCs w:val="18"/>
                <w:color w:val="auto"/>
              </w:rPr>
              <w:t>42</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460" w:type="dxa"/>
            <w:vAlign w:val="bottom"/>
            <w:shd w:val="clear" w:color="auto" w:fill="CCEEFF"/>
          </w:tcPr>
          <w:p>
            <w:pPr>
              <w:ind w:left="320"/>
              <w:spacing w:after="0"/>
              <w:rPr>
                <w:sz w:val="20"/>
                <w:szCs w:val="20"/>
                <w:color w:val="auto"/>
              </w:rPr>
            </w:pPr>
            <w:r>
              <w:rPr>
                <w:rFonts w:ascii="Arial" w:cs="Arial" w:eastAsia="Arial" w:hAnsi="Arial"/>
                <w:sz w:val="18"/>
                <w:szCs w:val="18"/>
                <w:color w:val="auto"/>
              </w:rPr>
              <w:t>Section 7.6</w:t>
            </w:r>
          </w:p>
        </w:tc>
        <w:tc>
          <w:tcPr>
            <w:tcW w:w="7960" w:type="dxa"/>
            <w:vAlign w:val="bottom"/>
            <w:shd w:val="clear" w:color="auto" w:fill="CCEEFF"/>
          </w:tcPr>
          <w:p>
            <w:pPr>
              <w:ind w:left="240"/>
              <w:spacing w:after="0"/>
              <w:rPr>
                <w:sz w:val="20"/>
                <w:szCs w:val="20"/>
                <w:color w:val="auto"/>
              </w:rPr>
            </w:pPr>
            <w:r>
              <w:rPr>
                <w:rFonts w:ascii="Arial" w:cs="Arial" w:eastAsia="Arial" w:hAnsi="Arial"/>
                <w:sz w:val="18"/>
                <w:szCs w:val="18"/>
                <w:color w:val="auto"/>
              </w:rPr>
              <w:t>Governing Law and Jurisdiction.</w:t>
            </w:r>
          </w:p>
        </w:tc>
        <w:tc>
          <w:tcPr>
            <w:tcW w:w="19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43</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460" w:type="dxa"/>
            <w:vAlign w:val="bottom"/>
          </w:tcPr>
          <w:p>
            <w:pPr>
              <w:ind w:left="320"/>
              <w:spacing w:after="0"/>
              <w:rPr>
                <w:sz w:val="20"/>
                <w:szCs w:val="20"/>
                <w:color w:val="auto"/>
              </w:rPr>
            </w:pPr>
            <w:r>
              <w:rPr>
                <w:rFonts w:ascii="Arial" w:cs="Arial" w:eastAsia="Arial" w:hAnsi="Arial"/>
                <w:sz w:val="18"/>
                <w:szCs w:val="18"/>
                <w:color w:val="auto"/>
              </w:rPr>
              <w:t>Section 7.7</w:t>
            </w:r>
          </w:p>
        </w:tc>
        <w:tc>
          <w:tcPr>
            <w:tcW w:w="7960" w:type="dxa"/>
            <w:vAlign w:val="bottom"/>
          </w:tcPr>
          <w:p>
            <w:pPr>
              <w:ind w:left="240"/>
              <w:spacing w:after="0"/>
              <w:rPr>
                <w:sz w:val="20"/>
                <w:szCs w:val="20"/>
                <w:color w:val="auto"/>
              </w:rPr>
            </w:pPr>
            <w:r>
              <w:rPr>
                <w:rFonts w:ascii="Arial" w:cs="Arial" w:eastAsia="Arial" w:hAnsi="Arial"/>
                <w:sz w:val="18"/>
                <w:szCs w:val="18"/>
                <w:color w:val="auto"/>
              </w:rPr>
              <w:t>Assignment.</w:t>
            </w:r>
          </w:p>
        </w:tc>
        <w:tc>
          <w:tcPr>
            <w:tcW w:w="1980" w:type="dxa"/>
            <w:vAlign w:val="bottom"/>
          </w:tcPr>
          <w:p>
            <w:pPr>
              <w:jc w:val="right"/>
              <w:spacing w:after="0"/>
              <w:rPr>
                <w:sz w:val="20"/>
                <w:szCs w:val="20"/>
                <w:color w:val="auto"/>
              </w:rPr>
            </w:pPr>
            <w:r>
              <w:rPr>
                <w:rFonts w:ascii="Arial" w:cs="Arial" w:eastAsia="Arial" w:hAnsi="Arial"/>
                <w:sz w:val="18"/>
                <w:szCs w:val="18"/>
                <w:color w:val="auto"/>
              </w:rPr>
              <w:t>44</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460" w:type="dxa"/>
            <w:vAlign w:val="bottom"/>
            <w:shd w:val="clear" w:color="auto" w:fill="CCEEFF"/>
          </w:tcPr>
          <w:p>
            <w:pPr>
              <w:ind w:left="320"/>
              <w:spacing w:after="0"/>
              <w:rPr>
                <w:sz w:val="20"/>
                <w:szCs w:val="20"/>
                <w:color w:val="auto"/>
              </w:rPr>
            </w:pPr>
            <w:r>
              <w:rPr>
                <w:rFonts w:ascii="Arial" w:cs="Arial" w:eastAsia="Arial" w:hAnsi="Arial"/>
                <w:sz w:val="18"/>
                <w:szCs w:val="18"/>
                <w:color w:val="auto"/>
              </w:rPr>
              <w:t>Section 7.8</w:t>
            </w:r>
          </w:p>
        </w:tc>
        <w:tc>
          <w:tcPr>
            <w:tcW w:w="7960" w:type="dxa"/>
            <w:vAlign w:val="bottom"/>
            <w:shd w:val="clear" w:color="auto" w:fill="CCEEFF"/>
          </w:tcPr>
          <w:p>
            <w:pPr>
              <w:ind w:left="240"/>
              <w:spacing w:after="0"/>
              <w:rPr>
                <w:sz w:val="20"/>
                <w:szCs w:val="20"/>
                <w:color w:val="auto"/>
              </w:rPr>
            </w:pPr>
            <w:r>
              <w:rPr>
                <w:rFonts w:ascii="Arial" w:cs="Arial" w:eastAsia="Arial" w:hAnsi="Arial"/>
                <w:sz w:val="18"/>
                <w:szCs w:val="18"/>
                <w:color w:val="auto"/>
              </w:rPr>
              <w:t>Compliance with, and No Disclaimer under, U.S. Securities Laws.</w:t>
            </w:r>
          </w:p>
        </w:tc>
        <w:tc>
          <w:tcPr>
            <w:tcW w:w="19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44</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460" w:type="dxa"/>
            <w:vAlign w:val="bottom"/>
          </w:tcPr>
          <w:p>
            <w:pPr>
              <w:ind w:left="320"/>
              <w:spacing w:after="0"/>
              <w:rPr>
                <w:sz w:val="20"/>
                <w:szCs w:val="20"/>
                <w:color w:val="auto"/>
              </w:rPr>
            </w:pPr>
            <w:r>
              <w:rPr>
                <w:rFonts w:ascii="Arial" w:cs="Arial" w:eastAsia="Arial" w:hAnsi="Arial"/>
                <w:sz w:val="18"/>
                <w:szCs w:val="18"/>
                <w:color w:val="auto"/>
              </w:rPr>
              <w:t>Section 7.9</w:t>
            </w:r>
          </w:p>
        </w:tc>
        <w:tc>
          <w:tcPr>
            <w:tcW w:w="7960" w:type="dxa"/>
            <w:vAlign w:val="bottom"/>
          </w:tcPr>
          <w:p>
            <w:pPr>
              <w:ind w:left="240"/>
              <w:spacing w:after="0"/>
              <w:rPr>
                <w:sz w:val="20"/>
                <w:szCs w:val="20"/>
                <w:color w:val="auto"/>
              </w:rPr>
            </w:pPr>
            <w:r>
              <w:rPr>
                <w:rFonts w:ascii="Arial" w:cs="Arial" w:eastAsia="Arial" w:hAnsi="Arial"/>
                <w:sz w:val="18"/>
                <w:szCs w:val="18"/>
                <w:color w:val="auto"/>
              </w:rPr>
              <w:t>England and Wales Law References.</w:t>
            </w:r>
          </w:p>
        </w:tc>
        <w:tc>
          <w:tcPr>
            <w:tcW w:w="1980" w:type="dxa"/>
            <w:vAlign w:val="bottom"/>
          </w:tcPr>
          <w:p>
            <w:pPr>
              <w:jc w:val="right"/>
              <w:spacing w:after="0"/>
              <w:rPr>
                <w:sz w:val="20"/>
                <w:szCs w:val="20"/>
                <w:color w:val="auto"/>
              </w:rPr>
            </w:pPr>
            <w:r>
              <w:rPr>
                <w:rFonts w:ascii="Arial" w:cs="Arial" w:eastAsia="Arial" w:hAnsi="Arial"/>
                <w:sz w:val="18"/>
                <w:szCs w:val="18"/>
                <w:color w:val="auto"/>
              </w:rPr>
              <w:t>45</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460" w:type="dxa"/>
            <w:vAlign w:val="bottom"/>
            <w:shd w:val="clear" w:color="auto" w:fill="CCEEFF"/>
          </w:tcPr>
          <w:p>
            <w:pPr>
              <w:ind w:left="320"/>
              <w:spacing w:after="0"/>
              <w:rPr>
                <w:sz w:val="20"/>
                <w:szCs w:val="20"/>
                <w:color w:val="auto"/>
              </w:rPr>
            </w:pPr>
            <w:r>
              <w:rPr>
                <w:rFonts w:ascii="Arial" w:cs="Arial" w:eastAsia="Arial" w:hAnsi="Arial"/>
                <w:sz w:val="18"/>
                <w:szCs w:val="18"/>
                <w:color w:val="auto"/>
              </w:rPr>
              <w:t>Section 7.10</w:t>
            </w:r>
          </w:p>
        </w:tc>
        <w:tc>
          <w:tcPr>
            <w:tcW w:w="7960" w:type="dxa"/>
            <w:vAlign w:val="bottom"/>
            <w:shd w:val="clear" w:color="auto" w:fill="CCEEFF"/>
          </w:tcPr>
          <w:p>
            <w:pPr>
              <w:ind w:left="240"/>
              <w:spacing w:after="0"/>
              <w:rPr>
                <w:sz w:val="20"/>
                <w:szCs w:val="20"/>
                <w:color w:val="auto"/>
              </w:rPr>
            </w:pPr>
            <w:r>
              <w:rPr>
                <w:rFonts w:ascii="Arial" w:cs="Arial" w:eastAsia="Arial" w:hAnsi="Arial"/>
                <w:sz w:val="18"/>
                <w:szCs w:val="18"/>
                <w:color w:val="auto"/>
              </w:rPr>
              <w:t>Titles and References.</w:t>
            </w:r>
          </w:p>
        </w:tc>
        <w:tc>
          <w:tcPr>
            <w:tcW w:w="19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45</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1460" w:type="dxa"/>
            <w:vAlign w:val="bottom"/>
          </w:tcPr>
          <w:p>
            <w:pPr>
              <w:spacing w:after="0"/>
              <w:rPr>
                <w:sz w:val="18"/>
                <w:szCs w:val="18"/>
                <w:color w:val="auto"/>
              </w:rPr>
            </w:pPr>
          </w:p>
        </w:tc>
        <w:tc>
          <w:tcPr>
            <w:tcW w:w="7960" w:type="dxa"/>
            <w:vAlign w:val="bottom"/>
          </w:tcPr>
          <w:p>
            <w:pPr>
              <w:spacing w:after="0"/>
              <w:rPr>
                <w:sz w:val="18"/>
                <w:szCs w:val="18"/>
                <w:color w:val="auto"/>
              </w:rPr>
            </w:pPr>
          </w:p>
        </w:tc>
        <w:tc>
          <w:tcPr>
            <w:tcW w:w="19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1460" w:type="dxa"/>
            <w:vAlign w:val="bottom"/>
            <w:shd w:val="clear" w:color="auto" w:fill="CCEEFF"/>
          </w:tcPr>
          <w:p>
            <w:pPr>
              <w:spacing w:after="0"/>
              <w:rPr>
                <w:sz w:val="20"/>
                <w:szCs w:val="20"/>
                <w:color w:val="auto"/>
              </w:rPr>
            </w:pPr>
            <w:r>
              <w:rPr>
                <w:rFonts w:ascii="Arial" w:cs="Arial" w:eastAsia="Arial" w:hAnsi="Arial"/>
                <w:sz w:val="18"/>
                <w:szCs w:val="18"/>
                <w:color w:val="auto"/>
              </w:rPr>
              <w:t>EXHIBITS</w:t>
            </w:r>
          </w:p>
        </w:tc>
        <w:tc>
          <w:tcPr>
            <w:tcW w:w="7960" w:type="dxa"/>
            <w:vAlign w:val="bottom"/>
            <w:shd w:val="clear" w:color="auto" w:fill="CCEEFF"/>
          </w:tcPr>
          <w:p>
            <w:pPr>
              <w:spacing w:after="0"/>
              <w:rPr>
                <w:sz w:val="18"/>
                <w:szCs w:val="18"/>
                <w:color w:val="auto"/>
              </w:rPr>
            </w:pPr>
          </w:p>
        </w:tc>
        <w:tc>
          <w:tcPr>
            <w:tcW w:w="1980" w:type="dxa"/>
            <w:vAlign w:val="bottom"/>
            <w:shd w:val="clear" w:color="auto" w:fill="CCEEFF"/>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460" w:type="dxa"/>
            <w:vAlign w:val="bottom"/>
          </w:tcPr>
          <w:p>
            <w:pPr>
              <w:spacing w:after="0"/>
              <w:rPr>
                <w:sz w:val="18"/>
                <w:szCs w:val="18"/>
                <w:color w:val="auto"/>
              </w:rPr>
            </w:pPr>
          </w:p>
        </w:tc>
        <w:tc>
          <w:tcPr>
            <w:tcW w:w="7960" w:type="dxa"/>
            <w:vAlign w:val="bottom"/>
          </w:tcPr>
          <w:p>
            <w:pPr>
              <w:ind w:left="240"/>
              <w:spacing w:after="0"/>
              <w:rPr>
                <w:sz w:val="20"/>
                <w:szCs w:val="20"/>
                <w:color w:val="auto"/>
              </w:rPr>
            </w:pPr>
            <w:r>
              <w:rPr>
                <w:rFonts w:ascii="Arial" w:cs="Arial" w:eastAsia="Arial" w:hAnsi="Arial"/>
                <w:sz w:val="18"/>
                <w:szCs w:val="18"/>
                <w:color w:val="auto"/>
              </w:rPr>
              <w:t>Form of ADR.</w:t>
            </w:r>
          </w:p>
        </w:tc>
        <w:tc>
          <w:tcPr>
            <w:tcW w:w="1980" w:type="dxa"/>
            <w:vAlign w:val="bottom"/>
          </w:tcPr>
          <w:p>
            <w:pPr>
              <w:jc w:val="right"/>
              <w:spacing w:after="0"/>
              <w:rPr>
                <w:sz w:val="20"/>
                <w:szCs w:val="20"/>
                <w:color w:val="auto"/>
              </w:rPr>
            </w:pPr>
            <w:r>
              <w:rPr>
                <w:rFonts w:ascii="Arial" w:cs="Arial" w:eastAsia="Arial" w:hAnsi="Arial"/>
                <w:sz w:val="18"/>
                <w:szCs w:val="18"/>
                <w:color w:val="auto"/>
              </w:rPr>
              <w:t>A-1</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460" w:type="dxa"/>
            <w:vAlign w:val="bottom"/>
            <w:shd w:val="clear" w:color="auto" w:fill="CCEEFF"/>
          </w:tcPr>
          <w:p>
            <w:pPr>
              <w:spacing w:after="0"/>
              <w:rPr>
                <w:sz w:val="18"/>
                <w:szCs w:val="18"/>
                <w:color w:val="auto"/>
              </w:rPr>
            </w:pPr>
          </w:p>
        </w:tc>
        <w:tc>
          <w:tcPr>
            <w:tcW w:w="7960" w:type="dxa"/>
            <w:vAlign w:val="bottom"/>
            <w:shd w:val="clear" w:color="auto" w:fill="CCEEFF"/>
          </w:tcPr>
          <w:p>
            <w:pPr>
              <w:ind w:left="240"/>
              <w:spacing w:after="0"/>
              <w:rPr>
                <w:sz w:val="20"/>
                <w:szCs w:val="20"/>
                <w:color w:val="auto"/>
              </w:rPr>
            </w:pPr>
            <w:r>
              <w:rPr>
                <w:rFonts w:ascii="Arial" w:cs="Arial" w:eastAsia="Arial" w:hAnsi="Arial"/>
                <w:sz w:val="18"/>
                <w:szCs w:val="18"/>
                <w:color w:val="auto"/>
              </w:rPr>
              <w:t>Fee Schedule.</w:t>
            </w:r>
          </w:p>
        </w:tc>
        <w:tc>
          <w:tcPr>
            <w:tcW w:w="19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B-1</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bl>
    <w:p>
      <w:pPr>
        <w:spacing w:after="0" w:line="303"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iii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7620</wp:posOffset>
            </wp:positionV>
            <wp:extent cx="7246620" cy="17145"/>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368" w:right="239" w:bottom="1440" w:gutter="0" w:footer="0" w:header="0"/>
        </w:sectPr>
      </w:pPr>
    </w:p>
    <w:bookmarkStart w:id="17" w:name="page18"/>
    <w:bookmarkEnd w:id="17"/>
    <w:p>
      <w:pPr>
        <w:jc w:val="center"/>
        <w:ind w:right="-19"/>
        <w:spacing w:after="0"/>
        <w:rPr>
          <w:sz w:val="20"/>
          <w:szCs w:val="20"/>
          <w:color w:val="auto"/>
        </w:rPr>
      </w:pPr>
      <w:r>
        <w:rPr>
          <w:rFonts w:ascii="Arial" w:cs="Arial" w:eastAsia="Arial" w:hAnsi="Arial"/>
          <w:sz w:val="18"/>
          <w:szCs w:val="18"/>
          <w:b w:val="1"/>
          <w:bCs w:val="1"/>
          <w:color w:val="auto"/>
        </w:rPr>
        <w:t>DEPOSIT AGREEMENT</w:t>
      </w:r>
    </w:p>
    <w:p>
      <w:pPr>
        <w:spacing w:after="0" w:line="225" w:lineRule="exact"/>
        <w:rPr>
          <w:sz w:val="20"/>
          <w:szCs w:val="20"/>
          <w:color w:val="auto"/>
        </w:rPr>
      </w:pPr>
    </w:p>
    <w:p>
      <w:pPr>
        <w:ind w:left="660"/>
        <w:spacing w:after="0"/>
        <w:rPr>
          <w:sz w:val="20"/>
          <w:szCs w:val="20"/>
          <w:color w:val="auto"/>
        </w:rPr>
      </w:pPr>
      <w:r>
        <w:rPr>
          <w:rFonts w:ascii="Arial" w:cs="Arial" w:eastAsia="Arial" w:hAnsi="Arial"/>
          <w:sz w:val="16"/>
          <w:szCs w:val="16"/>
          <w:b w:val="1"/>
          <w:bCs w:val="1"/>
          <w:color w:val="auto"/>
        </w:rPr>
        <w:t>DEPOSIT AGREEMENT</w:t>
      </w:r>
      <w:r>
        <w:rPr>
          <w:rFonts w:ascii="Arial" w:cs="Arial" w:eastAsia="Arial" w:hAnsi="Arial"/>
          <w:sz w:val="16"/>
          <w:szCs w:val="16"/>
          <w:color w:val="auto"/>
        </w:rPr>
        <w:t>, dated as of [DATE], 2019, by and among (i) Mereo BioPharma Group plc, a public limited company incorporated under</w:t>
      </w:r>
    </w:p>
    <w:p>
      <w:pPr>
        <w:spacing w:after="0" w:line="50" w:lineRule="exact"/>
        <w:rPr>
          <w:sz w:val="20"/>
          <w:szCs w:val="20"/>
          <w:color w:val="auto"/>
        </w:rPr>
      </w:pPr>
    </w:p>
    <w:p>
      <w:pPr>
        <w:spacing w:after="0"/>
        <w:rPr>
          <w:sz w:val="20"/>
          <w:szCs w:val="20"/>
          <w:color w:val="auto"/>
        </w:rPr>
      </w:pPr>
      <w:r>
        <w:rPr>
          <w:rFonts w:ascii="Arial" w:cs="Arial" w:eastAsia="Arial" w:hAnsi="Arial"/>
          <w:sz w:val="17"/>
          <w:szCs w:val="17"/>
          <w:color w:val="auto"/>
        </w:rPr>
        <w:t>the laws of England and Wales and its successors (the “</w:t>
      </w:r>
      <w:r>
        <w:rPr>
          <w:rFonts w:ascii="Arial" w:cs="Arial" w:eastAsia="Arial" w:hAnsi="Arial"/>
          <w:sz w:val="17"/>
          <w:szCs w:val="17"/>
          <w:u w:val="single" w:color="auto"/>
          <w:color w:val="auto"/>
        </w:rPr>
        <w:t>Company</w:t>
      </w:r>
      <w:r>
        <w:rPr>
          <w:rFonts w:ascii="Arial" w:cs="Arial" w:eastAsia="Arial" w:hAnsi="Arial"/>
          <w:sz w:val="17"/>
          <w:szCs w:val="17"/>
          <w:color w:val="auto"/>
        </w:rPr>
        <w:t>”), (ii) CITIBANK, N.A., a national banking association organized under the laws of the</w:t>
      </w:r>
    </w:p>
    <w:p>
      <w:pPr>
        <w:spacing w:after="0" w:line="21" w:lineRule="exact"/>
        <w:rPr>
          <w:sz w:val="20"/>
          <w:szCs w:val="20"/>
          <w:color w:val="auto"/>
        </w:rPr>
      </w:pPr>
    </w:p>
    <w:p>
      <w:pPr>
        <w:spacing w:after="0"/>
        <w:rPr>
          <w:sz w:val="20"/>
          <w:szCs w:val="20"/>
          <w:color w:val="auto"/>
        </w:rPr>
      </w:pPr>
      <w:r>
        <w:rPr>
          <w:rFonts w:ascii="Arial" w:cs="Arial" w:eastAsia="Arial" w:hAnsi="Arial"/>
          <w:sz w:val="17"/>
          <w:szCs w:val="17"/>
          <w:color w:val="auto"/>
        </w:rPr>
        <w:t>United States of America (“</w:t>
      </w:r>
      <w:r>
        <w:rPr>
          <w:rFonts w:ascii="Arial" w:cs="Arial" w:eastAsia="Arial" w:hAnsi="Arial"/>
          <w:sz w:val="17"/>
          <w:szCs w:val="17"/>
          <w:u w:val="single" w:color="auto"/>
          <w:color w:val="auto"/>
        </w:rPr>
        <w:t>Citibank</w:t>
      </w:r>
      <w:r>
        <w:rPr>
          <w:rFonts w:ascii="Arial" w:cs="Arial" w:eastAsia="Arial" w:hAnsi="Arial"/>
          <w:sz w:val="17"/>
          <w:szCs w:val="17"/>
          <w:color w:val="auto"/>
        </w:rPr>
        <w:t>”) acting in its capacity as depositary, and any successor depositary hereunder (Citibank in such capacity, the</w:t>
      </w:r>
    </w:p>
    <w:p>
      <w:pPr>
        <w:spacing w:after="0" w:line="21" w:lineRule="exact"/>
        <w:rPr>
          <w:sz w:val="20"/>
          <w:szCs w:val="20"/>
          <w:color w:val="auto"/>
        </w:rPr>
      </w:pPr>
    </w:p>
    <w:p>
      <w:pPr>
        <w:spacing w:after="0"/>
        <w:rPr>
          <w:sz w:val="20"/>
          <w:szCs w:val="20"/>
          <w:color w:val="auto"/>
        </w:rPr>
      </w:pPr>
      <w:r>
        <w:rPr>
          <w:rFonts w:ascii="Arial" w:cs="Arial" w:eastAsia="Arial" w:hAnsi="Arial"/>
          <w:sz w:val="17"/>
          <w:szCs w:val="17"/>
          <w:color w:val="auto"/>
        </w:rPr>
        <w:t>“</w:t>
      </w:r>
      <w:r>
        <w:rPr>
          <w:rFonts w:ascii="Arial" w:cs="Arial" w:eastAsia="Arial" w:hAnsi="Arial"/>
          <w:sz w:val="17"/>
          <w:szCs w:val="17"/>
          <w:u w:val="single" w:color="auto"/>
          <w:color w:val="auto"/>
        </w:rPr>
        <w:t>Depositary</w:t>
      </w:r>
      <w:r>
        <w:rPr>
          <w:rFonts w:ascii="Arial" w:cs="Arial" w:eastAsia="Arial" w:hAnsi="Arial"/>
          <w:sz w:val="17"/>
          <w:szCs w:val="17"/>
          <w:color w:val="auto"/>
        </w:rPr>
        <w:t>”), and (iii) all Holders and Beneficial Owners of American Depositary Shares issued hereunder (all such capitalized terms as hereinafter</w:t>
      </w:r>
    </w:p>
    <w:p>
      <w:pPr>
        <w:spacing w:after="0" w:line="21" w:lineRule="exact"/>
        <w:rPr>
          <w:sz w:val="20"/>
          <w:szCs w:val="20"/>
          <w:color w:val="auto"/>
        </w:rPr>
      </w:pPr>
    </w:p>
    <w:p>
      <w:pPr>
        <w:spacing w:after="0"/>
        <w:rPr>
          <w:sz w:val="20"/>
          <w:szCs w:val="20"/>
          <w:color w:val="auto"/>
        </w:rPr>
      </w:pPr>
      <w:r>
        <w:rPr>
          <w:rFonts w:ascii="Arial" w:cs="Arial" w:eastAsia="Arial" w:hAnsi="Arial"/>
          <w:sz w:val="18"/>
          <w:szCs w:val="18"/>
          <w:color w:val="auto"/>
        </w:rPr>
        <w:t>defined).</w:t>
      </w:r>
    </w:p>
    <w:p>
      <w:pPr>
        <w:spacing w:after="0" w:line="207"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W I T N E S S E T H  T H A T</w:t>
      </w:r>
      <w:r>
        <w:rPr>
          <w:rFonts w:ascii="Arial" w:cs="Arial" w:eastAsia="Arial" w:hAnsi="Arial"/>
          <w:sz w:val="18"/>
          <w:szCs w:val="18"/>
          <w:color w:val="auto"/>
        </w:rPr>
        <w:t>:</w:t>
      </w:r>
    </w:p>
    <w:p>
      <w:pPr>
        <w:spacing w:after="0" w:line="225" w:lineRule="exact"/>
        <w:rPr>
          <w:sz w:val="20"/>
          <w:szCs w:val="20"/>
          <w:color w:val="auto"/>
        </w:rPr>
      </w:pPr>
    </w:p>
    <w:p>
      <w:pPr>
        <w:jc w:val="both"/>
        <w:ind w:right="60" w:firstLine="648"/>
        <w:spacing w:after="0" w:line="266" w:lineRule="auto"/>
        <w:rPr>
          <w:sz w:val="20"/>
          <w:szCs w:val="20"/>
          <w:color w:val="auto"/>
        </w:rPr>
      </w:pPr>
      <w:r>
        <w:rPr>
          <w:rFonts w:ascii="Arial" w:cs="Arial" w:eastAsia="Arial" w:hAnsi="Arial"/>
          <w:sz w:val="18"/>
          <w:szCs w:val="18"/>
          <w:b w:val="1"/>
          <w:bCs w:val="1"/>
          <w:color w:val="auto"/>
        </w:rPr>
        <w:t>WHEREAS</w:t>
      </w:r>
      <w:r>
        <w:rPr>
          <w:rFonts w:ascii="Arial" w:cs="Arial" w:eastAsia="Arial" w:hAnsi="Arial"/>
          <w:sz w:val="18"/>
          <w:szCs w:val="18"/>
          <w:color w:val="auto"/>
        </w:rPr>
        <w:t>, the Company desires to establish with the Depositary an ADR facility to provide for the deposit of the Shares (as hereinafter defined)</w:t>
      </w:r>
      <w:r>
        <w:rPr>
          <w:rFonts w:ascii="Arial" w:cs="Arial" w:eastAsia="Arial" w:hAnsi="Arial"/>
          <w:sz w:val="18"/>
          <w:szCs w:val="18"/>
          <w:b w:val="1"/>
          <w:bCs w:val="1"/>
          <w:color w:val="auto"/>
        </w:rPr>
        <w:t xml:space="preserve"> </w:t>
      </w:r>
      <w:r>
        <w:rPr>
          <w:rFonts w:ascii="Arial" w:cs="Arial" w:eastAsia="Arial" w:hAnsi="Arial"/>
          <w:sz w:val="18"/>
          <w:szCs w:val="18"/>
          <w:color w:val="auto"/>
        </w:rPr>
        <w:t>and the creation of American Depositary Shares representing the Shares so deposited and for the execution and Delivery (as hereinafter defined) of American Depositary Receipts (as hereinafter defined) evidencing such American Depositary Shares; and</w:t>
      </w:r>
    </w:p>
    <w:p>
      <w:pPr>
        <w:spacing w:after="0" w:line="176" w:lineRule="exact"/>
        <w:rPr>
          <w:sz w:val="20"/>
          <w:szCs w:val="20"/>
          <w:color w:val="auto"/>
        </w:rPr>
      </w:pPr>
    </w:p>
    <w:p>
      <w:pPr>
        <w:ind w:right="720" w:firstLine="648"/>
        <w:spacing w:after="0" w:line="282" w:lineRule="auto"/>
        <w:rPr>
          <w:sz w:val="20"/>
          <w:szCs w:val="20"/>
          <w:color w:val="auto"/>
        </w:rPr>
      </w:pPr>
      <w:r>
        <w:rPr>
          <w:rFonts w:ascii="Arial" w:cs="Arial" w:eastAsia="Arial" w:hAnsi="Arial"/>
          <w:sz w:val="18"/>
          <w:szCs w:val="18"/>
          <w:b w:val="1"/>
          <w:bCs w:val="1"/>
          <w:color w:val="auto"/>
        </w:rPr>
        <w:t>WHEREAS</w:t>
      </w:r>
      <w:r>
        <w:rPr>
          <w:rFonts w:ascii="Arial" w:cs="Arial" w:eastAsia="Arial" w:hAnsi="Arial"/>
          <w:sz w:val="18"/>
          <w:szCs w:val="18"/>
          <w:color w:val="auto"/>
        </w:rPr>
        <w:t>, the Depositary is willing to act as the Depositary for such ADR facility upon the terms set forth in the Deposit Agreement (as</w:t>
      </w:r>
      <w:r>
        <w:rPr>
          <w:rFonts w:ascii="Arial" w:cs="Arial" w:eastAsia="Arial" w:hAnsi="Arial"/>
          <w:sz w:val="18"/>
          <w:szCs w:val="18"/>
          <w:b w:val="1"/>
          <w:bCs w:val="1"/>
          <w:color w:val="auto"/>
        </w:rPr>
        <w:t xml:space="preserve"> </w:t>
      </w:r>
      <w:r>
        <w:rPr>
          <w:rFonts w:ascii="Arial" w:cs="Arial" w:eastAsia="Arial" w:hAnsi="Arial"/>
          <w:sz w:val="18"/>
          <w:szCs w:val="18"/>
          <w:color w:val="auto"/>
        </w:rPr>
        <w:t>hereinafter defined); and</w:t>
      </w:r>
    </w:p>
    <w:p>
      <w:pPr>
        <w:spacing w:after="0" w:line="162" w:lineRule="exact"/>
        <w:rPr>
          <w:sz w:val="20"/>
          <w:szCs w:val="20"/>
          <w:color w:val="auto"/>
        </w:rPr>
      </w:pPr>
    </w:p>
    <w:p>
      <w:pPr>
        <w:ind w:right="40" w:firstLine="648"/>
        <w:spacing w:after="0" w:line="282" w:lineRule="auto"/>
        <w:rPr>
          <w:sz w:val="20"/>
          <w:szCs w:val="20"/>
          <w:color w:val="auto"/>
        </w:rPr>
      </w:pPr>
      <w:r>
        <w:rPr>
          <w:rFonts w:ascii="Arial" w:cs="Arial" w:eastAsia="Arial" w:hAnsi="Arial"/>
          <w:sz w:val="18"/>
          <w:szCs w:val="18"/>
          <w:b w:val="1"/>
          <w:bCs w:val="1"/>
          <w:color w:val="auto"/>
        </w:rPr>
        <w:t>WHEREAS</w:t>
      </w:r>
      <w:r>
        <w:rPr>
          <w:rFonts w:ascii="Arial" w:cs="Arial" w:eastAsia="Arial" w:hAnsi="Arial"/>
          <w:sz w:val="18"/>
          <w:szCs w:val="18"/>
          <w:color w:val="auto"/>
        </w:rPr>
        <w:t>, any American Depositary Receipts issued pursuant to the terms of the Deposit Agreement are to be substantially in the form of</w:t>
      </w:r>
      <w:r>
        <w:rPr>
          <w:rFonts w:ascii="Arial" w:cs="Arial" w:eastAsia="Arial" w:hAnsi="Arial"/>
          <w:sz w:val="18"/>
          <w:szCs w:val="18"/>
          <w:b w:val="1"/>
          <w:bCs w:val="1"/>
          <w:color w:val="auto"/>
        </w:rPr>
        <w:t xml:space="preserve"> </w:t>
      </w:r>
      <w:r>
        <w:rPr>
          <w:rFonts w:ascii="Arial" w:cs="Arial" w:eastAsia="Arial" w:hAnsi="Arial"/>
          <w:sz w:val="18"/>
          <w:szCs w:val="18"/>
          <w:u w:val="single" w:color="auto"/>
          <w:color w:val="auto"/>
        </w:rPr>
        <w:t>Exhibit</w:t>
      </w:r>
      <w:r>
        <w:rPr>
          <w:rFonts w:ascii="Arial" w:cs="Arial" w:eastAsia="Arial" w:hAnsi="Arial"/>
          <w:sz w:val="18"/>
          <w:szCs w:val="18"/>
          <w:b w:val="1"/>
          <w:bCs w:val="1"/>
          <w:color w:val="auto"/>
        </w:rPr>
        <w:t xml:space="preserve"> </w:t>
      </w:r>
      <w:r>
        <w:rPr>
          <w:rFonts w:ascii="Arial" w:cs="Arial" w:eastAsia="Arial" w:hAnsi="Arial"/>
          <w:sz w:val="18"/>
          <w:szCs w:val="18"/>
          <w:u w:val="single" w:color="auto"/>
          <w:color w:val="auto"/>
        </w:rPr>
        <w:t>A</w:t>
      </w:r>
      <w:r>
        <w:rPr>
          <w:rFonts w:ascii="Arial" w:cs="Arial" w:eastAsia="Arial" w:hAnsi="Arial"/>
          <w:sz w:val="18"/>
          <w:szCs w:val="18"/>
          <w:color w:val="auto"/>
        </w:rPr>
        <w:t xml:space="preserve"> attached hereto, with appropriate insertions, modifications and omissions, as hereinafter provided in the Deposit Agreement.</w:t>
      </w:r>
    </w:p>
    <w:p>
      <w:pPr>
        <w:spacing w:after="0" w:line="162" w:lineRule="exact"/>
        <w:rPr>
          <w:sz w:val="20"/>
          <w:szCs w:val="20"/>
          <w:color w:val="auto"/>
        </w:rPr>
      </w:pPr>
    </w:p>
    <w:p>
      <w:pPr>
        <w:ind w:right="120" w:firstLine="648"/>
        <w:spacing w:after="0" w:line="282" w:lineRule="auto"/>
        <w:rPr>
          <w:sz w:val="20"/>
          <w:szCs w:val="20"/>
          <w:color w:val="auto"/>
        </w:rPr>
      </w:pPr>
      <w:r>
        <w:rPr>
          <w:rFonts w:ascii="Arial" w:cs="Arial" w:eastAsia="Arial" w:hAnsi="Arial"/>
          <w:sz w:val="18"/>
          <w:szCs w:val="18"/>
          <w:b w:val="1"/>
          <w:bCs w:val="1"/>
          <w:color w:val="auto"/>
        </w:rPr>
        <w:t>NOW, THEREFORE</w:t>
      </w:r>
      <w:r>
        <w:rPr>
          <w:rFonts w:ascii="Arial" w:cs="Arial" w:eastAsia="Arial" w:hAnsi="Arial"/>
          <w:sz w:val="18"/>
          <w:szCs w:val="18"/>
          <w:color w:val="auto"/>
        </w:rPr>
        <w:t>, for good and valuable consideration, the receipt and sufficiency of which are hereby acknowledged, the parties hereto agree</w:t>
      </w:r>
      <w:r>
        <w:rPr>
          <w:rFonts w:ascii="Arial" w:cs="Arial" w:eastAsia="Arial" w:hAnsi="Arial"/>
          <w:sz w:val="18"/>
          <w:szCs w:val="18"/>
          <w:b w:val="1"/>
          <w:bCs w:val="1"/>
          <w:color w:val="auto"/>
        </w:rPr>
        <w:t xml:space="preserve"> </w:t>
      </w:r>
      <w:r>
        <w:rPr>
          <w:rFonts w:ascii="Arial" w:cs="Arial" w:eastAsia="Arial" w:hAnsi="Arial"/>
          <w:sz w:val="18"/>
          <w:szCs w:val="18"/>
          <w:color w:val="auto"/>
        </w:rPr>
        <w:t>as follows:</w:t>
      </w:r>
    </w:p>
    <w:p>
      <w:pPr>
        <w:spacing w:after="0" w:line="162"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ARTICLE I</w:t>
      </w:r>
    </w:p>
    <w:p>
      <w:pPr>
        <w:spacing w:after="0" w:line="225"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DEFINITIONS</w:t>
      </w:r>
    </w:p>
    <w:p>
      <w:pPr>
        <w:spacing w:after="0" w:line="229" w:lineRule="exact"/>
        <w:rPr>
          <w:sz w:val="20"/>
          <w:szCs w:val="20"/>
          <w:color w:val="auto"/>
        </w:rPr>
      </w:pPr>
    </w:p>
    <w:p>
      <w:pPr>
        <w:ind w:left="660"/>
        <w:spacing w:after="0"/>
        <w:rPr>
          <w:sz w:val="20"/>
          <w:szCs w:val="20"/>
          <w:color w:val="auto"/>
        </w:rPr>
      </w:pPr>
      <w:r>
        <w:rPr>
          <w:rFonts w:ascii="Arial" w:cs="Arial" w:eastAsia="Arial" w:hAnsi="Arial"/>
          <w:sz w:val="17"/>
          <w:szCs w:val="17"/>
          <w:color w:val="auto"/>
        </w:rPr>
        <w:t>All capitalized terms used, but not otherwise defined, herein shall have the meanings set forth below, unless otherwise clearly indicated:</w:t>
      </w:r>
    </w:p>
    <w:p>
      <w:pPr>
        <w:spacing w:after="0" w:line="233" w:lineRule="exact"/>
        <w:rPr>
          <w:sz w:val="20"/>
          <w:szCs w:val="20"/>
          <w:color w:val="auto"/>
        </w:rPr>
      </w:pPr>
    </w:p>
    <w:p>
      <w:pPr>
        <w:ind w:left="660"/>
        <w:spacing w:after="0"/>
        <w:tabs>
          <w:tab w:leader="none" w:pos="1960" w:val="left"/>
        </w:tabs>
        <w:rPr>
          <w:sz w:val="20"/>
          <w:szCs w:val="20"/>
          <w:color w:val="auto"/>
        </w:rPr>
      </w:pPr>
      <w:r>
        <w:rPr>
          <w:rFonts w:ascii="Arial" w:cs="Arial" w:eastAsia="Arial" w:hAnsi="Arial"/>
          <w:sz w:val="18"/>
          <w:szCs w:val="18"/>
          <w:b w:val="1"/>
          <w:bCs w:val="1"/>
          <w:color w:val="auto"/>
        </w:rPr>
        <w:t>Section 1.1</w:t>
      </w:r>
      <w:r>
        <w:rPr>
          <w:sz w:val="20"/>
          <w:szCs w:val="20"/>
          <w:color w:val="auto"/>
        </w:rPr>
        <w:tab/>
      </w:r>
      <w:r>
        <w:rPr>
          <w:rFonts w:ascii="Arial" w:cs="Arial" w:eastAsia="Arial" w:hAnsi="Arial"/>
          <w:sz w:val="16"/>
          <w:szCs w:val="16"/>
          <w:b w:val="1"/>
          <w:bCs w:val="1"/>
          <w:u w:val="single" w:color="auto"/>
          <w:color w:val="auto"/>
        </w:rPr>
        <w:t xml:space="preserve">“ADS Record Date” </w:t>
      </w:r>
      <w:r>
        <w:rPr>
          <w:rFonts w:ascii="Arial" w:cs="Arial" w:eastAsia="Arial" w:hAnsi="Arial"/>
          <w:sz w:val="16"/>
          <w:szCs w:val="16"/>
          <w:color w:val="auto"/>
        </w:rPr>
        <w:t>shall have the meaning given to such term in Section 4.9.</w:t>
      </w:r>
    </w:p>
    <w:p>
      <w:pPr>
        <w:spacing w:after="0" w:line="225" w:lineRule="exact"/>
        <w:rPr>
          <w:sz w:val="20"/>
          <w:szCs w:val="20"/>
          <w:color w:val="auto"/>
        </w:rPr>
      </w:pPr>
    </w:p>
    <w:p>
      <w:pPr>
        <w:ind w:right="700" w:firstLine="648"/>
        <w:spacing w:after="0" w:line="282" w:lineRule="auto"/>
        <w:rPr>
          <w:sz w:val="20"/>
          <w:szCs w:val="20"/>
          <w:color w:val="auto"/>
        </w:rPr>
      </w:pPr>
      <w:r>
        <w:rPr>
          <w:rFonts w:ascii="Arial" w:cs="Arial" w:eastAsia="Arial" w:hAnsi="Arial"/>
          <w:sz w:val="18"/>
          <w:szCs w:val="18"/>
          <w:b w:val="1"/>
          <w:bCs w:val="1"/>
          <w:color w:val="auto"/>
        </w:rPr>
        <w:t xml:space="preserve">Section 1.2 </w:t>
      </w:r>
      <w:r>
        <w:rPr>
          <w:rFonts w:ascii="Arial" w:cs="Arial" w:eastAsia="Arial" w:hAnsi="Arial"/>
          <w:sz w:val="18"/>
          <w:szCs w:val="18"/>
          <w:b w:val="1"/>
          <w:bCs w:val="1"/>
          <w:u w:val="single" w:color="auto"/>
          <w:color w:val="auto"/>
        </w:rPr>
        <w:t>“Affiliate”</w:t>
      </w:r>
      <w:r>
        <w:rPr>
          <w:rFonts w:ascii="Arial" w:cs="Arial" w:eastAsia="Arial" w:hAnsi="Arial"/>
          <w:sz w:val="18"/>
          <w:szCs w:val="18"/>
          <w:b w:val="1"/>
          <w:bCs w:val="1"/>
          <w:color w:val="auto"/>
        </w:rPr>
        <w:t xml:space="preserve"> </w:t>
      </w:r>
      <w:r>
        <w:rPr>
          <w:rFonts w:ascii="Arial" w:cs="Arial" w:eastAsia="Arial" w:hAnsi="Arial"/>
          <w:sz w:val="18"/>
          <w:szCs w:val="18"/>
          <w:color w:val="auto"/>
        </w:rPr>
        <w:t>shall have the meaning assigned to such term by the Commission (as hereinafter defined) under Regulation C</w:t>
      </w:r>
      <w:r>
        <w:rPr>
          <w:rFonts w:ascii="Arial" w:cs="Arial" w:eastAsia="Arial" w:hAnsi="Arial"/>
          <w:sz w:val="18"/>
          <w:szCs w:val="18"/>
          <w:b w:val="1"/>
          <w:bCs w:val="1"/>
          <w:color w:val="auto"/>
        </w:rPr>
        <w:t xml:space="preserve"> </w:t>
      </w:r>
      <w:r>
        <w:rPr>
          <w:rFonts w:ascii="Arial" w:cs="Arial" w:eastAsia="Arial" w:hAnsi="Arial"/>
          <w:sz w:val="18"/>
          <w:szCs w:val="18"/>
          <w:color w:val="auto"/>
        </w:rPr>
        <w:t>promulgated under the Securities Act (as hereinafter defined), or under any successor regulation thereto.</w:t>
      </w:r>
    </w:p>
    <w:p>
      <w:pPr>
        <w:spacing w:after="0" w:line="162" w:lineRule="exact"/>
        <w:rPr>
          <w:sz w:val="20"/>
          <w:szCs w:val="20"/>
          <w:color w:val="auto"/>
        </w:rPr>
      </w:pPr>
    </w:p>
    <w:p>
      <w:pPr>
        <w:ind w:right="180" w:firstLine="648"/>
        <w:spacing w:after="0" w:line="258" w:lineRule="auto"/>
        <w:rPr>
          <w:sz w:val="20"/>
          <w:szCs w:val="20"/>
          <w:color w:val="auto"/>
        </w:rPr>
      </w:pPr>
      <w:r>
        <w:rPr>
          <w:rFonts w:ascii="Arial" w:cs="Arial" w:eastAsia="Arial" w:hAnsi="Arial"/>
          <w:sz w:val="18"/>
          <w:szCs w:val="18"/>
          <w:b w:val="1"/>
          <w:bCs w:val="1"/>
          <w:color w:val="auto"/>
        </w:rPr>
        <w:t xml:space="preserve">Section 1.3 </w:t>
      </w:r>
      <w:r>
        <w:rPr>
          <w:rFonts w:ascii="Arial" w:cs="Arial" w:eastAsia="Arial" w:hAnsi="Arial"/>
          <w:sz w:val="18"/>
          <w:szCs w:val="18"/>
          <w:b w:val="1"/>
          <w:bCs w:val="1"/>
          <w:u w:val="single" w:color="auto"/>
          <w:color w:val="auto"/>
        </w:rPr>
        <w:t>“American Depositary Receipt(s)”, “ADR(s)” and “Receipt(s)”</w:t>
      </w:r>
      <w:r>
        <w:rPr>
          <w:rFonts w:ascii="Arial" w:cs="Arial" w:eastAsia="Arial" w:hAnsi="Arial"/>
          <w:sz w:val="18"/>
          <w:szCs w:val="18"/>
          <w:b w:val="1"/>
          <w:bCs w:val="1"/>
          <w:color w:val="auto"/>
        </w:rPr>
        <w:t xml:space="preserve"> </w:t>
      </w:r>
      <w:r>
        <w:rPr>
          <w:rFonts w:ascii="Arial" w:cs="Arial" w:eastAsia="Arial" w:hAnsi="Arial"/>
          <w:sz w:val="18"/>
          <w:szCs w:val="18"/>
          <w:color w:val="auto"/>
        </w:rPr>
        <w:t>shall mean the certificate(s) issued by the Depositary to</w:t>
      </w:r>
      <w:r>
        <w:rPr>
          <w:rFonts w:ascii="Arial" w:cs="Arial" w:eastAsia="Arial" w:hAnsi="Arial"/>
          <w:sz w:val="18"/>
          <w:szCs w:val="18"/>
          <w:b w:val="1"/>
          <w:bCs w:val="1"/>
          <w:color w:val="auto"/>
        </w:rPr>
        <w:t xml:space="preserve"> </w:t>
      </w:r>
      <w:r>
        <w:rPr>
          <w:rFonts w:ascii="Arial" w:cs="Arial" w:eastAsia="Arial" w:hAnsi="Arial"/>
          <w:sz w:val="18"/>
          <w:szCs w:val="18"/>
          <w:color w:val="auto"/>
        </w:rPr>
        <w:t>evidence the American Depositary Shares issued under the terms of the Deposit Agreement in the form of Certificated ADS(s) (as hereinafter defined), as such ADRs may be amended from time to time in accordance with the provisions of the Deposit Agreement. An ADR may evidence any number of ADSs and will, in the case of ADSs held through a central depository such as DTC and notwithstanding any other provision of this Agreement, be in the form of a “Balance Certificate.”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196850</wp:posOffset>
            </wp:positionV>
            <wp:extent cx="7246620" cy="17145"/>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337" w:right="239" w:bottom="1440" w:gutter="0" w:footer="0" w:header="0"/>
        </w:sectPr>
      </w:pPr>
    </w:p>
    <w:bookmarkStart w:id="18" w:name="page19"/>
    <w:bookmarkEnd w:id="18"/>
    <w:p>
      <w:pPr>
        <w:ind w:right="220" w:firstLine="648"/>
        <w:spacing w:after="0" w:line="289" w:lineRule="auto"/>
        <w:rPr>
          <w:sz w:val="20"/>
          <w:szCs w:val="20"/>
          <w:color w:val="auto"/>
        </w:rPr>
      </w:pPr>
      <w:r>
        <w:rPr>
          <w:rFonts w:ascii="Arial" w:cs="Arial" w:eastAsia="Arial" w:hAnsi="Arial"/>
          <w:sz w:val="16"/>
          <w:szCs w:val="16"/>
          <w:b w:val="1"/>
          <w:bCs w:val="1"/>
          <w:color w:val="auto"/>
        </w:rPr>
        <w:t xml:space="preserve">Section 1.4 </w:t>
      </w:r>
      <w:r>
        <w:rPr>
          <w:rFonts w:ascii="Arial" w:cs="Arial" w:eastAsia="Arial" w:hAnsi="Arial"/>
          <w:sz w:val="16"/>
          <w:szCs w:val="16"/>
          <w:b w:val="1"/>
          <w:bCs w:val="1"/>
          <w:u w:val="single" w:color="auto"/>
          <w:color w:val="auto"/>
        </w:rPr>
        <w:t>“American Depositary Share(s)” and “ADS(s)”</w:t>
      </w:r>
      <w:r>
        <w:rPr>
          <w:rFonts w:ascii="Arial" w:cs="Arial" w:eastAsia="Arial" w:hAnsi="Arial"/>
          <w:sz w:val="16"/>
          <w:szCs w:val="16"/>
          <w:b w:val="1"/>
          <w:bCs w:val="1"/>
          <w:color w:val="auto"/>
        </w:rPr>
        <w:t xml:space="preserve"> </w:t>
      </w:r>
      <w:r>
        <w:rPr>
          <w:rFonts w:ascii="Arial" w:cs="Arial" w:eastAsia="Arial" w:hAnsi="Arial"/>
          <w:sz w:val="16"/>
          <w:szCs w:val="16"/>
          <w:color w:val="auto"/>
        </w:rPr>
        <w:t>shall mean the rights and interests in the Deposited Property (as hereinafter</w:t>
      </w:r>
      <w:r>
        <w:rPr>
          <w:rFonts w:ascii="Arial" w:cs="Arial" w:eastAsia="Arial" w:hAnsi="Arial"/>
          <w:sz w:val="16"/>
          <w:szCs w:val="16"/>
          <w:b w:val="1"/>
          <w:bCs w:val="1"/>
          <w:color w:val="auto"/>
        </w:rPr>
        <w:t xml:space="preserve"> </w:t>
      </w:r>
      <w:r>
        <w:rPr>
          <w:rFonts w:ascii="Arial" w:cs="Arial" w:eastAsia="Arial" w:hAnsi="Arial"/>
          <w:sz w:val="16"/>
          <w:szCs w:val="16"/>
          <w:color w:val="auto"/>
        </w:rPr>
        <w:t>defined) granted to the Holders and Beneficial Owners pursuant to the terms and conditions of the Deposit Agreement and, if issued as Certificated ADS(s) (as hereinafter defined), the ADR(s) issued to evidence such ADSs. ADS(s) may be issued under the terms of the Deposit Agreement in the form of</w:t>
      </w:r>
    </w:p>
    <w:p>
      <w:pPr>
        <w:spacing w:after="0" w:line="2" w:lineRule="exact"/>
        <w:rPr>
          <w:sz w:val="20"/>
          <w:szCs w:val="20"/>
          <w:color w:val="auto"/>
        </w:rPr>
      </w:pPr>
    </w:p>
    <w:p>
      <w:pPr>
        <w:ind w:right="20" w:firstLine="8"/>
        <w:spacing w:after="0" w:line="267" w:lineRule="auto"/>
        <w:tabs>
          <w:tab w:leader="none" w:pos="245" w:val="left"/>
        </w:tabs>
        <w:numPr>
          <w:ilvl w:val="0"/>
          <w:numId w:val="4"/>
        </w:numPr>
        <w:rPr>
          <w:rFonts w:ascii="Arial" w:cs="Arial" w:eastAsia="Arial" w:hAnsi="Arial"/>
          <w:sz w:val="17"/>
          <w:szCs w:val="17"/>
          <w:color w:val="auto"/>
        </w:rPr>
      </w:pPr>
      <w:r>
        <w:rPr>
          <w:rFonts w:ascii="Arial" w:cs="Arial" w:eastAsia="Arial" w:hAnsi="Arial"/>
          <w:sz w:val="17"/>
          <w:szCs w:val="17"/>
          <w:color w:val="auto"/>
        </w:rPr>
        <w:t xml:space="preserve">Certificated ADS(s) (as hereinafter defined), in which case the ADS(s) are evidenced by ADR(s), or (b) Uncertificated ADS(s) (as hereinafter defined), in which case the ADS(s) are not evidenced by ADR(s) but are reflected on the direct registration system maintained by the Depositary for such purposes under the terms of Section 2.13. Unless otherwise specified in the Deposit Agreement or in any ADR, or unless the context otherwise requires, any reference to ADS(s) shall include Certificated ADS(s) and Uncertificated ADS(s), individually or collectively, as the context may require. Each ADS shall represent the right to receive, and to exercise the beneficial ownership interests in, the number of Shares specified in the form of ADR attached hereto as </w:t>
      </w:r>
      <w:r>
        <w:rPr>
          <w:rFonts w:ascii="Arial" w:cs="Arial" w:eastAsia="Arial" w:hAnsi="Arial"/>
          <w:sz w:val="17"/>
          <w:szCs w:val="17"/>
          <w:u w:val="single" w:color="auto"/>
          <w:color w:val="auto"/>
        </w:rPr>
        <w:t>Exhibit A</w:t>
      </w:r>
      <w:r>
        <w:rPr>
          <w:rFonts w:ascii="Arial" w:cs="Arial" w:eastAsia="Arial" w:hAnsi="Arial"/>
          <w:sz w:val="17"/>
          <w:szCs w:val="17"/>
          <w:color w:val="auto"/>
        </w:rPr>
        <w:t xml:space="preserve"> (as amended from time to time) that are on deposit with the Depositary and/or the Custodian, subject, in each case, to the terms and conditions of the Deposit Agreement and the applicable ADR (if issued as a Certificated ADS), until there shall occur a distribution upon Deposited Securities referred to in Section 4.2 or a change in Deposited Securities referred to in Section 4.11 with respect to which additional ADSs are not issued, and thereafter each ADS shall represent the right to receive, and to exercise the beneficial ownership interests in, the applicable Deposited Property on deposit with the Depositary and the Custodian determined in accordance with the terms of such Sections, subject, in each case, to the terms and conditions of the Deposit Agreement and the applicable ADR (if issued as a Certificated ADS). In addition, the ADS(s)-to-Share(s) ratio is subject to amendment as provided in Articles IV and VI of the Deposit Agreement (which may give rise to Depositary fees).</w:t>
      </w:r>
    </w:p>
    <w:p>
      <w:pPr>
        <w:spacing w:after="0" w:line="181" w:lineRule="exact"/>
        <w:rPr>
          <w:sz w:val="20"/>
          <w:szCs w:val="20"/>
          <w:color w:val="auto"/>
        </w:rPr>
      </w:pPr>
    </w:p>
    <w:p>
      <w:pPr>
        <w:ind w:left="660"/>
        <w:spacing w:after="0"/>
        <w:tabs>
          <w:tab w:leader="none" w:pos="1960" w:val="left"/>
        </w:tabs>
        <w:rPr>
          <w:sz w:val="20"/>
          <w:szCs w:val="20"/>
          <w:color w:val="auto"/>
        </w:rPr>
      </w:pPr>
      <w:r>
        <w:rPr>
          <w:rFonts w:ascii="Arial" w:cs="Arial" w:eastAsia="Arial" w:hAnsi="Arial"/>
          <w:sz w:val="18"/>
          <w:szCs w:val="18"/>
          <w:b w:val="1"/>
          <w:bCs w:val="1"/>
          <w:color w:val="auto"/>
        </w:rPr>
        <w:t>Section 1.5</w:t>
      </w:r>
      <w:r>
        <w:rPr>
          <w:sz w:val="20"/>
          <w:szCs w:val="20"/>
          <w:color w:val="auto"/>
        </w:rPr>
        <w:tab/>
      </w:r>
      <w:r>
        <w:rPr>
          <w:rFonts w:ascii="Arial" w:cs="Arial" w:eastAsia="Arial" w:hAnsi="Arial"/>
          <w:sz w:val="16"/>
          <w:szCs w:val="16"/>
          <w:b w:val="1"/>
          <w:bCs w:val="1"/>
          <w:u w:val="single" w:color="auto"/>
          <w:color w:val="auto"/>
        </w:rPr>
        <w:t xml:space="preserve">“Applicant” </w:t>
      </w:r>
      <w:r>
        <w:rPr>
          <w:rFonts w:ascii="Arial" w:cs="Arial" w:eastAsia="Arial" w:hAnsi="Arial"/>
          <w:sz w:val="16"/>
          <w:szCs w:val="16"/>
          <w:color w:val="auto"/>
        </w:rPr>
        <w:t>shall have the meaning given to such term in Section 5.10.</w:t>
      </w:r>
    </w:p>
    <w:p>
      <w:pPr>
        <w:spacing w:after="0" w:line="225" w:lineRule="exact"/>
        <w:rPr>
          <w:sz w:val="20"/>
          <w:szCs w:val="20"/>
          <w:color w:val="auto"/>
        </w:rPr>
      </w:pPr>
    </w:p>
    <w:p>
      <w:pPr>
        <w:ind w:left="660"/>
        <w:spacing w:after="0"/>
        <w:tabs>
          <w:tab w:leader="none" w:pos="1960" w:val="left"/>
        </w:tabs>
        <w:rPr>
          <w:sz w:val="20"/>
          <w:szCs w:val="20"/>
          <w:color w:val="auto"/>
        </w:rPr>
      </w:pPr>
      <w:r>
        <w:rPr>
          <w:rFonts w:ascii="Arial" w:cs="Arial" w:eastAsia="Arial" w:hAnsi="Arial"/>
          <w:sz w:val="18"/>
          <w:szCs w:val="18"/>
          <w:b w:val="1"/>
          <w:bCs w:val="1"/>
          <w:color w:val="auto"/>
        </w:rPr>
        <w:t>Section 1.6</w:t>
      </w:r>
      <w:r>
        <w:rPr>
          <w:sz w:val="20"/>
          <w:szCs w:val="20"/>
          <w:color w:val="auto"/>
        </w:rPr>
        <w:tab/>
      </w:r>
      <w:r>
        <w:rPr>
          <w:rFonts w:ascii="Arial" w:cs="Arial" w:eastAsia="Arial" w:hAnsi="Arial"/>
          <w:sz w:val="16"/>
          <w:szCs w:val="16"/>
          <w:b w:val="1"/>
          <w:bCs w:val="1"/>
          <w:u w:val="single" w:color="auto"/>
          <w:color w:val="auto"/>
        </w:rPr>
        <w:t xml:space="preserve">“Articles of Association” </w:t>
      </w:r>
      <w:r>
        <w:rPr>
          <w:rFonts w:ascii="Arial" w:cs="Arial" w:eastAsia="Arial" w:hAnsi="Arial"/>
          <w:sz w:val="16"/>
          <w:szCs w:val="16"/>
          <w:color w:val="auto"/>
        </w:rPr>
        <w:t>shall mean the Articles of Association of the Company, as amended and restated from time to time.</w:t>
      </w:r>
    </w:p>
    <w:p>
      <w:pPr>
        <w:spacing w:after="0" w:line="225" w:lineRule="exact"/>
        <w:rPr>
          <w:sz w:val="20"/>
          <w:szCs w:val="20"/>
          <w:color w:val="auto"/>
        </w:rPr>
      </w:pPr>
    </w:p>
    <w:p>
      <w:pPr>
        <w:ind w:firstLine="648"/>
        <w:spacing w:after="0" w:line="286" w:lineRule="auto"/>
        <w:rPr>
          <w:sz w:val="20"/>
          <w:szCs w:val="20"/>
          <w:color w:val="auto"/>
        </w:rPr>
      </w:pPr>
      <w:r>
        <w:rPr>
          <w:rFonts w:ascii="Arial" w:cs="Arial" w:eastAsia="Arial" w:hAnsi="Arial"/>
          <w:sz w:val="16"/>
          <w:szCs w:val="16"/>
          <w:b w:val="1"/>
          <w:bCs w:val="1"/>
          <w:color w:val="auto"/>
        </w:rPr>
        <w:t xml:space="preserve">Section 1.7 </w:t>
      </w:r>
      <w:r>
        <w:rPr>
          <w:rFonts w:ascii="Arial" w:cs="Arial" w:eastAsia="Arial" w:hAnsi="Arial"/>
          <w:sz w:val="16"/>
          <w:szCs w:val="16"/>
          <w:b w:val="1"/>
          <w:bCs w:val="1"/>
          <w:u w:val="single" w:color="auto"/>
          <w:color w:val="auto"/>
        </w:rPr>
        <w:t>“Beneficial Owner”</w:t>
      </w:r>
      <w:r>
        <w:rPr>
          <w:rFonts w:ascii="Arial" w:cs="Arial" w:eastAsia="Arial" w:hAnsi="Arial"/>
          <w:sz w:val="16"/>
          <w:szCs w:val="16"/>
          <w:b w:val="1"/>
          <w:bCs w:val="1"/>
          <w:color w:val="auto"/>
        </w:rPr>
        <w:t xml:space="preserve"> </w:t>
      </w:r>
      <w:r>
        <w:rPr>
          <w:rFonts w:ascii="Arial" w:cs="Arial" w:eastAsia="Arial" w:hAnsi="Arial"/>
          <w:sz w:val="16"/>
          <w:szCs w:val="16"/>
          <w:color w:val="auto"/>
        </w:rPr>
        <w:t>shall mean, as to any ADS, any person or entity having a beneficial interest deriving from the ownership of</w:t>
      </w:r>
      <w:r>
        <w:rPr>
          <w:rFonts w:ascii="Arial" w:cs="Arial" w:eastAsia="Arial" w:hAnsi="Arial"/>
          <w:sz w:val="16"/>
          <w:szCs w:val="16"/>
          <w:b w:val="1"/>
          <w:bCs w:val="1"/>
          <w:color w:val="auto"/>
        </w:rPr>
        <w:t xml:space="preserve"> </w:t>
      </w:r>
      <w:r>
        <w:rPr>
          <w:rFonts w:ascii="Arial" w:cs="Arial" w:eastAsia="Arial" w:hAnsi="Arial"/>
          <w:sz w:val="16"/>
          <w:szCs w:val="16"/>
          <w:color w:val="auto"/>
        </w:rPr>
        <w:t>such ADS. Notwithstanding anything else contained in the Deposit Agreement, any ADR(s) or any other instruments or agreements relating to the ADSs and the corresponding Deposited Property, the Depositary, the Custodian and their respective nominees are intended to be, and shall at all times during the term of the Deposit Agreement be, the record holders only of the Deposited Property represented by the ADSs for the benefit of the Holders and Beneficial Owners of the corresponding ADSs. The Depositary, on its own behalf and on behalf of the Custodian and their respective nominees, disclaims any beneficial ownership interest in the Deposited Property held on behalf of the Holders and Beneficial Owners of ADSs. The beneficial ownership interests in the Deposited Property are intended to be, and shall at all times during the term of the Deposit Agreement continue to be, vested in the Beneficial Owners of the ADSs representing the Deposited Property. The beneficial ownership interests in the Deposited Property shall, unless otherwise agreed by the Depositary, be exercisable by the Beneficial Owners of the ADSs only through the Holders of such ADSs, by the Holders of the ADSs (on behalf of the applicable Beneficial Owners) only through the Depositary, and by the Depositary (on behalf of the Holders and Beneficial Owners of the corresponding ADSs) directly, or indirectly through the Custodian or their respective nominees, in each case upon the terms of the Deposit Agreement and, if applicable, the terms of the ADR(s) evidencing the ADSs. A Beneficial Owner of ADSs may or may not be the Holder of such ADSs. A Beneficial Owner shall be able to exercise any right or receive any benefit hereunder solely through the person who is the Holder of the ADSs owned by such Beneficial Owner. Unless otherwise identified to the Depositary, a Holder shall be deemed to be the Beneficial Owner of all the ADSs registered in his/her/its name. The manner in which a Beneficial Owner holds ADSs (</w:t>
      </w:r>
      <w:r>
        <w:rPr>
          <w:rFonts w:ascii="Arial" w:cs="Arial" w:eastAsia="Arial" w:hAnsi="Arial"/>
          <w:sz w:val="16"/>
          <w:szCs w:val="16"/>
          <w:i w:val="1"/>
          <w:iCs w:val="1"/>
          <w:color w:val="auto"/>
        </w:rPr>
        <w:t>e.g.</w:t>
      </w:r>
      <w:r>
        <w:rPr>
          <w:rFonts w:ascii="Arial" w:cs="Arial" w:eastAsia="Arial" w:hAnsi="Arial"/>
          <w:sz w:val="16"/>
          <w:szCs w:val="16"/>
          <w:color w:val="auto"/>
        </w:rPr>
        <w:t>, in a brokerage account vs. as registered holder) may affect the rights and obligations of, the manner in which, and the extent to which, services are made available to, Beneficial Owners pursuant to the terms of the Deposit Agreement.</w:t>
      </w:r>
    </w:p>
    <w:p>
      <w:pPr>
        <w:spacing w:after="0" w:line="270" w:lineRule="exact"/>
        <w:rPr>
          <w:sz w:val="20"/>
          <w:szCs w:val="20"/>
          <w:color w:val="auto"/>
        </w:rPr>
      </w:pPr>
    </w:p>
    <w:p>
      <w:pPr>
        <w:jc w:val="center"/>
        <w:ind w:right="-19"/>
        <w:spacing w:after="0"/>
        <w:rPr>
          <w:sz w:val="20"/>
          <w:szCs w:val="20"/>
          <w:color w:val="auto"/>
        </w:rPr>
      </w:pPr>
      <w:r>
        <w:rPr>
          <w:rFonts w:ascii="Arial" w:cs="Arial" w:eastAsia="Arial" w:hAnsi="Arial"/>
          <w:sz w:val="22"/>
          <w:szCs w:val="22"/>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7620</wp:posOffset>
            </wp:positionV>
            <wp:extent cx="7246620" cy="17145"/>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337" w:right="239" w:bottom="1440" w:gutter="0" w:footer="0" w:header="0"/>
        </w:sectPr>
      </w:pPr>
    </w:p>
    <w:bookmarkStart w:id="19" w:name="page20"/>
    <w:bookmarkEnd w:id="19"/>
    <w:p>
      <w:pPr>
        <w:ind w:left="660"/>
        <w:spacing w:after="0"/>
        <w:tabs>
          <w:tab w:leader="none" w:pos="1880" w:val="left"/>
        </w:tabs>
        <w:rPr>
          <w:sz w:val="20"/>
          <w:szCs w:val="20"/>
          <w:color w:val="auto"/>
        </w:rPr>
      </w:pPr>
      <w:r>
        <w:rPr>
          <w:rFonts w:ascii="Arial" w:cs="Arial" w:eastAsia="Arial" w:hAnsi="Arial"/>
          <w:sz w:val="18"/>
          <w:szCs w:val="18"/>
          <w:b w:val="1"/>
          <w:bCs w:val="1"/>
          <w:color w:val="auto"/>
        </w:rPr>
        <w:t>Section 1.8</w:t>
      </w:r>
      <w:r>
        <w:rPr>
          <w:sz w:val="20"/>
          <w:szCs w:val="20"/>
          <w:color w:val="auto"/>
        </w:rPr>
        <w:tab/>
      </w:r>
      <w:r>
        <w:rPr>
          <w:rFonts w:ascii="Arial" w:cs="Arial" w:eastAsia="Arial" w:hAnsi="Arial"/>
          <w:sz w:val="16"/>
          <w:szCs w:val="16"/>
          <w:b w:val="1"/>
          <w:bCs w:val="1"/>
          <w:u w:val="single" w:color="auto"/>
          <w:color w:val="auto"/>
        </w:rPr>
        <w:t xml:space="preserve">“Certificated ADS(s)” </w:t>
      </w:r>
      <w:r>
        <w:rPr>
          <w:rFonts w:ascii="Arial" w:cs="Arial" w:eastAsia="Arial" w:hAnsi="Arial"/>
          <w:sz w:val="16"/>
          <w:szCs w:val="16"/>
          <w:color w:val="auto"/>
        </w:rPr>
        <w:t>shall have the meaning set forth in Section 2.13.</w:t>
      </w:r>
    </w:p>
    <w:p>
      <w:pPr>
        <w:spacing w:after="0" w:line="225" w:lineRule="exact"/>
        <w:rPr>
          <w:sz w:val="20"/>
          <w:szCs w:val="20"/>
          <w:color w:val="auto"/>
        </w:rPr>
      </w:pPr>
    </w:p>
    <w:p>
      <w:pPr>
        <w:ind w:right="260" w:firstLine="648"/>
        <w:spacing w:after="0" w:line="282" w:lineRule="auto"/>
        <w:rPr>
          <w:sz w:val="20"/>
          <w:szCs w:val="20"/>
          <w:color w:val="auto"/>
        </w:rPr>
      </w:pPr>
      <w:r>
        <w:rPr>
          <w:rFonts w:ascii="Arial" w:cs="Arial" w:eastAsia="Arial" w:hAnsi="Arial"/>
          <w:sz w:val="18"/>
          <w:szCs w:val="18"/>
          <w:b w:val="1"/>
          <w:bCs w:val="1"/>
          <w:color w:val="auto"/>
        </w:rPr>
        <w:t xml:space="preserve">Section 1.9 </w:t>
      </w:r>
      <w:r>
        <w:rPr>
          <w:rFonts w:ascii="Arial" w:cs="Arial" w:eastAsia="Arial" w:hAnsi="Arial"/>
          <w:sz w:val="18"/>
          <w:szCs w:val="18"/>
          <w:b w:val="1"/>
          <w:bCs w:val="1"/>
          <w:u w:val="single" w:color="auto"/>
          <w:color w:val="auto"/>
        </w:rPr>
        <w:t>“Citibank”</w:t>
      </w:r>
      <w:r>
        <w:rPr>
          <w:rFonts w:ascii="Arial" w:cs="Arial" w:eastAsia="Arial" w:hAnsi="Arial"/>
          <w:sz w:val="18"/>
          <w:szCs w:val="18"/>
          <w:b w:val="1"/>
          <w:bCs w:val="1"/>
          <w:color w:val="auto"/>
        </w:rPr>
        <w:t xml:space="preserve"> </w:t>
      </w:r>
      <w:r>
        <w:rPr>
          <w:rFonts w:ascii="Arial" w:cs="Arial" w:eastAsia="Arial" w:hAnsi="Arial"/>
          <w:sz w:val="18"/>
          <w:szCs w:val="18"/>
          <w:color w:val="auto"/>
        </w:rPr>
        <w:t>shall mean Citibank, N.A., a national banking association organized under the laws of the United States of America,</w:t>
      </w:r>
      <w:r>
        <w:rPr>
          <w:rFonts w:ascii="Arial" w:cs="Arial" w:eastAsia="Arial" w:hAnsi="Arial"/>
          <w:sz w:val="18"/>
          <w:szCs w:val="18"/>
          <w:b w:val="1"/>
          <w:bCs w:val="1"/>
          <w:color w:val="auto"/>
        </w:rPr>
        <w:t xml:space="preserve"> </w:t>
      </w:r>
      <w:r>
        <w:rPr>
          <w:rFonts w:ascii="Arial" w:cs="Arial" w:eastAsia="Arial" w:hAnsi="Arial"/>
          <w:sz w:val="18"/>
          <w:szCs w:val="18"/>
          <w:color w:val="auto"/>
        </w:rPr>
        <w:t>and its successors.</w:t>
      </w:r>
    </w:p>
    <w:p>
      <w:pPr>
        <w:spacing w:after="0" w:line="162" w:lineRule="exact"/>
        <w:rPr>
          <w:sz w:val="20"/>
          <w:szCs w:val="20"/>
          <w:color w:val="auto"/>
        </w:rPr>
      </w:pPr>
    </w:p>
    <w:p>
      <w:pPr>
        <w:ind w:right="260" w:firstLine="648"/>
        <w:spacing w:after="0" w:line="282" w:lineRule="auto"/>
        <w:rPr>
          <w:sz w:val="20"/>
          <w:szCs w:val="20"/>
          <w:color w:val="auto"/>
        </w:rPr>
      </w:pPr>
      <w:r>
        <w:rPr>
          <w:rFonts w:ascii="Arial" w:cs="Arial" w:eastAsia="Arial" w:hAnsi="Arial"/>
          <w:sz w:val="18"/>
          <w:szCs w:val="18"/>
          <w:b w:val="1"/>
          <w:bCs w:val="1"/>
          <w:color w:val="auto"/>
        </w:rPr>
        <w:t xml:space="preserve">Section 1.10 </w:t>
      </w:r>
      <w:r>
        <w:rPr>
          <w:rFonts w:ascii="Arial" w:cs="Arial" w:eastAsia="Arial" w:hAnsi="Arial"/>
          <w:sz w:val="18"/>
          <w:szCs w:val="18"/>
          <w:b w:val="1"/>
          <w:bCs w:val="1"/>
          <w:u w:val="single" w:color="auto"/>
          <w:color w:val="auto"/>
        </w:rPr>
        <w:t>“Commission”</w:t>
      </w:r>
      <w:r>
        <w:rPr>
          <w:rFonts w:ascii="Arial" w:cs="Arial" w:eastAsia="Arial" w:hAnsi="Arial"/>
          <w:sz w:val="18"/>
          <w:szCs w:val="18"/>
          <w:b w:val="1"/>
          <w:bCs w:val="1"/>
          <w:color w:val="auto"/>
        </w:rPr>
        <w:t xml:space="preserve"> </w:t>
      </w:r>
      <w:r>
        <w:rPr>
          <w:rFonts w:ascii="Arial" w:cs="Arial" w:eastAsia="Arial" w:hAnsi="Arial"/>
          <w:sz w:val="18"/>
          <w:szCs w:val="18"/>
          <w:color w:val="auto"/>
        </w:rPr>
        <w:t>shall mean the Securities and Exchange Commission of the United States or any successor governmental agency</w:t>
      </w:r>
      <w:r>
        <w:rPr>
          <w:rFonts w:ascii="Arial" w:cs="Arial" w:eastAsia="Arial" w:hAnsi="Arial"/>
          <w:sz w:val="18"/>
          <w:szCs w:val="18"/>
          <w:b w:val="1"/>
          <w:bCs w:val="1"/>
          <w:color w:val="auto"/>
        </w:rPr>
        <w:t xml:space="preserve"> </w:t>
      </w:r>
      <w:r>
        <w:rPr>
          <w:rFonts w:ascii="Arial" w:cs="Arial" w:eastAsia="Arial" w:hAnsi="Arial"/>
          <w:sz w:val="18"/>
          <w:szCs w:val="18"/>
          <w:color w:val="auto"/>
        </w:rPr>
        <w:t>thereto in the United States.</w:t>
      </w:r>
    </w:p>
    <w:p>
      <w:pPr>
        <w:spacing w:after="0" w:line="162" w:lineRule="exact"/>
        <w:rPr>
          <w:sz w:val="20"/>
          <w:szCs w:val="20"/>
          <w:color w:val="auto"/>
        </w:rPr>
      </w:pPr>
    </w:p>
    <w:p>
      <w:pPr>
        <w:ind w:firstLine="648"/>
        <w:spacing w:after="0" w:line="282" w:lineRule="auto"/>
        <w:rPr>
          <w:sz w:val="20"/>
          <w:szCs w:val="20"/>
          <w:color w:val="auto"/>
        </w:rPr>
      </w:pPr>
      <w:r>
        <w:rPr>
          <w:rFonts w:ascii="Arial" w:cs="Arial" w:eastAsia="Arial" w:hAnsi="Arial"/>
          <w:sz w:val="18"/>
          <w:szCs w:val="18"/>
          <w:b w:val="1"/>
          <w:bCs w:val="1"/>
          <w:color w:val="auto"/>
        </w:rPr>
        <w:t xml:space="preserve">Section 1.11 </w:t>
      </w:r>
      <w:r>
        <w:rPr>
          <w:rFonts w:ascii="Arial" w:cs="Arial" w:eastAsia="Arial" w:hAnsi="Arial"/>
          <w:sz w:val="18"/>
          <w:szCs w:val="18"/>
          <w:b w:val="1"/>
          <w:bCs w:val="1"/>
          <w:u w:val="single" w:color="auto"/>
          <w:color w:val="auto"/>
        </w:rPr>
        <w:t>“Company”</w:t>
      </w:r>
      <w:r>
        <w:rPr>
          <w:rFonts w:ascii="Arial" w:cs="Arial" w:eastAsia="Arial" w:hAnsi="Arial"/>
          <w:sz w:val="18"/>
          <w:szCs w:val="18"/>
          <w:b w:val="1"/>
          <w:bCs w:val="1"/>
          <w:color w:val="auto"/>
        </w:rPr>
        <w:t xml:space="preserve"> </w:t>
      </w:r>
      <w:r>
        <w:rPr>
          <w:rFonts w:ascii="Arial" w:cs="Arial" w:eastAsia="Arial" w:hAnsi="Arial"/>
          <w:sz w:val="18"/>
          <w:szCs w:val="18"/>
          <w:color w:val="auto"/>
        </w:rPr>
        <w:t>shall mean Mereo BioPharma Group plc, a public limited company incorporated under the laws of England and Wales,</w:t>
      </w:r>
      <w:r>
        <w:rPr>
          <w:rFonts w:ascii="Arial" w:cs="Arial" w:eastAsia="Arial" w:hAnsi="Arial"/>
          <w:sz w:val="18"/>
          <w:szCs w:val="18"/>
          <w:b w:val="1"/>
          <w:bCs w:val="1"/>
          <w:color w:val="auto"/>
        </w:rPr>
        <w:t xml:space="preserve"> </w:t>
      </w:r>
      <w:r>
        <w:rPr>
          <w:rFonts w:ascii="Arial" w:cs="Arial" w:eastAsia="Arial" w:hAnsi="Arial"/>
          <w:sz w:val="18"/>
          <w:szCs w:val="18"/>
          <w:color w:val="auto"/>
        </w:rPr>
        <w:t>and its successors.</w:t>
      </w:r>
    </w:p>
    <w:p>
      <w:pPr>
        <w:spacing w:after="0" w:line="162" w:lineRule="exact"/>
        <w:rPr>
          <w:sz w:val="20"/>
          <w:szCs w:val="20"/>
          <w:color w:val="auto"/>
        </w:rPr>
      </w:pPr>
    </w:p>
    <w:p>
      <w:pPr>
        <w:ind w:right="40" w:firstLine="648"/>
        <w:spacing w:after="0" w:line="266" w:lineRule="auto"/>
        <w:rPr>
          <w:sz w:val="20"/>
          <w:szCs w:val="20"/>
          <w:color w:val="auto"/>
        </w:rPr>
      </w:pPr>
      <w:r>
        <w:rPr>
          <w:rFonts w:ascii="Arial" w:cs="Arial" w:eastAsia="Arial" w:hAnsi="Arial"/>
          <w:sz w:val="18"/>
          <w:szCs w:val="18"/>
          <w:b w:val="1"/>
          <w:bCs w:val="1"/>
          <w:color w:val="auto"/>
        </w:rPr>
        <w:t xml:space="preserve">Section 1.12 </w:t>
      </w:r>
      <w:r>
        <w:rPr>
          <w:rFonts w:ascii="Arial" w:cs="Arial" w:eastAsia="Arial" w:hAnsi="Arial"/>
          <w:sz w:val="18"/>
          <w:szCs w:val="18"/>
          <w:b w:val="1"/>
          <w:bCs w:val="1"/>
          <w:u w:val="single" w:color="auto"/>
          <w:color w:val="auto"/>
        </w:rPr>
        <w:t>“CREST”</w:t>
      </w:r>
      <w:r>
        <w:rPr>
          <w:rFonts w:ascii="Arial" w:cs="Arial" w:eastAsia="Arial" w:hAnsi="Arial"/>
          <w:sz w:val="18"/>
          <w:szCs w:val="18"/>
          <w:b w:val="1"/>
          <w:bCs w:val="1"/>
          <w:color w:val="auto"/>
        </w:rPr>
        <w:t xml:space="preserve"> </w:t>
      </w:r>
      <w:r>
        <w:rPr>
          <w:rFonts w:ascii="Arial" w:cs="Arial" w:eastAsia="Arial" w:hAnsi="Arial"/>
          <w:sz w:val="18"/>
          <w:szCs w:val="18"/>
          <w:color w:val="auto"/>
        </w:rPr>
        <w:t>shall mean the system for the paperless settlement of trades in securities and the holding of uncertificated securities</w:t>
      </w:r>
      <w:r>
        <w:rPr>
          <w:rFonts w:ascii="Arial" w:cs="Arial" w:eastAsia="Arial" w:hAnsi="Arial"/>
          <w:sz w:val="18"/>
          <w:szCs w:val="18"/>
          <w:b w:val="1"/>
          <w:bCs w:val="1"/>
          <w:color w:val="auto"/>
        </w:rPr>
        <w:t xml:space="preserve"> </w:t>
      </w:r>
      <w:r>
        <w:rPr>
          <w:rFonts w:ascii="Arial" w:cs="Arial" w:eastAsia="Arial" w:hAnsi="Arial"/>
          <w:sz w:val="18"/>
          <w:szCs w:val="18"/>
          <w:color w:val="auto"/>
        </w:rPr>
        <w:t>operated by Euroclear UK &amp; Ireland Limited in accordance with the Uncertificated Securities Regulations 2001 (SI 2001 No. 3755), as amended from time to time, or any successor thereto.</w:t>
      </w:r>
    </w:p>
    <w:p>
      <w:pPr>
        <w:spacing w:after="0" w:line="176" w:lineRule="exact"/>
        <w:rPr>
          <w:sz w:val="20"/>
          <w:szCs w:val="20"/>
          <w:color w:val="auto"/>
        </w:rPr>
      </w:pPr>
    </w:p>
    <w:p>
      <w:pPr>
        <w:ind w:right="180" w:firstLine="648"/>
        <w:spacing w:after="0" w:line="258" w:lineRule="auto"/>
        <w:rPr>
          <w:sz w:val="20"/>
          <w:szCs w:val="20"/>
          <w:color w:val="auto"/>
        </w:rPr>
      </w:pPr>
      <w:r>
        <w:rPr>
          <w:rFonts w:ascii="Arial" w:cs="Arial" w:eastAsia="Arial" w:hAnsi="Arial"/>
          <w:sz w:val="18"/>
          <w:szCs w:val="18"/>
          <w:b w:val="1"/>
          <w:bCs w:val="1"/>
          <w:color w:val="auto"/>
        </w:rPr>
        <w:t xml:space="preserve">Section 1.13 </w:t>
      </w:r>
      <w:r>
        <w:rPr>
          <w:rFonts w:ascii="Arial" w:cs="Arial" w:eastAsia="Arial" w:hAnsi="Arial"/>
          <w:sz w:val="18"/>
          <w:szCs w:val="18"/>
          <w:b w:val="1"/>
          <w:bCs w:val="1"/>
          <w:u w:val="single" w:color="auto"/>
          <w:color w:val="auto"/>
        </w:rPr>
        <w:t>“Custodian”</w:t>
      </w:r>
      <w:r>
        <w:rPr>
          <w:rFonts w:ascii="Arial" w:cs="Arial" w:eastAsia="Arial" w:hAnsi="Arial"/>
          <w:sz w:val="18"/>
          <w:szCs w:val="18"/>
          <w:b w:val="1"/>
          <w:bCs w:val="1"/>
          <w:color w:val="auto"/>
        </w:rPr>
        <w:t xml:space="preserve"> </w:t>
      </w:r>
      <w:r>
        <w:rPr>
          <w:rFonts w:ascii="Arial" w:cs="Arial" w:eastAsia="Arial" w:hAnsi="Arial"/>
          <w:sz w:val="18"/>
          <w:szCs w:val="18"/>
          <w:color w:val="auto"/>
        </w:rPr>
        <w:t>shall mean (i) as of the date hereof, Citibank N.A., London Branch, having its principal office at 25 Canada Square,</w:t>
      </w:r>
      <w:r>
        <w:rPr>
          <w:rFonts w:ascii="Arial" w:cs="Arial" w:eastAsia="Arial" w:hAnsi="Arial"/>
          <w:sz w:val="18"/>
          <w:szCs w:val="18"/>
          <w:b w:val="1"/>
          <w:bCs w:val="1"/>
          <w:color w:val="auto"/>
        </w:rPr>
        <w:t xml:space="preserve"> </w:t>
      </w:r>
      <w:r>
        <w:rPr>
          <w:rFonts w:ascii="Arial" w:cs="Arial" w:eastAsia="Arial" w:hAnsi="Arial"/>
          <w:sz w:val="18"/>
          <w:szCs w:val="18"/>
          <w:color w:val="auto"/>
        </w:rPr>
        <w:t>Canary Wharf, London, E14 5LB, United Kingdom, as the custodian of Deposited Property for the purposes of the Deposit Agreement, (ii) Citibank, N.A., acting as custodian of Deposited Property pursuant to the Deposit Agreement, and (iii) any other entity that may be appointed by the Depositary pursuant to the terms of Section 5.5 as successor, substitute or additional custodian hereunder. The term “Custodian” shall mean any Custodian individually or all Custodians collectively, as the context requires.</w:t>
      </w:r>
    </w:p>
    <w:p>
      <w:pPr>
        <w:spacing w:after="0" w:line="184" w:lineRule="exact"/>
        <w:rPr>
          <w:sz w:val="20"/>
          <w:szCs w:val="20"/>
          <w:color w:val="auto"/>
        </w:rPr>
      </w:pPr>
    </w:p>
    <w:p>
      <w:pPr>
        <w:ind w:firstLine="648"/>
        <w:spacing w:after="0" w:line="258" w:lineRule="auto"/>
        <w:rPr>
          <w:sz w:val="20"/>
          <w:szCs w:val="20"/>
          <w:color w:val="auto"/>
        </w:rPr>
      </w:pPr>
      <w:r>
        <w:rPr>
          <w:rFonts w:ascii="Arial" w:cs="Arial" w:eastAsia="Arial" w:hAnsi="Arial"/>
          <w:sz w:val="18"/>
          <w:szCs w:val="18"/>
          <w:b w:val="1"/>
          <w:bCs w:val="1"/>
          <w:color w:val="auto"/>
        </w:rPr>
        <w:t xml:space="preserve">Section 1.14 </w:t>
      </w:r>
      <w:r>
        <w:rPr>
          <w:rFonts w:ascii="Arial" w:cs="Arial" w:eastAsia="Arial" w:hAnsi="Arial"/>
          <w:sz w:val="18"/>
          <w:szCs w:val="18"/>
          <w:b w:val="1"/>
          <w:bCs w:val="1"/>
          <w:u w:val="single" w:color="auto"/>
          <w:color w:val="auto"/>
        </w:rPr>
        <w:t>“Deliver” and “Delivery”</w:t>
      </w:r>
      <w:r>
        <w:rPr>
          <w:rFonts w:ascii="Arial" w:cs="Arial" w:eastAsia="Arial" w:hAnsi="Arial"/>
          <w:sz w:val="18"/>
          <w:szCs w:val="18"/>
          <w:b w:val="1"/>
          <w:bCs w:val="1"/>
          <w:color w:val="auto"/>
        </w:rPr>
        <w:t xml:space="preserve"> </w:t>
      </w:r>
      <w:r>
        <w:rPr>
          <w:rFonts w:ascii="Arial" w:cs="Arial" w:eastAsia="Arial" w:hAnsi="Arial"/>
          <w:sz w:val="18"/>
          <w:szCs w:val="18"/>
          <w:color w:val="auto"/>
        </w:rPr>
        <w:t>shall mean (x)</w:t>
      </w:r>
      <w:r>
        <w:rPr>
          <w:rFonts w:ascii="Arial" w:cs="Arial" w:eastAsia="Arial" w:hAnsi="Arial"/>
          <w:sz w:val="18"/>
          <w:szCs w:val="18"/>
          <w:b w:val="1"/>
          <w:bCs w:val="1"/>
          <w:color w:val="auto"/>
        </w:rPr>
        <w:t xml:space="preserve"> </w:t>
      </w:r>
      <w:r>
        <w:rPr>
          <w:rFonts w:ascii="Arial" w:cs="Arial" w:eastAsia="Arial" w:hAnsi="Arial"/>
          <w:sz w:val="18"/>
          <w:szCs w:val="18"/>
          <w:i w:val="1"/>
          <w:iCs w:val="1"/>
          <w:color w:val="auto"/>
        </w:rPr>
        <w:t>when used in respect of Shares and other Deposited Securities</w:t>
      </w:r>
      <w:r>
        <w:rPr>
          <w:rFonts w:ascii="Arial" w:cs="Arial" w:eastAsia="Arial" w:hAnsi="Arial"/>
          <w:sz w:val="18"/>
          <w:szCs w:val="18"/>
          <w:color w:val="auto"/>
        </w:rPr>
        <w:t>, either (i) the physical</w:t>
      </w:r>
      <w:r>
        <w:rPr>
          <w:rFonts w:ascii="Arial" w:cs="Arial" w:eastAsia="Arial" w:hAnsi="Arial"/>
          <w:sz w:val="18"/>
          <w:szCs w:val="18"/>
          <w:b w:val="1"/>
          <w:bCs w:val="1"/>
          <w:color w:val="auto"/>
        </w:rPr>
        <w:t xml:space="preserve"> </w:t>
      </w:r>
      <w:r>
        <w:rPr>
          <w:rFonts w:ascii="Arial" w:cs="Arial" w:eastAsia="Arial" w:hAnsi="Arial"/>
          <w:sz w:val="18"/>
          <w:szCs w:val="18"/>
          <w:color w:val="auto"/>
        </w:rPr>
        <w:t xml:space="preserve">delivery of the certificate(s) representing such securities, or (ii) the book-entry transfer and recordation of such securities on the books of the Share Registrar (as hereinafter defined) or in the book-entry settlement of CREST, and (y) </w:t>
      </w:r>
      <w:r>
        <w:rPr>
          <w:rFonts w:ascii="Arial" w:cs="Arial" w:eastAsia="Arial" w:hAnsi="Arial"/>
          <w:sz w:val="18"/>
          <w:szCs w:val="18"/>
          <w:i w:val="1"/>
          <w:iCs w:val="1"/>
          <w:color w:val="auto"/>
        </w:rPr>
        <w:t>when used in respect of ADSs</w:t>
      </w:r>
      <w:r>
        <w:rPr>
          <w:rFonts w:ascii="Arial" w:cs="Arial" w:eastAsia="Arial" w:hAnsi="Arial"/>
          <w:sz w:val="18"/>
          <w:szCs w:val="18"/>
          <w:color w:val="auto"/>
        </w:rPr>
        <w:t>, either (i) the physical delivery of ADR(s) evidencing the ADSs, or (ii) the book-entry transfer and recordation of ADSs on the books of the Depositary or any book-entry settlement system in which the ADSs are settlement-eligible.</w:t>
      </w:r>
    </w:p>
    <w:p>
      <w:pPr>
        <w:spacing w:after="0" w:line="289"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7620</wp:posOffset>
            </wp:positionV>
            <wp:extent cx="7246620" cy="17145"/>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337" w:right="239" w:bottom="1440" w:gutter="0" w:footer="0" w:header="0"/>
        </w:sectPr>
      </w:pPr>
    </w:p>
    <w:bookmarkStart w:id="20" w:name="page21"/>
    <w:bookmarkEnd w:id="20"/>
    <w:p>
      <w:pPr>
        <w:ind w:right="100" w:firstLine="648"/>
        <w:spacing w:after="0" w:line="282" w:lineRule="auto"/>
        <w:rPr>
          <w:sz w:val="20"/>
          <w:szCs w:val="20"/>
          <w:color w:val="auto"/>
        </w:rPr>
      </w:pPr>
      <w:r>
        <w:rPr>
          <w:rFonts w:ascii="Arial" w:cs="Arial" w:eastAsia="Arial" w:hAnsi="Arial"/>
          <w:sz w:val="18"/>
          <w:szCs w:val="18"/>
          <w:b w:val="1"/>
          <w:bCs w:val="1"/>
          <w:color w:val="auto"/>
        </w:rPr>
        <w:t xml:space="preserve">Section 1.15 </w:t>
      </w:r>
      <w:r>
        <w:rPr>
          <w:rFonts w:ascii="Arial" w:cs="Arial" w:eastAsia="Arial" w:hAnsi="Arial"/>
          <w:sz w:val="18"/>
          <w:szCs w:val="18"/>
          <w:b w:val="1"/>
          <w:bCs w:val="1"/>
          <w:u w:val="single" w:color="auto"/>
          <w:color w:val="auto"/>
        </w:rPr>
        <w:t>“Deposit Agreement”</w:t>
      </w:r>
      <w:r>
        <w:rPr>
          <w:rFonts w:ascii="Arial" w:cs="Arial" w:eastAsia="Arial" w:hAnsi="Arial"/>
          <w:sz w:val="18"/>
          <w:szCs w:val="18"/>
          <w:b w:val="1"/>
          <w:bCs w:val="1"/>
          <w:color w:val="auto"/>
        </w:rPr>
        <w:t xml:space="preserve"> </w:t>
      </w:r>
      <w:r>
        <w:rPr>
          <w:rFonts w:ascii="Arial" w:cs="Arial" w:eastAsia="Arial" w:hAnsi="Arial"/>
          <w:sz w:val="18"/>
          <w:szCs w:val="18"/>
          <w:color w:val="auto"/>
        </w:rPr>
        <w:t>shall mean this Deposit Agreement and all exhibits hereto, as the same may from time to time be amended</w:t>
      </w:r>
      <w:r>
        <w:rPr>
          <w:rFonts w:ascii="Arial" w:cs="Arial" w:eastAsia="Arial" w:hAnsi="Arial"/>
          <w:sz w:val="18"/>
          <w:szCs w:val="18"/>
          <w:b w:val="1"/>
          <w:bCs w:val="1"/>
          <w:color w:val="auto"/>
        </w:rPr>
        <w:t xml:space="preserve"> </w:t>
      </w:r>
      <w:r>
        <w:rPr>
          <w:rFonts w:ascii="Arial" w:cs="Arial" w:eastAsia="Arial" w:hAnsi="Arial"/>
          <w:sz w:val="18"/>
          <w:szCs w:val="18"/>
          <w:color w:val="auto"/>
        </w:rPr>
        <w:t>and supplemented from time to time in accordance with the terms of the Deposit Agreement.</w:t>
      </w:r>
    </w:p>
    <w:p>
      <w:pPr>
        <w:spacing w:after="0" w:line="162" w:lineRule="exact"/>
        <w:rPr>
          <w:sz w:val="20"/>
          <w:szCs w:val="20"/>
          <w:color w:val="auto"/>
        </w:rPr>
      </w:pPr>
    </w:p>
    <w:p>
      <w:pPr>
        <w:ind w:right="500" w:firstLine="648"/>
        <w:spacing w:after="0" w:line="282" w:lineRule="auto"/>
        <w:rPr>
          <w:sz w:val="20"/>
          <w:szCs w:val="20"/>
          <w:color w:val="auto"/>
        </w:rPr>
      </w:pPr>
      <w:r>
        <w:rPr>
          <w:rFonts w:ascii="Arial" w:cs="Arial" w:eastAsia="Arial" w:hAnsi="Arial"/>
          <w:sz w:val="18"/>
          <w:szCs w:val="18"/>
          <w:b w:val="1"/>
          <w:bCs w:val="1"/>
          <w:color w:val="auto"/>
        </w:rPr>
        <w:t xml:space="preserve">Section 1.16 </w:t>
      </w:r>
      <w:r>
        <w:rPr>
          <w:rFonts w:ascii="Arial" w:cs="Arial" w:eastAsia="Arial" w:hAnsi="Arial"/>
          <w:sz w:val="18"/>
          <w:szCs w:val="18"/>
          <w:b w:val="1"/>
          <w:bCs w:val="1"/>
          <w:u w:val="single" w:color="auto"/>
          <w:color w:val="auto"/>
        </w:rPr>
        <w:t>“Depositary”</w:t>
      </w:r>
      <w:r>
        <w:rPr>
          <w:rFonts w:ascii="Arial" w:cs="Arial" w:eastAsia="Arial" w:hAnsi="Arial"/>
          <w:sz w:val="18"/>
          <w:szCs w:val="18"/>
          <w:b w:val="1"/>
          <w:bCs w:val="1"/>
          <w:color w:val="auto"/>
        </w:rPr>
        <w:t xml:space="preserve"> </w:t>
      </w:r>
      <w:r>
        <w:rPr>
          <w:rFonts w:ascii="Arial" w:cs="Arial" w:eastAsia="Arial" w:hAnsi="Arial"/>
          <w:sz w:val="18"/>
          <w:szCs w:val="18"/>
          <w:color w:val="auto"/>
        </w:rPr>
        <w:t>shall mean Citibank, N.A., a national banking association organized under the laws of the United States, in its</w:t>
      </w:r>
      <w:r>
        <w:rPr>
          <w:rFonts w:ascii="Arial" w:cs="Arial" w:eastAsia="Arial" w:hAnsi="Arial"/>
          <w:sz w:val="18"/>
          <w:szCs w:val="18"/>
          <w:b w:val="1"/>
          <w:bCs w:val="1"/>
          <w:color w:val="auto"/>
        </w:rPr>
        <w:t xml:space="preserve"> </w:t>
      </w:r>
      <w:r>
        <w:rPr>
          <w:rFonts w:ascii="Arial" w:cs="Arial" w:eastAsia="Arial" w:hAnsi="Arial"/>
          <w:sz w:val="18"/>
          <w:szCs w:val="18"/>
          <w:color w:val="auto"/>
        </w:rPr>
        <w:t>capacity as depositary under the terms of the Deposit Agreement, and any successor depositary hereunder.</w:t>
      </w:r>
    </w:p>
    <w:p>
      <w:pPr>
        <w:spacing w:after="0" w:line="162" w:lineRule="exact"/>
        <w:rPr>
          <w:sz w:val="20"/>
          <w:szCs w:val="20"/>
          <w:color w:val="auto"/>
        </w:rPr>
      </w:pPr>
    </w:p>
    <w:p>
      <w:pPr>
        <w:ind w:firstLine="648"/>
        <w:spacing w:after="0" w:line="274" w:lineRule="auto"/>
        <w:rPr>
          <w:sz w:val="20"/>
          <w:szCs w:val="20"/>
          <w:color w:val="auto"/>
        </w:rPr>
      </w:pPr>
      <w:r>
        <w:rPr>
          <w:rFonts w:ascii="Arial" w:cs="Arial" w:eastAsia="Arial" w:hAnsi="Arial"/>
          <w:sz w:val="17"/>
          <w:szCs w:val="17"/>
          <w:b w:val="1"/>
          <w:bCs w:val="1"/>
          <w:color w:val="auto"/>
        </w:rPr>
        <w:t xml:space="preserve">Section 1.17 </w:t>
      </w:r>
      <w:r>
        <w:rPr>
          <w:rFonts w:ascii="Arial" w:cs="Arial" w:eastAsia="Arial" w:hAnsi="Arial"/>
          <w:sz w:val="17"/>
          <w:szCs w:val="17"/>
          <w:b w:val="1"/>
          <w:bCs w:val="1"/>
          <w:u w:val="single" w:color="auto"/>
          <w:color w:val="auto"/>
        </w:rPr>
        <w:t>“Deposited Property”</w:t>
      </w:r>
      <w:r>
        <w:rPr>
          <w:rFonts w:ascii="Arial" w:cs="Arial" w:eastAsia="Arial" w:hAnsi="Arial"/>
          <w:sz w:val="17"/>
          <w:szCs w:val="17"/>
          <w:b w:val="1"/>
          <w:bCs w:val="1"/>
          <w:color w:val="auto"/>
        </w:rPr>
        <w:t xml:space="preserve"> </w:t>
      </w:r>
      <w:r>
        <w:rPr>
          <w:rFonts w:ascii="Arial" w:cs="Arial" w:eastAsia="Arial" w:hAnsi="Arial"/>
          <w:sz w:val="17"/>
          <w:szCs w:val="17"/>
          <w:color w:val="auto"/>
        </w:rPr>
        <w:t>shall mean the Deposited Securities and any cash and other property held on deposit by the Depositary and</w:t>
      </w:r>
      <w:r>
        <w:rPr>
          <w:rFonts w:ascii="Arial" w:cs="Arial" w:eastAsia="Arial" w:hAnsi="Arial"/>
          <w:sz w:val="17"/>
          <w:szCs w:val="17"/>
          <w:b w:val="1"/>
          <w:bCs w:val="1"/>
          <w:color w:val="auto"/>
        </w:rPr>
        <w:t xml:space="preserve"> </w:t>
      </w:r>
      <w:r>
        <w:rPr>
          <w:rFonts w:ascii="Arial" w:cs="Arial" w:eastAsia="Arial" w:hAnsi="Arial"/>
          <w:sz w:val="17"/>
          <w:szCs w:val="17"/>
          <w:color w:val="auto"/>
        </w:rPr>
        <w:t>the Custodian in respect of the ADSs under the terms of the Deposit Agreement, subject, in the case of cash, to the provisions of Section 4.8. All Deposited Property shall be held by the Custodian, the Depositary and their respective nominees for the benefit of the Holders and Beneficial Owners of the ADSs representing the Deposited Property. The Deposited Property is not intended to, and shall not, constitute proprietary assets of the Depositary, the Custodian or their nominees. Beneficial ownership in the Deposited Property is intended to be, and shall at all times during the term of the Deposit Agreement continue to be, vested in the Beneficial Owners of the ADSs representing the Deposited Property.</w:t>
      </w:r>
    </w:p>
    <w:p>
      <w:pPr>
        <w:spacing w:after="0" w:line="174" w:lineRule="exact"/>
        <w:rPr>
          <w:sz w:val="20"/>
          <w:szCs w:val="20"/>
          <w:color w:val="auto"/>
        </w:rPr>
      </w:pPr>
    </w:p>
    <w:p>
      <w:pPr>
        <w:ind w:right="480" w:firstLine="648"/>
        <w:spacing w:after="0" w:line="282" w:lineRule="auto"/>
        <w:rPr>
          <w:sz w:val="20"/>
          <w:szCs w:val="20"/>
          <w:color w:val="auto"/>
        </w:rPr>
      </w:pPr>
      <w:r>
        <w:rPr>
          <w:rFonts w:ascii="Arial" w:cs="Arial" w:eastAsia="Arial" w:hAnsi="Arial"/>
          <w:sz w:val="18"/>
          <w:szCs w:val="18"/>
          <w:b w:val="1"/>
          <w:bCs w:val="1"/>
          <w:color w:val="auto"/>
        </w:rPr>
        <w:t xml:space="preserve">Section 1.18 </w:t>
      </w:r>
      <w:r>
        <w:rPr>
          <w:rFonts w:ascii="Arial" w:cs="Arial" w:eastAsia="Arial" w:hAnsi="Arial"/>
          <w:sz w:val="18"/>
          <w:szCs w:val="18"/>
          <w:b w:val="1"/>
          <w:bCs w:val="1"/>
          <w:u w:val="single" w:color="auto"/>
          <w:color w:val="auto"/>
        </w:rPr>
        <w:t>“Deposited Securities”</w:t>
      </w:r>
      <w:r>
        <w:rPr>
          <w:rFonts w:ascii="Arial" w:cs="Arial" w:eastAsia="Arial" w:hAnsi="Arial"/>
          <w:sz w:val="18"/>
          <w:szCs w:val="18"/>
          <w:b w:val="1"/>
          <w:bCs w:val="1"/>
          <w:color w:val="auto"/>
        </w:rPr>
        <w:t xml:space="preserve"> </w:t>
      </w:r>
      <w:r>
        <w:rPr>
          <w:rFonts w:ascii="Arial" w:cs="Arial" w:eastAsia="Arial" w:hAnsi="Arial"/>
          <w:sz w:val="18"/>
          <w:szCs w:val="18"/>
          <w:color w:val="auto"/>
        </w:rPr>
        <w:t>shall mean the Shares and any other securities held on deposit by the Custodian from time to time in</w:t>
      </w:r>
      <w:r>
        <w:rPr>
          <w:rFonts w:ascii="Arial" w:cs="Arial" w:eastAsia="Arial" w:hAnsi="Arial"/>
          <w:sz w:val="18"/>
          <w:szCs w:val="18"/>
          <w:b w:val="1"/>
          <w:bCs w:val="1"/>
          <w:color w:val="auto"/>
        </w:rPr>
        <w:t xml:space="preserve"> </w:t>
      </w:r>
      <w:r>
        <w:rPr>
          <w:rFonts w:ascii="Arial" w:cs="Arial" w:eastAsia="Arial" w:hAnsi="Arial"/>
          <w:sz w:val="18"/>
          <w:szCs w:val="18"/>
          <w:color w:val="auto"/>
        </w:rPr>
        <w:t>respect of the ADSs under the Deposit Agreement and constituting Deposited Property.</w:t>
      </w:r>
    </w:p>
    <w:p>
      <w:pPr>
        <w:spacing w:after="0" w:line="162" w:lineRule="exact"/>
        <w:rPr>
          <w:sz w:val="20"/>
          <w:szCs w:val="20"/>
          <w:color w:val="auto"/>
        </w:rPr>
      </w:pPr>
    </w:p>
    <w:p>
      <w:pPr>
        <w:ind w:left="660"/>
        <w:spacing w:after="0"/>
        <w:tabs>
          <w:tab w:leader="none" w:pos="1880" w:val="left"/>
        </w:tabs>
        <w:rPr>
          <w:sz w:val="20"/>
          <w:szCs w:val="20"/>
          <w:color w:val="auto"/>
        </w:rPr>
      </w:pPr>
      <w:r>
        <w:rPr>
          <w:rFonts w:ascii="Arial" w:cs="Arial" w:eastAsia="Arial" w:hAnsi="Arial"/>
          <w:sz w:val="18"/>
          <w:szCs w:val="18"/>
          <w:b w:val="1"/>
          <w:bCs w:val="1"/>
          <w:color w:val="auto"/>
        </w:rPr>
        <w:t>Section 1.19</w:t>
      </w:r>
      <w:r>
        <w:rPr>
          <w:sz w:val="20"/>
          <w:szCs w:val="20"/>
          <w:color w:val="auto"/>
        </w:rPr>
        <w:tab/>
      </w:r>
      <w:r>
        <w:rPr>
          <w:rFonts w:ascii="Arial" w:cs="Arial" w:eastAsia="Arial" w:hAnsi="Arial"/>
          <w:sz w:val="16"/>
          <w:szCs w:val="16"/>
          <w:b w:val="1"/>
          <w:bCs w:val="1"/>
          <w:u w:val="single" w:color="auto"/>
          <w:color w:val="auto"/>
        </w:rPr>
        <w:t xml:space="preserve">“Dollars” and “$” </w:t>
      </w:r>
      <w:r>
        <w:rPr>
          <w:rFonts w:ascii="Arial" w:cs="Arial" w:eastAsia="Arial" w:hAnsi="Arial"/>
          <w:sz w:val="16"/>
          <w:szCs w:val="16"/>
          <w:color w:val="auto"/>
        </w:rPr>
        <w:t>shall refer to the lawful currency of the United States.</w:t>
      </w:r>
    </w:p>
    <w:p>
      <w:pPr>
        <w:spacing w:after="0" w:line="225" w:lineRule="exact"/>
        <w:rPr>
          <w:sz w:val="20"/>
          <w:szCs w:val="20"/>
          <w:color w:val="auto"/>
        </w:rPr>
      </w:pPr>
    </w:p>
    <w:p>
      <w:pPr>
        <w:ind w:right="200" w:firstLine="648"/>
        <w:spacing w:after="0" w:line="266" w:lineRule="auto"/>
        <w:rPr>
          <w:sz w:val="20"/>
          <w:szCs w:val="20"/>
          <w:color w:val="auto"/>
        </w:rPr>
      </w:pPr>
      <w:r>
        <w:rPr>
          <w:rFonts w:ascii="Arial" w:cs="Arial" w:eastAsia="Arial" w:hAnsi="Arial"/>
          <w:sz w:val="18"/>
          <w:szCs w:val="18"/>
          <w:b w:val="1"/>
          <w:bCs w:val="1"/>
          <w:color w:val="auto"/>
        </w:rPr>
        <w:t xml:space="preserve">Section 1.20 </w:t>
      </w:r>
      <w:r>
        <w:rPr>
          <w:rFonts w:ascii="Arial" w:cs="Arial" w:eastAsia="Arial" w:hAnsi="Arial"/>
          <w:sz w:val="18"/>
          <w:szCs w:val="18"/>
          <w:b w:val="1"/>
          <w:bCs w:val="1"/>
          <w:u w:val="single" w:color="auto"/>
          <w:color w:val="auto"/>
        </w:rPr>
        <w:t>“DTC”</w:t>
      </w:r>
      <w:r>
        <w:rPr>
          <w:rFonts w:ascii="Arial" w:cs="Arial" w:eastAsia="Arial" w:hAnsi="Arial"/>
          <w:sz w:val="18"/>
          <w:szCs w:val="18"/>
          <w:b w:val="1"/>
          <w:bCs w:val="1"/>
          <w:color w:val="auto"/>
        </w:rPr>
        <w:t xml:space="preserve"> </w:t>
      </w:r>
      <w:r>
        <w:rPr>
          <w:rFonts w:ascii="Arial" w:cs="Arial" w:eastAsia="Arial" w:hAnsi="Arial"/>
          <w:sz w:val="18"/>
          <w:szCs w:val="18"/>
          <w:color w:val="auto"/>
        </w:rPr>
        <w:t>shall mean The Depository Trust Company, a national clearinghouse and the central book-entry settlement system for</w:t>
      </w:r>
      <w:r>
        <w:rPr>
          <w:rFonts w:ascii="Arial" w:cs="Arial" w:eastAsia="Arial" w:hAnsi="Arial"/>
          <w:sz w:val="18"/>
          <w:szCs w:val="18"/>
          <w:b w:val="1"/>
          <w:bCs w:val="1"/>
          <w:color w:val="auto"/>
        </w:rPr>
        <w:t xml:space="preserve"> </w:t>
      </w:r>
      <w:r>
        <w:rPr>
          <w:rFonts w:ascii="Arial" w:cs="Arial" w:eastAsia="Arial" w:hAnsi="Arial"/>
          <w:sz w:val="18"/>
          <w:szCs w:val="18"/>
          <w:color w:val="auto"/>
        </w:rPr>
        <w:t>securities traded in the United States and, as such, the custodian for the securities of DTC Participants (as hereinafter defined) maintained in DTC, and any successor thereto.</w:t>
      </w:r>
    </w:p>
    <w:p>
      <w:pPr>
        <w:spacing w:after="0" w:line="176" w:lineRule="exact"/>
        <w:rPr>
          <w:sz w:val="20"/>
          <w:szCs w:val="20"/>
          <w:color w:val="auto"/>
        </w:rPr>
      </w:pPr>
    </w:p>
    <w:p>
      <w:pPr>
        <w:ind w:firstLine="648"/>
        <w:spacing w:after="0" w:line="291" w:lineRule="auto"/>
        <w:rPr>
          <w:sz w:val="20"/>
          <w:szCs w:val="20"/>
          <w:color w:val="auto"/>
        </w:rPr>
      </w:pPr>
      <w:r>
        <w:rPr>
          <w:rFonts w:ascii="Arial" w:cs="Arial" w:eastAsia="Arial" w:hAnsi="Arial"/>
          <w:sz w:val="16"/>
          <w:szCs w:val="16"/>
          <w:b w:val="1"/>
          <w:bCs w:val="1"/>
          <w:color w:val="auto"/>
        </w:rPr>
        <w:t xml:space="preserve">Section 1.21 </w:t>
      </w:r>
      <w:r>
        <w:rPr>
          <w:rFonts w:ascii="Arial" w:cs="Arial" w:eastAsia="Arial" w:hAnsi="Arial"/>
          <w:sz w:val="16"/>
          <w:szCs w:val="16"/>
          <w:b w:val="1"/>
          <w:bCs w:val="1"/>
          <w:u w:val="single" w:color="auto"/>
          <w:color w:val="auto"/>
        </w:rPr>
        <w:t>“DTC Participant”</w:t>
      </w:r>
      <w:r>
        <w:rPr>
          <w:rFonts w:ascii="Arial" w:cs="Arial" w:eastAsia="Arial" w:hAnsi="Arial"/>
          <w:sz w:val="16"/>
          <w:szCs w:val="16"/>
          <w:b w:val="1"/>
          <w:bCs w:val="1"/>
          <w:color w:val="auto"/>
        </w:rPr>
        <w:t xml:space="preserve"> </w:t>
      </w:r>
      <w:r>
        <w:rPr>
          <w:rFonts w:ascii="Arial" w:cs="Arial" w:eastAsia="Arial" w:hAnsi="Arial"/>
          <w:sz w:val="16"/>
          <w:szCs w:val="16"/>
          <w:color w:val="auto"/>
        </w:rPr>
        <w:t>shall mean any financial institution (or any nominee of such institution) having one or more participant</w:t>
      </w:r>
      <w:r>
        <w:rPr>
          <w:rFonts w:ascii="Arial" w:cs="Arial" w:eastAsia="Arial" w:hAnsi="Arial"/>
          <w:sz w:val="16"/>
          <w:szCs w:val="16"/>
          <w:b w:val="1"/>
          <w:bCs w:val="1"/>
          <w:color w:val="auto"/>
        </w:rPr>
        <w:t xml:space="preserve"> </w:t>
      </w:r>
      <w:r>
        <w:rPr>
          <w:rFonts w:ascii="Arial" w:cs="Arial" w:eastAsia="Arial" w:hAnsi="Arial"/>
          <w:sz w:val="16"/>
          <w:szCs w:val="16"/>
          <w:color w:val="auto"/>
        </w:rPr>
        <w:t>accounts with DTC for receiving, holding and delivering the securities and cash held in DTC. A DTC Participant may or may not be a Beneficial Owner. If a DTC Participant is not the Beneficial Owner of the ADSs credited to its account at DTC, or of the ADSs in respect of which the DTC Participant is otherwise acting, such DTC Participant shall be deemed, for all purposes hereunder, to have all requisite authority to act on behalf of the Beneficial Owner(s) of the ADSs credited to its account at DTC or in respect of which the DTC Participant is so acting. A DTC Participant, upon acceptance in any one of its DTC accounts of any ADSs (or any interest therein) issued in accordance with the terms and conditions of the Deposit Agreement, shall (notwithstanding any explicit or implicit disclosure that it may be acting on behalf of another party) be deemed for all purposes to be a party to, and bound by, the terms of the Deposit Agreement and the applicable ADR(s) to the same extent as, and as if the DTC Participant were, the Holder of such ADSs.</w:t>
      </w:r>
    </w:p>
    <w:p>
      <w:pPr>
        <w:spacing w:after="0" w:line="160" w:lineRule="exact"/>
        <w:rPr>
          <w:sz w:val="20"/>
          <w:szCs w:val="20"/>
          <w:color w:val="auto"/>
        </w:rPr>
      </w:pPr>
    </w:p>
    <w:p>
      <w:pPr>
        <w:ind w:left="660"/>
        <w:spacing w:after="0"/>
        <w:tabs>
          <w:tab w:leader="none" w:pos="1880" w:val="left"/>
        </w:tabs>
        <w:rPr>
          <w:sz w:val="20"/>
          <w:szCs w:val="20"/>
          <w:color w:val="auto"/>
        </w:rPr>
      </w:pPr>
      <w:r>
        <w:rPr>
          <w:rFonts w:ascii="Arial" w:cs="Arial" w:eastAsia="Arial" w:hAnsi="Arial"/>
          <w:sz w:val="18"/>
          <w:szCs w:val="18"/>
          <w:b w:val="1"/>
          <w:bCs w:val="1"/>
          <w:color w:val="auto"/>
        </w:rPr>
        <w:t>Section 1.22</w:t>
      </w:r>
      <w:r>
        <w:rPr>
          <w:sz w:val="20"/>
          <w:szCs w:val="20"/>
          <w:color w:val="auto"/>
        </w:rPr>
        <w:tab/>
      </w:r>
      <w:r>
        <w:rPr>
          <w:rFonts w:ascii="Arial" w:cs="Arial" w:eastAsia="Arial" w:hAnsi="Arial"/>
          <w:sz w:val="16"/>
          <w:szCs w:val="16"/>
          <w:b w:val="1"/>
          <w:bCs w:val="1"/>
          <w:u w:val="single" w:color="auto"/>
          <w:color w:val="auto"/>
        </w:rPr>
        <w:t xml:space="preserve">“Exchange Act” </w:t>
      </w:r>
      <w:r>
        <w:rPr>
          <w:rFonts w:ascii="Arial" w:cs="Arial" w:eastAsia="Arial" w:hAnsi="Arial"/>
          <w:sz w:val="16"/>
          <w:szCs w:val="16"/>
          <w:color w:val="auto"/>
        </w:rPr>
        <w:t>shall mean the United States Securities Exchange Act of 1934, as amended from time to time.</w:t>
      </w:r>
    </w:p>
    <w:p>
      <w:pPr>
        <w:spacing w:after="0" w:line="225" w:lineRule="exact"/>
        <w:rPr>
          <w:sz w:val="20"/>
          <w:szCs w:val="20"/>
          <w:color w:val="auto"/>
        </w:rPr>
      </w:pPr>
    </w:p>
    <w:p>
      <w:pPr>
        <w:ind w:left="660"/>
        <w:spacing w:after="0"/>
        <w:tabs>
          <w:tab w:leader="none" w:pos="1880" w:val="left"/>
        </w:tabs>
        <w:rPr>
          <w:sz w:val="20"/>
          <w:szCs w:val="20"/>
          <w:color w:val="auto"/>
        </w:rPr>
      </w:pPr>
      <w:r>
        <w:rPr>
          <w:rFonts w:ascii="Arial" w:cs="Arial" w:eastAsia="Arial" w:hAnsi="Arial"/>
          <w:sz w:val="18"/>
          <w:szCs w:val="18"/>
          <w:b w:val="1"/>
          <w:bCs w:val="1"/>
          <w:color w:val="auto"/>
        </w:rPr>
        <w:t>Section 1.23</w:t>
      </w:r>
      <w:r>
        <w:rPr>
          <w:sz w:val="20"/>
          <w:szCs w:val="20"/>
          <w:color w:val="auto"/>
        </w:rPr>
        <w:tab/>
      </w:r>
      <w:r>
        <w:rPr>
          <w:rFonts w:ascii="Arial" w:cs="Arial" w:eastAsia="Arial" w:hAnsi="Arial"/>
          <w:sz w:val="16"/>
          <w:szCs w:val="16"/>
          <w:b w:val="1"/>
          <w:bCs w:val="1"/>
          <w:u w:val="single" w:color="auto"/>
          <w:color w:val="auto"/>
        </w:rPr>
        <w:t xml:space="preserve">“Foreign Currency” </w:t>
      </w:r>
      <w:r>
        <w:rPr>
          <w:rFonts w:ascii="Arial" w:cs="Arial" w:eastAsia="Arial" w:hAnsi="Arial"/>
          <w:sz w:val="16"/>
          <w:szCs w:val="16"/>
          <w:color w:val="auto"/>
        </w:rPr>
        <w:t>shall mean any currency other than Dollars.</w:t>
      </w:r>
    </w:p>
    <w:p>
      <w:pPr>
        <w:spacing w:after="0" w:line="330" w:lineRule="exact"/>
        <w:rPr>
          <w:sz w:val="20"/>
          <w:szCs w:val="20"/>
          <w:color w:val="auto"/>
        </w:rPr>
      </w:pPr>
    </w:p>
    <w:p>
      <w:pPr>
        <w:jc w:val="center"/>
        <w:ind w:right="-59"/>
        <w:spacing w:after="0"/>
        <w:rPr>
          <w:sz w:val="20"/>
          <w:szCs w:val="20"/>
          <w:color w:val="auto"/>
        </w:rPr>
      </w:pPr>
      <w:r>
        <w:rPr>
          <w:rFonts w:ascii="Arial" w:cs="Arial" w:eastAsia="Arial" w:hAnsi="Arial"/>
          <w:sz w:val="22"/>
          <w:szCs w:val="22"/>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7620</wp:posOffset>
            </wp:positionV>
            <wp:extent cx="7246620" cy="17145"/>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360"/>
          </w:cols>
          <w:pgMar w:left="240" w:top="337" w:right="299" w:bottom="1440" w:gutter="0" w:footer="0" w:header="0"/>
        </w:sectPr>
      </w:pPr>
    </w:p>
    <w:bookmarkStart w:id="21" w:name="page22"/>
    <w:bookmarkEnd w:id="21"/>
    <w:p>
      <w:pPr>
        <w:ind w:right="40" w:firstLine="648"/>
        <w:spacing w:after="0" w:line="282" w:lineRule="auto"/>
        <w:rPr>
          <w:sz w:val="20"/>
          <w:szCs w:val="20"/>
          <w:color w:val="auto"/>
        </w:rPr>
      </w:pPr>
      <w:r>
        <w:rPr>
          <w:rFonts w:ascii="Arial" w:cs="Arial" w:eastAsia="Arial" w:hAnsi="Arial"/>
          <w:sz w:val="18"/>
          <w:szCs w:val="18"/>
          <w:b w:val="1"/>
          <w:bCs w:val="1"/>
          <w:color w:val="auto"/>
        </w:rPr>
        <w:t xml:space="preserve">Section 1.24 </w:t>
      </w:r>
      <w:r>
        <w:rPr>
          <w:rFonts w:ascii="Arial" w:cs="Arial" w:eastAsia="Arial" w:hAnsi="Arial"/>
          <w:sz w:val="18"/>
          <w:szCs w:val="18"/>
          <w:b w:val="1"/>
          <w:bCs w:val="1"/>
          <w:u w:val="single" w:color="auto"/>
          <w:color w:val="auto"/>
        </w:rPr>
        <w:t>“Full Entitlement ADR(s)”, “Full Entitlement ADS(s)” and “Full Entitlement Share(s)”</w:t>
      </w:r>
      <w:r>
        <w:rPr>
          <w:rFonts w:ascii="Arial" w:cs="Arial" w:eastAsia="Arial" w:hAnsi="Arial"/>
          <w:sz w:val="18"/>
          <w:szCs w:val="18"/>
          <w:b w:val="1"/>
          <w:bCs w:val="1"/>
          <w:color w:val="auto"/>
        </w:rPr>
        <w:t xml:space="preserve"> </w:t>
      </w:r>
      <w:r>
        <w:rPr>
          <w:rFonts w:ascii="Arial" w:cs="Arial" w:eastAsia="Arial" w:hAnsi="Arial"/>
          <w:sz w:val="18"/>
          <w:szCs w:val="18"/>
          <w:color w:val="auto"/>
        </w:rPr>
        <w:t>shall have the respective meanings set</w:t>
      </w:r>
      <w:r>
        <w:rPr>
          <w:rFonts w:ascii="Arial" w:cs="Arial" w:eastAsia="Arial" w:hAnsi="Arial"/>
          <w:sz w:val="18"/>
          <w:szCs w:val="18"/>
          <w:b w:val="1"/>
          <w:bCs w:val="1"/>
          <w:color w:val="auto"/>
        </w:rPr>
        <w:t xml:space="preserve"> </w:t>
      </w:r>
      <w:r>
        <w:rPr>
          <w:rFonts w:ascii="Arial" w:cs="Arial" w:eastAsia="Arial" w:hAnsi="Arial"/>
          <w:sz w:val="18"/>
          <w:szCs w:val="18"/>
          <w:color w:val="auto"/>
        </w:rPr>
        <w:t>forth in Section 2.12.</w:t>
      </w:r>
    </w:p>
    <w:p>
      <w:pPr>
        <w:spacing w:after="0" w:line="162" w:lineRule="exact"/>
        <w:rPr>
          <w:sz w:val="20"/>
          <w:szCs w:val="20"/>
          <w:color w:val="auto"/>
        </w:rPr>
      </w:pPr>
    </w:p>
    <w:p>
      <w:pPr>
        <w:ind w:firstLine="648"/>
        <w:spacing w:after="0" w:line="277" w:lineRule="auto"/>
        <w:rPr>
          <w:sz w:val="20"/>
          <w:szCs w:val="20"/>
          <w:color w:val="auto"/>
        </w:rPr>
      </w:pPr>
      <w:r>
        <w:rPr>
          <w:rFonts w:ascii="Arial" w:cs="Arial" w:eastAsia="Arial" w:hAnsi="Arial"/>
          <w:sz w:val="17"/>
          <w:szCs w:val="17"/>
          <w:b w:val="1"/>
          <w:bCs w:val="1"/>
          <w:color w:val="auto"/>
        </w:rPr>
        <w:t xml:space="preserve">Section 1.25 </w:t>
      </w:r>
      <w:r>
        <w:rPr>
          <w:rFonts w:ascii="Arial" w:cs="Arial" w:eastAsia="Arial" w:hAnsi="Arial"/>
          <w:sz w:val="17"/>
          <w:szCs w:val="17"/>
          <w:b w:val="1"/>
          <w:bCs w:val="1"/>
          <w:u w:val="single" w:color="auto"/>
          <w:color w:val="auto"/>
        </w:rPr>
        <w:t>“Holder(s)”</w:t>
      </w:r>
      <w:r>
        <w:rPr>
          <w:rFonts w:ascii="Arial" w:cs="Arial" w:eastAsia="Arial" w:hAnsi="Arial"/>
          <w:sz w:val="17"/>
          <w:szCs w:val="17"/>
          <w:b w:val="1"/>
          <w:bCs w:val="1"/>
          <w:color w:val="auto"/>
        </w:rPr>
        <w:t xml:space="preserve"> </w:t>
      </w:r>
      <w:r>
        <w:rPr>
          <w:rFonts w:ascii="Arial" w:cs="Arial" w:eastAsia="Arial" w:hAnsi="Arial"/>
          <w:sz w:val="17"/>
          <w:szCs w:val="17"/>
          <w:color w:val="auto"/>
        </w:rPr>
        <w:t>shall mean the person(s) in whose name the ADSs are registered on the books of the Depositary (or the Registrar, if</w:t>
      </w:r>
      <w:r>
        <w:rPr>
          <w:rFonts w:ascii="Arial" w:cs="Arial" w:eastAsia="Arial" w:hAnsi="Arial"/>
          <w:sz w:val="17"/>
          <w:szCs w:val="17"/>
          <w:b w:val="1"/>
          <w:bCs w:val="1"/>
          <w:color w:val="auto"/>
        </w:rPr>
        <w:t xml:space="preserve"> </w:t>
      </w:r>
      <w:r>
        <w:rPr>
          <w:rFonts w:ascii="Arial" w:cs="Arial" w:eastAsia="Arial" w:hAnsi="Arial"/>
          <w:sz w:val="17"/>
          <w:szCs w:val="17"/>
          <w:color w:val="auto"/>
        </w:rPr>
        <w:t>any) maintained for such purpose. A Holder may or may not be a Beneficial Owner. If a Holder is not the Beneficial Owner of the ADS(s) registered in its name, such person shall be deemed, for all purposes hereunder, to have all requisite authority to act on behalf of the Beneficial Owners of the ADSs registered in its name. The manner in which a Holder holds ADSs (e.g., in certificated vs. uncertificated form) may affect the rights and obligations of, and the manner in which the services are made available to, Holders pursuant to the terms of the Deposit Agreement.</w:t>
      </w:r>
    </w:p>
    <w:p>
      <w:pPr>
        <w:spacing w:after="0" w:line="168" w:lineRule="exact"/>
        <w:rPr>
          <w:sz w:val="20"/>
          <w:szCs w:val="20"/>
          <w:color w:val="auto"/>
        </w:rPr>
      </w:pPr>
    </w:p>
    <w:p>
      <w:pPr>
        <w:ind w:right="360" w:firstLine="648"/>
        <w:spacing w:after="0" w:line="282" w:lineRule="auto"/>
        <w:rPr>
          <w:sz w:val="20"/>
          <w:szCs w:val="20"/>
          <w:color w:val="auto"/>
        </w:rPr>
      </w:pPr>
      <w:r>
        <w:rPr>
          <w:rFonts w:ascii="Arial" w:cs="Arial" w:eastAsia="Arial" w:hAnsi="Arial"/>
          <w:sz w:val="18"/>
          <w:szCs w:val="18"/>
          <w:b w:val="1"/>
          <w:bCs w:val="1"/>
          <w:color w:val="auto"/>
        </w:rPr>
        <w:t xml:space="preserve">Section 1.26 </w:t>
      </w:r>
      <w:r>
        <w:rPr>
          <w:rFonts w:ascii="Arial" w:cs="Arial" w:eastAsia="Arial" w:hAnsi="Arial"/>
          <w:sz w:val="18"/>
          <w:szCs w:val="18"/>
          <w:b w:val="1"/>
          <w:bCs w:val="1"/>
          <w:u w:val="single" w:color="auto"/>
          <w:color w:val="auto"/>
        </w:rPr>
        <w:t>“Partial Entitlement ADR(s)”, “Partial Entitlement ADS(s)” and “Partial Entitlement Share(s)”</w:t>
      </w:r>
      <w:r>
        <w:rPr>
          <w:rFonts w:ascii="Arial" w:cs="Arial" w:eastAsia="Arial" w:hAnsi="Arial"/>
          <w:sz w:val="18"/>
          <w:szCs w:val="18"/>
          <w:b w:val="1"/>
          <w:bCs w:val="1"/>
          <w:color w:val="auto"/>
        </w:rPr>
        <w:t xml:space="preserve"> </w:t>
      </w:r>
      <w:r>
        <w:rPr>
          <w:rFonts w:ascii="Arial" w:cs="Arial" w:eastAsia="Arial" w:hAnsi="Arial"/>
          <w:sz w:val="18"/>
          <w:szCs w:val="18"/>
          <w:color w:val="auto"/>
        </w:rPr>
        <w:t>shall have the respective</w:t>
      </w:r>
      <w:r>
        <w:rPr>
          <w:rFonts w:ascii="Arial" w:cs="Arial" w:eastAsia="Arial" w:hAnsi="Arial"/>
          <w:sz w:val="18"/>
          <w:szCs w:val="18"/>
          <w:b w:val="1"/>
          <w:bCs w:val="1"/>
          <w:color w:val="auto"/>
        </w:rPr>
        <w:t xml:space="preserve"> </w:t>
      </w:r>
      <w:r>
        <w:rPr>
          <w:rFonts w:ascii="Arial" w:cs="Arial" w:eastAsia="Arial" w:hAnsi="Arial"/>
          <w:sz w:val="18"/>
          <w:szCs w:val="18"/>
          <w:color w:val="auto"/>
        </w:rPr>
        <w:t>meanings set forth in Section 2.12.</w:t>
      </w:r>
    </w:p>
    <w:p>
      <w:pPr>
        <w:spacing w:after="0" w:line="162" w:lineRule="exact"/>
        <w:rPr>
          <w:sz w:val="20"/>
          <w:szCs w:val="20"/>
          <w:color w:val="auto"/>
        </w:rPr>
      </w:pPr>
    </w:p>
    <w:p>
      <w:pPr>
        <w:ind w:left="660"/>
        <w:spacing w:after="0"/>
        <w:tabs>
          <w:tab w:leader="none" w:pos="1880" w:val="left"/>
        </w:tabs>
        <w:rPr>
          <w:sz w:val="20"/>
          <w:szCs w:val="20"/>
          <w:color w:val="auto"/>
        </w:rPr>
      </w:pPr>
      <w:r>
        <w:rPr>
          <w:rFonts w:ascii="Arial" w:cs="Arial" w:eastAsia="Arial" w:hAnsi="Arial"/>
          <w:sz w:val="18"/>
          <w:szCs w:val="18"/>
          <w:b w:val="1"/>
          <w:bCs w:val="1"/>
          <w:color w:val="auto"/>
        </w:rPr>
        <w:t>Section 1.27</w:t>
      </w:r>
      <w:r>
        <w:rPr>
          <w:sz w:val="20"/>
          <w:szCs w:val="20"/>
          <w:color w:val="auto"/>
        </w:rPr>
        <w:tab/>
      </w:r>
      <w:r>
        <w:rPr>
          <w:rFonts w:ascii="Arial" w:cs="Arial" w:eastAsia="Arial" w:hAnsi="Arial"/>
          <w:sz w:val="16"/>
          <w:szCs w:val="16"/>
          <w:b w:val="1"/>
          <w:bCs w:val="1"/>
          <w:u w:val="single" w:color="auto"/>
          <w:color w:val="auto"/>
        </w:rPr>
        <w:t xml:space="preserve">“Pounds”, “Pence” and “£” </w:t>
      </w:r>
      <w:r>
        <w:rPr>
          <w:rFonts w:ascii="Arial" w:cs="Arial" w:eastAsia="Arial" w:hAnsi="Arial"/>
          <w:sz w:val="16"/>
          <w:szCs w:val="16"/>
          <w:color w:val="auto"/>
        </w:rPr>
        <w:t>shall refer to the lawful currency of England.</w:t>
      </w:r>
    </w:p>
    <w:p>
      <w:pPr>
        <w:spacing w:after="0" w:line="225" w:lineRule="exact"/>
        <w:rPr>
          <w:sz w:val="20"/>
          <w:szCs w:val="20"/>
          <w:color w:val="auto"/>
        </w:rPr>
      </w:pPr>
    </w:p>
    <w:p>
      <w:pPr>
        <w:ind w:right="260" w:firstLine="648"/>
        <w:spacing w:after="0" w:line="266" w:lineRule="auto"/>
        <w:rPr>
          <w:sz w:val="20"/>
          <w:szCs w:val="20"/>
          <w:color w:val="auto"/>
        </w:rPr>
      </w:pPr>
      <w:r>
        <w:rPr>
          <w:rFonts w:ascii="Arial" w:cs="Arial" w:eastAsia="Arial" w:hAnsi="Arial"/>
          <w:sz w:val="18"/>
          <w:szCs w:val="18"/>
          <w:b w:val="1"/>
          <w:bCs w:val="1"/>
          <w:color w:val="auto"/>
        </w:rPr>
        <w:t xml:space="preserve">Section 1.28 </w:t>
      </w:r>
      <w:r>
        <w:rPr>
          <w:rFonts w:ascii="Arial" w:cs="Arial" w:eastAsia="Arial" w:hAnsi="Arial"/>
          <w:sz w:val="18"/>
          <w:szCs w:val="18"/>
          <w:b w:val="1"/>
          <w:bCs w:val="1"/>
          <w:u w:val="single" w:color="auto"/>
          <w:color w:val="auto"/>
        </w:rPr>
        <w:t>“Principal Office”</w:t>
      </w:r>
      <w:r>
        <w:rPr>
          <w:rFonts w:ascii="Arial" w:cs="Arial" w:eastAsia="Arial" w:hAnsi="Arial"/>
          <w:sz w:val="18"/>
          <w:szCs w:val="18"/>
          <w:b w:val="1"/>
          <w:bCs w:val="1"/>
          <w:color w:val="auto"/>
        </w:rPr>
        <w:t xml:space="preserve"> </w:t>
      </w:r>
      <w:r>
        <w:rPr>
          <w:rFonts w:ascii="Arial" w:cs="Arial" w:eastAsia="Arial" w:hAnsi="Arial"/>
          <w:sz w:val="18"/>
          <w:szCs w:val="18"/>
          <w:color w:val="auto"/>
        </w:rPr>
        <w:t>shall mean, when used with respect to the Depositary, the principal office of the Depositary at which at any</w:t>
      </w:r>
      <w:r>
        <w:rPr>
          <w:rFonts w:ascii="Arial" w:cs="Arial" w:eastAsia="Arial" w:hAnsi="Arial"/>
          <w:sz w:val="18"/>
          <w:szCs w:val="18"/>
          <w:b w:val="1"/>
          <w:bCs w:val="1"/>
          <w:color w:val="auto"/>
        </w:rPr>
        <w:t xml:space="preserve"> </w:t>
      </w:r>
      <w:r>
        <w:rPr>
          <w:rFonts w:ascii="Arial" w:cs="Arial" w:eastAsia="Arial" w:hAnsi="Arial"/>
          <w:sz w:val="18"/>
          <w:szCs w:val="18"/>
          <w:color w:val="auto"/>
        </w:rPr>
        <w:t>particular time its depositary receipts business shall be administered, which, at the date of the Deposit Agreement, is located at 388 Greenwich Street, New York, New York 10013, U.S.A.</w:t>
      </w:r>
    </w:p>
    <w:p>
      <w:pPr>
        <w:spacing w:after="0" w:line="176" w:lineRule="exact"/>
        <w:rPr>
          <w:sz w:val="20"/>
          <w:szCs w:val="20"/>
          <w:color w:val="auto"/>
        </w:rPr>
      </w:pPr>
    </w:p>
    <w:p>
      <w:pPr>
        <w:ind w:firstLine="648"/>
        <w:spacing w:after="0" w:line="277" w:lineRule="auto"/>
        <w:rPr>
          <w:sz w:val="20"/>
          <w:szCs w:val="20"/>
          <w:color w:val="auto"/>
        </w:rPr>
      </w:pPr>
      <w:r>
        <w:rPr>
          <w:rFonts w:ascii="Arial" w:cs="Arial" w:eastAsia="Arial" w:hAnsi="Arial"/>
          <w:sz w:val="17"/>
          <w:szCs w:val="17"/>
          <w:b w:val="1"/>
          <w:bCs w:val="1"/>
          <w:color w:val="auto"/>
        </w:rPr>
        <w:t xml:space="preserve">Section 1.29 </w:t>
      </w:r>
      <w:r>
        <w:rPr>
          <w:rFonts w:ascii="Arial" w:cs="Arial" w:eastAsia="Arial" w:hAnsi="Arial"/>
          <w:sz w:val="17"/>
          <w:szCs w:val="17"/>
          <w:b w:val="1"/>
          <w:bCs w:val="1"/>
          <w:u w:val="single" w:color="auto"/>
          <w:color w:val="auto"/>
        </w:rPr>
        <w:t>“Registrar”</w:t>
      </w:r>
      <w:r>
        <w:rPr>
          <w:rFonts w:ascii="Arial" w:cs="Arial" w:eastAsia="Arial" w:hAnsi="Arial"/>
          <w:sz w:val="17"/>
          <w:szCs w:val="17"/>
          <w:b w:val="1"/>
          <w:bCs w:val="1"/>
          <w:color w:val="auto"/>
        </w:rPr>
        <w:t xml:space="preserve"> </w:t>
      </w:r>
      <w:r>
        <w:rPr>
          <w:rFonts w:ascii="Arial" w:cs="Arial" w:eastAsia="Arial" w:hAnsi="Arial"/>
          <w:sz w:val="17"/>
          <w:szCs w:val="17"/>
          <w:color w:val="auto"/>
        </w:rPr>
        <w:t>shall mean the Depositary or any bank or trust company having an office in the Borough of Manhattan, The City of</w:t>
      </w:r>
      <w:r>
        <w:rPr>
          <w:rFonts w:ascii="Arial" w:cs="Arial" w:eastAsia="Arial" w:hAnsi="Arial"/>
          <w:sz w:val="17"/>
          <w:szCs w:val="17"/>
          <w:b w:val="1"/>
          <w:bCs w:val="1"/>
          <w:color w:val="auto"/>
        </w:rPr>
        <w:t xml:space="preserve"> </w:t>
      </w:r>
      <w:r>
        <w:rPr>
          <w:rFonts w:ascii="Arial" w:cs="Arial" w:eastAsia="Arial" w:hAnsi="Arial"/>
          <w:sz w:val="17"/>
          <w:szCs w:val="17"/>
          <w:color w:val="auto"/>
        </w:rPr>
        <w:t>New York, which shall be appointed by the Depositary to register issuances, transfers and cancellations of ADSs as herein provided, and shall include any co-registrar appointed by the Depositary for such purposes. Registrars (other than the Depositary) may be removed and substitutes appointed by the Depositary. Each Registrar (other than the Depositary) appointed pursuant to the Deposit Agreement shall be required to give notice in writing to the Depositary accepting such appointment and agreeing to be bound by the applicable terms of the Deposit Agreement.</w:t>
      </w:r>
    </w:p>
    <w:p>
      <w:pPr>
        <w:spacing w:after="0" w:line="168" w:lineRule="exact"/>
        <w:rPr>
          <w:sz w:val="20"/>
          <w:szCs w:val="20"/>
          <w:color w:val="auto"/>
        </w:rPr>
      </w:pPr>
    </w:p>
    <w:p>
      <w:pPr>
        <w:ind w:right="120" w:firstLine="648"/>
        <w:spacing w:after="0" w:line="272" w:lineRule="auto"/>
        <w:rPr>
          <w:sz w:val="20"/>
          <w:szCs w:val="20"/>
          <w:color w:val="auto"/>
        </w:rPr>
      </w:pPr>
      <w:r>
        <w:rPr>
          <w:rFonts w:ascii="Arial" w:cs="Arial" w:eastAsia="Arial" w:hAnsi="Arial"/>
          <w:sz w:val="17"/>
          <w:szCs w:val="17"/>
          <w:b w:val="1"/>
          <w:bCs w:val="1"/>
          <w:color w:val="auto"/>
        </w:rPr>
        <w:t xml:space="preserve">Section 1.30 </w:t>
      </w:r>
      <w:r>
        <w:rPr>
          <w:rFonts w:ascii="Arial" w:cs="Arial" w:eastAsia="Arial" w:hAnsi="Arial"/>
          <w:sz w:val="17"/>
          <w:szCs w:val="17"/>
          <w:b w:val="1"/>
          <w:bCs w:val="1"/>
          <w:u w:val="single" w:color="auto"/>
          <w:color w:val="auto"/>
        </w:rPr>
        <w:t>“Restricted Securities”</w:t>
      </w:r>
      <w:r>
        <w:rPr>
          <w:rFonts w:ascii="Arial" w:cs="Arial" w:eastAsia="Arial" w:hAnsi="Arial"/>
          <w:sz w:val="17"/>
          <w:szCs w:val="17"/>
          <w:b w:val="1"/>
          <w:bCs w:val="1"/>
          <w:color w:val="auto"/>
        </w:rPr>
        <w:t xml:space="preserve"> </w:t>
      </w:r>
      <w:r>
        <w:rPr>
          <w:rFonts w:ascii="Arial" w:cs="Arial" w:eastAsia="Arial" w:hAnsi="Arial"/>
          <w:sz w:val="17"/>
          <w:szCs w:val="17"/>
          <w:color w:val="auto"/>
        </w:rPr>
        <w:t>shall mean Shares, Deposited Securities or ADSs which (i) have been acquired directly or indirectly from</w:t>
      </w:r>
      <w:r>
        <w:rPr>
          <w:rFonts w:ascii="Arial" w:cs="Arial" w:eastAsia="Arial" w:hAnsi="Arial"/>
          <w:sz w:val="17"/>
          <w:szCs w:val="17"/>
          <w:b w:val="1"/>
          <w:bCs w:val="1"/>
          <w:color w:val="auto"/>
        </w:rPr>
        <w:t xml:space="preserve"> </w:t>
      </w:r>
      <w:r>
        <w:rPr>
          <w:rFonts w:ascii="Arial" w:cs="Arial" w:eastAsia="Arial" w:hAnsi="Arial"/>
          <w:sz w:val="17"/>
          <w:szCs w:val="17"/>
          <w:color w:val="auto"/>
        </w:rPr>
        <w:t>the Company or any of its Affiliates in a transaction or chain of transactions not involving any public offering and are subject to resale limitations under the Securities Act or the rules issued thereunder, or (ii) are held by an executive officer or director (or persons performing similar functions) or other Affiliate of the Company, or (iii) are subject to other restrictions on sale or deposit under the laws of the United States, England and Wales, or under a shareholder agreement or the Articles of Association of the Company or under the regulations of an applicable securities exchange unless, in each case, such Shares, Deposited Securities or ADSs are being transferred or sold to persons other than an Affiliate of the Company in a transaction (a) covered by an effective resale registration statement, or (b) exempt from the registration requirements of the Securities Act (as hereinafter defined), and the Shares, Deposited Securities or ADSs are not, when held by such person(s), Restricted Securities.</w:t>
      </w:r>
    </w:p>
    <w:p>
      <w:pPr>
        <w:spacing w:after="0" w:line="172" w:lineRule="exact"/>
        <w:rPr>
          <w:sz w:val="20"/>
          <w:szCs w:val="20"/>
          <w:color w:val="auto"/>
        </w:rPr>
      </w:pPr>
    </w:p>
    <w:p>
      <w:pPr>
        <w:ind w:left="660"/>
        <w:spacing w:after="0"/>
        <w:tabs>
          <w:tab w:leader="none" w:pos="1880" w:val="left"/>
        </w:tabs>
        <w:rPr>
          <w:sz w:val="20"/>
          <w:szCs w:val="20"/>
          <w:color w:val="auto"/>
        </w:rPr>
      </w:pPr>
      <w:r>
        <w:rPr>
          <w:rFonts w:ascii="Arial" w:cs="Arial" w:eastAsia="Arial" w:hAnsi="Arial"/>
          <w:sz w:val="18"/>
          <w:szCs w:val="18"/>
          <w:b w:val="1"/>
          <w:bCs w:val="1"/>
          <w:color w:val="auto"/>
        </w:rPr>
        <w:t>Section 1.31</w:t>
      </w:r>
      <w:r>
        <w:rPr>
          <w:sz w:val="20"/>
          <w:szCs w:val="20"/>
          <w:color w:val="auto"/>
        </w:rPr>
        <w:tab/>
      </w:r>
      <w:r>
        <w:rPr>
          <w:rFonts w:ascii="Arial" w:cs="Arial" w:eastAsia="Arial" w:hAnsi="Arial"/>
          <w:sz w:val="16"/>
          <w:szCs w:val="16"/>
          <w:b w:val="1"/>
          <w:bCs w:val="1"/>
          <w:u w:val="single" w:color="auto"/>
          <w:color w:val="auto"/>
        </w:rPr>
        <w:t xml:space="preserve">“Restricted ADR(s)”, “Restricted ADS(s)” and “Restricted Shares” </w:t>
      </w:r>
      <w:r>
        <w:rPr>
          <w:rFonts w:ascii="Arial" w:cs="Arial" w:eastAsia="Arial" w:hAnsi="Arial"/>
          <w:sz w:val="16"/>
          <w:szCs w:val="16"/>
          <w:color w:val="auto"/>
        </w:rPr>
        <w:t>shall have the respective meanings set forth in Section 2.14.</w:t>
      </w:r>
    </w:p>
    <w:p>
      <w:pPr>
        <w:spacing w:after="0" w:line="330"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7620</wp:posOffset>
            </wp:positionV>
            <wp:extent cx="7246620" cy="17145"/>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337" w:right="239" w:bottom="1440" w:gutter="0" w:footer="0" w:header="0"/>
        </w:sectPr>
      </w:pPr>
    </w:p>
    <w:bookmarkStart w:id="22" w:name="page23"/>
    <w:bookmarkEnd w:id="22"/>
    <w:p>
      <w:pPr>
        <w:ind w:left="660"/>
        <w:spacing w:after="0"/>
        <w:tabs>
          <w:tab w:leader="none" w:pos="1880" w:val="left"/>
        </w:tabs>
        <w:rPr>
          <w:sz w:val="20"/>
          <w:szCs w:val="20"/>
          <w:color w:val="auto"/>
        </w:rPr>
      </w:pPr>
      <w:r>
        <w:rPr>
          <w:rFonts w:ascii="Arial" w:cs="Arial" w:eastAsia="Arial" w:hAnsi="Arial"/>
          <w:sz w:val="18"/>
          <w:szCs w:val="18"/>
          <w:b w:val="1"/>
          <w:bCs w:val="1"/>
          <w:color w:val="auto"/>
        </w:rPr>
        <w:t>Section 1.32</w:t>
      </w:r>
      <w:r>
        <w:rPr>
          <w:sz w:val="20"/>
          <w:szCs w:val="20"/>
          <w:color w:val="auto"/>
        </w:rPr>
        <w:tab/>
      </w:r>
      <w:r>
        <w:rPr>
          <w:rFonts w:ascii="Arial" w:cs="Arial" w:eastAsia="Arial" w:hAnsi="Arial"/>
          <w:sz w:val="16"/>
          <w:szCs w:val="16"/>
          <w:b w:val="1"/>
          <w:bCs w:val="1"/>
          <w:u w:val="single" w:color="auto"/>
          <w:color w:val="auto"/>
        </w:rPr>
        <w:t xml:space="preserve">“Securities Act” </w:t>
      </w:r>
      <w:r>
        <w:rPr>
          <w:rFonts w:ascii="Arial" w:cs="Arial" w:eastAsia="Arial" w:hAnsi="Arial"/>
          <w:sz w:val="16"/>
          <w:szCs w:val="16"/>
          <w:color w:val="auto"/>
        </w:rPr>
        <w:t>shall mean the United States Securities Act of 1933, as amended from time to time.</w:t>
      </w:r>
    </w:p>
    <w:p>
      <w:pPr>
        <w:spacing w:after="0" w:line="225" w:lineRule="exact"/>
        <w:rPr>
          <w:sz w:val="20"/>
          <w:szCs w:val="20"/>
          <w:color w:val="auto"/>
        </w:rPr>
      </w:pPr>
    </w:p>
    <w:p>
      <w:pPr>
        <w:ind w:right="280" w:firstLine="648"/>
        <w:spacing w:after="0" w:line="261" w:lineRule="auto"/>
        <w:rPr>
          <w:sz w:val="20"/>
          <w:szCs w:val="20"/>
          <w:color w:val="auto"/>
        </w:rPr>
      </w:pPr>
      <w:r>
        <w:rPr>
          <w:rFonts w:ascii="Arial" w:cs="Arial" w:eastAsia="Arial" w:hAnsi="Arial"/>
          <w:sz w:val="18"/>
          <w:szCs w:val="18"/>
          <w:b w:val="1"/>
          <w:bCs w:val="1"/>
          <w:color w:val="auto"/>
        </w:rPr>
        <w:t xml:space="preserve">Section 1.33 </w:t>
      </w:r>
      <w:r>
        <w:rPr>
          <w:rFonts w:ascii="Arial" w:cs="Arial" w:eastAsia="Arial" w:hAnsi="Arial"/>
          <w:sz w:val="18"/>
          <w:szCs w:val="18"/>
          <w:b w:val="1"/>
          <w:bCs w:val="1"/>
          <w:u w:val="single" w:color="auto"/>
          <w:color w:val="auto"/>
        </w:rPr>
        <w:t>“Share Registrar”</w:t>
      </w:r>
      <w:r>
        <w:rPr>
          <w:rFonts w:ascii="Arial" w:cs="Arial" w:eastAsia="Arial" w:hAnsi="Arial"/>
          <w:sz w:val="18"/>
          <w:szCs w:val="18"/>
          <w:b w:val="1"/>
          <w:bCs w:val="1"/>
          <w:color w:val="auto"/>
        </w:rPr>
        <w:t xml:space="preserve"> </w:t>
      </w:r>
      <w:r>
        <w:rPr>
          <w:rFonts w:ascii="Arial" w:cs="Arial" w:eastAsia="Arial" w:hAnsi="Arial"/>
          <w:sz w:val="18"/>
          <w:szCs w:val="18"/>
          <w:color w:val="auto"/>
        </w:rPr>
        <w:t>shall mean Link Asset Services (UK) Limited, a company registered in England and Wales under company</w:t>
      </w:r>
      <w:r>
        <w:rPr>
          <w:rFonts w:ascii="Arial" w:cs="Arial" w:eastAsia="Arial" w:hAnsi="Arial"/>
          <w:sz w:val="18"/>
          <w:szCs w:val="18"/>
          <w:b w:val="1"/>
          <w:bCs w:val="1"/>
          <w:color w:val="auto"/>
        </w:rPr>
        <w:t xml:space="preserve"> </w:t>
      </w:r>
      <w:r>
        <w:rPr>
          <w:rFonts w:ascii="Arial" w:cs="Arial" w:eastAsia="Arial" w:hAnsi="Arial"/>
          <w:sz w:val="18"/>
          <w:szCs w:val="18"/>
          <w:color w:val="auto"/>
        </w:rPr>
        <w:t>number 03376447 and whose registered office is at 6th Floor, 65 Gresham Street, London, United Kingdom, EC2V 7NQ or any other institution organized under the laws of England and Wales appointed by the Company from time to time to carry out the duties of registrar for the Shares, and any successor thereto.</w:t>
      </w:r>
    </w:p>
    <w:p>
      <w:pPr>
        <w:spacing w:after="0" w:line="180" w:lineRule="exact"/>
        <w:rPr>
          <w:sz w:val="20"/>
          <w:szCs w:val="20"/>
          <w:color w:val="auto"/>
        </w:rPr>
      </w:pPr>
    </w:p>
    <w:p>
      <w:pPr>
        <w:ind w:right="60" w:firstLine="648"/>
        <w:spacing w:after="0" w:line="295" w:lineRule="auto"/>
        <w:rPr>
          <w:sz w:val="20"/>
          <w:szCs w:val="20"/>
          <w:color w:val="auto"/>
        </w:rPr>
      </w:pPr>
      <w:r>
        <w:rPr>
          <w:rFonts w:ascii="Arial" w:cs="Arial" w:eastAsia="Arial" w:hAnsi="Arial"/>
          <w:sz w:val="16"/>
          <w:szCs w:val="16"/>
          <w:b w:val="1"/>
          <w:bCs w:val="1"/>
          <w:color w:val="auto"/>
        </w:rPr>
        <w:t xml:space="preserve">Section 1.34 </w:t>
      </w:r>
      <w:r>
        <w:rPr>
          <w:rFonts w:ascii="Arial" w:cs="Arial" w:eastAsia="Arial" w:hAnsi="Arial"/>
          <w:sz w:val="16"/>
          <w:szCs w:val="16"/>
          <w:b w:val="1"/>
          <w:bCs w:val="1"/>
          <w:u w:val="single" w:color="auto"/>
          <w:color w:val="auto"/>
        </w:rPr>
        <w:t>“Shares”</w:t>
      </w:r>
      <w:r>
        <w:rPr>
          <w:rFonts w:ascii="Arial" w:cs="Arial" w:eastAsia="Arial" w:hAnsi="Arial"/>
          <w:sz w:val="16"/>
          <w:szCs w:val="16"/>
          <w:b w:val="1"/>
          <w:bCs w:val="1"/>
          <w:color w:val="auto"/>
        </w:rPr>
        <w:t xml:space="preserve"> </w:t>
      </w:r>
      <w:r>
        <w:rPr>
          <w:rFonts w:ascii="Arial" w:cs="Arial" w:eastAsia="Arial" w:hAnsi="Arial"/>
          <w:sz w:val="16"/>
          <w:szCs w:val="16"/>
          <w:color w:val="auto"/>
        </w:rPr>
        <w:t>shall mean the Company’s ordinary shares, nominal value £0.003 per share, validly issued and outstanding and fully paid</w:t>
      </w:r>
      <w:r>
        <w:rPr>
          <w:rFonts w:ascii="Arial" w:cs="Arial" w:eastAsia="Arial" w:hAnsi="Arial"/>
          <w:sz w:val="16"/>
          <w:szCs w:val="16"/>
          <w:b w:val="1"/>
          <w:bCs w:val="1"/>
          <w:color w:val="auto"/>
        </w:rPr>
        <w:t xml:space="preserve"> </w:t>
      </w:r>
      <w:r>
        <w:rPr>
          <w:rFonts w:ascii="Arial" w:cs="Arial" w:eastAsia="Arial" w:hAnsi="Arial"/>
          <w:sz w:val="16"/>
          <w:szCs w:val="16"/>
          <w:color w:val="auto"/>
        </w:rPr>
        <w:t xml:space="preserve">and may, if the Depositary so agrees after consultation with the Company, include evidence of the right to receive Shares; </w:t>
      </w:r>
      <w:r>
        <w:rPr>
          <w:rFonts w:ascii="Arial" w:cs="Arial" w:eastAsia="Arial" w:hAnsi="Arial"/>
          <w:sz w:val="16"/>
          <w:szCs w:val="16"/>
          <w:u w:val="single" w:color="auto"/>
          <w:color w:val="auto"/>
        </w:rPr>
        <w:t>provided that</w:t>
      </w:r>
      <w:r>
        <w:rPr>
          <w:rFonts w:ascii="Arial" w:cs="Arial" w:eastAsia="Arial" w:hAnsi="Arial"/>
          <w:sz w:val="16"/>
          <w:szCs w:val="16"/>
          <w:color w:val="auto"/>
        </w:rPr>
        <w:t xml:space="preserve"> in no event shall Shares include evidence of the right to receive Shares with respect to which the full purchase price has not been paid or Shares as to which preemptive rights have theretofore not been validly waived, disapplied or exercised; </w:t>
      </w:r>
      <w:r>
        <w:rPr>
          <w:rFonts w:ascii="Arial" w:cs="Arial" w:eastAsia="Arial" w:hAnsi="Arial"/>
          <w:sz w:val="16"/>
          <w:szCs w:val="16"/>
          <w:u w:val="single" w:color="auto"/>
          <w:color w:val="auto"/>
        </w:rPr>
        <w:t>provided further</w:t>
      </w:r>
      <w:r>
        <w:rPr>
          <w:rFonts w:ascii="Arial" w:cs="Arial" w:eastAsia="Arial" w:hAnsi="Arial"/>
          <w:sz w:val="16"/>
          <w:szCs w:val="16"/>
          <w:color w:val="auto"/>
        </w:rPr>
        <w:t xml:space="preserve">, </w:t>
      </w:r>
      <w:r>
        <w:rPr>
          <w:rFonts w:ascii="Arial" w:cs="Arial" w:eastAsia="Arial" w:hAnsi="Arial"/>
          <w:sz w:val="16"/>
          <w:szCs w:val="16"/>
          <w:u w:val="single" w:color="auto"/>
          <w:color w:val="auto"/>
        </w:rPr>
        <w:t>however</w:t>
      </w:r>
      <w:r>
        <w:rPr>
          <w:rFonts w:ascii="Arial" w:cs="Arial" w:eastAsia="Arial" w:hAnsi="Arial"/>
          <w:sz w:val="16"/>
          <w:szCs w:val="16"/>
          <w:color w:val="auto"/>
        </w:rPr>
        <w:t xml:space="preserve">, </w:t>
      </w:r>
      <w:r>
        <w:rPr>
          <w:rFonts w:ascii="Arial" w:cs="Arial" w:eastAsia="Arial" w:hAnsi="Arial"/>
          <w:sz w:val="16"/>
          <w:szCs w:val="16"/>
          <w:u w:val="single" w:color="auto"/>
          <w:color w:val="auto"/>
        </w:rPr>
        <w:t>that</w:t>
      </w:r>
      <w:r>
        <w:rPr>
          <w:rFonts w:ascii="Arial" w:cs="Arial" w:eastAsia="Arial" w:hAnsi="Arial"/>
          <w:sz w:val="16"/>
          <w:szCs w:val="16"/>
          <w:color w:val="auto"/>
        </w:rPr>
        <w:t>, if there shall occur any change in nominal value, split-up, consolidation, reclassification, exchange, conversion or any other event described in Section 4.11 in respect of the Shares of the Company, the term “Shares” shall thereafter, to the maximum extent permitted by law, represent the successor securities resulting from such event.</w:t>
      </w:r>
    </w:p>
    <w:p>
      <w:pPr>
        <w:spacing w:after="0" w:line="156" w:lineRule="exact"/>
        <w:rPr>
          <w:sz w:val="20"/>
          <w:szCs w:val="20"/>
          <w:color w:val="auto"/>
        </w:rPr>
      </w:pPr>
    </w:p>
    <w:p>
      <w:pPr>
        <w:ind w:left="660"/>
        <w:spacing w:after="0"/>
        <w:tabs>
          <w:tab w:leader="none" w:pos="1880" w:val="left"/>
        </w:tabs>
        <w:rPr>
          <w:sz w:val="20"/>
          <w:szCs w:val="20"/>
          <w:color w:val="auto"/>
        </w:rPr>
      </w:pPr>
      <w:r>
        <w:rPr>
          <w:rFonts w:ascii="Arial" w:cs="Arial" w:eastAsia="Arial" w:hAnsi="Arial"/>
          <w:sz w:val="18"/>
          <w:szCs w:val="18"/>
          <w:b w:val="1"/>
          <w:bCs w:val="1"/>
          <w:color w:val="auto"/>
        </w:rPr>
        <w:t>Section 1.35</w:t>
      </w:r>
      <w:r>
        <w:rPr>
          <w:sz w:val="20"/>
          <w:szCs w:val="20"/>
          <w:color w:val="auto"/>
        </w:rPr>
        <w:tab/>
      </w:r>
      <w:r>
        <w:rPr>
          <w:rFonts w:ascii="Arial" w:cs="Arial" w:eastAsia="Arial" w:hAnsi="Arial"/>
          <w:sz w:val="16"/>
          <w:szCs w:val="16"/>
          <w:b w:val="1"/>
          <w:bCs w:val="1"/>
          <w:u w:val="single" w:color="auto"/>
          <w:color w:val="auto"/>
        </w:rPr>
        <w:t xml:space="preserve">“Uncertificated ADS(s)” </w:t>
      </w:r>
      <w:r>
        <w:rPr>
          <w:rFonts w:ascii="Arial" w:cs="Arial" w:eastAsia="Arial" w:hAnsi="Arial"/>
          <w:sz w:val="16"/>
          <w:szCs w:val="16"/>
          <w:color w:val="auto"/>
        </w:rPr>
        <w:t>shall have the meaning set forth in Section 2.13.</w:t>
      </w:r>
    </w:p>
    <w:p>
      <w:pPr>
        <w:spacing w:after="0" w:line="225" w:lineRule="exact"/>
        <w:rPr>
          <w:sz w:val="20"/>
          <w:szCs w:val="20"/>
          <w:color w:val="auto"/>
        </w:rPr>
      </w:pPr>
    </w:p>
    <w:p>
      <w:pPr>
        <w:ind w:right="260" w:firstLine="648"/>
        <w:spacing w:after="0" w:line="282" w:lineRule="auto"/>
        <w:rPr>
          <w:sz w:val="20"/>
          <w:szCs w:val="20"/>
          <w:color w:val="auto"/>
        </w:rPr>
      </w:pPr>
      <w:r>
        <w:rPr>
          <w:rFonts w:ascii="Arial" w:cs="Arial" w:eastAsia="Arial" w:hAnsi="Arial"/>
          <w:sz w:val="18"/>
          <w:szCs w:val="18"/>
          <w:b w:val="1"/>
          <w:bCs w:val="1"/>
          <w:color w:val="auto"/>
        </w:rPr>
        <w:t xml:space="preserve">Section 1.36 </w:t>
      </w:r>
      <w:r>
        <w:rPr>
          <w:rFonts w:ascii="Arial" w:cs="Arial" w:eastAsia="Arial" w:hAnsi="Arial"/>
          <w:sz w:val="18"/>
          <w:szCs w:val="18"/>
          <w:b w:val="1"/>
          <w:bCs w:val="1"/>
          <w:u w:val="single" w:color="auto"/>
          <w:color w:val="auto"/>
        </w:rPr>
        <w:t>“United States” and “U.S.”</w:t>
      </w:r>
      <w:r>
        <w:rPr>
          <w:rFonts w:ascii="Arial" w:cs="Arial" w:eastAsia="Arial" w:hAnsi="Arial"/>
          <w:sz w:val="18"/>
          <w:szCs w:val="18"/>
          <w:b w:val="1"/>
          <w:bCs w:val="1"/>
          <w:color w:val="auto"/>
        </w:rPr>
        <w:t xml:space="preserve"> </w:t>
      </w:r>
      <w:r>
        <w:rPr>
          <w:rFonts w:ascii="Arial" w:cs="Arial" w:eastAsia="Arial" w:hAnsi="Arial"/>
          <w:sz w:val="18"/>
          <w:szCs w:val="18"/>
          <w:color w:val="auto"/>
        </w:rPr>
        <w:t>shall have the meaning assigned to it in Regulation S as promulgated by the Commission under the</w:t>
      </w:r>
      <w:r>
        <w:rPr>
          <w:rFonts w:ascii="Arial" w:cs="Arial" w:eastAsia="Arial" w:hAnsi="Arial"/>
          <w:sz w:val="18"/>
          <w:szCs w:val="18"/>
          <w:b w:val="1"/>
          <w:bCs w:val="1"/>
          <w:color w:val="auto"/>
        </w:rPr>
        <w:t xml:space="preserve"> </w:t>
      </w:r>
      <w:r>
        <w:rPr>
          <w:rFonts w:ascii="Arial" w:cs="Arial" w:eastAsia="Arial" w:hAnsi="Arial"/>
          <w:sz w:val="18"/>
          <w:szCs w:val="18"/>
          <w:color w:val="auto"/>
        </w:rPr>
        <w:t>Securities Act.</w:t>
      </w:r>
    </w:p>
    <w:p>
      <w:pPr>
        <w:spacing w:after="0" w:line="162"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ARTICLE II</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APPOINTMENT OF DEPOSITARY; FORM OF RECEIPTS;</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DEPOSIT OF SHARES; EXECUTION AND</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DELIVERY, TRANSFER AND SURRENDER OF RECEIPTS</w:t>
      </w:r>
    </w:p>
    <w:p>
      <w:pPr>
        <w:spacing w:after="0" w:line="207" w:lineRule="exact"/>
        <w:rPr>
          <w:sz w:val="20"/>
          <w:szCs w:val="20"/>
          <w:color w:val="auto"/>
        </w:rPr>
      </w:pPr>
    </w:p>
    <w:p>
      <w:pPr>
        <w:ind w:firstLine="648"/>
        <w:spacing w:after="0" w:line="272" w:lineRule="auto"/>
        <w:rPr>
          <w:sz w:val="20"/>
          <w:szCs w:val="20"/>
          <w:color w:val="auto"/>
        </w:rPr>
      </w:pPr>
      <w:r>
        <w:rPr>
          <w:rFonts w:ascii="Arial" w:cs="Arial" w:eastAsia="Arial" w:hAnsi="Arial"/>
          <w:sz w:val="17"/>
          <w:szCs w:val="17"/>
          <w:b w:val="1"/>
          <w:bCs w:val="1"/>
          <w:color w:val="auto"/>
        </w:rPr>
        <w:t xml:space="preserve">Section 2.1 </w:t>
      </w:r>
      <w:r>
        <w:rPr>
          <w:rFonts w:ascii="Arial" w:cs="Arial" w:eastAsia="Arial" w:hAnsi="Arial"/>
          <w:sz w:val="17"/>
          <w:szCs w:val="17"/>
          <w:b w:val="1"/>
          <w:bCs w:val="1"/>
          <w:u w:val="single" w:color="auto"/>
          <w:color w:val="auto"/>
        </w:rPr>
        <w:t>Appointment of Depositary.</w:t>
      </w:r>
      <w:r>
        <w:rPr>
          <w:rFonts w:ascii="Arial" w:cs="Arial" w:eastAsia="Arial" w:hAnsi="Arial"/>
          <w:sz w:val="17"/>
          <w:szCs w:val="17"/>
          <w:b w:val="1"/>
          <w:bCs w:val="1"/>
          <w:color w:val="auto"/>
        </w:rPr>
        <w:t xml:space="preserve"> </w:t>
      </w:r>
      <w:r>
        <w:rPr>
          <w:rFonts w:ascii="Arial" w:cs="Arial" w:eastAsia="Arial" w:hAnsi="Arial"/>
          <w:sz w:val="17"/>
          <w:szCs w:val="17"/>
          <w:color w:val="auto"/>
        </w:rPr>
        <w:t>The Company hereby appoints the Depositary as depositary for the Deposited Property and hereby</w:t>
      </w:r>
      <w:r>
        <w:rPr>
          <w:rFonts w:ascii="Arial" w:cs="Arial" w:eastAsia="Arial" w:hAnsi="Arial"/>
          <w:sz w:val="17"/>
          <w:szCs w:val="17"/>
          <w:b w:val="1"/>
          <w:bCs w:val="1"/>
          <w:color w:val="auto"/>
        </w:rPr>
        <w:t xml:space="preserve"> </w:t>
      </w:r>
      <w:r>
        <w:rPr>
          <w:rFonts w:ascii="Arial" w:cs="Arial" w:eastAsia="Arial" w:hAnsi="Arial"/>
          <w:sz w:val="17"/>
          <w:szCs w:val="17"/>
          <w:color w:val="auto"/>
        </w:rPr>
        <w:t>authorizes and directs the Depositary to act in accordance with the terms and conditions set forth in the Deposit Agreement and the applicable ADRs. Each Holder and each Beneficial Owner, upon acceptance of any ADSs (or any interest therein) issued in accordance with the terms and conditions of the Deposit Agreement shall be deemed for all purposes to (a) be a party to and bound by the terms of the Deposit Agreement and the applicable ADR(s), and (b) appoint the Depositary its attorney-in-fact, with full power to delegate, to act on its behalf and to take any and all actions contemplated in the Deposit Agreement and the applicable ADR(s), to adopt any and all procedures necessary to comply with applicable law and to take such action as the Depositary in its sole discretion may deem necessary or appropriate to carry out the purposes of the Deposit Agreement and the applicable ADR(s), the taking of such actions to be the conclusive determinant of the necessity and appropriateness thereof.</w:t>
      </w:r>
    </w:p>
    <w:p>
      <w:pPr>
        <w:spacing w:after="0" w:line="277"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7620</wp:posOffset>
            </wp:positionV>
            <wp:extent cx="7246620" cy="17145"/>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337" w:right="239" w:bottom="1440" w:gutter="0" w:footer="0" w:header="0"/>
        </w:sectPr>
      </w:pPr>
    </w:p>
    <w:bookmarkStart w:id="23" w:name="page24"/>
    <w:bookmarkEnd w:id="23"/>
    <w:p>
      <w:pPr>
        <w:ind w:left="652"/>
        <w:spacing w:after="0"/>
        <w:tabs>
          <w:tab w:leader="none" w:pos="1952" w:val="left"/>
        </w:tabs>
        <w:rPr>
          <w:sz w:val="20"/>
          <w:szCs w:val="20"/>
          <w:color w:val="auto"/>
        </w:rPr>
      </w:pPr>
      <w:r>
        <w:rPr>
          <w:rFonts w:ascii="Arial" w:cs="Arial" w:eastAsia="Arial" w:hAnsi="Arial"/>
          <w:sz w:val="18"/>
          <w:szCs w:val="18"/>
          <w:b w:val="1"/>
          <w:bCs w:val="1"/>
          <w:color w:val="auto"/>
        </w:rPr>
        <w:t>Section 2.2</w:t>
      </w:r>
      <w:r>
        <w:rPr>
          <w:sz w:val="20"/>
          <w:szCs w:val="20"/>
          <w:color w:val="auto"/>
        </w:rPr>
        <w:tab/>
      </w:r>
      <w:r>
        <w:rPr>
          <w:rFonts w:ascii="Arial" w:cs="Arial" w:eastAsia="Arial" w:hAnsi="Arial"/>
          <w:sz w:val="16"/>
          <w:szCs w:val="16"/>
          <w:b w:val="1"/>
          <w:bCs w:val="1"/>
          <w:u w:val="single" w:color="auto"/>
          <w:color w:val="auto"/>
        </w:rPr>
        <w:t>Form and Transferability of ADSs.</w:t>
      </w:r>
    </w:p>
    <w:p>
      <w:pPr>
        <w:spacing w:after="0" w:line="225" w:lineRule="exact"/>
        <w:rPr>
          <w:sz w:val="20"/>
          <w:szCs w:val="20"/>
          <w:color w:val="auto"/>
        </w:rPr>
      </w:pPr>
    </w:p>
    <w:p>
      <w:pPr>
        <w:ind w:left="-8" w:firstLine="656"/>
        <w:spacing w:after="0" w:line="269" w:lineRule="auto"/>
        <w:tabs>
          <w:tab w:leader="none" w:pos="1210" w:val="left"/>
        </w:tabs>
        <w:numPr>
          <w:ilvl w:val="1"/>
          <w:numId w:val="5"/>
        </w:numPr>
        <w:rPr>
          <w:rFonts w:ascii="Arial" w:cs="Arial" w:eastAsia="Arial" w:hAnsi="Arial"/>
          <w:sz w:val="17"/>
          <w:szCs w:val="17"/>
          <w:b w:val="1"/>
          <w:bCs w:val="1"/>
          <w:color w:val="auto"/>
        </w:rPr>
      </w:pPr>
      <w:r>
        <w:rPr>
          <w:rFonts w:ascii="Arial" w:cs="Arial" w:eastAsia="Arial" w:hAnsi="Arial"/>
          <w:sz w:val="17"/>
          <w:szCs w:val="17"/>
          <w:b w:val="1"/>
          <w:bCs w:val="1"/>
          <w:u w:val="single" w:color="auto"/>
          <w:color w:val="auto"/>
        </w:rPr>
        <w:t>Form</w:t>
      </w:r>
      <w:r>
        <w:rPr>
          <w:rFonts w:ascii="Arial" w:cs="Arial" w:eastAsia="Arial" w:hAnsi="Arial"/>
          <w:sz w:val="17"/>
          <w:szCs w:val="17"/>
          <w:b w:val="1"/>
          <w:bCs w:val="1"/>
          <w:color w:val="auto"/>
        </w:rPr>
        <w:t xml:space="preserve">. </w:t>
      </w:r>
      <w:r>
        <w:rPr>
          <w:rFonts w:ascii="Arial" w:cs="Arial" w:eastAsia="Arial" w:hAnsi="Arial"/>
          <w:sz w:val="17"/>
          <w:szCs w:val="17"/>
          <w:color w:val="auto"/>
        </w:rPr>
        <w:t>Certificated ADSs shall be evidenced by definitive ADRs which shall be engraved, printed, lithographed or produced in such other</w:t>
      </w:r>
      <w:r>
        <w:rPr>
          <w:rFonts w:ascii="Arial" w:cs="Arial" w:eastAsia="Arial" w:hAnsi="Arial"/>
          <w:sz w:val="17"/>
          <w:szCs w:val="17"/>
          <w:b w:val="1"/>
          <w:bCs w:val="1"/>
          <w:color w:val="auto"/>
        </w:rPr>
        <w:t xml:space="preserve"> </w:t>
      </w:r>
      <w:r>
        <w:rPr>
          <w:rFonts w:ascii="Arial" w:cs="Arial" w:eastAsia="Arial" w:hAnsi="Arial"/>
          <w:sz w:val="17"/>
          <w:szCs w:val="17"/>
          <w:color w:val="auto"/>
        </w:rPr>
        <w:t xml:space="preserve">manner as may be agreed upon by the Company and the Depositary. ADRs may be issued under the Deposit Agreement in denominations of any whole number of ADSs. The ADRs shall be substantially in the form set forth in </w:t>
      </w:r>
      <w:r>
        <w:rPr>
          <w:rFonts w:ascii="Arial" w:cs="Arial" w:eastAsia="Arial" w:hAnsi="Arial"/>
          <w:sz w:val="17"/>
          <w:szCs w:val="17"/>
          <w:u w:val="single" w:color="auto"/>
          <w:color w:val="auto"/>
        </w:rPr>
        <w:t>Exhibit A</w:t>
      </w:r>
      <w:r>
        <w:rPr>
          <w:rFonts w:ascii="Arial" w:cs="Arial" w:eastAsia="Arial" w:hAnsi="Arial"/>
          <w:sz w:val="17"/>
          <w:szCs w:val="17"/>
          <w:color w:val="auto"/>
        </w:rPr>
        <w:t xml:space="preserve"> to the Deposit Agreement, with any appropriate insertions, modifications and omissions, in each case as otherwise contemplated in the Deposit Agreement or required by law. ADRs shall be (i) dated, (ii) signed by the manual or facsimile signature of a duly authorized signatory of the Depositary, (iii) countersigned by the manual or facsimile signature of a duly authorized signatory of the Registrar, and (iv) registered in the books maintained by the Registrar for the registration of issuances and transfers of ADSs. No ADR and no Certificated ADS evidenced thereby shall be entitled to any benefits under the Deposit Agreement or be valid or enforceable for any purpose against the Depositary or the Company, unless such ADR shall have been so dated, signed, countersigned and registered. ADRs bearing the facsimile signature of a duly-authorized signatory of the Depositary or the Registrar, who at the time of signature was a duly-authorized signatory of the Depositary or the Registrar, as the case may be, shall bind the Depositary, notwithstanding the fact that such signatory has ceased to be so authorized prior to the Delivery of such ADR by the Depositary. The ADRs shall bear a CUSIP number that is different from any CUSIP number that was, is or may be assigned to any depositary receipts previously or subsequently issued pursuant to any other arrangement between the Depositary (or any other depositary) and the Company and which are not ADRs outstanding hereunder.</w:t>
      </w:r>
    </w:p>
    <w:p>
      <w:pPr>
        <w:spacing w:after="0" w:line="176" w:lineRule="exact"/>
        <w:rPr>
          <w:rFonts w:ascii="Arial" w:cs="Arial" w:eastAsia="Arial" w:hAnsi="Arial"/>
          <w:sz w:val="17"/>
          <w:szCs w:val="17"/>
          <w:b w:val="1"/>
          <w:bCs w:val="1"/>
          <w:color w:val="auto"/>
        </w:rPr>
      </w:pPr>
    </w:p>
    <w:p>
      <w:pPr>
        <w:ind w:left="-8" w:right="280" w:firstLine="656"/>
        <w:spacing w:after="0" w:line="293" w:lineRule="auto"/>
        <w:tabs>
          <w:tab w:leader="none" w:pos="1220" w:val="left"/>
        </w:tabs>
        <w:numPr>
          <w:ilvl w:val="1"/>
          <w:numId w:val="5"/>
        </w:numPr>
        <w:rPr>
          <w:rFonts w:ascii="Arial" w:cs="Arial" w:eastAsia="Arial" w:hAnsi="Arial"/>
          <w:sz w:val="16"/>
          <w:szCs w:val="16"/>
          <w:b w:val="1"/>
          <w:bCs w:val="1"/>
          <w:color w:val="auto"/>
        </w:rPr>
      </w:pPr>
      <w:r>
        <w:rPr>
          <w:rFonts w:ascii="Arial" w:cs="Arial" w:eastAsia="Arial" w:hAnsi="Arial"/>
          <w:sz w:val="16"/>
          <w:szCs w:val="16"/>
          <w:b w:val="1"/>
          <w:bCs w:val="1"/>
          <w:u w:val="single" w:color="auto"/>
          <w:color w:val="auto"/>
        </w:rPr>
        <w:t>Legends</w:t>
      </w:r>
      <w:r>
        <w:rPr>
          <w:rFonts w:ascii="Arial" w:cs="Arial" w:eastAsia="Arial" w:hAnsi="Arial"/>
          <w:sz w:val="16"/>
          <w:szCs w:val="16"/>
          <w:b w:val="1"/>
          <w:bCs w:val="1"/>
          <w:color w:val="auto"/>
        </w:rPr>
        <w:t xml:space="preserve">. </w:t>
      </w:r>
      <w:r>
        <w:rPr>
          <w:rFonts w:ascii="Arial" w:cs="Arial" w:eastAsia="Arial" w:hAnsi="Arial"/>
          <w:sz w:val="16"/>
          <w:szCs w:val="16"/>
          <w:color w:val="auto"/>
        </w:rPr>
        <w:t>The ADRs may be endorsed with, or have incorporated in the text thereof, such legends or recitals not inconsistent with the</w:t>
      </w:r>
      <w:r>
        <w:rPr>
          <w:rFonts w:ascii="Arial" w:cs="Arial" w:eastAsia="Arial" w:hAnsi="Arial"/>
          <w:sz w:val="16"/>
          <w:szCs w:val="16"/>
          <w:b w:val="1"/>
          <w:bCs w:val="1"/>
          <w:color w:val="auto"/>
        </w:rPr>
        <w:t xml:space="preserve"> </w:t>
      </w:r>
      <w:r>
        <w:rPr>
          <w:rFonts w:ascii="Arial" w:cs="Arial" w:eastAsia="Arial" w:hAnsi="Arial"/>
          <w:sz w:val="16"/>
          <w:szCs w:val="16"/>
          <w:color w:val="auto"/>
        </w:rPr>
        <w:t>provisions of the Deposit Agreement as may be (i) necessary to enable the Depositary and the Company to perform their respective obligations hereunder,</w:t>
      </w:r>
    </w:p>
    <w:p>
      <w:pPr>
        <w:spacing w:after="0" w:line="1" w:lineRule="exact"/>
        <w:rPr>
          <w:rFonts w:ascii="Arial" w:cs="Arial" w:eastAsia="Arial" w:hAnsi="Arial"/>
          <w:sz w:val="16"/>
          <w:szCs w:val="16"/>
          <w:b w:val="1"/>
          <w:bCs w:val="1"/>
          <w:color w:val="auto"/>
        </w:rPr>
      </w:pPr>
    </w:p>
    <w:p>
      <w:pPr>
        <w:ind w:left="-8" w:right="20" w:firstLine="8"/>
        <w:spacing w:after="0" w:line="270" w:lineRule="auto"/>
        <w:tabs>
          <w:tab w:leader="none" w:pos="257" w:val="left"/>
        </w:tabs>
        <w:numPr>
          <w:ilvl w:val="0"/>
          <w:numId w:val="6"/>
        </w:numPr>
        <w:rPr>
          <w:rFonts w:ascii="Arial" w:cs="Arial" w:eastAsia="Arial" w:hAnsi="Arial"/>
          <w:sz w:val="17"/>
          <w:szCs w:val="17"/>
          <w:color w:val="auto"/>
        </w:rPr>
      </w:pPr>
      <w:r>
        <w:rPr>
          <w:rFonts w:ascii="Arial" w:cs="Arial" w:eastAsia="Arial" w:hAnsi="Arial"/>
          <w:sz w:val="17"/>
          <w:szCs w:val="17"/>
          <w:color w:val="auto"/>
        </w:rPr>
        <w:t>required to comply with any applicable laws or regulations, or with the rules and regulations of any securities exchange or market upon which ADSs may be traded, listed or quoted, or to conform with any usage with respect thereto, (iii) necessary to indicate any special limitations or restrictions to which any particular ADRs or ADSs are subject by reason of the date of issuance of the Deposited Securities or otherwise, or (iv) required by any book-entry system in which the ADSs are held. Holders and Beneficial Owners shall be deemed, for all purposes, to have notice of, and to be bound by, the terms and conditions of the legends set forth, in the case of Holders, on the ADR registered in the name of the applicable Holders or, in the case of Beneficial Owners, on the ADR representing the ADSs owned by such Beneficial Owners.</w:t>
      </w:r>
    </w:p>
    <w:p>
      <w:pPr>
        <w:spacing w:after="0" w:line="174" w:lineRule="exact"/>
        <w:rPr>
          <w:rFonts w:ascii="Arial" w:cs="Arial" w:eastAsia="Arial" w:hAnsi="Arial"/>
          <w:sz w:val="17"/>
          <w:szCs w:val="17"/>
          <w:color w:val="auto"/>
        </w:rPr>
      </w:pPr>
    </w:p>
    <w:p>
      <w:pPr>
        <w:ind w:left="-8" w:firstLine="656"/>
        <w:spacing w:after="0" w:line="292" w:lineRule="auto"/>
        <w:tabs>
          <w:tab w:leader="none" w:pos="1200" w:val="left"/>
        </w:tabs>
        <w:numPr>
          <w:ilvl w:val="1"/>
          <w:numId w:val="6"/>
        </w:numPr>
        <w:rPr>
          <w:rFonts w:ascii="Arial" w:cs="Arial" w:eastAsia="Arial" w:hAnsi="Arial"/>
          <w:sz w:val="16"/>
          <w:szCs w:val="16"/>
          <w:b w:val="1"/>
          <w:bCs w:val="1"/>
          <w:color w:val="auto"/>
        </w:rPr>
      </w:pPr>
      <w:r>
        <w:rPr>
          <w:rFonts w:ascii="Arial" w:cs="Arial" w:eastAsia="Arial" w:hAnsi="Arial"/>
          <w:sz w:val="16"/>
          <w:szCs w:val="16"/>
          <w:b w:val="1"/>
          <w:bCs w:val="1"/>
          <w:u w:val="single" w:color="auto"/>
          <w:color w:val="auto"/>
        </w:rPr>
        <w:t>Title</w:t>
      </w:r>
      <w:r>
        <w:rPr>
          <w:rFonts w:ascii="Arial" w:cs="Arial" w:eastAsia="Arial" w:hAnsi="Arial"/>
          <w:sz w:val="16"/>
          <w:szCs w:val="16"/>
          <w:b w:val="1"/>
          <w:bCs w:val="1"/>
          <w:color w:val="auto"/>
        </w:rPr>
        <w:t xml:space="preserve">. </w:t>
      </w:r>
      <w:r>
        <w:rPr>
          <w:rFonts w:ascii="Arial" w:cs="Arial" w:eastAsia="Arial" w:hAnsi="Arial"/>
          <w:sz w:val="16"/>
          <w:szCs w:val="16"/>
          <w:color w:val="auto"/>
        </w:rPr>
        <w:t>Subject to the limitations contained herein and in the ADR, title to an ADR (and to each Certificated ADS evidenced thereby) shall be</w:t>
      </w:r>
      <w:r>
        <w:rPr>
          <w:rFonts w:ascii="Arial" w:cs="Arial" w:eastAsia="Arial" w:hAnsi="Arial"/>
          <w:sz w:val="16"/>
          <w:szCs w:val="16"/>
          <w:b w:val="1"/>
          <w:bCs w:val="1"/>
          <w:color w:val="auto"/>
        </w:rPr>
        <w:t xml:space="preserve"> </w:t>
      </w:r>
      <w:r>
        <w:rPr>
          <w:rFonts w:ascii="Arial" w:cs="Arial" w:eastAsia="Arial" w:hAnsi="Arial"/>
          <w:sz w:val="16"/>
          <w:szCs w:val="16"/>
          <w:color w:val="auto"/>
        </w:rPr>
        <w:t>transferable upon the same terms as a certificated security under the laws of the State of New York, provided that, in the case of Certificated ADSs, such ADR has been properly endorsed or is accompanied by proper instruments of transfer. Notwithstanding any notice to the contrary, the Depositary and the Company may deem and treat the Holder of an ADS (that is, the person in whose name an ADS is registered on the books of the Depositary) as the absolute owner thereof for all purposes. Neither the Depositary nor the Company shall have any obligation nor be subject to any liability under the Deposit Agreement or any ADR to any holder or any Beneficial Owner unless, in the case of a holder of ADSs, such holder is the Holder registered on the books of the Depositary or, in the case of a Beneficial Owner, such Beneficial Owner, or the Beneficial Owner’s representative, is the Holder registered on the books of the Depositary.</w:t>
      </w:r>
    </w:p>
    <w:p>
      <w:pPr>
        <w:spacing w:after="0" w:line="267" w:lineRule="exact"/>
        <w:rPr>
          <w:sz w:val="20"/>
          <w:szCs w:val="20"/>
          <w:color w:val="auto"/>
        </w:rPr>
      </w:pPr>
    </w:p>
    <w:p>
      <w:pPr>
        <w:jc w:val="center"/>
        <w:ind w:right="-11"/>
        <w:spacing w:after="0"/>
        <w:rPr>
          <w:sz w:val="20"/>
          <w:szCs w:val="20"/>
          <w:color w:val="auto"/>
        </w:rPr>
      </w:pPr>
      <w:r>
        <w:rPr>
          <w:rFonts w:ascii="Arial" w:cs="Arial" w:eastAsia="Arial" w:hAnsi="Arial"/>
          <w:sz w:val="22"/>
          <w:szCs w:val="22"/>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7620</wp:posOffset>
            </wp:positionV>
            <wp:extent cx="7246620" cy="17145"/>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392"/>
          </w:cols>
          <w:pgMar w:left="248" w:top="337" w:right="259" w:bottom="1440" w:gutter="0" w:footer="0" w:header="0"/>
        </w:sectPr>
      </w:pPr>
    </w:p>
    <w:bookmarkStart w:id="24" w:name="page25"/>
    <w:bookmarkEnd w:id="24"/>
    <w:p>
      <w:pPr>
        <w:ind w:right="60" w:firstLine="656"/>
        <w:spacing w:after="0" w:line="286" w:lineRule="auto"/>
        <w:tabs>
          <w:tab w:leader="none" w:pos="1228" w:val="left"/>
        </w:tabs>
        <w:numPr>
          <w:ilvl w:val="0"/>
          <w:numId w:val="7"/>
        </w:numPr>
        <w:rPr>
          <w:rFonts w:ascii="Arial" w:cs="Arial" w:eastAsia="Arial" w:hAnsi="Arial"/>
          <w:sz w:val="16"/>
          <w:szCs w:val="16"/>
          <w:b w:val="1"/>
          <w:bCs w:val="1"/>
          <w:color w:val="auto"/>
        </w:rPr>
      </w:pPr>
      <w:r>
        <w:rPr>
          <w:rFonts w:ascii="Arial" w:cs="Arial" w:eastAsia="Arial" w:hAnsi="Arial"/>
          <w:sz w:val="16"/>
          <w:szCs w:val="16"/>
          <w:b w:val="1"/>
          <w:bCs w:val="1"/>
          <w:u w:val="single" w:color="auto"/>
          <w:color w:val="auto"/>
        </w:rPr>
        <w:t>Book-Entry Systems</w:t>
      </w:r>
      <w:r>
        <w:rPr>
          <w:rFonts w:ascii="Arial" w:cs="Arial" w:eastAsia="Arial" w:hAnsi="Arial"/>
          <w:sz w:val="16"/>
          <w:szCs w:val="16"/>
          <w:b w:val="1"/>
          <w:bCs w:val="1"/>
          <w:color w:val="auto"/>
        </w:rPr>
        <w:t xml:space="preserve">. </w:t>
      </w:r>
      <w:r>
        <w:rPr>
          <w:rFonts w:ascii="Arial" w:cs="Arial" w:eastAsia="Arial" w:hAnsi="Arial"/>
          <w:sz w:val="16"/>
          <w:szCs w:val="16"/>
          <w:color w:val="auto"/>
        </w:rPr>
        <w:t>The Depositary shall make arrangements for the acceptance of the ADSs into DTC. All ADSs held through DTC will</w:t>
      </w:r>
      <w:r>
        <w:rPr>
          <w:rFonts w:ascii="Arial" w:cs="Arial" w:eastAsia="Arial" w:hAnsi="Arial"/>
          <w:sz w:val="16"/>
          <w:szCs w:val="16"/>
          <w:b w:val="1"/>
          <w:bCs w:val="1"/>
          <w:color w:val="auto"/>
        </w:rPr>
        <w:t xml:space="preserve"> </w:t>
      </w:r>
      <w:r>
        <w:rPr>
          <w:rFonts w:ascii="Arial" w:cs="Arial" w:eastAsia="Arial" w:hAnsi="Arial"/>
          <w:sz w:val="16"/>
          <w:szCs w:val="16"/>
          <w:color w:val="auto"/>
        </w:rPr>
        <w:t>be registered in the name of the nominee for DTC (currently “Cede &amp; Co.”). As such, the nominee for DTC will be the only “Holder” of all ADSs held through DTC. The ADSs registered in the name of Cede &amp; Co. will be evidenced by one or more ADR(s) in the form of a “Balance Certificate,” which will provide that it represents the aggregate number of ADSs from time to time indicated in the records of the Depositary as being issued hereunder and that the aggregate number of ADSs represented thereby may from time to time be increased or decreased by making adjustments on such records of the Depositary and of DTC or its nominee as hereinafter provided. Citibank, N.A. (or such other entity as is appointed by DTC or its nominee) may hold the “Balance Certificate” as custodian for DTC. Each Beneficial Owner of ADSs held through DTC must rely upon the procedures of DTC and the DTC Participants to exercise or be entitled to any rights attributable to such ADSs. The DTC Participants shall for all purposes be deemed to have all requisite power and authority to act on behalf of the Beneficial Owners of the ADSs held in the DTC Participants’ respective accounts in DTC and the Depositary shall for all purposes be authorized to rely upon any instructions and information given to it by DTC Participants. So long as ADSs are held through DTC or unless otherwise required by law, ownership of beneficial interests in the ADSs registered in the name of the nominee for DTC will be shown on, and transfers of such ownership will be effected only through, records maintained by (i) DTC or its nominee (with respect to the interests of DTC Participants), or (ii) DTC Participants or their nominees (with respect to the interests of clients of DTC Participants). Any distributions made, and any notices given, by the Depositary to DTC under the terms of the Deposit Agreement shall (unless otherwise specified by the Depositary) satisfy the Depositary’s obligations under the Deposit Agreement to make such distributions, and give such notices, in respect of the ADSs held in DTC (including, for avoidance of doubt, to the DTC Participants holding the ADSs in their DTC accounts and to the Beneficial Owners of such ADSs).</w:t>
      </w:r>
    </w:p>
    <w:p>
      <w:pPr>
        <w:spacing w:after="0" w:line="165" w:lineRule="exact"/>
        <w:rPr>
          <w:sz w:val="20"/>
          <w:szCs w:val="20"/>
          <w:color w:val="auto"/>
        </w:rPr>
      </w:pPr>
    </w:p>
    <w:p>
      <w:pPr>
        <w:ind w:firstLine="648"/>
        <w:spacing w:after="0" w:line="285" w:lineRule="auto"/>
        <w:rPr>
          <w:sz w:val="20"/>
          <w:szCs w:val="20"/>
          <w:color w:val="auto"/>
        </w:rPr>
      </w:pPr>
      <w:r>
        <w:rPr>
          <w:rFonts w:ascii="Arial" w:cs="Arial" w:eastAsia="Arial" w:hAnsi="Arial"/>
          <w:sz w:val="16"/>
          <w:szCs w:val="16"/>
          <w:b w:val="1"/>
          <w:bCs w:val="1"/>
          <w:color w:val="auto"/>
        </w:rPr>
        <w:t xml:space="preserve">Section 2.3 </w:t>
      </w:r>
      <w:r>
        <w:rPr>
          <w:rFonts w:ascii="Arial" w:cs="Arial" w:eastAsia="Arial" w:hAnsi="Arial"/>
          <w:sz w:val="16"/>
          <w:szCs w:val="16"/>
          <w:b w:val="1"/>
          <w:bCs w:val="1"/>
          <w:u w:val="single" w:color="auto"/>
          <w:color w:val="auto"/>
        </w:rPr>
        <w:t>Deposit of Shares.</w:t>
      </w:r>
      <w:r>
        <w:rPr>
          <w:rFonts w:ascii="Arial" w:cs="Arial" w:eastAsia="Arial" w:hAnsi="Arial"/>
          <w:sz w:val="16"/>
          <w:szCs w:val="16"/>
          <w:b w:val="1"/>
          <w:bCs w:val="1"/>
          <w:color w:val="auto"/>
        </w:rPr>
        <w:t xml:space="preserve"> </w:t>
      </w:r>
      <w:r>
        <w:rPr>
          <w:rFonts w:ascii="Arial" w:cs="Arial" w:eastAsia="Arial" w:hAnsi="Arial"/>
          <w:sz w:val="16"/>
          <w:szCs w:val="16"/>
          <w:color w:val="auto"/>
        </w:rPr>
        <w:t>Subject to the terms and conditions of the Deposit Agreement and applicable law, Shares or evidence of rights</w:t>
      </w:r>
      <w:r>
        <w:rPr>
          <w:rFonts w:ascii="Arial" w:cs="Arial" w:eastAsia="Arial" w:hAnsi="Arial"/>
          <w:sz w:val="16"/>
          <w:szCs w:val="16"/>
          <w:b w:val="1"/>
          <w:bCs w:val="1"/>
          <w:color w:val="auto"/>
        </w:rPr>
        <w:t xml:space="preserve"> </w:t>
      </w:r>
      <w:r>
        <w:rPr>
          <w:rFonts w:ascii="Arial" w:cs="Arial" w:eastAsia="Arial" w:hAnsi="Arial"/>
          <w:sz w:val="16"/>
          <w:szCs w:val="16"/>
          <w:color w:val="auto"/>
        </w:rPr>
        <w:t xml:space="preserve">to receive Shares (other than Restricted Securities) may be deposited by any person (including the Depositary in its individual capacity but subject, however, in the case of the Company or any Affiliate of the Company, to Section 5.7) at any time, whether or not the transfer books of the Company or the Share Registrar, if any, are closed, by Delivery of the Shares to the Custodian. Every deposit of Shares shall be accompanied by the following: (A) (i) </w:t>
      </w:r>
      <w:r>
        <w:rPr>
          <w:rFonts w:ascii="Arial" w:cs="Arial" w:eastAsia="Arial" w:hAnsi="Arial"/>
          <w:sz w:val="16"/>
          <w:szCs w:val="16"/>
          <w:i w:val="1"/>
          <w:iCs w:val="1"/>
          <w:color w:val="auto"/>
        </w:rPr>
        <w:t>in the case of</w:t>
      </w:r>
      <w:r>
        <w:rPr>
          <w:rFonts w:ascii="Arial" w:cs="Arial" w:eastAsia="Arial" w:hAnsi="Arial"/>
          <w:sz w:val="16"/>
          <w:szCs w:val="16"/>
          <w:color w:val="auto"/>
        </w:rPr>
        <w:t xml:space="preserve"> </w:t>
      </w:r>
      <w:r>
        <w:rPr>
          <w:rFonts w:ascii="Arial" w:cs="Arial" w:eastAsia="Arial" w:hAnsi="Arial"/>
          <w:sz w:val="16"/>
          <w:szCs w:val="16"/>
          <w:i w:val="1"/>
          <w:iCs w:val="1"/>
          <w:color w:val="auto"/>
        </w:rPr>
        <w:t>Shares represented by certificates issued in registered form</w:t>
      </w:r>
      <w:r>
        <w:rPr>
          <w:rFonts w:ascii="Arial" w:cs="Arial" w:eastAsia="Arial" w:hAnsi="Arial"/>
          <w:sz w:val="16"/>
          <w:szCs w:val="16"/>
          <w:color w:val="auto"/>
        </w:rPr>
        <w:t>, appropriate instruments of transfer or endorsement, in a form satisfactory to the Custodian, (ii)</w:t>
      </w:r>
      <w:r>
        <w:rPr>
          <w:rFonts w:ascii="Arial" w:cs="Arial" w:eastAsia="Arial" w:hAnsi="Arial"/>
          <w:sz w:val="16"/>
          <w:szCs w:val="16"/>
          <w:i w:val="1"/>
          <w:iCs w:val="1"/>
          <w:color w:val="auto"/>
        </w:rPr>
        <w:t xml:space="preserve"> in the case of Shares represented by certificates in bearer form, </w:t>
      </w:r>
      <w:r>
        <w:rPr>
          <w:rFonts w:ascii="Arial" w:cs="Arial" w:eastAsia="Arial" w:hAnsi="Arial"/>
          <w:sz w:val="16"/>
          <w:szCs w:val="16"/>
          <w:color w:val="auto"/>
        </w:rPr>
        <w:t>the requisite coupons and talons pertaining thereto, and (iii)</w:t>
      </w:r>
      <w:r>
        <w:rPr>
          <w:rFonts w:ascii="Arial" w:cs="Arial" w:eastAsia="Arial" w:hAnsi="Arial"/>
          <w:sz w:val="16"/>
          <w:szCs w:val="16"/>
          <w:i w:val="1"/>
          <w:iCs w:val="1"/>
          <w:color w:val="auto"/>
        </w:rPr>
        <w:t xml:space="preserve"> in the case of Shares delivered by book-entry transfer and recordation</w:t>
      </w:r>
      <w:r>
        <w:rPr>
          <w:rFonts w:ascii="Arial" w:cs="Arial" w:eastAsia="Arial" w:hAnsi="Arial"/>
          <w:sz w:val="16"/>
          <w:szCs w:val="16"/>
          <w:color w:val="auto"/>
        </w:rPr>
        <w:t>, confirmation of such book-entry transfer and recordation in the books of the Share Registrar or of CREST, as applicable,</w:t>
      </w:r>
      <w:r>
        <w:rPr>
          <w:rFonts w:ascii="Arial" w:cs="Arial" w:eastAsia="Arial" w:hAnsi="Arial"/>
          <w:sz w:val="16"/>
          <w:szCs w:val="16"/>
          <w:i w:val="1"/>
          <w:iCs w:val="1"/>
          <w:color w:val="auto"/>
        </w:rPr>
        <w:t xml:space="preserve"> </w:t>
      </w:r>
      <w:r>
        <w:rPr>
          <w:rFonts w:ascii="Arial" w:cs="Arial" w:eastAsia="Arial" w:hAnsi="Arial"/>
          <w:sz w:val="16"/>
          <w:szCs w:val="16"/>
          <w:color w:val="auto"/>
        </w:rPr>
        <w:t>to the Custodian or that irrevocable instructions have been given to cause such Shares to be so transferred and recorded, (B) such certifications and payments (including, without limitation, the Depositary’s fees and related charges) and evidence of such payments (including, without limitation, stamping or otherwise marking such Shares by way of receipt) as may be required by the Depositary or the Custodian in accordance with the provisions of the Deposit Agreement and applicable law, (C) if the Depositary so requires, a written order directing the Depositary to issue and deliver to, or upon the written order of, the person(s) stated in such order the number of ADSs representing the Shares so deposited, (D) evidence satisfactory to the Depositary (which may be an opinion of counsel) that all necessary approvals have been granted by, or there has been compliance with the rules and regulations of, any applicable governmental agency in England and Wales, and (E) if the Depositary so requires, (i) an agreement, assignment or instrument satisfactory to the Depositary or the Custodian which provides for the prompt transfer by any person in whose name the Shares are or have been recorded to the Custodian of any distribution, or right to subscribe for additional Shares or to receive other property in respect of any such deposited Shares or, in lieu thereof, such indemnity or other agreement as shall be satisfactory to the Depositary or the Custodian and (ii) if the Shares are registered in the name of the person on whose behalf they are presented for deposit, a proxy or proxies entitling the Custodian to exercise voting rights in respect of the Shares for any and all purposes until the Shares so deposited are registered in the name of the Depositary, the Custodian or any nominee.</w:t>
      </w:r>
    </w:p>
    <w:p>
      <w:pPr>
        <w:spacing w:after="0" w:line="275" w:lineRule="exact"/>
        <w:rPr>
          <w:sz w:val="20"/>
          <w:szCs w:val="20"/>
          <w:color w:val="auto"/>
        </w:rPr>
      </w:pPr>
    </w:p>
    <w:p>
      <w:pPr>
        <w:jc w:val="center"/>
        <w:ind w:right="-19"/>
        <w:spacing w:after="0"/>
        <w:rPr>
          <w:sz w:val="20"/>
          <w:szCs w:val="20"/>
          <w:color w:val="auto"/>
        </w:rPr>
      </w:pPr>
      <w:r>
        <w:rPr>
          <w:rFonts w:ascii="Arial" w:cs="Arial" w:eastAsia="Arial" w:hAnsi="Arial"/>
          <w:sz w:val="22"/>
          <w:szCs w:val="22"/>
          <w:color w:val="auto"/>
        </w:rPr>
        <w:t>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7620</wp:posOffset>
            </wp:positionV>
            <wp:extent cx="7246620" cy="17145"/>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337" w:right="239" w:bottom="1440" w:gutter="0" w:footer="0" w:header="0"/>
        </w:sectPr>
      </w:pPr>
    </w:p>
    <w:bookmarkStart w:id="25" w:name="page26"/>
    <w:bookmarkEnd w:id="25"/>
    <w:p>
      <w:pPr>
        <w:ind w:right="80" w:firstLine="648"/>
        <w:spacing w:after="0" w:line="270" w:lineRule="auto"/>
        <w:rPr>
          <w:sz w:val="20"/>
          <w:szCs w:val="20"/>
          <w:color w:val="auto"/>
        </w:rPr>
      </w:pPr>
      <w:r>
        <w:rPr>
          <w:rFonts w:ascii="Arial" w:cs="Arial" w:eastAsia="Arial" w:hAnsi="Arial"/>
          <w:sz w:val="17"/>
          <w:szCs w:val="17"/>
          <w:color w:val="auto"/>
        </w:rPr>
        <w:t>Without limiting any other provision of the Deposit Agreement, the Depositary shall instruct the Custodian not to, and the Depositary shall not knowingly, accept for deposit (a) any Restricted Securities, except as contemplated by Section 2.14 nor (b) any fractional Shares or fractional Deposited Securities nor (c) a number of Shares or Deposited Securities which upon application of the ADS to Shares ratio would give rise to fractional ADSs. No Shares shall be accepted for deposit unless accompanied by evidence, if any is required by the Depositary, that is reasonably satisfactory to the Depositary or the Custodian that all conditions to such deposit have been satisfied by the person depositing such Shares under the laws and regulations of England and Wales and any necessary approval has been granted by any applicable governmental body in England and Wales, if any. The Depositary may issue ADSs against evidence of rights to receive Shares from the Company, any agent of the Company or any custodian, registrar, transfer agent, clearing agency or other entity involved in ownership or transaction records in respect of the Shares. Such evidence of rights shall consist of written blanket or specific guarantees of ownership of Shares furnished by the Company or any such custodian, registrar, transfer agent, clearing agency or other entity involved in ownership or transaction records in respect of the Shares.</w:t>
      </w:r>
    </w:p>
    <w:p>
      <w:pPr>
        <w:spacing w:after="0" w:line="178" w:lineRule="exact"/>
        <w:rPr>
          <w:sz w:val="20"/>
          <w:szCs w:val="20"/>
          <w:color w:val="auto"/>
        </w:rPr>
      </w:pPr>
    </w:p>
    <w:p>
      <w:pPr>
        <w:ind w:firstLine="648"/>
        <w:spacing w:after="0" w:line="271" w:lineRule="auto"/>
        <w:rPr>
          <w:sz w:val="20"/>
          <w:szCs w:val="20"/>
          <w:color w:val="auto"/>
        </w:rPr>
      </w:pPr>
      <w:r>
        <w:rPr>
          <w:rFonts w:ascii="Arial" w:cs="Arial" w:eastAsia="Arial" w:hAnsi="Arial"/>
          <w:sz w:val="17"/>
          <w:szCs w:val="17"/>
          <w:color w:val="auto"/>
        </w:rPr>
        <w:t>Without limitation of the foregoing, the Depositary shall not knowingly accept for deposit under the Deposit Agreement (A) any Shares or other securities required to be registered under the provisions of the Securities Act, unless (i) a registration statement is in effect as to such Shares or other securities or (ii) the deposit is made upon terms contemplated in Section 2.14, or (B) any Shares or other securities the deposit of which would violate any provisions of the Articles of Association of the Company. For purposes of the foregoing sentence, the Depositary shall be entitled to rely upon representations and warranties made or deemed made pursuant to the Deposit Agreement and shall not be required to make any further investigation. The Depositary will comply with written instructions of the Company (received by the Depositary reasonably in advance) not to accept for deposit hereunder any Shares identified in such instructions at such times and under such circumstances as may reasonably be specified in such instructions in order to facilitate the Company's compliance with the securities laws of the United States.</w:t>
      </w:r>
    </w:p>
    <w:p>
      <w:pPr>
        <w:spacing w:after="0" w:line="175" w:lineRule="exact"/>
        <w:rPr>
          <w:sz w:val="20"/>
          <w:szCs w:val="20"/>
          <w:color w:val="auto"/>
        </w:rPr>
      </w:pPr>
    </w:p>
    <w:p>
      <w:pPr>
        <w:ind w:firstLine="648"/>
        <w:spacing w:after="0" w:line="285" w:lineRule="auto"/>
        <w:rPr>
          <w:sz w:val="20"/>
          <w:szCs w:val="20"/>
          <w:color w:val="auto"/>
        </w:rPr>
      </w:pPr>
      <w:r>
        <w:rPr>
          <w:rFonts w:ascii="Arial" w:cs="Arial" w:eastAsia="Arial" w:hAnsi="Arial"/>
          <w:sz w:val="16"/>
          <w:szCs w:val="16"/>
          <w:b w:val="1"/>
          <w:bCs w:val="1"/>
          <w:color w:val="auto"/>
        </w:rPr>
        <w:t xml:space="preserve">Section 2.4 </w:t>
      </w:r>
      <w:r>
        <w:rPr>
          <w:rFonts w:ascii="Arial" w:cs="Arial" w:eastAsia="Arial" w:hAnsi="Arial"/>
          <w:sz w:val="16"/>
          <w:szCs w:val="16"/>
          <w:b w:val="1"/>
          <w:bCs w:val="1"/>
          <w:u w:val="single" w:color="auto"/>
          <w:color w:val="auto"/>
        </w:rPr>
        <w:t>Registration and Safekeeping of Deposited Securities.</w:t>
      </w:r>
      <w:r>
        <w:rPr>
          <w:rFonts w:ascii="Arial" w:cs="Arial" w:eastAsia="Arial" w:hAnsi="Arial"/>
          <w:sz w:val="16"/>
          <w:szCs w:val="16"/>
          <w:b w:val="1"/>
          <w:bCs w:val="1"/>
          <w:color w:val="auto"/>
        </w:rPr>
        <w:t xml:space="preserve"> </w:t>
      </w:r>
      <w:r>
        <w:rPr>
          <w:rFonts w:ascii="Arial" w:cs="Arial" w:eastAsia="Arial" w:hAnsi="Arial"/>
          <w:sz w:val="16"/>
          <w:szCs w:val="16"/>
          <w:color w:val="auto"/>
        </w:rPr>
        <w:t>The Depositary shall instruct the Custodian upon each Delivery of</w:t>
      </w:r>
      <w:r>
        <w:rPr>
          <w:rFonts w:ascii="Arial" w:cs="Arial" w:eastAsia="Arial" w:hAnsi="Arial"/>
          <w:sz w:val="16"/>
          <w:szCs w:val="16"/>
          <w:b w:val="1"/>
          <w:bCs w:val="1"/>
          <w:color w:val="auto"/>
        </w:rPr>
        <w:t xml:space="preserve"> </w:t>
      </w:r>
      <w:r>
        <w:rPr>
          <w:rFonts w:ascii="Arial" w:cs="Arial" w:eastAsia="Arial" w:hAnsi="Arial"/>
          <w:sz w:val="16"/>
          <w:szCs w:val="16"/>
          <w:color w:val="auto"/>
        </w:rPr>
        <w:t>registered Shares being deposited hereunder with the Custodian (or other Deposited Securities pursuant to Article IV hereof), together with the other documents above specified, to present such Shares, together with the appropriate instrument(s) of transfer or endorsement, duly stamped, to the Share Registrar for transfer and registration of the Shares (as soon as transfer and registration can be accomplished and at the expense of the person for whom the deposit is made) in the name of the Depositary, the Custodian or a nominee of either. Deposited Securities shall be held by the Depositary, or by a Custodian for the account and to the order of the Depositary or a nominee of the Depositary, in each case, on behalf of the Holders and Beneficial Owners, at such place(s) as the Depositary or the Custodian shall determine. Notwithstanding anything else contained in the Deposit Agreement, any ADR(s), or any other instruments or agreements relating to the ADSs and the corresponding Deposited Property, the registration of the Deposited Securities in the name of the Depositary, the Custodian or any of their respective nominees, shall, to the maximum extent permitted by applicable law, vest in the Depositary, the Custodian or the applicable nominee the record ownership in the applicable Deposited Securities with the beneficial ownership rights and interests in such Deposited Securities being at all times vested with the Beneficial Owners of the ADSs representing the Deposited Securities. Notwithstanding the foregoing, the Depositary, the Custodian and the applicable nominee shall at all times be entitled to exercise the beneficial ownership rights in all Deposited Property, in each case only on behalf of the Holders and Beneficial Owners of the ADSs representing the Deposited Property, upon the terms set forth in the Deposit Agreement and, if applicable, the ADR(s) representing the ADSs. The Depositary, the Custodian and their respective nominees shall for all purposes be deemed to have all requisite power and authority to act in respect of Deposited Property on behalf of the Holders and Beneficial Owners of ADSs representing the Deposited Property, and upon making payments to, or acting upon instructions from, or information provided by, the Depositary, the Custodian or their respective nominees all persons shall be authorized to rely upon such power and authority.</w:t>
      </w:r>
    </w:p>
    <w:p>
      <w:pPr>
        <w:spacing w:after="0" w:line="280" w:lineRule="exact"/>
        <w:rPr>
          <w:sz w:val="20"/>
          <w:szCs w:val="20"/>
          <w:color w:val="auto"/>
        </w:rPr>
      </w:pPr>
    </w:p>
    <w:p>
      <w:pPr>
        <w:jc w:val="center"/>
        <w:ind w:right="-19"/>
        <w:spacing w:after="0"/>
        <w:rPr>
          <w:sz w:val="20"/>
          <w:szCs w:val="20"/>
          <w:color w:val="auto"/>
        </w:rPr>
      </w:pPr>
      <w:r>
        <w:rPr>
          <w:rFonts w:ascii="Arial" w:cs="Arial" w:eastAsia="Arial" w:hAnsi="Arial"/>
          <w:sz w:val="22"/>
          <w:szCs w:val="22"/>
          <w:color w:val="auto"/>
        </w:rPr>
        <w:t>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7620</wp:posOffset>
            </wp:positionV>
            <wp:extent cx="7246620" cy="17145"/>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341" w:right="239" w:bottom="1440" w:gutter="0" w:footer="0" w:header="0"/>
        </w:sectPr>
      </w:pPr>
    </w:p>
    <w:bookmarkStart w:id="26" w:name="page27"/>
    <w:bookmarkEnd w:id="26"/>
    <w:p>
      <w:pPr>
        <w:ind w:firstLine="648"/>
        <w:spacing w:after="0" w:line="287" w:lineRule="auto"/>
        <w:rPr>
          <w:sz w:val="20"/>
          <w:szCs w:val="20"/>
          <w:color w:val="auto"/>
        </w:rPr>
      </w:pPr>
      <w:r>
        <w:rPr>
          <w:rFonts w:ascii="Arial" w:cs="Arial" w:eastAsia="Arial" w:hAnsi="Arial"/>
          <w:sz w:val="16"/>
          <w:szCs w:val="16"/>
          <w:b w:val="1"/>
          <w:bCs w:val="1"/>
          <w:color w:val="auto"/>
        </w:rPr>
        <w:t xml:space="preserve">Section 2.5 </w:t>
      </w:r>
      <w:r>
        <w:rPr>
          <w:rFonts w:ascii="Arial" w:cs="Arial" w:eastAsia="Arial" w:hAnsi="Arial"/>
          <w:sz w:val="16"/>
          <w:szCs w:val="16"/>
          <w:b w:val="1"/>
          <w:bCs w:val="1"/>
          <w:u w:val="single" w:color="auto"/>
          <w:color w:val="auto"/>
        </w:rPr>
        <w:t>Issuance of ADSs.</w:t>
      </w:r>
      <w:r>
        <w:rPr>
          <w:rFonts w:ascii="Arial" w:cs="Arial" w:eastAsia="Arial" w:hAnsi="Arial"/>
          <w:sz w:val="16"/>
          <w:szCs w:val="16"/>
          <w:b w:val="1"/>
          <w:bCs w:val="1"/>
          <w:color w:val="auto"/>
        </w:rPr>
        <w:t xml:space="preserve"> </w:t>
      </w:r>
      <w:r>
        <w:rPr>
          <w:rFonts w:ascii="Arial" w:cs="Arial" w:eastAsia="Arial" w:hAnsi="Arial"/>
          <w:sz w:val="16"/>
          <w:szCs w:val="16"/>
          <w:color w:val="auto"/>
        </w:rPr>
        <w:t>The Depositary has made arrangements with the Custodian for the Custodian to confirm to the Depositary</w:t>
      </w:r>
      <w:r>
        <w:rPr>
          <w:rFonts w:ascii="Arial" w:cs="Arial" w:eastAsia="Arial" w:hAnsi="Arial"/>
          <w:sz w:val="16"/>
          <w:szCs w:val="16"/>
          <w:b w:val="1"/>
          <w:bCs w:val="1"/>
          <w:color w:val="auto"/>
        </w:rPr>
        <w:t xml:space="preserve"> </w:t>
      </w:r>
      <w:r>
        <w:rPr>
          <w:rFonts w:ascii="Arial" w:cs="Arial" w:eastAsia="Arial" w:hAnsi="Arial"/>
          <w:sz w:val="16"/>
          <w:szCs w:val="16"/>
          <w:color w:val="auto"/>
        </w:rPr>
        <w:t>upon receipt of a deposit of Shares (i) that a deposit of Shares has been made pursuant to Section 2.3, (ii) that such Deposited Securities have been recorded in the name of the Depositary, the Custodian or a nominee of either on the shareholders’ register maintained by or on behalf of the Company by the Share Registrar on the books of CREST, (iii) that all required documents have been received, and (iv) the person(s) to whom or upon whose order ADSs are deliverable in respect thereof and the number of ADSs to be so delivered. Such notification may be made by letter, cable, telex, SWIFT message or, at the risk and expense of the person making the deposit, by facsimile or other means of electronic transmission. Upon receiving such notice from the Custodian, the Depositary, subject to the terms and conditions of the Deposit Agreement and applicable law, shall issue the ADSs representing the Shares so deposited to or upon the order of the person(s) named in the notice delivered to the Depositary and, if applicable, shall execute and deliver at its Principal Office Receipt(s) registered in the name(s) requested by such person(s) and evidencing the aggregate number of ADSs to which such person(s) are entitled, but, in each case, only upon payment to the Depositary of the charges of the Depositary for accepting a deposit of Shares and issuing ADSs (as set forth in Section 5.9 and Exhibit B hereto) and all taxes and governmental charges and fees payable in connection with such deposit and the transfer of the Shares and the issuance of the ADS(s). The Depositary shall only issue ADSs in whole numbers and deliver, if applicable, ADR(s) evidencing whole numbers of ADSs.</w:t>
      </w:r>
    </w:p>
    <w:p>
      <w:pPr>
        <w:spacing w:after="0" w:line="169" w:lineRule="exact"/>
        <w:rPr>
          <w:sz w:val="20"/>
          <w:szCs w:val="20"/>
          <w:color w:val="auto"/>
        </w:rPr>
      </w:pPr>
    </w:p>
    <w:p>
      <w:pPr>
        <w:ind w:left="660"/>
        <w:spacing w:after="0"/>
        <w:tabs>
          <w:tab w:leader="none" w:pos="1960" w:val="left"/>
        </w:tabs>
        <w:rPr>
          <w:sz w:val="20"/>
          <w:szCs w:val="20"/>
          <w:color w:val="auto"/>
        </w:rPr>
      </w:pPr>
      <w:r>
        <w:rPr>
          <w:rFonts w:ascii="Arial" w:cs="Arial" w:eastAsia="Arial" w:hAnsi="Arial"/>
          <w:sz w:val="18"/>
          <w:szCs w:val="18"/>
          <w:b w:val="1"/>
          <w:bCs w:val="1"/>
          <w:color w:val="auto"/>
        </w:rPr>
        <w:t>Section 2.6</w:t>
      </w:r>
      <w:r>
        <w:rPr>
          <w:sz w:val="20"/>
          <w:szCs w:val="20"/>
          <w:color w:val="auto"/>
        </w:rPr>
        <w:tab/>
      </w:r>
      <w:r>
        <w:rPr>
          <w:rFonts w:ascii="Arial" w:cs="Arial" w:eastAsia="Arial" w:hAnsi="Arial"/>
          <w:sz w:val="16"/>
          <w:szCs w:val="16"/>
          <w:b w:val="1"/>
          <w:bCs w:val="1"/>
          <w:u w:val="single" w:color="auto"/>
          <w:color w:val="auto"/>
        </w:rPr>
        <w:t>Transfer, Combination and Split-up of ADRs.</w:t>
      </w:r>
    </w:p>
    <w:p>
      <w:pPr>
        <w:spacing w:after="0" w:line="225" w:lineRule="exact"/>
        <w:rPr>
          <w:sz w:val="20"/>
          <w:szCs w:val="20"/>
          <w:color w:val="auto"/>
        </w:rPr>
      </w:pPr>
    </w:p>
    <w:p>
      <w:pPr>
        <w:ind w:right="80" w:firstLine="656"/>
        <w:spacing w:after="0" w:line="270" w:lineRule="auto"/>
        <w:tabs>
          <w:tab w:leader="none" w:pos="1128" w:val="left"/>
        </w:tabs>
        <w:numPr>
          <w:ilvl w:val="0"/>
          <w:numId w:val="8"/>
        </w:numPr>
        <w:rPr>
          <w:rFonts w:ascii="Arial" w:cs="Arial" w:eastAsia="Arial" w:hAnsi="Arial"/>
          <w:sz w:val="17"/>
          <w:szCs w:val="17"/>
          <w:b w:val="1"/>
          <w:bCs w:val="1"/>
          <w:color w:val="auto"/>
        </w:rPr>
      </w:pPr>
      <w:r>
        <w:rPr>
          <w:rFonts w:ascii="Arial" w:cs="Arial" w:eastAsia="Arial" w:hAnsi="Arial"/>
          <w:sz w:val="17"/>
          <w:szCs w:val="17"/>
          <w:b w:val="1"/>
          <w:bCs w:val="1"/>
          <w:u w:val="single" w:color="auto"/>
          <w:color w:val="auto"/>
        </w:rPr>
        <w:t>Transfer</w:t>
      </w:r>
      <w:r>
        <w:rPr>
          <w:rFonts w:ascii="Arial" w:cs="Arial" w:eastAsia="Arial" w:hAnsi="Arial"/>
          <w:sz w:val="17"/>
          <w:szCs w:val="17"/>
          <w:b w:val="1"/>
          <w:bCs w:val="1"/>
          <w:color w:val="auto"/>
        </w:rPr>
        <w:t xml:space="preserve">. </w:t>
      </w:r>
      <w:r>
        <w:rPr>
          <w:rFonts w:ascii="Arial" w:cs="Arial" w:eastAsia="Arial" w:hAnsi="Arial"/>
          <w:sz w:val="17"/>
          <w:szCs w:val="17"/>
          <w:color w:val="auto"/>
        </w:rPr>
        <w:t>The Registrar shall register the transfer of ADRs (and of the ADSs represented thereby) on the books maintained for such purpose</w:t>
      </w:r>
      <w:r>
        <w:rPr>
          <w:rFonts w:ascii="Arial" w:cs="Arial" w:eastAsia="Arial" w:hAnsi="Arial"/>
          <w:sz w:val="17"/>
          <w:szCs w:val="17"/>
          <w:b w:val="1"/>
          <w:bCs w:val="1"/>
          <w:color w:val="auto"/>
        </w:rPr>
        <w:t xml:space="preserve"> </w:t>
      </w:r>
      <w:r>
        <w:rPr>
          <w:rFonts w:ascii="Arial" w:cs="Arial" w:eastAsia="Arial" w:hAnsi="Arial"/>
          <w:sz w:val="17"/>
          <w:szCs w:val="17"/>
          <w:color w:val="auto"/>
        </w:rPr>
        <w:t xml:space="preserve">and the Depositary shall (x) cancel such ADRs and execute new ADRs evidencing the same aggregate number of ADSs as those evidenced by the ADRs canceled by the Depositary, (y) cause the Registrar to countersign such new ADRs and (z) Deliver such new ADRs to or upon the order of the person entitled thereto, if each of the following conditions has been satisfied: (i) the ADRs have been duly Delivered by the Holder (or by a duly authorized attorney of the Holder) to the Depositary at its Principal Office for the purpose of effecting a transfer thereof, (ii) the surrendered ADRs have been properly endorsed or are accompanied by proper instruments of transfer (including signature guarantees in accordance with standard securities industry practice), (iii) the surrendered ADRs have been duly stamped (if required by the laws of the State of New York or of the United States), and (iv) all applicable fees and charges of, and expenses incurred by, the Depositary and all applicable taxes and governmental charges (as are set forth in Section 5.9 and </w:t>
      </w:r>
      <w:r>
        <w:rPr>
          <w:rFonts w:ascii="Arial" w:cs="Arial" w:eastAsia="Arial" w:hAnsi="Arial"/>
          <w:sz w:val="17"/>
          <w:szCs w:val="17"/>
          <w:u w:val="single" w:color="auto"/>
          <w:color w:val="auto"/>
        </w:rPr>
        <w:t>Exhibit B</w:t>
      </w:r>
      <w:r>
        <w:rPr>
          <w:rFonts w:ascii="Arial" w:cs="Arial" w:eastAsia="Arial" w:hAnsi="Arial"/>
          <w:sz w:val="17"/>
          <w:szCs w:val="17"/>
          <w:color w:val="auto"/>
        </w:rPr>
        <w:t xml:space="preserve"> hereto) have been paid, </w:t>
      </w:r>
      <w:r>
        <w:rPr>
          <w:rFonts w:ascii="Arial" w:cs="Arial" w:eastAsia="Arial" w:hAnsi="Arial"/>
          <w:sz w:val="17"/>
          <w:szCs w:val="17"/>
          <w:i w:val="1"/>
          <w:iCs w:val="1"/>
          <w:color w:val="auto"/>
        </w:rPr>
        <w:t xml:space="preserve">subject, however, in each case, </w:t>
      </w:r>
      <w:r>
        <w:rPr>
          <w:rFonts w:ascii="Arial" w:cs="Arial" w:eastAsia="Arial" w:hAnsi="Arial"/>
          <w:sz w:val="17"/>
          <w:szCs w:val="17"/>
          <w:color w:val="auto"/>
        </w:rPr>
        <w:t>to the terms and conditions of the applicable ADRs, of the Deposit Agreement and of applicable law, in each case as in effect</w:t>
      </w:r>
      <w:r>
        <w:rPr>
          <w:rFonts w:ascii="Arial" w:cs="Arial" w:eastAsia="Arial" w:hAnsi="Arial"/>
          <w:sz w:val="17"/>
          <w:szCs w:val="17"/>
          <w:i w:val="1"/>
          <w:iCs w:val="1"/>
          <w:color w:val="auto"/>
        </w:rPr>
        <w:t xml:space="preserve"> </w:t>
      </w:r>
      <w:r>
        <w:rPr>
          <w:rFonts w:ascii="Arial" w:cs="Arial" w:eastAsia="Arial" w:hAnsi="Arial"/>
          <w:sz w:val="17"/>
          <w:szCs w:val="17"/>
          <w:color w:val="auto"/>
        </w:rPr>
        <w:t>at the time thereof.</w:t>
      </w:r>
    </w:p>
    <w:p>
      <w:pPr>
        <w:spacing w:after="0" w:line="283" w:lineRule="exact"/>
        <w:rPr>
          <w:sz w:val="20"/>
          <w:szCs w:val="20"/>
          <w:color w:val="auto"/>
        </w:rPr>
      </w:pPr>
    </w:p>
    <w:p>
      <w:pPr>
        <w:jc w:val="center"/>
        <w:ind w:right="-19"/>
        <w:spacing w:after="0"/>
        <w:rPr>
          <w:sz w:val="20"/>
          <w:szCs w:val="20"/>
          <w:color w:val="auto"/>
        </w:rPr>
      </w:pPr>
      <w:r>
        <w:rPr>
          <w:rFonts w:ascii="Arial" w:cs="Arial" w:eastAsia="Arial" w:hAnsi="Arial"/>
          <w:sz w:val="22"/>
          <w:szCs w:val="22"/>
          <w:color w:val="auto"/>
        </w:rPr>
        <w:t>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7620</wp:posOffset>
            </wp:positionV>
            <wp:extent cx="7246620" cy="17145"/>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337" w:right="239" w:bottom="1440" w:gutter="0" w:footer="0" w:header="0"/>
        </w:sectPr>
      </w:pPr>
    </w:p>
    <w:bookmarkStart w:id="27" w:name="page28"/>
    <w:bookmarkEnd w:id="27"/>
    <w:p>
      <w:pPr>
        <w:ind w:right="60" w:firstLine="656"/>
        <w:spacing w:after="0" w:line="289" w:lineRule="auto"/>
        <w:tabs>
          <w:tab w:leader="none" w:pos="1228" w:val="left"/>
        </w:tabs>
        <w:numPr>
          <w:ilvl w:val="1"/>
          <w:numId w:val="9"/>
        </w:numPr>
        <w:rPr>
          <w:rFonts w:ascii="Arial" w:cs="Arial" w:eastAsia="Arial" w:hAnsi="Arial"/>
          <w:sz w:val="16"/>
          <w:szCs w:val="16"/>
          <w:b w:val="1"/>
          <w:bCs w:val="1"/>
          <w:color w:val="auto"/>
        </w:rPr>
      </w:pPr>
      <w:r>
        <w:rPr>
          <w:rFonts w:ascii="Arial" w:cs="Arial" w:eastAsia="Arial" w:hAnsi="Arial"/>
          <w:sz w:val="16"/>
          <w:szCs w:val="16"/>
          <w:b w:val="1"/>
          <w:bCs w:val="1"/>
          <w:u w:val="single" w:color="auto"/>
          <w:color w:val="auto"/>
        </w:rPr>
        <w:t>Combination &amp; Split-Up</w:t>
      </w:r>
      <w:r>
        <w:rPr>
          <w:rFonts w:ascii="Arial" w:cs="Arial" w:eastAsia="Arial" w:hAnsi="Arial"/>
          <w:sz w:val="16"/>
          <w:szCs w:val="16"/>
          <w:b w:val="1"/>
          <w:bCs w:val="1"/>
          <w:color w:val="auto"/>
        </w:rPr>
        <w:t xml:space="preserve">. </w:t>
      </w:r>
      <w:r>
        <w:rPr>
          <w:rFonts w:ascii="Arial" w:cs="Arial" w:eastAsia="Arial" w:hAnsi="Arial"/>
          <w:sz w:val="16"/>
          <w:szCs w:val="16"/>
          <w:color w:val="auto"/>
        </w:rPr>
        <w:t>The Registrar shall register the split-up or combination of ADRs (and of the ADSs represented thereby) on the</w:t>
      </w:r>
      <w:r>
        <w:rPr>
          <w:rFonts w:ascii="Arial" w:cs="Arial" w:eastAsia="Arial" w:hAnsi="Arial"/>
          <w:sz w:val="16"/>
          <w:szCs w:val="16"/>
          <w:b w:val="1"/>
          <w:bCs w:val="1"/>
          <w:color w:val="auto"/>
        </w:rPr>
        <w:t xml:space="preserve"> </w:t>
      </w:r>
      <w:r>
        <w:rPr>
          <w:rFonts w:ascii="Arial" w:cs="Arial" w:eastAsia="Arial" w:hAnsi="Arial"/>
          <w:sz w:val="16"/>
          <w:szCs w:val="16"/>
          <w:color w:val="auto"/>
        </w:rPr>
        <w:t>books maintained for such purpose and the Depositary shall (x) cancel such ADRs and execute new ADRs for the number of ADSs requested, but in the aggregate not exceeding the number of ADSs evidenced by the ADRs canceled by the Depositary, (y) cause the Registrar to countersign such new ADRs and</w:t>
      </w:r>
    </w:p>
    <w:p>
      <w:pPr>
        <w:spacing w:after="0" w:line="1" w:lineRule="exact"/>
        <w:rPr>
          <w:rFonts w:ascii="Arial" w:cs="Arial" w:eastAsia="Arial" w:hAnsi="Arial"/>
          <w:sz w:val="16"/>
          <w:szCs w:val="16"/>
          <w:b w:val="1"/>
          <w:bCs w:val="1"/>
          <w:color w:val="auto"/>
        </w:rPr>
      </w:pPr>
    </w:p>
    <w:p>
      <w:pPr>
        <w:ind w:right="180" w:firstLine="8"/>
        <w:spacing w:after="0" w:line="271" w:lineRule="auto"/>
        <w:tabs>
          <w:tab w:leader="none" w:pos="245" w:val="left"/>
        </w:tabs>
        <w:numPr>
          <w:ilvl w:val="0"/>
          <w:numId w:val="10"/>
        </w:numPr>
        <w:rPr>
          <w:rFonts w:ascii="Arial" w:cs="Arial" w:eastAsia="Arial" w:hAnsi="Arial"/>
          <w:sz w:val="17"/>
          <w:szCs w:val="17"/>
          <w:color w:val="auto"/>
        </w:rPr>
      </w:pPr>
      <w:r>
        <w:rPr>
          <w:rFonts w:ascii="Arial" w:cs="Arial" w:eastAsia="Arial" w:hAnsi="Arial"/>
          <w:sz w:val="17"/>
          <w:szCs w:val="17"/>
          <w:color w:val="auto"/>
        </w:rPr>
        <w:t xml:space="preserve">Deliver such new ADRs to or upon the order of the Holder thereof, if each of the following conditions has been satisfied: (i) the ADRs have been duly Delivered by the Holder (or by a duly authorized attorney of the Holder) to the Depositary at its Principal Office for the purpose of effecting a split-up or combination thereof, and (ii) all applicable fees and charges of, and expenses incurred by, the Depositary and all applicable taxes and governmental charges (as are set forth in Section 5.9 and </w:t>
      </w:r>
      <w:r>
        <w:rPr>
          <w:rFonts w:ascii="Arial" w:cs="Arial" w:eastAsia="Arial" w:hAnsi="Arial"/>
          <w:sz w:val="17"/>
          <w:szCs w:val="17"/>
          <w:u w:val="single" w:color="auto"/>
          <w:color w:val="auto"/>
        </w:rPr>
        <w:t>Exhibit B</w:t>
      </w:r>
      <w:r>
        <w:rPr>
          <w:rFonts w:ascii="Arial" w:cs="Arial" w:eastAsia="Arial" w:hAnsi="Arial"/>
          <w:sz w:val="17"/>
          <w:szCs w:val="17"/>
          <w:color w:val="auto"/>
        </w:rPr>
        <w:t xml:space="preserve"> hereto) have been paid, </w:t>
      </w:r>
      <w:r>
        <w:rPr>
          <w:rFonts w:ascii="Arial" w:cs="Arial" w:eastAsia="Arial" w:hAnsi="Arial"/>
          <w:sz w:val="17"/>
          <w:szCs w:val="17"/>
          <w:i w:val="1"/>
          <w:iCs w:val="1"/>
          <w:color w:val="auto"/>
        </w:rPr>
        <w:t>subject, however, in each case</w:t>
      </w:r>
      <w:r>
        <w:rPr>
          <w:rFonts w:ascii="Arial" w:cs="Arial" w:eastAsia="Arial" w:hAnsi="Arial"/>
          <w:sz w:val="17"/>
          <w:szCs w:val="17"/>
          <w:color w:val="auto"/>
        </w:rPr>
        <w:t>, to the terms and conditions of the applicable ADRs, of the Deposit Agreement and of applicable law, in each case as in effect at the time thereof.</w:t>
      </w:r>
    </w:p>
    <w:p>
      <w:pPr>
        <w:spacing w:after="0" w:line="175" w:lineRule="exact"/>
        <w:rPr>
          <w:sz w:val="20"/>
          <w:szCs w:val="20"/>
          <w:color w:val="auto"/>
        </w:rPr>
      </w:pPr>
    </w:p>
    <w:p>
      <w:pPr>
        <w:ind w:right="20" w:firstLine="648"/>
        <w:spacing w:after="0" w:line="283" w:lineRule="auto"/>
        <w:rPr>
          <w:sz w:val="20"/>
          <w:szCs w:val="20"/>
          <w:color w:val="auto"/>
        </w:rPr>
      </w:pPr>
      <w:r>
        <w:rPr>
          <w:rFonts w:ascii="Arial" w:cs="Arial" w:eastAsia="Arial" w:hAnsi="Arial"/>
          <w:sz w:val="16"/>
          <w:szCs w:val="16"/>
          <w:b w:val="1"/>
          <w:bCs w:val="1"/>
          <w:color w:val="auto"/>
        </w:rPr>
        <w:t xml:space="preserve">Section 2.7 </w:t>
      </w:r>
      <w:r>
        <w:rPr>
          <w:rFonts w:ascii="Arial" w:cs="Arial" w:eastAsia="Arial" w:hAnsi="Arial"/>
          <w:sz w:val="16"/>
          <w:szCs w:val="16"/>
          <w:b w:val="1"/>
          <w:bCs w:val="1"/>
          <w:u w:val="single" w:color="auto"/>
          <w:color w:val="auto"/>
        </w:rPr>
        <w:t>Surrender of ADSs and Withdrawal of Deposited Securities.</w:t>
      </w:r>
      <w:r>
        <w:rPr>
          <w:rFonts w:ascii="Arial" w:cs="Arial" w:eastAsia="Arial" w:hAnsi="Arial"/>
          <w:sz w:val="16"/>
          <w:szCs w:val="16"/>
          <w:b w:val="1"/>
          <w:bCs w:val="1"/>
          <w:color w:val="auto"/>
        </w:rPr>
        <w:t xml:space="preserve"> </w:t>
      </w:r>
      <w:r>
        <w:rPr>
          <w:rFonts w:ascii="Arial" w:cs="Arial" w:eastAsia="Arial" w:hAnsi="Arial"/>
          <w:sz w:val="16"/>
          <w:szCs w:val="16"/>
          <w:color w:val="auto"/>
        </w:rPr>
        <w:t>The Holder of ADSs shall be entitled to Delivery (at the</w:t>
      </w:r>
      <w:r>
        <w:rPr>
          <w:rFonts w:ascii="Arial" w:cs="Arial" w:eastAsia="Arial" w:hAnsi="Arial"/>
          <w:sz w:val="16"/>
          <w:szCs w:val="16"/>
          <w:b w:val="1"/>
          <w:bCs w:val="1"/>
          <w:color w:val="auto"/>
        </w:rPr>
        <w:t xml:space="preserve"> </w:t>
      </w:r>
      <w:r>
        <w:rPr>
          <w:rFonts w:ascii="Arial" w:cs="Arial" w:eastAsia="Arial" w:hAnsi="Arial"/>
          <w:sz w:val="16"/>
          <w:szCs w:val="16"/>
          <w:color w:val="auto"/>
        </w:rPr>
        <w:t xml:space="preserve">Custodian’s designated office) of the Deposited Securities at the time represented by the ADSs upon satisfaction of each of the following conditions: (i) the Holder (or a duly-authorized attorney of the Holder) has duly Delivered ADSs to the Depositary at its Principal Office (and if applicable, the ADRs evidencing such ADSs) for the purpose of withdrawal of the Deposited Securities represented thereby, (ii) if applicable and so required by the Depositary, the ADRs Delivered to the Depositary for such purpose have been properly endorsed in blank or are accompanied by proper instruments of transfer in blank (including signature guarantees in accordance with standard securities industry practice), (iii) if so required by the Depositary, the Holder of the ADSs has executed and delivered to the Depositary a written order directing the Depositary to cause the Deposited Securities being withdrawn to be Delivered to or upon the written order of the person(s) designated in such order, and (iv) all applicable fees and charges of, and expenses incurred by, the Depositary and all applicable taxes and governmental charges (as are set forth in Section 5.9 and Exhibit B) have been paid, </w:t>
      </w:r>
      <w:r>
        <w:rPr>
          <w:rFonts w:ascii="Arial" w:cs="Arial" w:eastAsia="Arial" w:hAnsi="Arial"/>
          <w:sz w:val="16"/>
          <w:szCs w:val="16"/>
          <w:i w:val="1"/>
          <w:iCs w:val="1"/>
          <w:color w:val="auto"/>
        </w:rPr>
        <w:t>subject, however, in each case</w:t>
      </w:r>
      <w:r>
        <w:rPr>
          <w:rFonts w:ascii="Arial" w:cs="Arial" w:eastAsia="Arial" w:hAnsi="Arial"/>
          <w:sz w:val="16"/>
          <w:szCs w:val="16"/>
          <w:color w:val="auto"/>
        </w:rPr>
        <w:t>, to the terms and conditions of the ADRs evidencing the surrendered ADSs, of the Deposit Agreement, of the Company’s Articles of Association and of any applicable laws and the rules of CREST, and to any provisions of or governing the Deposited Securities, in each case as in effect at the time thereof. Upon satisfaction of each of the conditions specified above, the Depositary (i) shall cancel the ADSs Delivered to it (and, if applicable, the ADR(s) evidencing the ADSs so Delivered),</w:t>
      </w:r>
    </w:p>
    <w:p>
      <w:pPr>
        <w:spacing w:after="0" w:line="8" w:lineRule="exact"/>
        <w:rPr>
          <w:sz w:val="20"/>
          <w:szCs w:val="20"/>
          <w:color w:val="auto"/>
        </w:rPr>
      </w:pPr>
    </w:p>
    <w:p>
      <w:pPr>
        <w:ind w:firstLine="8"/>
        <w:spacing w:after="0" w:line="281" w:lineRule="auto"/>
        <w:tabs>
          <w:tab w:leader="none" w:pos="265" w:val="left"/>
        </w:tabs>
        <w:numPr>
          <w:ilvl w:val="0"/>
          <w:numId w:val="11"/>
        </w:numPr>
        <w:rPr>
          <w:rFonts w:ascii="Arial" w:cs="Arial" w:eastAsia="Arial" w:hAnsi="Arial"/>
          <w:sz w:val="16"/>
          <w:szCs w:val="16"/>
          <w:color w:val="auto"/>
        </w:rPr>
      </w:pPr>
      <w:r>
        <w:rPr>
          <w:rFonts w:ascii="Arial" w:cs="Arial" w:eastAsia="Arial" w:hAnsi="Arial"/>
          <w:sz w:val="16"/>
          <w:szCs w:val="16"/>
          <w:color w:val="auto"/>
        </w:rPr>
        <w:t xml:space="preserve">shall direct the Registrar to record the cancellation of the ADSs so Delivered on the books maintained for such purpose, and (iii) shall direct the Custodian to Deliver, or cause the Delivery of, in each case, without unreasonable delay, the Deposited Securities represented by the ADSs so canceled together with any certificate or other document of title for the Deposited Securities, or evidence of the electronic transfer thereof (if available), as the case may be, to or upon the written order of the person(s) designated in the order delivered to the Depositary for such purpose, </w:t>
      </w:r>
      <w:r>
        <w:rPr>
          <w:rFonts w:ascii="Arial" w:cs="Arial" w:eastAsia="Arial" w:hAnsi="Arial"/>
          <w:sz w:val="16"/>
          <w:szCs w:val="16"/>
          <w:i w:val="1"/>
          <w:iCs w:val="1"/>
          <w:color w:val="auto"/>
        </w:rPr>
        <w:t>subject however, in each case,</w:t>
      </w:r>
      <w:r>
        <w:rPr>
          <w:rFonts w:ascii="Arial" w:cs="Arial" w:eastAsia="Arial" w:hAnsi="Arial"/>
          <w:sz w:val="16"/>
          <w:szCs w:val="16"/>
          <w:color w:val="auto"/>
        </w:rPr>
        <w:t xml:space="preserve"> to the terms and conditions of the Deposit Agreement, of the ADRs evidencing the ADSs so canceled, of the Articles of Association of the Company, of any applicable laws and of the rules of CREST, and to the terms and conditions of or governing the Deposited Securities, in each case as in effect at the time thereof. The Depositary shall not accept for surrender ADSs representing less than one (1) Share. In the case of Delivery to it of ADSs representing a number other than a whole number of Shares, the Depositary shall cause ownership of the appropriate whole number of Shares to be Delivered in accordance with the terms hereof, and shall, at the discretion of the Depositary, either (i) return to the person surrendering such ADSs the number of ADSs representing any remaining fractional Share, or (ii) sell or cause to be sold the fractional Share represented by the ADSs so surrendered and remit the proceeds of such sale (net of</w:t>
      </w:r>
    </w:p>
    <w:p>
      <w:pPr>
        <w:spacing w:after="0" w:line="6" w:lineRule="exact"/>
        <w:rPr>
          <w:rFonts w:ascii="Arial" w:cs="Arial" w:eastAsia="Arial" w:hAnsi="Arial"/>
          <w:sz w:val="16"/>
          <w:szCs w:val="16"/>
          <w:color w:val="auto"/>
        </w:rPr>
      </w:pPr>
    </w:p>
    <w:p>
      <w:pPr>
        <w:ind w:left="260" w:hanging="252"/>
        <w:spacing w:after="0"/>
        <w:tabs>
          <w:tab w:leader="none" w:pos="260" w:val="left"/>
        </w:tabs>
        <w:numPr>
          <w:ilvl w:val="0"/>
          <w:numId w:val="12"/>
        </w:numPr>
        <w:rPr>
          <w:rFonts w:ascii="Arial" w:cs="Arial" w:eastAsia="Arial" w:hAnsi="Arial"/>
          <w:sz w:val="17"/>
          <w:szCs w:val="17"/>
          <w:color w:val="auto"/>
        </w:rPr>
      </w:pPr>
      <w:r>
        <w:rPr>
          <w:rFonts w:ascii="Arial" w:cs="Arial" w:eastAsia="Arial" w:hAnsi="Arial"/>
          <w:sz w:val="17"/>
          <w:szCs w:val="17"/>
          <w:color w:val="auto"/>
        </w:rPr>
        <w:t>applicable fees and charges of, and expenses incurred by, the Depositary and (b) applicable taxes withheld) to the person surrendering the ADSs.</w:t>
      </w:r>
    </w:p>
    <w:p>
      <w:pPr>
        <w:spacing w:after="0" w:line="323" w:lineRule="exact"/>
        <w:rPr>
          <w:sz w:val="20"/>
          <w:szCs w:val="20"/>
          <w:color w:val="auto"/>
        </w:rPr>
      </w:pPr>
    </w:p>
    <w:p>
      <w:pPr>
        <w:jc w:val="center"/>
        <w:ind w:right="-19"/>
        <w:spacing w:after="0"/>
        <w:rPr>
          <w:sz w:val="20"/>
          <w:szCs w:val="20"/>
          <w:color w:val="auto"/>
        </w:rPr>
      </w:pPr>
      <w:r>
        <w:rPr>
          <w:rFonts w:ascii="Arial" w:cs="Arial" w:eastAsia="Arial" w:hAnsi="Arial"/>
          <w:sz w:val="22"/>
          <w:szCs w:val="22"/>
          <w:color w:val="auto"/>
        </w:rPr>
        <w:t>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7620</wp:posOffset>
            </wp:positionV>
            <wp:extent cx="7246620" cy="17145"/>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00"/>
          </w:cols>
          <w:pgMar w:left="240" w:top="337" w:right="259" w:bottom="1440" w:gutter="0" w:footer="0" w:header="0"/>
        </w:sectPr>
      </w:pPr>
    </w:p>
    <w:bookmarkStart w:id="28" w:name="page29"/>
    <w:bookmarkEnd w:id="28"/>
    <w:p>
      <w:pPr>
        <w:ind w:firstLine="648"/>
        <w:spacing w:after="0" w:line="255" w:lineRule="auto"/>
        <w:rPr>
          <w:sz w:val="20"/>
          <w:szCs w:val="20"/>
          <w:color w:val="auto"/>
        </w:rPr>
      </w:pPr>
      <w:r>
        <w:rPr>
          <w:rFonts w:ascii="Arial" w:cs="Arial" w:eastAsia="Arial" w:hAnsi="Arial"/>
          <w:sz w:val="18"/>
          <w:szCs w:val="18"/>
          <w:color w:val="auto"/>
        </w:rPr>
        <w:t>Notwithstanding anything else contained in any ADR or the Deposit Agreement, the Depositary may make delivery at the Principal Office of the Depositary of Deposited Property consisting of (i) any cash dividends or cash distributions, or (ii) any proceeds from the sale of any non-cash distributions, which are at the time held by the Depositary in respect of the Deposited Securities represented by the ADSs surrendered for cancellation and withdrawal. At the request, risk and expense of any Holder so surrendering ADSs, and for the account of such Holder, the Depositary shall direct the Custodian to forward (to the extent permitted by law) any Deposited Property (other than Deposited Securities) held by the Custodian in respect of such ADSs to the Depositary for delivery at the Principal Office of the Depositary. Such direction shall be given by letter or, at the request, risk and expense of such Holder, by cable, telex or facsimile transmission.</w:t>
      </w:r>
    </w:p>
    <w:p>
      <w:pPr>
        <w:spacing w:after="0" w:line="185" w:lineRule="exact"/>
        <w:rPr>
          <w:sz w:val="20"/>
          <w:szCs w:val="20"/>
          <w:color w:val="auto"/>
        </w:rPr>
      </w:pPr>
    </w:p>
    <w:p>
      <w:pPr>
        <w:ind w:left="660"/>
        <w:spacing w:after="0"/>
        <w:tabs>
          <w:tab w:leader="none" w:pos="1960" w:val="left"/>
        </w:tabs>
        <w:rPr>
          <w:sz w:val="20"/>
          <w:szCs w:val="20"/>
          <w:color w:val="auto"/>
        </w:rPr>
      </w:pPr>
      <w:r>
        <w:rPr>
          <w:rFonts w:ascii="Arial" w:cs="Arial" w:eastAsia="Arial" w:hAnsi="Arial"/>
          <w:sz w:val="18"/>
          <w:szCs w:val="18"/>
          <w:b w:val="1"/>
          <w:bCs w:val="1"/>
          <w:color w:val="auto"/>
        </w:rPr>
        <w:t>Section 2.8</w:t>
      </w:r>
      <w:r>
        <w:rPr>
          <w:sz w:val="20"/>
          <w:szCs w:val="20"/>
          <w:color w:val="auto"/>
        </w:rPr>
        <w:tab/>
      </w:r>
      <w:r>
        <w:rPr>
          <w:rFonts w:ascii="Arial" w:cs="Arial" w:eastAsia="Arial" w:hAnsi="Arial"/>
          <w:sz w:val="16"/>
          <w:szCs w:val="16"/>
          <w:b w:val="1"/>
          <w:bCs w:val="1"/>
          <w:u w:val="single" w:color="auto"/>
          <w:color w:val="auto"/>
        </w:rPr>
        <w:t>Limitations on Execution and Delivery, Transfer, etc. of ADSs; Suspension of Delivery, Transfer, etc.</w:t>
      </w:r>
    </w:p>
    <w:p>
      <w:pPr>
        <w:spacing w:after="0" w:line="225" w:lineRule="exact"/>
        <w:rPr>
          <w:sz w:val="20"/>
          <w:szCs w:val="20"/>
          <w:color w:val="auto"/>
        </w:rPr>
      </w:pPr>
    </w:p>
    <w:p>
      <w:pPr>
        <w:ind w:right="20" w:firstLine="656"/>
        <w:spacing w:after="0" w:line="254" w:lineRule="auto"/>
        <w:tabs>
          <w:tab w:leader="none" w:pos="1218" w:val="left"/>
        </w:tabs>
        <w:numPr>
          <w:ilvl w:val="0"/>
          <w:numId w:val="13"/>
        </w:numPr>
        <w:rPr>
          <w:rFonts w:ascii="Arial" w:cs="Arial" w:eastAsia="Arial" w:hAnsi="Arial"/>
          <w:sz w:val="18"/>
          <w:szCs w:val="18"/>
          <w:b w:val="1"/>
          <w:bCs w:val="1"/>
          <w:color w:val="auto"/>
        </w:rPr>
      </w:pPr>
      <w:r>
        <w:rPr>
          <w:rFonts w:ascii="Arial" w:cs="Arial" w:eastAsia="Arial" w:hAnsi="Arial"/>
          <w:sz w:val="18"/>
          <w:szCs w:val="18"/>
          <w:b w:val="1"/>
          <w:bCs w:val="1"/>
          <w:u w:val="single" w:color="auto"/>
          <w:color w:val="auto"/>
        </w:rPr>
        <w:t>Additional Requirements</w:t>
      </w:r>
      <w:r>
        <w:rPr>
          <w:rFonts w:ascii="Arial" w:cs="Arial" w:eastAsia="Arial" w:hAnsi="Arial"/>
          <w:sz w:val="18"/>
          <w:szCs w:val="18"/>
          <w:b w:val="1"/>
          <w:bCs w:val="1"/>
          <w:color w:val="auto"/>
        </w:rPr>
        <w:t xml:space="preserve">. </w:t>
      </w:r>
      <w:r>
        <w:rPr>
          <w:rFonts w:ascii="Arial" w:cs="Arial" w:eastAsia="Arial" w:hAnsi="Arial"/>
          <w:sz w:val="18"/>
          <w:szCs w:val="18"/>
          <w:color w:val="auto"/>
        </w:rPr>
        <w:t>As a condition precedent to the execution and Delivery, the registration of issuance, transfer, split-up,</w:t>
      </w:r>
      <w:r>
        <w:rPr>
          <w:rFonts w:ascii="Arial" w:cs="Arial" w:eastAsia="Arial" w:hAnsi="Arial"/>
          <w:sz w:val="18"/>
          <w:szCs w:val="18"/>
          <w:b w:val="1"/>
          <w:bCs w:val="1"/>
          <w:color w:val="auto"/>
        </w:rPr>
        <w:t xml:space="preserve"> </w:t>
      </w:r>
      <w:r>
        <w:rPr>
          <w:rFonts w:ascii="Arial" w:cs="Arial" w:eastAsia="Arial" w:hAnsi="Arial"/>
          <w:sz w:val="18"/>
          <w:szCs w:val="18"/>
          <w:color w:val="auto"/>
        </w:rPr>
        <w:t xml:space="preserve">combination or surrender, of any ADS, the delivery of any distribution thereon, or the withdrawal of any Deposited Property, the Depositary or the Custodian may require (i) payment from the depositor of Shares or presenter of ADSs or of an ADR of a sum sufficient to reimburse it for any tax or other governmental charge and any stock transfer or registration fee with respect thereto (including any such tax or charge and fee with respect to Shares being deposited or withdrawn) and payment of any applicable fees and charges of the Depositary as provided in Section 5.9 and </w:t>
      </w:r>
      <w:r>
        <w:rPr>
          <w:rFonts w:ascii="Arial" w:cs="Arial" w:eastAsia="Arial" w:hAnsi="Arial"/>
          <w:sz w:val="18"/>
          <w:szCs w:val="18"/>
          <w:u w:val="single" w:color="auto"/>
          <w:color w:val="auto"/>
        </w:rPr>
        <w:t>Exhibit B</w:t>
      </w:r>
      <w:r>
        <w:rPr>
          <w:rFonts w:ascii="Arial" w:cs="Arial" w:eastAsia="Arial" w:hAnsi="Arial"/>
          <w:sz w:val="18"/>
          <w:szCs w:val="18"/>
          <w:color w:val="auto"/>
        </w:rPr>
        <w:t>, (ii) the production of proof satisfactory to it as to the identity and genuineness of any signature or any other matter contemplated by Section 3.1, and (iii) compliance with (A) any laws or governmental regulations relating to the execution and Delivery of ADRs or ADSs or to the withdrawal of Deposited Securities and (B) such reasonable regulations as the Depositary and the Company may establish consistent with the provisions of the representative ADR, if applicable, the Deposit Agreement and applicable law.</w:t>
      </w:r>
    </w:p>
    <w:p>
      <w:pPr>
        <w:spacing w:after="0" w:line="294" w:lineRule="exact"/>
        <w:rPr>
          <w:sz w:val="20"/>
          <w:szCs w:val="20"/>
          <w:color w:val="auto"/>
        </w:rPr>
      </w:pPr>
    </w:p>
    <w:p>
      <w:pPr>
        <w:jc w:val="center"/>
        <w:ind w:right="-19"/>
        <w:spacing w:after="0"/>
        <w:rPr>
          <w:sz w:val="20"/>
          <w:szCs w:val="20"/>
          <w:color w:val="auto"/>
        </w:rPr>
      </w:pPr>
      <w:r>
        <w:rPr>
          <w:rFonts w:ascii="Arial" w:cs="Arial" w:eastAsia="Arial" w:hAnsi="Arial"/>
          <w:sz w:val="22"/>
          <w:szCs w:val="22"/>
          <w:color w:val="auto"/>
        </w:rPr>
        <w:t>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7620</wp:posOffset>
            </wp:positionV>
            <wp:extent cx="7246620" cy="17145"/>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341" w:right="239" w:bottom="1440" w:gutter="0" w:footer="0" w:header="0"/>
        </w:sectPr>
      </w:pPr>
    </w:p>
    <w:bookmarkStart w:id="29" w:name="page30"/>
    <w:bookmarkEnd w:id="29"/>
    <w:p>
      <w:pPr>
        <w:ind w:firstLine="656"/>
        <w:spacing w:after="0" w:line="292" w:lineRule="auto"/>
        <w:tabs>
          <w:tab w:leader="none" w:pos="1228" w:val="left"/>
        </w:tabs>
        <w:numPr>
          <w:ilvl w:val="1"/>
          <w:numId w:val="14"/>
        </w:numPr>
        <w:rPr>
          <w:rFonts w:ascii="Arial" w:cs="Arial" w:eastAsia="Arial" w:hAnsi="Arial"/>
          <w:sz w:val="16"/>
          <w:szCs w:val="16"/>
          <w:b w:val="1"/>
          <w:bCs w:val="1"/>
          <w:color w:val="auto"/>
        </w:rPr>
      </w:pPr>
      <w:r>
        <w:rPr>
          <w:rFonts w:ascii="Arial" w:cs="Arial" w:eastAsia="Arial" w:hAnsi="Arial"/>
          <w:sz w:val="16"/>
          <w:szCs w:val="16"/>
          <w:b w:val="1"/>
          <w:bCs w:val="1"/>
          <w:u w:val="single" w:color="auto"/>
          <w:color w:val="auto"/>
        </w:rPr>
        <w:t>Additional Limitations</w:t>
      </w:r>
      <w:r>
        <w:rPr>
          <w:rFonts w:ascii="Arial" w:cs="Arial" w:eastAsia="Arial" w:hAnsi="Arial"/>
          <w:sz w:val="16"/>
          <w:szCs w:val="16"/>
          <w:b w:val="1"/>
          <w:bCs w:val="1"/>
          <w:color w:val="auto"/>
        </w:rPr>
        <w:t xml:space="preserve">. </w:t>
      </w:r>
      <w:r>
        <w:rPr>
          <w:rFonts w:ascii="Arial" w:cs="Arial" w:eastAsia="Arial" w:hAnsi="Arial"/>
          <w:sz w:val="16"/>
          <w:szCs w:val="16"/>
          <w:color w:val="auto"/>
        </w:rPr>
        <w:t>The issuance of ADSs against deposits of Shares generally or against deposits of particular Shares may be</w:t>
      </w:r>
      <w:r>
        <w:rPr>
          <w:rFonts w:ascii="Arial" w:cs="Arial" w:eastAsia="Arial" w:hAnsi="Arial"/>
          <w:sz w:val="16"/>
          <w:szCs w:val="16"/>
          <w:b w:val="1"/>
          <w:bCs w:val="1"/>
          <w:color w:val="auto"/>
        </w:rPr>
        <w:t xml:space="preserve"> </w:t>
      </w:r>
      <w:r>
        <w:rPr>
          <w:rFonts w:ascii="Arial" w:cs="Arial" w:eastAsia="Arial" w:hAnsi="Arial"/>
          <w:sz w:val="16"/>
          <w:szCs w:val="16"/>
          <w:color w:val="auto"/>
        </w:rPr>
        <w:t>suspended, or the deposit of particular Shares may be refused, or the registration of transfer of ADSs in particular instances may be refused, or the registration of transfers of ADSs generally may be suspended, during any period when the transfer books of the Company, the Depositary, a Registrar or the Share Registrar are closed or if any such action is deemed necessary or advisable by the Depositary or the Company, in good faith, at any time or from time to time because of any requirement of law or regulation, any government or governmental body or commission or any securities exchange on which the ADSs or Shares are listed, or under any provision of the Deposit Agreement or the representative ADR(s), if applicable, or under any provision of, or governing, the Deposited Securities, or because of a meeting of shareholders of the Company or for any other reason, subject, in all cases, to Section 7.8(a).</w:t>
      </w:r>
    </w:p>
    <w:p>
      <w:pPr>
        <w:spacing w:after="0" w:line="161" w:lineRule="exact"/>
        <w:rPr>
          <w:rFonts w:ascii="Arial" w:cs="Arial" w:eastAsia="Arial" w:hAnsi="Arial"/>
          <w:sz w:val="16"/>
          <w:szCs w:val="16"/>
          <w:b w:val="1"/>
          <w:bCs w:val="1"/>
          <w:color w:val="auto"/>
        </w:rPr>
      </w:pPr>
    </w:p>
    <w:p>
      <w:pPr>
        <w:ind w:right="140" w:firstLine="656"/>
        <w:spacing w:after="0" w:line="289" w:lineRule="auto"/>
        <w:tabs>
          <w:tab w:leader="none" w:pos="1208" w:val="left"/>
        </w:tabs>
        <w:numPr>
          <w:ilvl w:val="1"/>
          <w:numId w:val="14"/>
        </w:numPr>
        <w:rPr>
          <w:rFonts w:ascii="Arial" w:cs="Arial" w:eastAsia="Arial" w:hAnsi="Arial"/>
          <w:sz w:val="16"/>
          <w:szCs w:val="16"/>
          <w:b w:val="1"/>
          <w:bCs w:val="1"/>
          <w:color w:val="auto"/>
        </w:rPr>
      </w:pPr>
      <w:r>
        <w:rPr>
          <w:rFonts w:ascii="Arial" w:cs="Arial" w:eastAsia="Arial" w:hAnsi="Arial"/>
          <w:sz w:val="16"/>
          <w:szCs w:val="16"/>
          <w:b w:val="1"/>
          <w:bCs w:val="1"/>
          <w:u w:val="single" w:color="auto"/>
          <w:color w:val="auto"/>
        </w:rPr>
        <w:t>Regulatory Restrictions</w:t>
      </w:r>
      <w:r>
        <w:rPr>
          <w:rFonts w:ascii="Arial" w:cs="Arial" w:eastAsia="Arial" w:hAnsi="Arial"/>
          <w:sz w:val="16"/>
          <w:szCs w:val="16"/>
          <w:b w:val="1"/>
          <w:bCs w:val="1"/>
          <w:color w:val="auto"/>
        </w:rPr>
        <w:t xml:space="preserve">. </w:t>
      </w:r>
      <w:r>
        <w:rPr>
          <w:rFonts w:ascii="Arial" w:cs="Arial" w:eastAsia="Arial" w:hAnsi="Arial"/>
          <w:sz w:val="16"/>
          <w:szCs w:val="16"/>
          <w:color w:val="auto"/>
        </w:rPr>
        <w:t>Notwithstanding any provision of the Deposit Agreement or any ADR(s) to the contrary, Holders are entitled to</w:t>
      </w:r>
      <w:r>
        <w:rPr>
          <w:rFonts w:ascii="Arial" w:cs="Arial" w:eastAsia="Arial" w:hAnsi="Arial"/>
          <w:sz w:val="16"/>
          <w:szCs w:val="16"/>
          <w:b w:val="1"/>
          <w:bCs w:val="1"/>
          <w:color w:val="auto"/>
        </w:rPr>
        <w:t xml:space="preserve"> </w:t>
      </w:r>
      <w:r>
        <w:rPr>
          <w:rFonts w:ascii="Arial" w:cs="Arial" w:eastAsia="Arial" w:hAnsi="Arial"/>
          <w:sz w:val="16"/>
          <w:szCs w:val="16"/>
          <w:color w:val="auto"/>
        </w:rPr>
        <w:t>surrender outstanding ADSs to withdraw the Deposited Securities associated herewith at any time subject only to (i) temporary delays caused by closing the transfer books of the Depositary or the Company or the deposit of Shares in connection with voting at a shareholders’ meeting or the payment of dividends,</w:t>
      </w:r>
    </w:p>
    <w:p>
      <w:pPr>
        <w:spacing w:after="0" w:line="1" w:lineRule="exact"/>
        <w:rPr>
          <w:rFonts w:ascii="Arial" w:cs="Arial" w:eastAsia="Arial" w:hAnsi="Arial"/>
          <w:sz w:val="16"/>
          <w:szCs w:val="16"/>
          <w:b w:val="1"/>
          <w:bCs w:val="1"/>
          <w:color w:val="auto"/>
        </w:rPr>
      </w:pPr>
    </w:p>
    <w:p>
      <w:pPr>
        <w:jc w:val="both"/>
        <w:ind w:right="140" w:firstLine="8"/>
        <w:spacing w:after="0" w:line="255" w:lineRule="auto"/>
        <w:tabs>
          <w:tab w:leader="none" w:pos="265" w:val="left"/>
        </w:tabs>
        <w:numPr>
          <w:ilvl w:val="0"/>
          <w:numId w:val="15"/>
        </w:numPr>
        <w:rPr>
          <w:rFonts w:ascii="Arial" w:cs="Arial" w:eastAsia="Arial" w:hAnsi="Arial"/>
          <w:sz w:val="18"/>
          <w:szCs w:val="18"/>
          <w:color w:val="auto"/>
        </w:rPr>
      </w:pPr>
      <w:r>
        <w:rPr>
          <w:rFonts w:ascii="Arial" w:cs="Arial" w:eastAsia="Arial" w:hAnsi="Arial"/>
          <w:sz w:val="18"/>
          <w:szCs w:val="18"/>
          <w:color w:val="auto"/>
        </w:rPr>
        <w:t>the payment of fees, taxes and similar charges, (iii) compliance with any U.S. or foreign laws or governmental regulations relating to the ADSs or to the withdrawal of the Deposited Securities, and (iv) other circumstances specifically contemplated by Instruction I.A.(l) of the General Instructions to Form F-6 (as such General Instructions may be amended from time to time).</w:t>
      </w:r>
    </w:p>
    <w:p>
      <w:pPr>
        <w:spacing w:after="0" w:line="186" w:lineRule="exact"/>
        <w:rPr>
          <w:sz w:val="20"/>
          <w:szCs w:val="20"/>
          <w:color w:val="auto"/>
        </w:rPr>
      </w:pPr>
    </w:p>
    <w:p>
      <w:pPr>
        <w:ind w:right="80" w:firstLine="648"/>
        <w:spacing w:after="0" w:line="289" w:lineRule="auto"/>
        <w:rPr>
          <w:sz w:val="20"/>
          <w:szCs w:val="20"/>
          <w:color w:val="auto"/>
        </w:rPr>
      </w:pPr>
      <w:r>
        <w:rPr>
          <w:rFonts w:ascii="Arial" w:cs="Arial" w:eastAsia="Arial" w:hAnsi="Arial"/>
          <w:sz w:val="16"/>
          <w:szCs w:val="16"/>
          <w:b w:val="1"/>
          <w:bCs w:val="1"/>
          <w:color w:val="auto"/>
        </w:rPr>
        <w:t xml:space="preserve">Section 2.9 </w:t>
      </w:r>
      <w:r>
        <w:rPr>
          <w:rFonts w:ascii="Arial" w:cs="Arial" w:eastAsia="Arial" w:hAnsi="Arial"/>
          <w:sz w:val="16"/>
          <w:szCs w:val="16"/>
          <w:b w:val="1"/>
          <w:bCs w:val="1"/>
          <w:u w:val="single" w:color="auto"/>
          <w:color w:val="auto"/>
        </w:rPr>
        <w:t>Lost ADRs, etc.</w:t>
      </w:r>
      <w:r>
        <w:rPr>
          <w:rFonts w:ascii="Arial" w:cs="Arial" w:eastAsia="Arial" w:hAnsi="Arial"/>
          <w:sz w:val="16"/>
          <w:szCs w:val="16"/>
          <w:b w:val="1"/>
          <w:bCs w:val="1"/>
          <w:color w:val="auto"/>
        </w:rPr>
        <w:t xml:space="preserve"> </w:t>
      </w:r>
      <w:r>
        <w:rPr>
          <w:rFonts w:ascii="Arial" w:cs="Arial" w:eastAsia="Arial" w:hAnsi="Arial"/>
          <w:sz w:val="16"/>
          <w:szCs w:val="16"/>
          <w:color w:val="auto"/>
        </w:rPr>
        <w:t>In case any ADR shall be mutilated, destroyed, lost, or stolen, the Depositary shall execute and deliver a new</w:t>
      </w:r>
      <w:r>
        <w:rPr>
          <w:rFonts w:ascii="Arial" w:cs="Arial" w:eastAsia="Arial" w:hAnsi="Arial"/>
          <w:sz w:val="16"/>
          <w:szCs w:val="16"/>
          <w:b w:val="1"/>
          <w:bCs w:val="1"/>
          <w:color w:val="auto"/>
        </w:rPr>
        <w:t xml:space="preserve"> </w:t>
      </w:r>
      <w:r>
        <w:rPr>
          <w:rFonts w:ascii="Arial" w:cs="Arial" w:eastAsia="Arial" w:hAnsi="Arial"/>
          <w:sz w:val="16"/>
          <w:szCs w:val="16"/>
          <w:color w:val="auto"/>
        </w:rPr>
        <w:t xml:space="preserve">ADR of like tenor at the expense of the Holder (a) </w:t>
      </w:r>
      <w:r>
        <w:rPr>
          <w:rFonts w:ascii="Arial" w:cs="Arial" w:eastAsia="Arial" w:hAnsi="Arial"/>
          <w:sz w:val="16"/>
          <w:szCs w:val="16"/>
          <w:i w:val="1"/>
          <w:iCs w:val="1"/>
          <w:color w:val="auto"/>
        </w:rPr>
        <w:t>in the case of a mutilated ADR,</w:t>
      </w:r>
      <w:r>
        <w:rPr>
          <w:rFonts w:ascii="Arial" w:cs="Arial" w:eastAsia="Arial" w:hAnsi="Arial"/>
          <w:sz w:val="16"/>
          <w:szCs w:val="16"/>
          <w:color w:val="auto"/>
        </w:rPr>
        <w:t xml:space="preserve"> in exchange of and substitution for such mutilated ADR upon cancellation thereof, or (b) </w:t>
      </w:r>
      <w:r>
        <w:rPr>
          <w:rFonts w:ascii="Arial" w:cs="Arial" w:eastAsia="Arial" w:hAnsi="Arial"/>
          <w:sz w:val="16"/>
          <w:szCs w:val="16"/>
          <w:i w:val="1"/>
          <w:iCs w:val="1"/>
          <w:color w:val="auto"/>
        </w:rPr>
        <w:t>in the case of a destroyed, lost or stolen ADR,</w:t>
      </w:r>
      <w:r>
        <w:rPr>
          <w:rFonts w:ascii="Arial" w:cs="Arial" w:eastAsia="Arial" w:hAnsi="Arial"/>
          <w:sz w:val="16"/>
          <w:szCs w:val="16"/>
          <w:color w:val="auto"/>
        </w:rPr>
        <w:t xml:space="preserve"> in lieu of and in substitution for such destroyed, lost, or stolen ADR, after the Holder thereof</w:t>
      </w:r>
    </w:p>
    <w:p>
      <w:pPr>
        <w:spacing w:after="0" w:line="2" w:lineRule="exact"/>
        <w:rPr>
          <w:sz w:val="20"/>
          <w:szCs w:val="20"/>
          <w:color w:val="auto"/>
        </w:rPr>
      </w:pPr>
    </w:p>
    <w:p>
      <w:pPr>
        <w:jc w:val="both"/>
        <w:ind w:right="40" w:firstLine="8"/>
        <w:spacing w:after="0" w:line="295" w:lineRule="auto"/>
        <w:tabs>
          <w:tab w:leader="none" w:pos="215" w:val="left"/>
        </w:tabs>
        <w:numPr>
          <w:ilvl w:val="0"/>
          <w:numId w:val="16"/>
        </w:numPr>
        <w:rPr>
          <w:rFonts w:ascii="Arial" w:cs="Arial" w:eastAsia="Arial" w:hAnsi="Arial"/>
          <w:sz w:val="16"/>
          <w:szCs w:val="16"/>
          <w:color w:val="auto"/>
        </w:rPr>
      </w:pPr>
      <w:r>
        <w:rPr>
          <w:rFonts w:ascii="Arial" w:cs="Arial" w:eastAsia="Arial" w:hAnsi="Arial"/>
          <w:sz w:val="16"/>
          <w:szCs w:val="16"/>
          <w:color w:val="auto"/>
        </w:rPr>
        <w:t>has submitted to the Depositary a written request for such exchange and substitution before the Depositary has notice that the ADR has been acquired by a bona fide purchaser, (ii) has provided such security or indemnity (including an indemnity bond) as may be required by the Depositary to save it and any of its agents harmless, and (iii) has satisfied any other reasonable requirements imposed by the Depositary, including, without limitation, evidence satisfactory to the Depositary of such destruction, loss or theft of such ADR, the authenticity thereof and the Holder’s ownership thereof.</w:t>
      </w:r>
    </w:p>
    <w:p>
      <w:pPr>
        <w:spacing w:after="0" w:line="158" w:lineRule="exact"/>
        <w:rPr>
          <w:sz w:val="20"/>
          <w:szCs w:val="20"/>
          <w:color w:val="auto"/>
        </w:rPr>
      </w:pPr>
    </w:p>
    <w:p>
      <w:pPr>
        <w:ind w:right="60" w:firstLine="648"/>
        <w:spacing w:after="0" w:line="298" w:lineRule="auto"/>
        <w:rPr>
          <w:sz w:val="20"/>
          <w:szCs w:val="20"/>
          <w:color w:val="auto"/>
        </w:rPr>
      </w:pPr>
      <w:r>
        <w:rPr>
          <w:rFonts w:ascii="Arial" w:cs="Arial" w:eastAsia="Arial" w:hAnsi="Arial"/>
          <w:sz w:val="16"/>
          <w:szCs w:val="16"/>
          <w:b w:val="1"/>
          <w:bCs w:val="1"/>
          <w:color w:val="auto"/>
        </w:rPr>
        <w:t xml:space="preserve">Section 2.10 </w:t>
      </w:r>
      <w:r>
        <w:rPr>
          <w:rFonts w:ascii="Arial" w:cs="Arial" w:eastAsia="Arial" w:hAnsi="Arial"/>
          <w:sz w:val="16"/>
          <w:szCs w:val="16"/>
          <w:b w:val="1"/>
          <w:bCs w:val="1"/>
          <w:u w:val="single" w:color="auto"/>
          <w:color w:val="auto"/>
        </w:rPr>
        <w:t>Cancellation and Destruction of Surrendered ADRs; Maintenance of Records.</w:t>
      </w:r>
      <w:r>
        <w:rPr>
          <w:rFonts w:ascii="Arial" w:cs="Arial" w:eastAsia="Arial" w:hAnsi="Arial"/>
          <w:sz w:val="16"/>
          <w:szCs w:val="16"/>
          <w:b w:val="1"/>
          <w:bCs w:val="1"/>
          <w:color w:val="auto"/>
        </w:rPr>
        <w:t xml:space="preserve"> </w:t>
      </w:r>
      <w:r>
        <w:rPr>
          <w:rFonts w:ascii="Arial" w:cs="Arial" w:eastAsia="Arial" w:hAnsi="Arial"/>
          <w:sz w:val="16"/>
          <w:szCs w:val="16"/>
          <w:color w:val="auto"/>
        </w:rPr>
        <w:t>All ADRs surrendered to the Depositary shall</w:t>
      </w:r>
      <w:r>
        <w:rPr>
          <w:rFonts w:ascii="Arial" w:cs="Arial" w:eastAsia="Arial" w:hAnsi="Arial"/>
          <w:sz w:val="16"/>
          <w:szCs w:val="16"/>
          <w:b w:val="1"/>
          <w:bCs w:val="1"/>
          <w:color w:val="auto"/>
        </w:rPr>
        <w:t xml:space="preserve"> </w:t>
      </w:r>
      <w:r>
        <w:rPr>
          <w:rFonts w:ascii="Arial" w:cs="Arial" w:eastAsia="Arial" w:hAnsi="Arial"/>
          <w:sz w:val="16"/>
          <w:szCs w:val="16"/>
          <w:color w:val="auto"/>
        </w:rPr>
        <w:t>be canceled by the Depositary. Canceled ADRs shall not be entitled to any benefits under the Deposit Agreement or be valid or enforceable against the Depositary for any purpose. The Depositary is authorized to destroy ADRs so canceled, provided the Depositary maintains a record of all destroyed ADRs. Any ADSs held in book-entry form (</w:t>
      </w:r>
      <w:r>
        <w:rPr>
          <w:rFonts w:ascii="Arial" w:cs="Arial" w:eastAsia="Arial" w:hAnsi="Arial"/>
          <w:sz w:val="16"/>
          <w:szCs w:val="16"/>
          <w:i w:val="1"/>
          <w:iCs w:val="1"/>
          <w:color w:val="auto"/>
        </w:rPr>
        <w:t>e.g.</w:t>
      </w:r>
      <w:r>
        <w:rPr>
          <w:rFonts w:ascii="Arial" w:cs="Arial" w:eastAsia="Arial" w:hAnsi="Arial"/>
          <w:sz w:val="16"/>
          <w:szCs w:val="16"/>
          <w:color w:val="auto"/>
        </w:rPr>
        <w:t>, through accounts at DTC) shall be deemed canceled when the Depositary causes the number of ADSs evidenced by the Balance Certificate to be reduced by the number of ADSs surrendered (without the need to physically destroy the Balance Certificate).</w:t>
      </w:r>
    </w:p>
    <w:p>
      <w:pPr>
        <w:spacing w:after="0" w:line="259" w:lineRule="exact"/>
        <w:rPr>
          <w:sz w:val="20"/>
          <w:szCs w:val="20"/>
          <w:color w:val="auto"/>
        </w:rPr>
      </w:pPr>
    </w:p>
    <w:p>
      <w:pPr>
        <w:jc w:val="center"/>
        <w:ind w:right="-39"/>
        <w:spacing w:after="0"/>
        <w:rPr>
          <w:sz w:val="20"/>
          <w:szCs w:val="20"/>
          <w:color w:val="auto"/>
        </w:rPr>
      </w:pPr>
      <w:r>
        <w:rPr>
          <w:rFonts w:ascii="Arial" w:cs="Arial" w:eastAsia="Arial" w:hAnsi="Arial"/>
          <w:sz w:val="22"/>
          <w:szCs w:val="22"/>
          <w:color w:val="auto"/>
        </w:rPr>
        <w:t>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7620</wp:posOffset>
            </wp:positionV>
            <wp:extent cx="7246620" cy="17145"/>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00"/>
          </w:cols>
          <w:pgMar w:left="240" w:top="337" w:right="259" w:bottom="1440" w:gutter="0" w:footer="0" w:header="0"/>
        </w:sectPr>
      </w:pPr>
    </w:p>
    <w:bookmarkStart w:id="30" w:name="page31"/>
    <w:bookmarkEnd w:id="30"/>
    <w:p>
      <w:pPr>
        <w:ind w:right="100" w:firstLine="648"/>
        <w:spacing w:after="0" w:line="261" w:lineRule="auto"/>
        <w:rPr>
          <w:sz w:val="20"/>
          <w:szCs w:val="20"/>
          <w:color w:val="auto"/>
        </w:rPr>
      </w:pPr>
      <w:r>
        <w:rPr>
          <w:rFonts w:ascii="Arial" w:cs="Arial" w:eastAsia="Arial" w:hAnsi="Arial"/>
          <w:sz w:val="18"/>
          <w:szCs w:val="18"/>
          <w:b w:val="1"/>
          <w:bCs w:val="1"/>
          <w:color w:val="auto"/>
        </w:rPr>
        <w:t xml:space="preserve">Section 2.11 </w:t>
      </w:r>
      <w:r>
        <w:rPr>
          <w:rFonts w:ascii="Arial" w:cs="Arial" w:eastAsia="Arial" w:hAnsi="Arial"/>
          <w:sz w:val="18"/>
          <w:szCs w:val="18"/>
          <w:b w:val="1"/>
          <w:bCs w:val="1"/>
          <w:u w:val="single" w:color="auto"/>
          <w:color w:val="auto"/>
        </w:rPr>
        <w:t>Escheatment.</w:t>
      </w:r>
      <w:r>
        <w:rPr>
          <w:rFonts w:ascii="Arial" w:cs="Arial" w:eastAsia="Arial" w:hAnsi="Arial"/>
          <w:sz w:val="18"/>
          <w:szCs w:val="18"/>
          <w:b w:val="1"/>
          <w:bCs w:val="1"/>
          <w:color w:val="auto"/>
        </w:rPr>
        <w:t xml:space="preserve"> </w:t>
      </w:r>
      <w:r>
        <w:rPr>
          <w:rFonts w:ascii="Arial" w:cs="Arial" w:eastAsia="Arial" w:hAnsi="Arial"/>
          <w:sz w:val="18"/>
          <w:szCs w:val="18"/>
          <w:color w:val="auto"/>
        </w:rPr>
        <w:t>In the event any unclaimed property relating to the ADSs, for any reason, is in the possession of Depositary and has</w:t>
      </w:r>
      <w:r>
        <w:rPr>
          <w:rFonts w:ascii="Arial" w:cs="Arial" w:eastAsia="Arial" w:hAnsi="Arial"/>
          <w:sz w:val="18"/>
          <w:szCs w:val="18"/>
          <w:b w:val="1"/>
          <w:bCs w:val="1"/>
          <w:color w:val="auto"/>
        </w:rPr>
        <w:t xml:space="preserve"> </w:t>
      </w:r>
      <w:r>
        <w:rPr>
          <w:rFonts w:ascii="Arial" w:cs="Arial" w:eastAsia="Arial" w:hAnsi="Arial"/>
          <w:sz w:val="18"/>
          <w:szCs w:val="18"/>
          <w:color w:val="auto"/>
        </w:rPr>
        <w:t>not been claimed by the Holder thereof or cannot be delivered to the Holder thereof through usual channels, the Depositary shall, upon expiration of any applicable statutory period relating to abandoned property laws, escheat such unclaimed property to the relevant authorities in accordance with the laws of each of the relevant States of the United States.</w:t>
      </w:r>
    </w:p>
    <w:p>
      <w:pPr>
        <w:spacing w:after="0" w:line="180" w:lineRule="exact"/>
        <w:rPr>
          <w:sz w:val="20"/>
          <w:szCs w:val="20"/>
          <w:color w:val="auto"/>
        </w:rPr>
      </w:pPr>
    </w:p>
    <w:p>
      <w:pPr>
        <w:ind w:firstLine="648"/>
        <w:spacing w:after="0" w:line="268" w:lineRule="auto"/>
        <w:rPr>
          <w:sz w:val="20"/>
          <w:szCs w:val="20"/>
          <w:color w:val="auto"/>
        </w:rPr>
      </w:pPr>
      <w:r>
        <w:rPr>
          <w:rFonts w:ascii="Arial" w:cs="Arial" w:eastAsia="Arial" w:hAnsi="Arial"/>
          <w:sz w:val="17"/>
          <w:szCs w:val="17"/>
          <w:b w:val="1"/>
          <w:bCs w:val="1"/>
          <w:color w:val="auto"/>
        </w:rPr>
        <w:t xml:space="preserve">Section 2.12 </w:t>
      </w:r>
      <w:r>
        <w:rPr>
          <w:rFonts w:ascii="Arial" w:cs="Arial" w:eastAsia="Arial" w:hAnsi="Arial"/>
          <w:sz w:val="17"/>
          <w:szCs w:val="17"/>
          <w:b w:val="1"/>
          <w:bCs w:val="1"/>
          <w:u w:val="single" w:color="auto"/>
          <w:color w:val="auto"/>
        </w:rPr>
        <w:t>Partial Entitlement ADSs.</w:t>
      </w:r>
      <w:r>
        <w:rPr>
          <w:rFonts w:ascii="Arial" w:cs="Arial" w:eastAsia="Arial" w:hAnsi="Arial"/>
          <w:sz w:val="17"/>
          <w:szCs w:val="17"/>
          <w:b w:val="1"/>
          <w:bCs w:val="1"/>
          <w:color w:val="auto"/>
        </w:rPr>
        <w:t xml:space="preserve"> </w:t>
      </w:r>
      <w:r>
        <w:rPr>
          <w:rFonts w:ascii="Arial" w:cs="Arial" w:eastAsia="Arial" w:hAnsi="Arial"/>
          <w:sz w:val="17"/>
          <w:szCs w:val="17"/>
          <w:color w:val="auto"/>
        </w:rPr>
        <w:t>In the event any Shares are deposited which (i) entitle the holders thereof to receive a per-share</w:t>
      </w:r>
      <w:r>
        <w:rPr>
          <w:rFonts w:ascii="Arial" w:cs="Arial" w:eastAsia="Arial" w:hAnsi="Arial"/>
          <w:sz w:val="17"/>
          <w:szCs w:val="17"/>
          <w:b w:val="1"/>
          <w:bCs w:val="1"/>
          <w:color w:val="auto"/>
        </w:rPr>
        <w:t xml:space="preserve"> </w:t>
      </w:r>
      <w:r>
        <w:rPr>
          <w:rFonts w:ascii="Arial" w:cs="Arial" w:eastAsia="Arial" w:hAnsi="Arial"/>
          <w:sz w:val="17"/>
          <w:szCs w:val="17"/>
          <w:color w:val="auto"/>
        </w:rPr>
        <w:t>distribution or other entitlement in an amount different from the Shares then on deposit or (ii) are not fully fungible (including, without limitation, as to settlement or trading) with the Shares then on deposit (the Shares then on deposit collectively, “Full Entitlement Shares” and the Shares with different entitlement, “Partial Entitlement Shares”), the Depositary shall (i) cause the Custodian to hold Partial Entitlement Shares separate and distinct from Full Entitlement Shares, and (ii) subject to the terms of the Deposit Agreement, issue ADSs representing Partial Entitlement Shares which are separate and distinct from the ADSs representing Full Entitlement Shares, by means of separate CUSIP numbering and legending (if necessary) and, if applicable, by issuing ADRs evidencing such ADSs with applicable notations thereon (“Partial Entitlement ADSs/ADRs” and “Full Entitlement ADSs/ADRs”, respectively). If and when Partial Entitlement Shares become Full Entitlement Shares, the Depositary shall (a) give notice thereof to Holders of Partial Entitlement ADSs and give Holders of Partial Entitlement ADRs the opportunity to exchange such Partial Entitlement ADRs for Full Entitlement ADRs, (b) cause the Custodian to transfer the Partial Entitlement Shares into the account of the Full Entitlement Shares, and (c) take such actions as are necessary to remove the distinctions between (i) the Partial Entitlement ADRs and ADSs, on the one hand, and (ii) the Full Entitlement ADRs and ADSs on the other. Holders and Beneficial Owners of Partial Entitlement ADSs shall only be entitled to the entitlements of Partial Entitlement Shares. Holders and Beneficial Owners of Full Entitlement ADSs shall be entitled only to the entitlements of Full Entitlement Shares. All provisions and conditions of the Deposit Agreement shall apply to Partial Entitlement ADRs and ADSs to the same extent as Full Entitlement ADRs and ADSs, except as contemplated by this Section 2.12. The Depositary is authorized to take any and all other actions as may be necessary (including, without limitation, making the necessary notations on ADRs) to give effect to the terms of this Section 2.12. The Company agrees to give timely written notice to the Depositary if any Shares issued or to be issued are Partial Entitlement Shares and shall assist the Depositary with the establishment of procedures enabling the identification of Partial Entitlement Shares upon Delivery to the Custodian.</w:t>
      </w:r>
    </w:p>
    <w:p>
      <w:pPr>
        <w:spacing w:after="0" w:line="177" w:lineRule="exact"/>
        <w:rPr>
          <w:sz w:val="20"/>
          <w:szCs w:val="20"/>
          <w:color w:val="auto"/>
        </w:rPr>
      </w:pPr>
    </w:p>
    <w:p>
      <w:pPr>
        <w:ind w:firstLine="648"/>
        <w:spacing w:after="0" w:line="268" w:lineRule="auto"/>
        <w:rPr>
          <w:sz w:val="20"/>
          <w:szCs w:val="20"/>
          <w:color w:val="auto"/>
        </w:rPr>
      </w:pPr>
      <w:r>
        <w:rPr>
          <w:rFonts w:ascii="Arial" w:cs="Arial" w:eastAsia="Arial" w:hAnsi="Arial"/>
          <w:sz w:val="17"/>
          <w:szCs w:val="17"/>
          <w:b w:val="1"/>
          <w:bCs w:val="1"/>
          <w:color w:val="auto"/>
        </w:rPr>
        <w:t xml:space="preserve">Section 2.13 </w:t>
      </w:r>
      <w:r>
        <w:rPr>
          <w:rFonts w:ascii="Arial" w:cs="Arial" w:eastAsia="Arial" w:hAnsi="Arial"/>
          <w:sz w:val="17"/>
          <w:szCs w:val="17"/>
          <w:b w:val="1"/>
          <w:bCs w:val="1"/>
          <w:u w:val="single" w:color="auto"/>
          <w:color w:val="auto"/>
        </w:rPr>
        <w:t>Certificated/Uncertificated ADSs.</w:t>
      </w:r>
      <w:r>
        <w:rPr>
          <w:rFonts w:ascii="Arial" w:cs="Arial" w:eastAsia="Arial" w:hAnsi="Arial"/>
          <w:sz w:val="17"/>
          <w:szCs w:val="17"/>
          <w:b w:val="1"/>
          <w:bCs w:val="1"/>
          <w:color w:val="auto"/>
        </w:rPr>
        <w:t xml:space="preserve"> </w:t>
      </w:r>
      <w:r>
        <w:rPr>
          <w:rFonts w:ascii="Arial" w:cs="Arial" w:eastAsia="Arial" w:hAnsi="Arial"/>
          <w:sz w:val="17"/>
          <w:szCs w:val="17"/>
          <w:color w:val="auto"/>
        </w:rPr>
        <w:t>Subject to Section 1.4 but notwithstanding any other provision of the Deposit Agreement, the</w:t>
      </w:r>
      <w:r>
        <w:rPr>
          <w:rFonts w:ascii="Arial" w:cs="Arial" w:eastAsia="Arial" w:hAnsi="Arial"/>
          <w:sz w:val="17"/>
          <w:szCs w:val="17"/>
          <w:b w:val="1"/>
          <w:bCs w:val="1"/>
          <w:color w:val="auto"/>
        </w:rPr>
        <w:t xml:space="preserve"> </w:t>
      </w:r>
      <w:r>
        <w:rPr>
          <w:rFonts w:ascii="Arial" w:cs="Arial" w:eastAsia="Arial" w:hAnsi="Arial"/>
          <w:sz w:val="17"/>
          <w:szCs w:val="17"/>
          <w:color w:val="auto"/>
        </w:rPr>
        <w:t>Depositary may, at any time and from time to time, issue ADSs that are not evidenced by ADRs issued to the Holders thereof (such ADSs, the “Uncertificated ADS(s)” and the ADS(s) evidenced by ADR(s) issued to the Holders thereof, the “Certificated ADS(s)”). When issuing and maintaining Uncertificated ADS(s) under the Deposit Agreement, the Depositary shall at all times be subject to (i) the standards applicable to registrars and transfer agents maintaining direct registration systems for equity securities in New York and issuing uncertificated securities under New York law, and (ii) the terms of New York law applicable to uncertificated equity securities. Uncertificated ADSs shall be evidenced by registration in the books of the Depositary maintained for such purpose. Holders of Uncertificated ADSs, that are not subject to any registered pledges, liens, restrictions or adverse claims of which the Depositary has notice at such time, shall at all times have the right to exchange the Uncertificated ADS(s) for Certificated ADS(s) of the same type and class, subject in each case to (x) applicable laws and any rules and regulations the Depositary may have established in respect of the Uncertificated ADSs, and (y) the continued availability of Certificated ADSs in the U.S. Holders of Certificated ADSs shall, if the Depositary maintains a direct registration system for the ADSs, have the right to exchange the Certificated ADSs for Uncertificated ADSs upon (i) the due surrender of the Certificated ADS(s) to the Depositary for such purpose and (ii) the presentation of a written request to that effect to the Depositary, subject in each case to (a) all liens and restrictions noted on the ADR evidencing the Certificated ADS(s) and all adverse claims of which the Depositary then has notice, (b) the terms of the Deposit Agreement and the rules and regulations that the Depositary may establish for such purposes hereunder, (c) applicable law, and (d) payment of the Depositary fees and expenses applicable to such exchange of Certificated ADS(s) for Uncertificated ADS(s).</w:t>
      </w:r>
    </w:p>
    <w:p>
      <w:pPr>
        <w:spacing w:after="0" w:line="288" w:lineRule="exact"/>
        <w:rPr>
          <w:sz w:val="20"/>
          <w:szCs w:val="20"/>
          <w:color w:val="auto"/>
        </w:rPr>
      </w:pPr>
    </w:p>
    <w:p>
      <w:pPr>
        <w:jc w:val="center"/>
        <w:ind w:right="-19"/>
        <w:spacing w:after="0"/>
        <w:rPr>
          <w:sz w:val="20"/>
          <w:szCs w:val="20"/>
          <w:color w:val="auto"/>
        </w:rPr>
      </w:pPr>
      <w:r>
        <w:rPr>
          <w:rFonts w:ascii="Arial" w:cs="Arial" w:eastAsia="Arial" w:hAnsi="Arial"/>
          <w:sz w:val="22"/>
          <w:szCs w:val="22"/>
          <w:color w:val="auto"/>
        </w:rPr>
        <w:t>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7620</wp:posOffset>
            </wp:positionV>
            <wp:extent cx="7246620" cy="17145"/>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49">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00"/>
          </w:cols>
          <w:pgMar w:left="240" w:top="337" w:right="259" w:bottom="1440" w:gutter="0" w:footer="0" w:header="0"/>
        </w:sectPr>
      </w:pPr>
    </w:p>
    <w:bookmarkStart w:id="31" w:name="page32"/>
    <w:bookmarkEnd w:id="31"/>
    <w:p>
      <w:pPr>
        <w:spacing w:after="0" w:line="284" w:lineRule="auto"/>
        <w:rPr>
          <w:sz w:val="20"/>
          <w:szCs w:val="20"/>
          <w:color w:val="auto"/>
        </w:rPr>
      </w:pPr>
      <w:r>
        <w:rPr>
          <w:rFonts w:ascii="Arial" w:cs="Arial" w:eastAsia="Arial" w:hAnsi="Arial"/>
          <w:sz w:val="16"/>
          <w:szCs w:val="16"/>
          <w:color w:val="auto"/>
        </w:rPr>
        <w:t>Uncertificated ADSs shall in all material respects be identical to Certificated ADS(s) of the same type and class, except that (i) no ADR(s) shall be, or shall need to be, issued to evidence Uncertificated ADS(s), (ii) Uncertificated ADS(s) shall, subject to the terms of the Deposit Agreement, be transferable upon the same terms and conditions as uncertificated securities under New York law, (iii) the ownership of Uncertificated ADS(s) shall be recorded on the books of the Depositary maintained for such purpose and evidence of such ownership shall be reflected in periodic statements provided by the Depositary to the Holder(s) in accordance with applicable New York law, (iv) the Depositary may from time to time, upon notice to the Holders of Uncertificated ADSs affected thereby, establish rules and regulations, and amend or supplement existing rules and regulations, as may be deemed reasonably necessary to maintain Uncertificated ADS(s) on behalf of Holders, provided that (a) such rules and regulations do not conflict with the terms of the Deposit Agreement and applicable law, and</w:t>
      </w:r>
    </w:p>
    <w:p>
      <w:pPr>
        <w:spacing w:after="0" w:line="3" w:lineRule="exact"/>
        <w:rPr>
          <w:sz w:val="20"/>
          <w:szCs w:val="20"/>
          <w:color w:val="auto"/>
        </w:rPr>
      </w:pPr>
    </w:p>
    <w:p>
      <w:pPr>
        <w:ind w:right="80" w:firstLine="8"/>
        <w:spacing w:after="0" w:line="284" w:lineRule="auto"/>
        <w:tabs>
          <w:tab w:leader="none" w:pos="255" w:val="left"/>
        </w:tabs>
        <w:numPr>
          <w:ilvl w:val="0"/>
          <w:numId w:val="17"/>
        </w:numPr>
        <w:rPr>
          <w:rFonts w:ascii="Arial" w:cs="Arial" w:eastAsia="Arial" w:hAnsi="Arial"/>
          <w:sz w:val="16"/>
          <w:szCs w:val="16"/>
          <w:color w:val="auto"/>
        </w:rPr>
      </w:pPr>
      <w:r>
        <w:rPr>
          <w:rFonts w:ascii="Arial" w:cs="Arial" w:eastAsia="Arial" w:hAnsi="Arial"/>
          <w:sz w:val="16"/>
          <w:szCs w:val="16"/>
          <w:color w:val="auto"/>
        </w:rPr>
        <w:t>the terms of such rules and regulations are readily available to Holders upon request, (v) the Uncertificated ADS(s) shall not be entitled to any benefits under the Deposit Agreement or be valid or enforceable for any purpose against the Depositary or the Company unless such Uncertificated ADS(s) is/are registered on the books of the Depositary maintained for such purpose, (vi) the Depositary may, in connection with any deposit of Shares resulting in the issuance of Uncertificated ADSs and with any transfer, pledge, release and cancellation of Uncertificated ADSs, require the prior receipt of such documentation as the Depositary may deem reasonably appropriate, and (vii) upon termination of the Deposit Agreement, the Depositary shall not require Holders of Uncertificated ADSs to affirmatively instruct the Depositary before remitting proceeds from the sale of the Deposited Property represented by such Holders' Uncertificated ADSs under the terms of Section 6.2. When issuing ADSs under the terms of the Deposit Agreement, including, without limitation, issuances pursuant to Sections 2.5, 4.2, 4.3, 4.4, 4.5 and 4.11, the Depositary may in its discretion determine to issue Uncertificated ADSs rather than Certificated ADSs, unless otherwise specifically instructed by the applicable Holder to issue Certificated ADSs. All provisions and conditions of the Deposit Agreement shall apply to Uncertificated ADSs to the same extent as to Certificated ADSs, except as contemplated by this Section 2.13. The Depositary is authorized and directed to take any and all actions and establish any and all procedures deemed reasonably necessary to give effect to the terms of this Section 2.13. Any references in the Deposit Agreement or any ADR(s) to the terms “American Depositary Share(s)” or “ADS(s)” shall, unless the context otherwise requires, include Certificated ADS(s) and Uncertificated ADS(s). Except as set forth in this Section 2.13 and except as required by applicable law, the Uncertificated ADSs shall be treated as ADSs issued and outstanding under the terms of the Deposit Agreement. In the event that, in determining the rights and obligations of parties hereto with respect to any Uncertificated ADSs, any conflict arises between (a) the terms of the Deposit Agreement (other than this Section 2.13) and (b) the terms of this Section 2.13, the terms and conditions set forth in this Section 2.13 shall be controlling and shall govern the rights and obligations of the parties to the Deposit Agreement pertaining to the Uncertificated ADSs.</w:t>
      </w:r>
    </w:p>
    <w:p>
      <w:pPr>
        <w:spacing w:after="0" w:line="275"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7620</wp:posOffset>
            </wp:positionV>
            <wp:extent cx="7246620" cy="17145"/>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0">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341" w:right="239" w:bottom="1440" w:gutter="0" w:footer="0" w:header="0"/>
        </w:sectPr>
      </w:pPr>
    </w:p>
    <w:bookmarkStart w:id="32" w:name="page33"/>
    <w:bookmarkEnd w:id="32"/>
    <w:p>
      <w:pPr>
        <w:ind w:firstLine="648"/>
        <w:spacing w:after="0" w:line="284" w:lineRule="auto"/>
        <w:rPr>
          <w:sz w:val="20"/>
          <w:szCs w:val="20"/>
          <w:color w:val="auto"/>
        </w:rPr>
      </w:pPr>
      <w:r>
        <w:rPr>
          <w:rFonts w:ascii="Arial" w:cs="Arial" w:eastAsia="Arial" w:hAnsi="Arial"/>
          <w:sz w:val="16"/>
          <w:szCs w:val="16"/>
          <w:b w:val="1"/>
          <w:bCs w:val="1"/>
          <w:color w:val="auto"/>
        </w:rPr>
        <w:t xml:space="preserve">Section 2.14 </w:t>
      </w:r>
      <w:r>
        <w:rPr>
          <w:rFonts w:ascii="Arial" w:cs="Arial" w:eastAsia="Arial" w:hAnsi="Arial"/>
          <w:sz w:val="16"/>
          <w:szCs w:val="16"/>
          <w:b w:val="1"/>
          <w:bCs w:val="1"/>
          <w:u w:val="single" w:color="auto"/>
          <w:color w:val="auto"/>
        </w:rPr>
        <w:t>Restricted ADSs.</w:t>
      </w:r>
      <w:r>
        <w:rPr>
          <w:rFonts w:ascii="Arial" w:cs="Arial" w:eastAsia="Arial" w:hAnsi="Arial"/>
          <w:sz w:val="16"/>
          <w:szCs w:val="16"/>
          <w:b w:val="1"/>
          <w:bCs w:val="1"/>
          <w:color w:val="auto"/>
        </w:rPr>
        <w:t xml:space="preserve"> </w:t>
      </w:r>
      <w:r>
        <w:rPr>
          <w:rFonts w:ascii="Arial" w:cs="Arial" w:eastAsia="Arial" w:hAnsi="Arial"/>
          <w:sz w:val="16"/>
          <w:szCs w:val="16"/>
          <w:color w:val="auto"/>
        </w:rPr>
        <w:t>The Depositary shall, at the request and expense of the Company, establish procedures enabling the deposit</w:t>
      </w:r>
      <w:r>
        <w:rPr>
          <w:rFonts w:ascii="Arial" w:cs="Arial" w:eastAsia="Arial" w:hAnsi="Arial"/>
          <w:sz w:val="16"/>
          <w:szCs w:val="16"/>
          <w:b w:val="1"/>
          <w:bCs w:val="1"/>
          <w:color w:val="auto"/>
        </w:rPr>
        <w:t xml:space="preserve"> </w:t>
      </w:r>
      <w:r>
        <w:rPr>
          <w:rFonts w:ascii="Arial" w:cs="Arial" w:eastAsia="Arial" w:hAnsi="Arial"/>
          <w:sz w:val="16"/>
          <w:szCs w:val="16"/>
          <w:color w:val="auto"/>
        </w:rPr>
        <w:t xml:space="preserve">hereunder of Shares that are Restricted Securities in order to enable the holder of such Shares to hold its ownership interests in such Restricted Securities in the form of ADSs issued under the terms hereof (such Shares, “Restricted Shares”). Upon receipt of a written request from the Company to accept Restricted Shares for deposit hereunder, the Depositary agrees to establish procedures permitting the deposit of such Restricted Shares and the issuance of ADSs representing the right to receive, subject to the terms of the Deposit Agreement and the applicable ADR (if issued as a Certificated ADS), such deposited Restricted Shares (such ADSs, the “Restricted ADSs,” and the ADRs evidencing such Restricted ADSs, the “Restricted ADRs”). Subject to Section 1.4 but notwithstanding anything contained in this Section 2.14, the Depositary and the Company may, to the extent not prohibited by law, agree to issue the Restricted ADSs in uncertificated form (“Uncertificated Restricted ADSs”) upon such terms and conditions as the Company and the Depositary may deem necessary and appropriate. The Company shall assist the Depositary in the establishment of such procedures and agrees that it shall take all steps necessary and satisfactory to the Depositary to ensure that the establishment of such procedures does not violate the provisions of the Securities Act or any other applicable laws. The depositors of such Restricted Shares and the Holders of the Restricted ADSs may be required prior to the deposit of such Restricted Shares, the transfer of the Restricted ADRs and Restricted ADSs or the withdrawal of the Restricted Shares represented by Restricted ADSs to provide such written certifications or agreements as the Depositary or the Company may require. The Company shall provide to the Depositary in writing the legend(s) to be affixed to the Restricted ADRs (if the Restricted ADSs are to be issued as Certificated ADSs), or to be included in the statements issued from time to time to Holders of Uncertificated ADSs (if issued as Uncertificated Restricted ADSs), which legends shall (i) be in a form reasonably satisfactory to the Depositary and (ii) contain the specific circumstances under which the Restricted ADSs, and, if applicable, the Restricted ADRs evidencing the Restricted ADSs, may be transferred or the Restricted Shares withdrawn. The Restricted ADSs issued upon the deposit of Restricted Shares shall be separately identified on the books of the Depositary and the Restricted Shares so deposited shall, to the extent required by law, be held separate and distinct from the other Deposited Securities held hereunder. The Restricted ADSs shall not be eligible for inclusion in any book-entry settlement system, including, without limitation, DTC, and shall not in any way be fungible with the ADSs issued under the terms hereof that are not Restricted ADSs. The Restricted ADSs, and, if applicable, the Restricted ADRs evidencing the Restricted ADSs, shall be transferable only by the Holder thereof upon delivery to the Depositary of (i) all documentation otherwise contemplated by the Deposit Agreement and (ii) an opinion of counsel satisfactory to the Depositary setting forth, </w:t>
      </w:r>
      <w:r>
        <w:rPr>
          <w:rFonts w:ascii="Arial" w:cs="Arial" w:eastAsia="Arial" w:hAnsi="Arial"/>
          <w:sz w:val="16"/>
          <w:szCs w:val="16"/>
          <w:i w:val="1"/>
          <w:iCs w:val="1"/>
          <w:color w:val="auto"/>
        </w:rPr>
        <w:t>inter alia</w:t>
      </w:r>
      <w:r>
        <w:rPr>
          <w:rFonts w:ascii="Arial" w:cs="Arial" w:eastAsia="Arial" w:hAnsi="Arial"/>
          <w:sz w:val="16"/>
          <w:szCs w:val="16"/>
          <w:color w:val="auto"/>
        </w:rPr>
        <w:t>, the conditions upon which the Restricted ADSs presented, and, if applicable, the Restricted ADRs evidencing the Restricted ADSs, are transferable by the Holder thereof under applicable securities laws and the transfer restrictions contained in the legend applicable to the Restricted ADSs presented for transfer. Except as set forth in this Section 2.14 and except as required by applicable law, the Restricted ADSs and the Restricted ADRs evidencing Restricted ADSs shall be treated as ADSs and ADRs issued and outstanding under the terms of the Deposit Agreement. In the event that, in determining the rights and obligations of parties hereto with respect to any Restricted ADSs, any conflict arises between (a) the terms of the Deposit Agreement (other than this Section 2.14) and (b) the terms of (i) this Section 2.14 or (ii) the applicable Restricted ADR, the terms and conditions set forth in this Section 2.14 and of the Restricted ADR shall be controlling and shall govern the rights and obligations of the parties to the Deposit Agreement pertaining to the deposited Restricted Shares, the Restricted ADSs and Restricted ADRs.</w:t>
      </w:r>
    </w:p>
    <w:p>
      <w:pPr>
        <w:spacing w:after="0" w:line="200" w:lineRule="exact"/>
        <w:rPr>
          <w:sz w:val="20"/>
          <w:szCs w:val="20"/>
          <w:color w:val="auto"/>
        </w:rPr>
      </w:pPr>
    </w:p>
    <w:p>
      <w:pPr>
        <w:spacing w:after="0" w:line="290" w:lineRule="exact"/>
        <w:rPr>
          <w:sz w:val="20"/>
          <w:szCs w:val="20"/>
          <w:color w:val="auto"/>
        </w:rPr>
      </w:pPr>
    </w:p>
    <w:p>
      <w:pPr>
        <w:jc w:val="center"/>
        <w:ind w:right="-19"/>
        <w:spacing w:after="0"/>
        <w:rPr>
          <w:sz w:val="20"/>
          <w:szCs w:val="20"/>
          <w:color w:val="auto"/>
        </w:rPr>
      </w:pPr>
      <w:r>
        <w:rPr>
          <w:rFonts w:ascii="Arial" w:cs="Arial" w:eastAsia="Arial" w:hAnsi="Arial"/>
          <w:sz w:val="22"/>
          <w:szCs w:val="22"/>
          <w:color w:val="auto"/>
        </w:rPr>
        <w:t>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7620</wp:posOffset>
            </wp:positionV>
            <wp:extent cx="7246620" cy="17145"/>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1">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00"/>
          </w:cols>
          <w:pgMar w:left="240" w:top="337" w:right="259" w:bottom="1440" w:gutter="0" w:footer="0" w:header="0"/>
        </w:sectPr>
      </w:pPr>
    </w:p>
    <w:bookmarkStart w:id="33" w:name="page34"/>
    <w:bookmarkEnd w:id="33"/>
    <w:p>
      <w:pPr>
        <w:ind w:right="80" w:firstLine="648"/>
        <w:spacing w:after="0" w:line="270" w:lineRule="auto"/>
        <w:rPr>
          <w:sz w:val="20"/>
          <w:szCs w:val="20"/>
          <w:color w:val="auto"/>
        </w:rPr>
      </w:pPr>
      <w:r>
        <w:rPr>
          <w:rFonts w:ascii="Arial" w:cs="Arial" w:eastAsia="Arial" w:hAnsi="Arial"/>
          <w:sz w:val="17"/>
          <w:szCs w:val="17"/>
          <w:color w:val="auto"/>
        </w:rPr>
        <w:t xml:space="preserve">If the Restricted ADRs, the Restricted ADSs and the Restricted Shares cease to be Restricted Securities, the Depositary, upon receipt of (x) an opinion of counsel satisfactory to the Depositary setting forth, </w:t>
      </w:r>
      <w:r>
        <w:rPr>
          <w:rFonts w:ascii="Arial" w:cs="Arial" w:eastAsia="Arial" w:hAnsi="Arial"/>
          <w:sz w:val="17"/>
          <w:szCs w:val="17"/>
          <w:i w:val="1"/>
          <w:iCs w:val="1"/>
          <w:color w:val="auto"/>
        </w:rPr>
        <w:t>inter alia</w:t>
      </w:r>
      <w:r>
        <w:rPr>
          <w:rFonts w:ascii="Arial" w:cs="Arial" w:eastAsia="Arial" w:hAnsi="Arial"/>
          <w:sz w:val="17"/>
          <w:szCs w:val="17"/>
          <w:color w:val="auto"/>
        </w:rPr>
        <w:t>, that the Restricted ADRs, the Restricted ADSs and the Restricted Shares are not as of such time Restricted Securities, and (y) instructions from the Company to remove the restrictions applicable to the Restricted ADRs, the Restricted ADSs and the Restricted Shares, shall (i) eliminate the distinctions and separations that may have been established between the applicable Restricted Shares held on deposit under this Section 2.14 and the other Shares held on deposit under the terms of the Deposit Agreement that are not Restricted Shares, (ii) treat the newly unrestricted ADRs and ADSs on the same terms as, and fully fungible with, the other ADRs and ADSs issued and outstanding under the terms of the Deposit Agreement that are not Restricted ADRs or Restricted ADSs, and (iii) take all actions necessary to remove any distinctions, limitations and restrictions previously existing under this Section 2.14 between the applicable Restricted ADRs and Restricted ADSs, respectively, on the one hand, and the other ADRs and ADSs that are not Restricted ADRs or Restricted ADSs, respectively, on the other hand, including, without limitation, by making the newly-unrestricted ADSs eligible for inclusion in the applicable book-entry settlement systems.</w:t>
      </w:r>
    </w:p>
    <w:p>
      <w:pPr>
        <w:spacing w:after="0" w:line="174"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ARTICLE III</w:t>
      </w:r>
    </w:p>
    <w:p>
      <w:pPr>
        <w:spacing w:after="0" w:line="225"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CERTAIN OBLIGATIONS OF HOLDERS</w:t>
      </w:r>
    </w:p>
    <w:p>
      <w:pPr>
        <w:spacing w:after="0" w:line="27"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AND BENEFICIAL OWNERS OF ADSs</w:t>
      </w:r>
    </w:p>
    <w:p>
      <w:pPr>
        <w:spacing w:after="0" w:line="207" w:lineRule="exact"/>
        <w:rPr>
          <w:sz w:val="20"/>
          <w:szCs w:val="20"/>
          <w:color w:val="auto"/>
        </w:rPr>
      </w:pPr>
    </w:p>
    <w:p>
      <w:pPr>
        <w:ind w:firstLine="648"/>
        <w:spacing w:after="0" w:line="285" w:lineRule="auto"/>
        <w:rPr>
          <w:sz w:val="20"/>
          <w:szCs w:val="20"/>
          <w:color w:val="auto"/>
        </w:rPr>
      </w:pPr>
      <w:r>
        <w:rPr>
          <w:rFonts w:ascii="Arial" w:cs="Arial" w:eastAsia="Arial" w:hAnsi="Arial"/>
          <w:sz w:val="16"/>
          <w:szCs w:val="16"/>
          <w:b w:val="1"/>
          <w:bCs w:val="1"/>
          <w:color w:val="auto"/>
        </w:rPr>
        <w:t xml:space="preserve">Section 3.1 </w:t>
      </w:r>
      <w:r>
        <w:rPr>
          <w:rFonts w:ascii="Arial" w:cs="Arial" w:eastAsia="Arial" w:hAnsi="Arial"/>
          <w:sz w:val="16"/>
          <w:szCs w:val="16"/>
          <w:b w:val="1"/>
          <w:bCs w:val="1"/>
          <w:u w:val="single" w:color="auto"/>
          <w:color w:val="auto"/>
        </w:rPr>
        <w:t>Proofs, Certificates and Other Information.</w:t>
      </w:r>
      <w:r>
        <w:rPr>
          <w:rFonts w:ascii="Arial" w:cs="Arial" w:eastAsia="Arial" w:hAnsi="Arial"/>
          <w:sz w:val="16"/>
          <w:szCs w:val="16"/>
          <w:b w:val="1"/>
          <w:bCs w:val="1"/>
          <w:color w:val="auto"/>
        </w:rPr>
        <w:t xml:space="preserve"> </w:t>
      </w:r>
      <w:r>
        <w:rPr>
          <w:rFonts w:ascii="Arial" w:cs="Arial" w:eastAsia="Arial" w:hAnsi="Arial"/>
          <w:sz w:val="16"/>
          <w:szCs w:val="16"/>
          <w:color w:val="auto"/>
        </w:rPr>
        <w:t>Any person presenting Shares for deposit, any Holder and any Beneficial Owner</w:t>
      </w:r>
      <w:r>
        <w:rPr>
          <w:rFonts w:ascii="Arial" w:cs="Arial" w:eastAsia="Arial" w:hAnsi="Arial"/>
          <w:sz w:val="16"/>
          <w:szCs w:val="16"/>
          <w:b w:val="1"/>
          <w:bCs w:val="1"/>
          <w:color w:val="auto"/>
        </w:rPr>
        <w:t xml:space="preserve"> </w:t>
      </w:r>
      <w:r>
        <w:rPr>
          <w:rFonts w:ascii="Arial" w:cs="Arial" w:eastAsia="Arial" w:hAnsi="Arial"/>
          <w:sz w:val="16"/>
          <w:szCs w:val="16"/>
          <w:color w:val="auto"/>
        </w:rPr>
        <w:t>may be required, and every Holder and Beneficial Owner agrees, from time to time to provide to the Depositary and the Custodian such proof of citizenship or residence, taxpayer status, payment of all applicable taxes or other governmental charges, exchange control approval, legal or beneficial ownership of ADSs and Deposited Property, compliance with applicable laws, the terms of the Deposit Agreement or the ADR(s) evidencing the ADSs and the provisions of, or governing, the Deposited Property, to execute such certifications and to make such representations and warranties, and to provide such other information and documentation (or, in the case of Shares in registered form presented for deposit, such information relating to the registration on the books of the Company or of the Share Registrar) as the Depositary or the Custodian may deem necessary or proper or as the Company may reasonably require by written request to the Depositary consistent with its obligations under the Deposit Agreement and the applicable ADR(s). The Depositary and the Registrar, as applicable, may withhold the execution or delivery or registration of transfer of any ADR or ADS or the distribution or sale of any dividend or distribution of rights or of the proceeds thereof or, to the extent not limited by the terms of Section 7.8(a), the delivery of any Deposited Property until such proof or other information is filed or such certifications are executed, or such representations and warranties are made, or such other documentation or information provided, in each case to the Depositary’s, the Registrar’s and the Company’s satisfaction. The Depositary shall provide the Company, in a timely manner, with copies or originals if necessary and appropriate of (i) any such proofs of citizenship or residence, taxpayer status, or exchange control approval or copies of written representations and warranties which it receives from Holders and Beneficial Owners, and (ii) any other information or documents which the Company may reasonably request and which the Depositary shall request and receive from any Holder or Beneficial Owner or any person presenting Shares for deposit or ADSs for cancellation, transfer or withdrawal. Nothing herein shall obligate the Depositary to (i) obtain any information for the Company if not provided by the Holders or Beneficial Owners, or (ii) verify or vouch for the accuracy of the information so provided by the Holders or Beneficial Owners.</w:t>
      </w:r>
    </w:p>
    <w:p>
      <w:pPr>
        <w:spacing w:after="0" w:line="280" w:lineRule="exact"/>
        <w:rPr>
          <w:sz w:val="20"/>
          <w:szCs w:val="20"/>
          <w:color w:val="auto"/>
        </w:rPr>
      </w:pPr>
    </w:p>
    <w:p>
      <w:pPr>
        <w:jc w:val="center"/>
        <w:ind w:right="-19"/>
        <w:spacing w:after="0"/>
        <w:rPr>
          <w:sz w:val="20"/>
          <w:szCs w:val="20"/>
          <w:color w:val="auto"/>
        </w:rPr>
      </w:pPr>
      <w:r>
        <w:rPr>
          <w:rFonts w:ascii="Arial" w:cs="Arial" w:eastAsia="Arial" w:hAnsi="Arial"/>
          <w:sz w:val="22"/>
          <w:szCs w:val="22"/>
          <w:color w:val="auto"/>
        </w:rPr>
        <w:t>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7620</wp:posOffset>
            </wp:positionV>
            <wp:extent cx="7246620" cy="17145"/>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2">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341" w:right="239" w:bottom="1440" w:gutter="0" w:footer="0" w:header="0"/>
        </w:sectPr>
      </w:pPr>
    </w:p>
    <w:bookmarkStart w:id="34" w:name="page35"/>
    <w:bookmarkEnd w:id="34"/>
    <w:p>
      <w:pPr>
        <w:ind w:firstLine="648"/>
        <w:spacing w:after="0" w:line="269" w:lineRule="auto"/>
        <w:rPr>
          <w:sz w:val="20"/>
          <w:szCs w:val="20"/>
          <w:color w:val="auto"/>
        </w:rPr>
      </w:pPr>
      <w:r>
        <w:rPr>
          <w:rFonts w:ascii="Arial" w:cs="Arial" w:eastAsia="Arial" w:hAnsi="Arial"/>
          <w:sz w:val="17"/>
          <w:szCs w:val="17"/>
          <w:b w:val="1"/>
          <w:bCs w:val="1"/>
          <w:color w:val="auto"/>
        </w:rPr>
        <w:t xml:space="preserve">Section 3.2 </w:t>
      </w:r>
      <w:r>
        <w:rPr>
          <w:rFonts w:ascii="Arial" w:cs="Arial" w:eastAsia="Arial" w:hAnsi="Arial"/>
          <w:sz w:val="17"/>
          <w:szCs w:val="17"/>
          <w:b w:val="1"/>
          <w:bCs w:val="1"/>
          <w:u w:val="single" w:color="auto"/>
          <w:color w:val="auto"/>
        </w:rPr>
        <w:t>Liability for Taxes and Other Charges.</w:t>
      </w:r>
      <w:r>
        <w:rPr>
          <w:rFonts w:ascii="Arial" w:cs="Arial" w:eastAsia="Arial" w:hAnsi="Arial"/>
          <w:sz w:val="17"/>
          <w:szCs w:val="17"/>
          <w:b w:val="1"/>
          <w:bCs w:val="1"/>
          <w:color w:val="auto"/>
        </w:rPr>
        <w:t xml:space="preserve"> </w:t>
      </w:r>
      <w:r>
        <w:rPr>
          <w:rFonts w:ascii="Arial" w:cs="Arial" w:eastAsia="Arial" w:hAnsi="Arial"/>
          <w:sz w:val="17"/>
          <w:szCs w:val="17"/>
          <w:color w:val="auto"/>
        </w:rPr>
        <w:t>Any tax or other governmental charge payable by the Custodian or by the Depositary</w:t>
      </w:r>
      <w:r>
        <w:rPr>
          <w:rFonts w:ascii="Arial" w:cs="Arial" w:eastAsia="Arial" w:hAnsi="Arial"/>
          <w:sz w:val="17"/>
          <w:szCs w:val="17"/>
          <w:b w:val="1"/>
          <w:bCs w:val="1"/>
          <w:color w:val="auto"/>
        </w:rPr>
        <w:t xml:space="preserve"> </w:t>
      </w:r>
      <w:r>
        <w:rPr>
          <w:rFonts w:ascii="Arial" w:cs="Arial" w:eastAsia="Arial" w:hAnsi="Arial"/>
          <w:sz w:val="17"/>
          <w:szCs w:val="17"/>
          <w:color w:val="auto"/>
        </w:rPr>
        <w:t>with respect to any Deposited Property, ADSs or ADRs shall be payable by the Holders and Beneficial Owners to the Depositary. The Company, the Custodian and/or the Depositary may withhold or deduct from any distributions made in respect of Deposited Property held on behalf of such Holder and/or Beneficial Owner, and may sell for the account of a Holder and/or Beneficial Owner any or all of such Deposited Property and apply such distributions and sale proceeds in payment of, any taxes (including applicable interest and penalties) or charges that are or may be payable by Holders or Beneficial Owners in respect of the ADSs, Deposited Property and ADRs, the Holder and the Beneficial Owner remaining liable for any deficiency. The Custodian may refuse the deposit of Shares and the Depositary may refuse to issue ADSs, to deliver ADRs, register the transfer of ADSs, register the split-up or combination of ADRs and (subject to Section 7.8(a)) the withdrawal of Deposited Property until payment in full of such tax, charge, penalty or interest is received. Every Holder and Beneficial Owner agrees to indemnify the Depositary, the Company, the Custodian, and any of their agents, officers, employees and Affiliates for, and to hold each of them harmless from, any claims with respect to taxes (including applicable interest and penalties thereon) arising from any tax benefit obtained for such Holder and/or Beneficial Owner. Notwithstanding anything to the contrary contained in the Deposit Agreement or any ADR, the obligations of Holders and Beneficial Owners under this Section 3.2 shall survive any transfer of ADSs, any cancellation of ADSs and withdrawal of Deposited Securities, and the termination of the Deposit Agreement.</w:t>
      </w:r>
    </w:p>
    <w:p>
      <w:pPr>
        <w:spacing w:after="0" w:line="177" w:lineRule="exact"/>
        <w:rPr>
          <w:sz w:val="20"/>
          <w:szCs w:val="20"/>
          <w:color w:val="auto"/>
        </w:rPr>
      </w:pPr>
    </w:p>
    <w:p>
      <w:pPr>
        <w:ind w:right="40" w:firstLine="648"/>
        <w:spacing w:after="0" w:line="270" w:lineRule="auto"/>
        <w:rPr>
          <w:sz w:val="20"/>
          <w:szCs w:val="20"/>
          <w:color w:val="auto"/>
        </w:rPr>
      </w:pPr>
      <w:r>
        <w:rPr>
          <w:rFonts w:ascii="Arial" w:cs="Arial" w:eastAsia="Arial" w:hAnsi="Arial"/>
          <w:sz w:val="17"/>
          <w:szCs w:val="17"/>
          <w:b w:val="1"/>
          <w:bCs w:val="1"/>
          <w:color w:val="auto"/>
        </w:rPr>
        <w:t xml:space="preserve">Section 3.3 </w:t>
      </w:r>
      <w:r>
        <w:rPr>
          <w:rFonts w:ascii="Arial" w:cs="Arial" w:eastAsia="Arial" w:hAnsi="Arial"/>
          <w:sz w:val="17"/>
          <w:szCs w:val="17"/>
          <w:b w:val="1"/>
          <w:bCs w:val="1"/>
          <w:u w:val="single" w:color="auto"/>
          <w:color w:val="auto"/>
        </w:rPr>
        <w:t>Representations and Warranties on Deposit of Shares.</w:t>
      </w:r>
      <w:r>
        <w:rPr>
          <w:rFonts w:ascii="Arial" w:cs="Arial" w:eastAsia="Arial" w:hAnsi="Arial"/>
          <w:sz w:val="17"/>
          <w:szCs w:val="17"/>
          <w:b w:val="1"/>
          <w:bCs w:val="1"/>
          <w:color w:val="auto"/>
        </w:rPr>
        <w:t xml:space="preserve"> </w:t>
      </w:r>
      <w:r>
        <w:rPr>
          <w:rFonts w:ascii="Arial" w:cs="Arial" w:eastAsia="Arial" w:hAnsi="Arial"/>
          <w:sz w:val="17"/>
          <w:szCs w:val="17"/>
          <w:color w:val="auto"/>
        </w:rPr>
        <w:t>Each person depositing Shares under the Deposit Agreement shall be</w:t>
      </w:r>
      <w:r>
        <w:rPr>
          <w:rFonts w:ascii="Arial" w:cs="Arial" w:eastAsia="Arial" w:hAnsi="Arial"/>
          <w:sz w:val="17"/>
          <w:szCs w:val="17"/>
          <w:b w:val="1"/>
          <w:bCs w:val="1"/>
          <w:color w:val="auto"/>
        </w:rPr>
        <w:t xml:space="preserve"> </w:t>
      </w:r>
      <w:r>
        <w:rPr>
          <w:rFonts w:ascii="Arial" w:cs="Arial" w:eastAsia="Arial" w:hAnsi="Arial"/>
          <w:sz w:val="17"/>
          <w:szCs w:val="17"/>
          <w:color w:val="auto"/>
        </w:rPr>
        <w:t>deemed thereby to represent and warrant that (i) such Shares and the certificates therefor are duly authorized, validly allotted and issued, fully paid, not subject to any call for the payment of further capital and legally obtained by such person, (ii) all preemptive (and similar) rights, if any, with respect to such Shares have been validly waived, disapplied or exercised, (iii) the person making such deposit is duly authorized so to do, (iv) the Shares presented for deposit are free and clear of any lien, encumbrance, security interest, charge, mortgage or adverse claim, (v) the Shares presented for deposit are not, and the ADSs issuable upon such deposit will not be, Restricted Securities (except as contemplated in Section 2.14), and (vi) the Shares presented for deposit have not been stripped of any rights or entitlements. Such representations and warranties shall survive the deposit and withdrawal of Shares, the issuance and cancellation of ADSs in respect thereof and the transfer of such ADSs. If any such representations or warranties are false in any way, the Company and the Depositary shall be authorized, at the cost and expense of the person depositing Shares, to take any and all actions necessary to correct the consequences thereof.</w:t>
      </w:r>
    </w:p>
    <w:p>
      <w:pPr>
        <w:spacing w:after="0" w:line="283" w:lineRule="exact"/>
        <w:rPr>
          <w:sz w:val="20"/>
          <w:szCs w:val="20"/>
          <w:color w:val="auto"/>
        </w:rPr>
      </w:pPr>
    </w:p>
    <w:p>
      <w:pPr>
        <w:jc w:val="center"/>
        <w:ind w:right="-99"/>
        <w:spacing w:after="0"/>
        <w:rPr>
          <w:sz w:val="20"/>
          <w:szCs w:val="20"/>
          <w:color w:val="auto"/>
        </w:rPr>
      </w:pPr>
      <w:r>
        <w:rPr>
          <w:rFonts w:ascii="Arial" w:cs="Arial" w:eastAsia="Arial" w:hAnsi="Arial"/>
          <w:sz w:val="22"/>
          <w:szCs w:val="22"/>
          <w:color w:val="auto"/>
        </w:rPr>
        <w:t>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7620</wp:posOffset>
            </wp:positionV>
            <wp:extent cx="7246620" cy="17145"/>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53">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320"/>
          </w:cols>
          <w:pgMar w:left="240" w:top="337" w:right="339" w:bottom="1440" w:gutter="0" w:footer="0" w:header="0"/>
        </w:sectPr>
      </w:pPr>
    </w:p>
    <w:bookmarkStart w:id="35" w:name="page36"/>
    <w:bookmarkEnd w:id="35"/>
    <w:p>
      <w:pPr>
        <w:ind w:right="20" w:firstLine="648"/>
        <w:spacing w:after="0" w:line="255" w:lineRule="auto"/>
        <w:rPr>
          <w:sz w:val="20"/>
          <w:szCs w:val="20"/>
          <w:color w:val="auto"/>
        </w:rPr>
      </w:pPr>
      <w:r>
        <w:rPr>
          <w:rFonts w:ascii="Arial" w:cs="Arial" w:eastAsia="Arial" w:hAnsi="Arial"/>
          <w:sz w:val="18"/>
          <w:szCs w:val="18"/>
          <w:b w:val="1"/>
          <w:bCs w:val="1"/>
          <w:color w:val="auto"/>
        </w:rPr>
        <w:t xml:space="preserve">Section 3.4 </w:t>
      </w:r>
      <w:r>
        <w:rPr>
          <w:rFonts w:ascii="Arial" w:cs="Arial" w:eastAsia="Arial" w:hAnsi="Arial"/>
          <w:sz w:val="18"/>
          <w:szCs w:val="18"/>
          <w:b w:val="1"/>
          <w:bCs w:val="1"/>
          <w:u w:val="single" w:color="auto"/>
          <w:color w:val="auto"/>
        </w:rPr>
        <w:t>Compliance with Information Requests.</w:t>
      </w:r>
      <w:r>
        <w:rPr>
          <w:rFonts w:ascii="Arial" w:cs="Arial" w:eastAsia="Arial" w:hAnsi="Arial"/>
          <w:sz w:val="18"/>
          <w:szCs w:val="18"/>
          <w:b w:val="1"/>
          <w:bCs w:val="1"/>
          <w:color w:val="auto"/>
        </w:rPr>
        <w:t xml:space="preserve"> </w:t>
      </w:r>
      <w:r>
        <w:rPr>
          <w:rFonts w:ascii="Arial" w:cs="Arial" w:eastAsia="Arial" w:hAnsi="Arial"/>
          <w:sz w:val="18"/>
          <w:szCs w:val="18"/>
          <w:color w:val="auto"/>
        </w:rPr>
        <w:t>Notwithstanding any other provision of the Deposit Agreement or any ADR(s), each</w:t>
      </w:r>
      <w:r>
        <w:rPr>
          <w:rFonts w:ascii="Arial" w:cs="Arial" w:eastAsia="Arial" w:hAnsi="Arial"/>
          <w:sz w:val="18"/>
          <w:szCs w:val="18"/>
          <w:b w:val="1"/>
          <w:bCs w:val="1"/>
          <w:color w:val="auto"/>
        </w:rPr>
        <w:t xml:space="preserve"> </w:t>
      </w:r>
      <w:r>
        <w:rPr>
          <w:rFonts w:ascii="Arial" w:cs="Arial" w:eastAsia="Arial" w:hAnsi="Arial"/>
          <w:sz w:val="18"/>
          <w:szCs w:val="18"/>
          <w:color w:val="auto"/>
        </w:rPr>
        <w:t xml:space="preserve">Holder and Beneficial Owner agrees to comply with requests from the Company pursuant to applicable law, the rules and requirements of The NASDAQ Global Market and any other stock exchange on which the Shares or ADSs are, or will be, registered, traded or listed or the Articles of Association of the Company, which are made to provide information, </w:t>
      </w:r>
      <w:r>
        <w:rPr>
          <w:rFonts w:ascii="Arial" w:cs="Arial" w:eastAsia="Arial" w:hAnsi="Arial"/>
          <w:sz w:val="18"/>
          <w:szCs w:val="18"/>
          <w:i w:val="1"/>
          <w:iCs w:val="1"/>
          <w:color w:val="auto"/>
        </w:rPr>
        <w:t>inter alia</w:t>
      </w:r>
      <w:r>
        <w:rPr>
          <w:rFonts w:ascii="Arial" w:cs="Arial" w:eastAsia="Arial" w:hAnsi="Arial"/>
          <w:sz w:val="18"/>
          <w:szCs w:val="18"/>
          <w:color w:val="auto"/>
        </w:rPr>
        <w:t>, as to the capacity in which such Holder or Beneficial Owner owns ADSs (and Shares as the case may be) and regarding the identity of any other person(s) interested in such ADSs and the nature of such interest and various other matters, whether or not they are Holders and/or Beneficial Owners at the time of such request. The Depositary agrees to use its reasonable efforts to forward, upon the request of the Company and at the Company’s expense, any such request from the Company to the Holders and to forward to the Company any such responses to such requests received by the Depositary.</w:t>
      </w:r>
    </w:p>
    <w:p>
      <w:pPr>
        <w:spacing w:after="0" w:line="185" w:lineRule="exact"/>
        <w:rPr>
          <w:sz w:val="20"/>
          <w:szCs w:val="20"/>
          <w:color w:val="auto"/>
        </w:rPr>
      </w:pPr>
    </w:p>
    <w:p>
      <w:pPr>
        <w:ind w:firstLine="648"/>
        <w:spacing w:after="0" w:line="270" w:lineRule="auto"/>
        <w:rPr>
          <w:sz w:val="20"/>
          <w:szCs w:val="20"/>
          <w:color w:val="auto"/>
        </w:rPr>
      </w:pPr>
      <w:r>
        <w:rPr>
          <w:rFonts w:ascii="Arial" w:cs="Arial" w:eastAsia="Arial" w:hAnsi="Arial"/>
          <w:sz w:val="17"/>
          <w:szCs w:val="17"/>
          <w:b w:val="1"/>
          <w:bCs w:val="1"/>
          <w:color w:val="auto"/>
        </w:rPr>
        <w:t xml:space="preserve">Section 3.5 </w:t>
      </w:r>
      <w:r>
        <w:rPr>
          <w:rFonts w:ascii="Arial" w:cs="Arial" w:eastAsia="Arial" w:hAnsi="Arial"/>
          <w:sz w:val="17"/>
          <w:szCs w:val="17"/>
          <w:b w:val="1"/>
          <w:bCs w:val="1"/>
          <w:u w:val="single" w:color="auto"/>
          <w:color w:val="auto"/>
        </w:rPr>
        <w:t>Ownership Restrictions.</w:t>
      </w:r>
      <w:r>
        <w:rPr>
          <w:rFonts w:ascii="Arial" w:cs="Arial" w:eastAsia="Arial" w:hAnsi="Arial"/>
          <w:sz w:val="17"/>
          <w:szCs w:val="17"/>
          <w:b w:val="1"/>
          <w:bCs w:val="1"/>
          <w:color w:val="auto"/>
        </w:rPr>
        <w:t xml:space="preserve"> </w:t>
      </w:r>
      <w:r>
        <w:rPr>
          <w:rFonts w:ascii="Arial" w:cs="Arial" w:eastAsia="Arial" w:hAnsi="Arial"/>
          <w:sz w:val="17"/>
          <w:szCs w:val="17"/>
          <w:color w:val="auto"/>
        </w:rPr>
        <w:t>Notwithstanding any other provision contained in the Deposit Agreement or any ADR(s) to the contrary,</w:t>
      </w:r>
      <w:r>
        <w:rPr>
          <w:rFonts w:ascii="Arial" w:cs="Arial" w:eastAsia="Arial" w:hAnsi="Arial"/>
          <w:sz w:val="17"/>
          <w:szCs w:val="17"/>
          <w:b w:val="1"/>
          <w:bCs w:val="1"/>
          <w:color w:val="auto"/>
        </w:rPr>
        <w:t xml:space="preserve"> </w:t>
      </w:r>
      <w:r>
        <w:rPr>
          <w:rFonts w:ascii="Arial" w:cs="Arial" w:eastAsia="Arial" w:hAnsi="Arial"/>
          <w:sz w:val="17"/>
          <w:szCs w:val="17"/>
          <w:color w:val="auto"/>
        </w:rPr>
        <w:t>the Company may restrict transfers of the Shares where such transfer might result in ownership of Shares exceeding limits imposed by applicable law or the Articles of Association of the Company. The Company may also restrict, in such manner as it deems appropriate, transfers of the ADSs where such transfer may result in the total number of Shares represented by the ADSs owned by a single Holder or Beneficial Owner to exceed any such limits. The Company may, in its sole discretion but subject to applicable law, instruct the Depositary to take action with respect to the ownership interest of any Holder or Beneficial Owner in excess of the limits set forth in the preceding sentence, including, but not limited to, the imposition of restrictions on the transfer of ADSs, the removal or limitation of voting rights or mandatory sale or disposition on behalf of a Holder or Beneficial Owner of the Shares represented by the ADSs held by such Holder or Beneficial Owner in excess of such limitations, if and to the extent such disposition is permitted by applicable law and the Articles of Association of the Company. Nothing herein shall be interpreted as obligating the Depositary or the Company to ensure compliance with the ownership restrictions described in this Section 3.5.</w:t>
      </w:r>
    </w:p>
    <w:p>
      <w:pPr>
        <w:spacing w:after="0" w:line="178" w:lineRule="exact"/>
        <w:rPr>
          <w:sz w:val="20"/>
          <w:szCs w:val="20"/>
          <w:color w:val="auto"/>
        </w:rPr>
      </w:pPr>
    </w:p>
    <w:p>
      <w:pPr>
        <w:ind w:firstLine="648"/>
        <w:spacing w:after="0" w:line="273" w:lineRule="auto"/>
        <w:rPr>
          <w:sz w:val="20"/>
          <w:szCs w:val="20"/>
          <w:color w:val="auto"/>
        </w:rPr>
      </w:pPr>
      <w:r>
        <w:rPr>
          <w:rFonts w:ascii="Arial" w:cs="Arial" w:eastAsia="Arial" w:hAnsi="Arial"/>
          <w:sz w:val="17"/>
          <w:szCs w:val="17"/>
          <w:b w:val="1"/>
          <w:bCs w:val="1"/>
          <w:color w:val="auto"/>
        </w:rPr>
        <w:t xml:space="preserve">Section 3.6 </w:t>
      </w:r>
      <w:r>
        <w:rPr>
          <w:rFonts w:ascii="Arial" w:cs="Arial" w:eastAsia="Arial" w:hAnsi="Arial"/>
          <w:sz w:val="17"/>
          <w:szCs w:val="17"/>
          <w:b w:val="1"/>
          <w:bCs w:val="1"/>
          <w:u w:val="single" w:color="auto"/>
          <w:color w:val="auto"/>
        </w:rPr>
        <w:t>Reporting Obligations and Regulatory Approvals.</w:t>
      </w:r>
      <w:r>
        <w:rPr>
          <w:rFonts w:ascii="Arial" w:cs="Arial" w:eastAsia="Arial" w:hAnsi="Arial"/>
          <w:sz w:val="17"/>
          <w:szCs w:val="17"/>
          <w:b w:val="1"/>
          <w:bCs w:val="1"/>
          <w:color w:val="auto"/>
        </w:rPr>
        <w:t xml:space="preserve"> </w:t>
      </w:r>
      <w:r>
        <w:rPr>
          <w:rFonts w:ascii="Arial" w:cs="Arial" w:eastAsia="Arial" w:hAnsi="Arial"/>
          <w:sz w:val="17"/>
          <w:szCs w:val="17"/>
          <w:color w:val="auto"/>
        </w:rPr>
        <w:t>Applicable laws and regulations may require holders and beneficial owners</w:t>
      </w:r>
      <w:r>
        <w:rPr>
          <w:rFonts w:ascii="Arial" w:cs="Arial" w:eastAsia="Arial" w:hAnsi="Arial"/>
          <w:sz w:val="17"/>
          <w:szCs w:val="17"/>
          <w:b w:val="1"/>
          <w:bCs w:val="1"/>
          <w:color w:val="auto"/>
        </w:rPr>
        <w:t xml:space="preserve"> </w:t>
      </w:r>
      <w:r>
        <w:rPr>
          <w:rFonts w:ascii="Arial" w:cs="Arial" w:eastAsia="Arial" w:hAnsi="Arial"/>
          <w:sz w:val="17"/>
          <w:szCs w:val="17"/>
          <w:color w:val="auto"/>
        </w:rPr>
        <w:t>of Shares, including the Holders and Beneficial Owners of ADSs, to satisfy reporting requirements and obtain regulatory approvals in certain circumstances. Holders and Beneficial Owners of ADSs are solely responsible for determining and complying with such reporting requirements and obtaining such approvals. Each Holder and each Beneficial Owner hereby agrees to make such determination, file such reports, and obtain such approvals to the extent and in the form required by applicable laws and regulations as in effect from time to time. Neither the Depositary, the Custodian, the Company or any of their respective agents or affiliates shall be required to take any actions whatsoever on behalf of Holders or Beneficial Owners to determine or satisfy such reporting requirements or obtain such regulatory approvals under applicable laws and regulations.</w:t>
      </w:r>
    </w:p>
    <w:p>
      <w:pPr>
        <w:spacing w:after="0" w:line="277"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7620</wp:posOffset>
            </wp:positionV>
            <wp:extent cx="7246620" cy="17145"/>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54">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337" w:right="239" w:bottom="1440" w:gutter="0" w:footer="0" w:header="0"/>
        </w:sectPr>
      </w:pPr>
    </w:p>
    <w:bookmarkStart w:id="36" w:name="page37"/>
    <w:bookmarkEnd w:id="36"/>
    <w:p>
      <w:pPr>
        <w:jc w:val="center"/>
        <w:ind w:right="-19"/>
        <w:spacing w:after="0"/>
        <w:rPr>
          <w:sz w:val="20"/>
          <w:szCs w:val="20"/>
          <w:color w:val="auto"/>
        </w:rPr>
      </w:pPr>
      <w:r>
        <w:rPr>
          <w:rFonts w:ascii="Arial" w:cs="Arial" w:eastAsia="Arial" w:hAnsi="Arial"/>
          <w:sz w:val="18"/>
          <w:szCs w:val="18"/>
          <w:b w:val="1"/>
          <w:bCs w:val="1"/>
          <w:color w:val="auto"/>
        </w:rPr>
        <w:t>ARTICLE IV</w:t>
      </w:r>
    </w:p>
    <w:p>
      <w:pPr>
        <w:spacing w:after="0" w:line="225"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THE DEPOSITED SECURITIES</w:t>
      </w:r>
    </w:p>
    <w:p>
      <w:pPr>
        <w:spacing w:after="0" w:line="225" w:lineRule="exact"/>
        <w:rPr>
          <w:sz w:val="20"/>
          <w:szCs w:val="20"/>
          <w:color w:val="auto"/>
        </w:rPr>
      </w:pPr>
    </w:p>
    <w:p>
      <w:pPr>
        <w:ind w:firstLine="648"/>
        <w:spacing w:after="0" w:line="284" w:lineRule="auto"/>
        <w:rPr>
          <w:sz w:val="20"/>
          <w:szCs w:val="20"/>
          <w:color w:val="auto"/>
        </w:rPr>
      </w:pPr>
      <w:r>
        <w:rPr>
          <w:rFonts w:ascii="Arial" w:cs="Arial" w:eastAsia="Arial" w:hAnsi="Arial"/>
          <w:sz w:val="16"/>
          <w:szCs w:val="16"/>
          <w:b w:val="1"/>
          <w:bCs w:val="1"/>
          <w:color w:val="auto"/>
        </w:rPr>
        <w:t xml:space="preserve">Section 4.1 </w:t>
      </w:r>
      <w:r>
        <w:rPr>
          <w:rFonts w:ascii="Arial" w:cs="Arial" w:eastAsia="Arial" w:hAnsi="Arial"/>
          <w:sz w:val="16"/>
          <w:szCs w:val="16"/>
          <w:b w:val="1"/>
          <w:bCs w:val="1"/>
          <w:u w:val="single" w:color="auto"/>
          <w:color w:val="auto"/>
        </w:rPr>
        <w:t>Cash Distributions.</w:t>
      </w:r>
      <w:r>
        <w:rPr>
          <w:rFonts w:ascii="Arial" w:cs="Arial" w:eastAsia="Arial" w:hAnsi="Arial"/>
          <w:sz w:val="16"/>
          <w:szCs w:val="16"/>
          <w:b w:val="1"/>
          <w:bCs w:val="1"/>
          <w:color w:val="auto"/>
        </w:rPr>
        <w:t xml:space="preserve"> </w:t>
      </w:r>
      <w:r>
        <w:rPr>
          <w:rFonts w:ascii="Arial" w:cs="Arial" w:eastAsia="Arial" w:hAnsi="Arial"/>
          <w:sz w:val="16"/>
          <w:szCs w:val="16"/>
          <w:color w:val="auto"/>
        </w:rPr>
        <w:t>Whenever the Company intends to make a distribution of a cash dividend or other cash distribution in respect</w:t>
      </w:r>
      <w:r>
        <w:rPr>
          <w:rFonts w:ascii="Arial" w:cs="Arial" w:eastAsia="Arial" w:hAnsi="Arial"/>
          <w:sz w:val="16"/>
          <w:szCs w:val="16"/>
          <w:b w:val="1"/>
          <w:bCs w:val="1"/>
          <w:color w:val="auto"/>
        </w:rPr>
        <w:t xml:space="preserve"> </w:t>
      </w:r>
      <w:r>
        <w:rPr>
          <w:rFonts w:ascii="Arial" w:cs="Arial" w:eastAsia="Arial" w:hAnsi="Arial"/>
          <w:sz w:val="16"/>
          <w:szCs w:val="16"/>
          <w:color w:val="auto"/>
        </w:rPr>
        <w:t xml:space="preserve">of any Deposited Securities, the Company shall give notice thereof to the Depositary at least twenty (20) days (or such other number of days as mutually agreed to in writing by the Depositary and the Company) prior to the proposed distribution specifying, </w:t>
      </w:r>
      <w:r>
        <w:rPr>
          <w:rFonts w:ascii="Arial" w:cs="Arial" w:eastAsia="Arial" w:hAnsi="Arial"/>
          <w:sz w:val="16"/>
          <w:szCs w:val="16"/>
          <w:i w:val="1"/>
          <w:iCs w:val="1"/>
          <w:color w:val="auto"/>
        </w:rPr>
        <w:t>inter alia</w:t>
      </w:r>
      <w:r>
        <w:rPr>
          <w:rFonts w:ascii="Arial" w:cs="Arial" w:eastAsia="Arial" w:hAnsi="Arial"/>
          <w:sz w:val="16"/>
          <w:szCs w:val="16"/>
          <w:color w:val="auto"/>
        </w:rPr>
        <w:t>, the record date applicable for determining the holders of Deposited Securities entitled to receive such distribution. Upon the timely receipt of such notice, the Depositary shall establish the ADS Record Date upon the terms described in Section 4.9. Upon receipt of confirmation of the receipt of (x) any cash dividend or other cash distribution on any Deposited Securities, or (y) proceeds from the sale of any Deposited Property held in respect of the ADSs under the terms hereof, the Depositary will (i) if at the time of receipt thereof any amounts received in a Foreign Currency can, in the judgment of the Depositary (pursuant to Section 4.8), be converted on a practicable basis into Dollars transferable to the United States, promptly convert or cause to be converted such cash dividend, distribution or proceeds into Dollars (on the terms described in Section 4.8), (ii) if applicable and unless previously established, establish the ADS Record Date upon the terms described in Section 4.9, and (iii) distribute promptly the amount thus received (net of (a) the applicable fees and charges of, and expenses incurred by, the Depositary and (b) applicable taxes withheld) to the Holders entitled thereto as of the ADS Record Date in proportion to the number of ADSs held as of the ADS Record Date. The Depositary shall distribute only such amount, however, as can be distributed without attributing to any Holder a fraction of one cent, and any balance not so distributed shall be held by the Depositary (without liability for interest thereon) and shall be added to and become part of the next sum received by the Depositary for distribution to Holders of ADSs outstanding at the time of the next distribution. If the Company, the Custodian or the Depositary is required to withhold and does withhold from any cash dividend or other cash distribution in respect of any Deposited Securities, or from any cash proceeds from the sales of Deposited Property, an amount on account of taxes, duties or other governmental charges, the amount distributed to Holders on the ADSs shall be reduced accordingly. Such withheld amounts shall be forwarded by the Company, the Custodian or the Depositary to the relevant governmental authority. Evidence of payment thereof by the Company shall be forwarded by the Company to the Depositary upon request. The Depositary will hold any cash amounts it is unable to distribute in a non-interest bearing account for the benefit of the applicable Holders and Beneficial Owners of ADSs until the distribution can be effected or the funds that the Depositary holds must be escheated as unclaimed property in accordance with the laws of the relevant states of the United States. Notwithstanding anything contained in the Deposit Agreement to the contrary, in the event the Company fails to give the Depositary timely notice of the proposed distribution provided for in this Section 4.1, the Depositary agrees to use commercially reasonable efforts to perform the actions contemplated in this Section 4.1, and the Company, the Holders and the Beneficial Owners acknowledge that the Depositary shall have no liability for the Depositary’s failure to perform the actions contemplated in this Section 4.1 where such notice has not been so timely given, other than its failure to use commercially reasonable efforts, as provided herein.</w:t>
      </w:r>
    </w:p>
    <w:p>
      <w:pPr>
        <w:spacing w:after="0" w:line="200" w:lineRule="exact"/>
        <w:rPr>
          <w:sz w:val="20"/>
          <w:szCs w:val="20"/>
          <w:color w:val="auto"/>
        </w:rPr>
      </w:pPr>
    </w:p>
    <w:p>
      <w:pPr>
        <w:spacing w:after="0" w:line="298" w:lineRule="exact"/>
        <w:rPr>
          <w:sz w:val="20"/>
          <w:szCs w:val="20"/>
          <w:color w:val="auto"/>
        </w:rPr>
      </w:pPr>
    </w:p>
    <w:p>
      <w:pPr>
        <w:jc w:val="center"/>
        <w:ind w:right="-19"/>
        <w:spacing w:after="0"/>
        <w:rPr>
          <w:sz w:val="20"/>
          <w:szCs w:val="20"/>
          <w:color w:val="auto"/>
        </w:rPr>
      </w:pPr>
      <w:r>
        <w:rPr>
          <w:rFonts w:ascii="Arial" w:cs="Arial" w:eastAsia="Arial" w:hAnsi="Arial"/>
          <w:sz w:val="22"/>
          <w:szCs w:val="22"/>
          <w:color w:val="auto"/>
        </w:rPr>
        <w:t>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7620</wp:posOffset>
            </wp:positionV>
            <wp:extent cx="7246620" cy="17145"/>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55">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337" w:right="239" w:bottom="1440" w:gutter="0" w:footer="0" w:header="0"/>
        </w:sectPr>
      </w:pPr>
    </w:p>
    <w:bookmarkStart w:id="37" w:name="page38"/>
    <w:bookmarkEnd w:id="37"/>
    <w:p>
      <w:pPr>
        <w:ind w:firstLine="648"/>
        <w:spacing w:after="0" w:line="284" w:lineRule="auto"/>
        <w:rPr>
          <w:sz w:val="20"/>
          <w:szCs w:val="20"/>
          <w:color w:val="auto"/>
        </w:rPr>
      </w:pPr>
      <w:r>
        <w:rPr>
          <w:rFonts w:ascii="Arial" w:cs="Arial" w:eastAsia="Arial" w:hAnsi="Arial"/>
          <w:sz w:val="16"/>
          <w:szCs w:val="16"/>
          <w:b w:val="1"/>
          <w:bCs w:val="1"/>
          <w:color w:val="auto"/>
        </w:rPr>
        <w:t xml:space="preserve">Section 4.2 </w:t>
      </w:r>
      <w:r>
        <w:rPr>
          <w:rFonts w:ascii="Arial" w:cs="Arial" w:eastAsia="Arial" w:hAnsi="Arial"/>
          <w:sz w:val="16"/>
          <w:szCs w:val="16"/>
          <w:b w:val="1"/>
          <w:bCs w:val="1"/>
          <w:u w:val="single" w:color="auto"/>
          <w:color w:val="auto"/>
        </w:rPr>
        <w:t>Distribution in Shares.</w:t>
      </w:r>
      <w:r>
        <w:rPr>
          <w:rFonts w:ascii="Arial" w:cs="Arial" w:eastAsia="Arial" w:hAnsi="Arial"/>
          <w:sz w:val="16"/>
          <w:szCs w:val="16"/>
          <w:b w:val="1"/>
          <w:bCs w:val="1"/>
          <w:color w:val="auto"/>
        </w:rPr>
        <w:t xml:space="preserve"> </w:t>
      </w:r>
      <w:r>
        <w:rPr>
          <w:rFonts w:ascii="Arial" w:cs="Arial" w:eastAsia="Arial" w:hAnsi="Arial"/>
          <w:sz w:val="16"/>
          <w:szCs w:val="16"/>
          <w:color w:val="auto"/>
        </w:rPr>
        <w:t>Whenever the Company intends to make a distribution that consists of a dividend in, or free distribution</w:t>
      </w:r>
      <w:r>
        <w:rPr>
          <w:rFonts w:ascii="Arial" w:cs="Arial" w:eastAsia="Arial" w:hAnsi="Arial"/>
          <w:sz w:val="16"/>
          <w:szCs w:val="16"/>
          <w:b w:val="1"/>
          <w:bCs w:val="1"/>
          <w:color w:val="auto"/>
        </w:rPr>
        <w:t xml:space="preserve"> </w:t>
      </w:r>
      <w:r>
        <w:rPr>
          <w:rFonts w:ascii="Arial" w:cs="Arial" w:eastAsia="Arial" w:hAnsi="Arial"/>
          <w:sz w:val="16"/>
          <w:szCs w:val="16"/>
          <w:color w:val="auto"/>
        </w:rPr>
        <w:t xml:space="preserve">of, Shares, the Company shall give notice thereof to the Depositary at least twenty (20) days (or such other number of days as mutually agreed to in writing by the Depositary and the Company) prior to the proposed distribution, specifying, </w:t>
      </w:r>
      <w:r>
        <w:rPr>
          <w:rFonts w:ascii="Arial" w:cs="Arial" w:eastAsia="Arial" w:hAnsi="Arial"/>
          <w:sz w:val="16"/>
          <w:szCs w:val="16"/>
          <w:i w:val="1"/>
          <w:iCs w:val="1"/>
          <w:color w:val="auto"/>
        </w:rPr>
        <w:t>inter alia</w:t>
      </w:r>
      <w:r>
        <w:rPr>
          <w:rFonts w:ascii="Arial" w:cs="Arial" w:eastAsia="Arial" w:hAnsi="Arial"/>
          <w:sz w:val="16"/>
          <w:szCs w:val="16"/>
          <w:color w:val="auto"/>
        </w:rPr>
        <w:t>, the record date applicable to holders of Deposited Securities entitled to receive such distribution. Upon the timely receipt of such notice from the Company, the Depositary shall establish the ADS Record Date upon the terms described in Section 4.9. Upon receipt of confirmation from the Custodian of the receipt of the Shares so distributed by the Company, the Depositary shall either (i) subject to Section 5.9, distribute to the Holders as of the ADS Record Date in proportion to the number of ADSs held as of the ADS Record Date, additional ADSs, which represent in the aggregate the number of Shares received as such dividend, or free distribution, subject to the other terms of the Deposit Agreement (including, without limitation, (a) the applicable fees and charges of, and expenses incurred by, the Depositary and (b) applicable taxes), or (ii) if additional ADSs are not so distributed, take all actions necessary so that each ADS issued and outstanding after the ADS Record Date shall, to the extent permissible by law, thenceforth also represent rights and interests in the additional integral number of Shares distributed upon the Deposited Securities represented thereby (net of (a) the applicable fees and charges of, and expenses incurred by, the Depositary and (b) applicable taxes). In lieu of delivering fractional ADSs, the Depositary shall sell the number of Shares or ADSs, as the case may be, represented by the aggregate of such fractions and distribute the net proceeds upon the terms described in Section 4.1. In the event that the Depositary determines that any distribution in property (including Shares) is subject to any tax or other governmental charges which the Depositary is obligated to withhold, or, if the Company in the fulfillment of its obligation under Section 5.7, has furnished an opinion of U.S. counsel determining that Shares must be registered under the Securities Act or other laws in order to be distributed to Holders (and no such registration statement has been declared effective), the Depositary may dispose of all or a portion of such property (including Shares and rights to subscribe therefor) in such amounts and in such manner, including by public or private sale, as the Depositary deems necessary and practicable, and the Depositary shall distribute the net proceeds of any such sale (after deduction of (a) applicable taxes and (b) fees and charges of, and expenses incurred by, the Depositary) to Holders entitled thereto upon the terms described in Section 4.1. The Depositary shall hold and/or distribute any unsold balance of such property in accordance with the provisions of the Deposit Agreement. Notwithstanding anything contained in the Deposit Agreement to the contrary, in the event the Company fails to give the Depositary timely notice of the proposed distribution provided for in this Section 4.2, the Depositary agrees to use commercially reasonable efforts to perform the actions contemplated in this Section 4.2, and the Company, the Holders and the Beneficial Owners acknowledge that the Depositary shall have no liability for the Depositary’s failure to perform the actions contemplated in this Section 4.2 where such notice has not been so timely given, other than its failure to use commercially reasonable efforts, as provided herein.</w:t>
      </w:r>
    </w:p>
    <w:p>
      <w:pPr>
        <w:spacing w:after="0" w:line="282" w:lineRule="exact"/>
        <w:rPr>
          <w:sz w:val="20"/>
          <w:szCs w:val="20"/>
          <w:color w:val="auto"/>
        </w:rPr>
      </w:pPr>
    </w:p>
    <w:p>
      <w:pPr>
        <w:jc w:val="center"/>
        <w:ind w:right="-19"/>
        <w:spacing w:after="0"/>
        <w:rPr>
          <w:sz w:val="20"/>
          <w:szCs w:val="20"/>
          <w:color w:val="auto"/>
        </w:rPr>
      </w:pPr>
      <w:r>
        <w:rPr>
          <w:rFonts w:ascii="Arial" w:cs="Arial" w:eastAsia="Arial" w:hAnsi="Arial"/>
          <w:sz w:val="22"/>
          <w:szCs w:val="22"/>
          <w:color w:val="auto"/>
        </w:rPr>
        <w:t>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7620</wp:posOffset>
            </wp:positionV>
            <wp:extent cx="7246620" cy="17145"/>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56">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337" w:right="239" w:bottom="1440" w:gutter="0" w:footer="0" w:header="0"/>
        </w:sectPr>
      </w:pPr>
    </w:p>
    <w:bookmarkStart w:id="38" w:name="page39"/>
    <w:bookmarkEnd w:id="38"/>
    <w:p>
      <w:pPr>
        <w:ind w:right="40" w:firstLine="648"/>
        <w:spacing w:after="0" w:line="284" w:lineRule="auto"/>
        <w:rPr>
          <w:sz w:val="20"/>
          <w:szCs w:val="20"/>
          <w:color w:val="auto"/>
        </w:rPr>
      </w:pPr>
      <w:r>
        <w:rPr>
          <w:rFonts w:ascii="Arial" w:cs="Arial" w:eastAsia="Arial" w:hAnsi="Arial"/>
          <w:sz w:val="16"/>
          <w:szCs w:val="16"/>
          <w:b w:val="1"/>
          <w:bCs w:val="1"/>
          <w:color w:val="auto"/>
        </w:rPr>
        <w:t xml:space="preserve">Section 4.3 </w:t>
      </w:r>
      <w:r>
        <w:rPr>
          <w:rFonts w:ascii="Arial" w:cs="Arial" w:eastAsia="Arial" w:hAnsi="Arial"/>
          <w:sz w:val="16"/>
          <w:szCs w:val="16"/>
          <w:b w:val="1"/>
          <w:bCs w:val="1"/>
          <w:u w:val="single" w:color="auto"/>
          <w:color w:val="auto"/>
        </w:rPr>
        <w:t>Elective Distributions in Cash or Shares.</w:t>
      </w:r>
      <w:r>
        <w:rPr>
          <w:rFonts w:ascii="Arial" w:cs="Arial" w:eastAsia="Arial" w:hAnsi="Arial"/>
          <w:sz w:val="16"/>
          <w:szCs w:val="16"/>
          <w:b w:val="1"/>
          <w:bCs w:val="1"/>
          <w:color w:val="auto"/>
        </w:rPr>
        <w:t xml:space="preserve"> </w:t>
      </w:r>
      <w:r>
        <w:rPr>
          <w:rFonts w:ascii="Arial" w:cs="Arial" w:eastAsia="Arial" w:hAnsi="Arial"/>
          <w:sz w:val="16"/>
          <w:szCs w:val="16"/>
          <w:color w:val="auto"/>
        </w:rPr>
        <w:t>Whenever the Company intends to make a distribution payable at the election of the</w:t>
      </w:r>
      <w:r>
        <w:rPr>
          <w:rFonts w:ascii="Arial" w:cs="Arial" w:eastAsia="Arial" w:hAnsi="Arial"/>
          <w:sz w:val="16"/>
          <w:szCs w:val="16"/>
          <w:b w:val="1"/>
          <w:bCs w:val="1"/>
          <w:color w:val="auto"/>
        </w:rPr>
        <w:t xml:space="preserve"> </w:t>
      </w:r>
      <w:r>
        <w:rPr>
          <w:rFonts w:ascii="Arial" w:cs="Arial" w:eastAsia="Arial" w:hAnsi="Arial"/>
          <w:sz w:val="16"/>
          <w:szCs w:val="16"/>
          <w:color w:val="auto"/>
        </w:rPr>
        <w:t xml:space="preserve">holders of Deposited Securities in cash or in additional Shares, the Company shall give notice thereof to the Depositary at least sixty (60) days (or such other number of days as mutually agreed to in writing by the Depositary and the Company) prior to the proposed distribution specifying, </w:t>
      </w:r>
      <w:r>
        <w:rPr>
          <w:rFonts w:ascii="Arial" w:cs="Arial" w:eastAsia="Arial" w:hAnsi="Arial"/>
          <w:sz w:val="16"/>
          <w:szCs w:val="16"/>
          <w:i w:val="1"/>
          <w:iCs w:val="1"/>
          <w:color w:val="auto"/>
        </w:rPr>
        <w:t>inter alia</w:t>
      </w:r>
      <w:r>
        <w:rPr>
          <w:rFonts w:ascii="Arial" w:cs="Arial" w:eastAsia="Arial" w:hAnsi="Arial"/>
          <w:sz w:val="16"/>
          <w:szCs w:val="16"/>
          <w:color w:val="auto"/>
        </w:rPr>
        <w:t>, the record date applicable to holders of Deposited Securities entitled to receive such elective distribution and whether or not it wishes such elective distribution to be made available to Holders of ADSs. Upon the timely receipt of a notice indicating that the Company wishes such elective distribution to be made available to Holders of ADSs, the Depositary shall consult with the Company to determine, and the Company shall assist the Depositary in its determination, whether it is lawful and reasonably practicable to make such elective distribution available to the Holders of ADSs. The Depositary shall make such elective distribution available to Holders only if (i) the Company shall have timely requested that the elective distribution be made available to Holders, (ii) the Depositary shall have determined that such distribution is reasonably practicable and (iii) the Depositary shall have received satisfactory documentation within the terms of Section 5.7. If the above conditions are not satisfied or if the Company requests such elective distribution not to be made available to Holders of ADSs, the Depositary shall establish the ADS Record Date on the terms described in Section 4.9 and, to the extent permitted by law, distribute to the Holders, on the basis of the same determination as is made in England and Wales in respect of the Shares for which no election is made, either (X) cash upon the terms described in Section 4.1 or (Y) additional ADSs representing such additional Shares upon the terms described in Section 4.2. If the above conditions are satisfied, the Depositary shall establish an ADS Record Date on the terms described in Section 4.9 and establish procedures to enable Holders to elect the receipt of the proposed distribution in cash or in additional ADSs. The Company shall assist the Depositary in establishing such procedures to the extent necessary. If a Holder elects to receive the proposed distribution (X) in cash, the distribution shall be made upon the terms described in Section 4.1, or (Y) in ADSs, the distribution shall be made upon the terms described in Section 4.2. Nothing herein shall obligate the Depositary to make available to Holders a method to receive the elective distribution in Shares (rather than ADSs). There can be no assurance that Holders generally, or any Holder in particular, will be given the opportunity to receive elective distributions on the same terms and conditions as the holders of Shares. Notwithstanding anything contained in the Deposit Agreement to the contrary, in the event the Company fails to give the Depositary timely notice of the proposed distribution provided for in this Section 4.3, the Depositary agrees to use commercially reasonable efforts to perform the actions contemplated in this Section 4.3, and the Company, the Holders and the Beneficial Owners acknowledge that the Depositary shall have no liability for the Depositary’s failure to perform the actions contemplated in this Section 4.3 where such notice has not been so timely given, other than its failure to use commercially reasonable efforts, as provided herein.</w:t>
      </w:r>
    </w:p>
    <w:p>
      <w:pPr>
        <w:spacing w:after="0" w:line="179" w:lineRule="exact"/>
        <w:rPr>
          <w:sz w:val="20"/>
          <w:szCs w:val="20"/>
          <w:color w:val="auto"/>
        </w:rPr>
      </w:pPr>
    </w:p>
    <w:p>
      <w:pPr>
        <w:ind w:left="660"/>
        <w:spacing w:after="0"/>
        <w:tabs>
          <w:tab w:leader="none" w:pos="1960" w:val="left"/>
        </w:tabs>
        <w:rPr>
          <w:sz w:val="20"/>
          <w:szCs w:val="20"/>
          <w:color w:val="auto"/>
        </w:rPr>
      </w:pPr>
      <w:r>
        <w:rPr>
          <w:rFonts w:ascii="Arial" w:cs="Arial" w:eastAsia="Arial" w:hAnsi="Arial"/>
          <w:sz w:val="18"/>
          <w:szCs w:val="18"/>
          <w:b w:val="1"/>
          <w:bCs w:val="1"/>
          <w:color w:val="auto"/>
        </w:rPr>
        <w:t>Section 4.4</w:t>
      </w:r>
      <w:r>
        <w:rPr>
          <w:sz w:val="20"/>
          <w:szCs w:val="20"/>
          <w:color w:val="auto"/>
        </w:rPr>
        <w:tab/>
      </w:r>
      <w:r>
        <w:rPr>
          <w:rFonts w:ascii="Arial" w:cs="Arial" w:eastAsia="Arial" w:hAnsi="Arial"/>
          <w:sz w:val="16"/>
          <w:szCs w:val="16"/>
          <w:b w:val="1"/>
          <w:bCs w:val="1"/>
          <w:u w:val="single" w:color="auto"/>
          <w:color w:val="auto"/>
        </w:rPr>
        <w:t>Distribution of Rights to Purchase Additional ADSs.</w:t>
      </w:r>
    </w:p>
    <w:p>
      <w:pPr>
        <w:spacing w:after="0" w:line="225" w:lineRule="exact"/>
        <w:rPr>
          <w:sz w:val="20"/>
          <w:szCs w:val="20"/>
          <w:color w:val="auto"/>
        </w:rPr>
      </w:pPr>
    </w:p>
    <w:p>
      <w:pPr>
        <w:ind w:right="60" w:firstLine="656"/>
        <w:spacing w:after="0" w:line="285" w:lineRule="auto"/>
        <w:tabs>
          <w:tab w:leader="none" w:pos="1218" w:val="left"/>
        </w:tabs>
        <w:numPr>
          <w:ilvl w:val="1"/>
          <w:numId w:val="18"/>
        </w:numPr>
        <w:rPr>
          <w:rFonts w:ascii="Arial" w:cs="Arial" w:eastAsia="Arial" w:hAnsi="Arial"/>
          <w:sz w:val="16"/>
          <w:szCs w:val="16"/>
          <w:b w:val="1"/>
          <w:bCs w:val="1"/>
          <w:color w:val="auto"/>
        </w:rPr>
      </w:pPr>
      <w:r>
        <w:rPr>
          <w:rFonts w:ascii="Arial" w:cs="Arial" w:eastAsia="Arial" w:hAnsi="Arial"/>
          <w:sz w:val="16"/>
          <w:szCs w:val="16"/>
          <w:b w:val="1"/>
          <w:bCs w:val="1"/>
          <w:u w:val="single" w:color="auto"/>
          <w:color w:val="auto"/>
        </w:rPr>
        <w:t>Distribution to ADS Holders</w:t>
      </w:r>
      <w:r>
        <w:rPr>
          <w:rFonts w:ascii="Arial" w:cs="Arial" w:eastAsia="Arial" w:hAnsi="Arial"/>
          <w:sz w:val="16"/>
          <w:szCs w:val="16"/>
          <w:b w:val="1"/>
          <w:bCs w:val="1"/>
          <w:color w:val="auto"/>
        </w:rPr>
        <w:t xml:space="preserve">. </w:t>
      </w:r>
      <w:r>
        <w:rPr>
          <w:rFonts w:ascii="Arial" w:cs="Arial" w:eastAsia="Arial" w:hAnsi="Arial"/>
          <w:sz w:val="16"/>
          <w:szCs w:val="16"/>
          <w:color w:val="auto"/>
        </w:rPr>
        <w:t>Whenever the Company intends to distribute to the holders of the Deposited Securities rights to subscribe for</w:t>
      </w:r>
      <w:r>
        <w:rPr>
          <w:rFonts w:ascii="Arial" w:cs="Arial" w:eastAsia="Arial" w:hAnsi="Arial"/>
          <w:sz w:val="16"/>
          <w:szCs w:val="16"/>
          <w:b w:val="1"/>
          <w:bCs w:val="1"/>
          <w:color w:val="auto"/>
        </w:rPr>
        <w:t xml:space="preserve"> </w:t>
      </w:r>
      <w:r>
        <w:rPr>
          <w:rFonts w:ascii="Arial" w:cs="Arial" w:eastAsia="Arial" w:hAnsi="Arial"/>
          <w:sz w:val="16"/>
          <w:szCs w:val="16"/>
          <w:color w:val="auto"/>
        </w:rPr>
        <w:t xml:space="preserve">additional Shares, the Company shall give notice thereof to the Depositary at least sixty (60) days (or such other number of days as mutually agreed to in writing by the Depositary and the Company) prior to the proposed distribution specifying, </w:t>
      </w:r>
      <w:r>
        <w:rPr>
          <w:rFonts w:ascii="Arial" w:cs="Arial" w:eastAsia="Arial" w:hAnsi="Arial"/>
          <w:sz w:val="16"/>
          <w:szCs w:val="16"/>
          <w:i w:val="1"/>
          <w:iCs w:val="1"/>
          <w:color w:val="auto"/>
        </w:rPr>
        <w:t>inter alia</w:t>
      </w:r>
      <w:r>
        <w:rPr>
          <w:rFonts w:ascii="Arial" w:cs="Arial" w:eastAsia="Arial" w:hAnsi="Arial"/>
          <w:sz w:val="16"/>
          <w:szCs w:val="16"/>
          <w:color w:val="auto"/>
        </w:rPr>
        <w:t>, the record date applicable to holders of Deposited Securities entitled to receive such distribution and whether or not it wishes such rights to be made available to Holders of ADSs. Upon the timely receipt of a notice indicating that the Company wishes such rights to be made available to Holders of ADSs, the Depositary shall consult with the Company to determine, and the Company shall assist the Depositary in its determination, whether it is lawful and reasonably practicable to make such rights available to the Holders. The Depositary shall make such rights available to Holders only if (i) the Company shall have timely requested that such rights be made available to Holders,</w:t>
      </w:r>
    </w:p>
    <w:p>
      <w:pPr>
        <w:spacing w:after="0" w:line="1" w:lineRule="exact"/>
        <w:rPr>
          <w:rFonts w:ascii="Arial" w:cs="Arial" w:eastAsia="Arial" w:hAnsi="Arial"/>
          <w:sz w:val="16"/>
          <w:szCs w:val="16"/>
          <w:b w:val="1"/>
          <w:bCs w:val="1"/>
          <w:color w:val="auto"/>
        </w:rPr>
      </w:pPr>
    </w:p>
    <w:p>
      <w:pPr>
        <w:ind w:firstLine="8"/>
        <w:spacing w:after="0" w:line="287" w:lineRule="auto"/>
        <w:tabs>
          <w:tab w:leader="none" w:pos="265" w:val="left"/>
        </w:tabs>
        <w:numPr>
          <w:ilvl w:val="0"/>
          <w:numId w:val="19"/>
        </w:numPr>
        <w:rPr>
          <w:rFonts w:ascii="Arial" w:cs="Arial" w:eastAsia="Arial" w:hAnsi="Arial"/>
          <w:sz w:val="16"/>
          <w:szCs w:val="16"/>
          <w:color w:val="auto"/>
        </w:rPr>
      </w:pPr>
      <w:r>
        <w:rPr>
          <w:rFonts w:ascii="Arial" w:cs="Arial" w:eastAsia="Arial" w:hAnsi="Arial"/>
          <w:sz w:val="16"/>
          <w:szCs w:val="16"/>
          <w:color w:val="auto"/>
        </w:rPr>
        <w:t>the Depositary shall have received satisfactory documentation within the terms of Section 5.7, and (iii) the Depositary shall have determined that such distribution of rights is reasonably practicable. In the event any of the conditions set forth above are not satisfied or if the Company requests that the rights not be made available to Holders of ADSs, the Depositary shall proceed with the sale of the rights as contemplated in Section 4.4(b) below. In the event all conditions set forth above are satisfied, the Depositary shall establish the ADS Record Date (upon the terms described in Section 4.9) and establish procedures to (x) distribute rights to purchase additional ADSs (by means of warrants or otherwise), (y) enable the Holders to exercise such rights (upon payment of the subscription price and of the applicable (a) fees and charges of, and expenses incurred by, the Depositary and (b) taxes), and (z) deliver ADSs upon the valid exercise of such rights. The Company shall assist the Depositary to the extent necessary in establishing such procedures. Nothing herein shall obligate the Depositary to make available to the Holders a method to exercise rights to subscribe for Shares (rather than ADSs).</w:t>
      </w:r>
    </w:p>
    <w:p>
      <w:pPr>
        <w:spacing w:after="0" w:line="271" w:lineRule="exact"/>
        <w:rPr>
          <w:sz w:val="20"/>
          <w:szCs w:val="20"/>
          <w:color w:val="auto"/>
        </w:rPr>
      </w:pPr>
    </w:p>
    <w:p>
      <w:pPr>
        <w:jc w:val="center"/>
        <w:ind w:right="-19"/>
        <w:spacing w:after="0"/>
        <w:rPr>
          <w:sz w:val="20"/>
          <w:szCs w:val="20"/>
          <w:color w:val="auto"/>
        </w:rPr>
      </w:pPr>
      <w:r>
        <w:rPr>
          <w:rFonts w:ascii="Arial" w:cs="Arial" w:eastAsia="Arial" w:hAnsi="Arial"/>
          <w:sz w:val="22"/>
          <w:szCs w:val="22"/>
          <w:color w:val="auto"/>
        </w:rPr>
        <w:t>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7620</wp:posOffset>
            </wp:positionV>
            <wp:extent cx="7246620" cy="17145"/>
            <wp:wrapNone/>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57">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337" w:right="239" w:bottom="1440" w:gutter="0" w:footer="0" w:header="0"/>
        </w:sectPr>
      </w:pPr>
    </w:p>
    <w:bookmarkStart w:id="39" w:name="page40"/>
    <w:bookmarkEnd w:id="39"/>
    <w:p>
      <w:pPr>
        <w:ind w:firstLine="656"/>
        <w:spacing w:after="0" w:line="273" w:lineRule="auto"/>
        <w:tabs>
          <w:tab w:leader="none" w:pos="1228" w:val="left"/>
        </w:tabs>
        <w:numPr>
          <w:ilvl w:val="0"/>
          <w:numId w:val="20"/>
        </w:numPr>
        <w:rPr>
          <w:rFonts w:ascii="Arial" w:cs="Arial" w:eastAsia="Arial" w:hAnsi="Arial"/>
          <w:sz w:val="17"/>
          <w:szCs w:val="17"/>
          <w:b w:val="1"/>
          <w:bCs w:val="1"/>
          <w:color w:val="auto"/>
        </w:rPr>
      </w:pPr>
      <w:r>
        <w:rPr>
          <w:rFonts w:ascii="Arial" w:cs="Arial" w:eastAsia="Arial" w:hAnsi="Arial"/>
          <w:sz w:val="17"/>
          <w:szCs w:val="17"/>
          <w:b w:val="1"/>
          <w:bCs w:val="1"/>
          <w:u w:val="single" w:color="auto"/>
          <w:color w:val="auto"/>
        </w:rPr>
        <w:t>Sale of Rights</w:t>
      </w:r>
      <w:r>
        <w:rPr>
          <w:rFonts w:ascii="Arial" w:cs="Arial" w:eastAsia="Arial" w:hAnsi="Arial"/>
          <w:sz w:val="17"/>
          <w:szCs w:val="17"/>
          <w:b w:val="1"/>
          <w:bCs w:val="1"/>
          <w:color w:val="auto"/>
        </w:rPr>
        <w:t xml:space="preserve">. </w:t>
      </w:r>
      <w:r>
        <w:rPr>
          <w:rFonts w:ascii="Arial" w:cs="Arial" w:eastAsia="Arial" w:hAnsi="Arial"/>
          <w:sz w:val="17"/>
          <w:szCs w:val="17"/>
          <w:color w:val="auto"/>
        </w:rPr>
        <w:t>If (i) the Company does not timely request the Depositary to make the rights available to Holders or requests that the rights</w:t>
      </w:r>
      <w:r>
        <w:rPr>
          <w:rFonts w:ascii="Arial" w:cs="Arial" w:eastAsia="Arial" w:hAnsi="Arial"/>
          <w:sz w:val="17"/>
          <w:szCs w:val="17"/>
          <w:b w:val="1"/>
          <w:bCs w:val="1"/>
          <w:color w:val="auto"/>
        </w:rPr>
        <w:t xml:space="preserve"> </w:t>
      </w:r>
      <w:r>
        <w:rPr>
          <w:rFonts w:ascii="Arial" w:cs="Arial" w:eastAsia="Arial" w:hAnsi="Arial"/>
          <w:sz w:val="17"/>
          <w:szCs w:val="17"/>
          <w:color w:val="auto"/>
        </w:rPr>
        <w:t>not be made available to Holders, (ii) the Depositary fails to receive satisfactory documentation within the terms of Section 5.7, or determines it is not reasonably practicable to make the rights available to Holders, or (iii) any rights made available are not exercised and appear to be about to lapse, the Depositary shall determine whether it is lawful and reasonably practicable to sell such rights, in a riskless principal capacity, at such place and upon such terms (including public or private sale) as it may deem practicable. The Company shall assist the Depositary to the extent necessary to determine such legality and practicability. The Depositary shall, upon such sale, convert and distribute proceeds of such sale (net of applicable (a) fees and charges of, and expenses incurred by, the Depositary and (b) taxes) upon the terms set forth in Section 4.1.</w:t>
      </w:r>
    </w:p>
    <w:p>
      <w:pPr>
        <w:spacing w:after="0" w:line="172" w:lineRule="exact"/>
        <w:rPr>
          <w:rFonts w:ascii="Arial" w:cs="Arial" w:eastAsia="Arial" w:hAnsi="Arial"/>
          <w:sz w:val="17"/>
          <w:szCs w:val="17"/>
          <w:b w:val="1"/>
          <w:bCs w:val="1"/>
          <w:color w:val="auto"/>
        </w:rPr>
      </w:pPr>
    </w:p>
    <w:p>
      <w:pPr>
        <w:ind w:right="60" w:firstLine="656"/>
        <w:spacing w:after="0" w:line="282" w:lineRule="auto"/>
        <w:tabs>
          <w:tab w:leader="none" w:pos="1208" w:val="left"/>
        </w:tabs>
        <w:numPr>
          <w:ilvl w:val="0"/>
          <w:numId w:val="20"/>
        </w:numPr>
        <w:rPr>
          <w:rFonts w:ascii="Arial" w:cs="Arial" w:eastAsia="Arial" w:hAnsi="Arial"/>
          <w:sz w:val="18"/>
          <w:szCs w:val="18"/>
          <w:b w:val="1"/>
          <w:bCs w:val="1"/>
          <w:color w:val="auto"/>
        </w:rPr>
      </w:pPr>
      <w:r>
        <w:rPr>
          <w:rFonts w:ascii="Arial" w:cs="Arial" w:eastAsia="Arial" w:hAnsi="Arial"/>
          <w:sz w:val="18"/>
          <w:szCs w:val="18"/>
          <w:b w:val="1"/>
          <w:bCs w:val="1"/>
          <w:u w:val="single" w:color="auto"/>
          <w:color w:val="auto"/>
        </w:rPr>
        <w:t>Lapse of Rights</w:t>
      </w:r>
      <w:r>
        <w:rPr>
          <w:rFonts w:ascii="Arial" w:cs="Arial" w:eastAsia="Arial" w:hAnsi="Arial"/>
          <w:sz w:val="18"/>
          <w:szCs w:val="18"/>
          <w:b w:val="1"/>
          <w:bCs w:val="1"/>
          <w:color w:val="auto"/>
        </w:rPr>
        <w:t xml:space="preserve">. </w:t>
      </w:r>
      <w:r>
        <w:rPr>
          <w:rFonts w:ascii="Arial" w:cs="Arial" w:eastAsia="Arial" w:hAnsi="Arial"/>
          <w:sz w:val="18"/>
          <w:szCs w:val="18"/>
          <w:color w:val="auto"/>
        </w:rPr>
        <w:t>If the Depositary is unable to make any rights available to Holders upon the terms described in Section 4.4(a) or to arrange</w:t>
      </w:r>
      <w:r>
        <w:rPr>
          <w:rFonts w:ascii="Arial" w:cs="Arial" w:eastAsia="Arial" w:hAnsi="Arial"/>
          <w:sz w:val="18"/>
          <w:szCs w:val="18"/>
          <w:b w:val="1"/>
          <w:bCs w:val="1"/>
          <w:color w:val="auto"/>
        </w:rPr>
        <w:t xml:space="preserve"> </w:t>
      </w:r>
      <w:r>
        <w:rPr>
          <w:rFonts w:ascii="Arial" w:cs="Arial" w:eastAsia="Arial" w:hAnsi="Arial"/>
          <w:sz w:val="18"/>
          <w:szCs w:val="18"/>
          <w:color w:val="auto"/>
        </w:rPr>
        <w:t>for the sale of the rights upon the terms described in Section 4.4(b), the Depositary shall allow such rights to lapse.</w:t>
      </w:r>
    </w:p>
    <w:p>
      <w:pPr>
        <w:spacing w:after="0" w:line="166" w:lineRule="exact"/>
        <w:rPr>
          <w:sz w:val="20"/>
          <w:szCs w:val="20"/>
          <w:color w:val="auto"/>
        </w:rPr>
      </w:pPr>
    </w:p>
    <w:p>
      <w:pPr>
        <w:ind w:right="80" w:firstLine="648"/>
        <w:spacing w:after="0" w:line="264" w:lineRule="auto"/>
        <w:rPr>
          <w:sz w:val="20"/>
          <w:szCs w:val="20"/>
          <w:color w:val="auto"/>
        </w:rPr>
      </w:pPr>
      <w:r>
        <w:rPr>
          <w:rFonts w:ascii="Arial" w:cs="Arial" w:eastAsia="Arial" w:hAnsi="Arial"/>
          <w:sz w:val="18"/>
          <w:szCs w:val="18"/>
          <w:color w:val="auto"/>
        </w:rPr>
        <w:t>The Depositary shall not be liable for (i) any failure to accurately determine whether it may be lawful or practicable to make such rights available to Holders in general or any Holders in particular, (ii) any foreign exchange exposure or loss incurred in connection with such sale, or exercise, or (iii) the content of any materials forwarded to the Holders on behalf of the Company in connection with the rights distribution.</w:t>
      </w:r>
    </w:p>
    <w:p>
      <w:pPr>
        <w:spacing w:after="0" w:line="181" w:lineRule="exact"/>
        <w:rPr>
          <w:sz w:val="20"/>
          <w:szCs w:val="20"/>
          <w:color w:val="auto"/>
        </w:rPr>
      </w:pPr>
    </w:p>
    <w:p>
      <w:pPr>
        <w:ind w:firstLine="648"/>
        <w:spacing w:after="0" w:line="255" w:lineRule="auto"/>
        <w:rPr>
          <w:sz w:val="20"/>
          <w:szCs w:val="20"/>
          <w:color w:val="auto"/>
        </w:rPr>
      </w:pPr>
      <w:r>
        <w:rPr>
          <w:rFonts w:ascii="Arial" w:cs="Arial" w:eastAsia="Arial" w:hAnsi="Arial"/>
          <w:sz w:val="18"/>
          <w:szCs w:val="18"/>
          <w:color w:val="auto"/>
        </w:rPr>
        <w:t>Notwithstanding anything to the contrary in this Section 4.4, if registration (under the Securities Act or any other applicable law) of the rights or the securities to which any rights relate may be required in order for the Company to offer such rights or such securities to Holders and to sell the securities represented by such rights, the Depositary will not distribute such rights to the Holders (i) unless and until a registration statement under the Securities Act (or other applicable law) covering such offering is in effect or (ii) unless the Company furnishes the Depositary opinion(s) of counsel for the Company in the United States and counsel to the Company in any other applicable country in which rights would be distributed, in each case satisfactory to the Depositary, to the effect that the offering and sale of such securities to Holders and Beneficial Owners are exempt from, or do not require registration under, the provisions of the Securities Act or any other applicable laws.</w:t>
      </w:r>
    </w:p>
    <w:p>
      <w:pPr>
        <w:spacing w:after="0" w:line="290" w:lineRule="exact"/>
        <w:rPr>
          <w:sz w:val="20"/>
          <w:szCs w:val="20"/>
          <w:color w:val="auto"/>
        </w:rPr>
      </w:pPr>
    </w:p>
    <w:p>
      <w:pPr>
        <w:jc w:val="center"/>
        <w:ind w:right="-19"/>
        <w:spacing w:after="0"/>
        <w:rPr>
          <w:sz w:val="20"/>
          <w:szCs w:val="20"/>
          <w:color w:val="auto"/>
        </w:rPr>
      </w:pPr>
      <w:r>
        <w:rPr>
          <w:rFonts w:ascii="Arial" w:cs="Arial" w:eastAsia="Arial" w:hAnsi="Arial"/>
          <w:sz w:val="22"/>
          <w:szCs w:val="22"/>
          <w:color w:val="auto"/>
        </w:rPr>
        <w:t>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7620</wp:posOffset>
            </wp:positionV>
            <wp:extent cx="7246620" cy="17145"/>
            <wp:wrapNone/>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pic:cNvPicPr>
                      <a:picLocks noChangeAspect="1" noChangeArrowheads="1"/>
                    </pic:cNvPicPr>
                  </pic:nvPicPr>
                  <pic:blipFill>
                    <a:blip r:embed="rId58">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00"/>
          </w:cols>
          <w:pgMar w:left="240" w:top="337" w:right="259" w:bottom="1440" w:gutter="0" w:footer="0" w:header="0"/>
        </w:sectPr>
      </w:pPr>
    </w:p>
    <w:bookmarkStart w:id="40" w:name="page41"/>
    <w:bookmarkEnd w:id="40"/>
    <w:p>
      <w:pPr>
        <w:ind w:right="200" w:firstLine="648"/>
        <w:spacing w:after="0" w:line="273" w:lineRule="auto"/>
        <w:rPr>
          <w:sz w:val="20"/>
          <w:szCs w:val="20"/>
          <w:color w:val="auto"/>
        </w:rPr>
      </w:pPr>
      <w:r>
        <w:rPr>
          <w:rFonts w:ascii="Arial" w:cs="Arial" w:eastAsia="Arial" w:hAnsi="Arial"/>
          <w:sz w:val="17"/>
          <w:szCs w:val="17"/>
          <w:color w:val="auto"/>
        </w:rPr>
        <w:t>In the event that the Company, the Depositary or the Custodian shall be required to withhold and does withhold from any distribution of Deposited Property (including rights) an amount on account of taxes or other governmental charges, the amount distributed to the Holders of ADSs shall be reduced accordingly. In the event that the Depositary determines that any distribution of Deposited Property (including Shares and rights to subscribe therefor) is subject to any tax or other governmental charges which the Depositary is obligated to withhold, the Depositary may dispose of all or a portion of such Deposited Property (including Shares and rights to subscribe therefor) in such amounts and in such manner, including by public or private sale, as the Depositary deems necessary and practicable to pay any such taxes or charges.</w:t>
      </w:r>
    </w:p>
    <w:p>
      <w:pPr>
        <w:spacing w:after="0" w:line="178" w:lineRule="exact"/>
        <w:rPr>
          <w:sz w:val="20"/>
          <w:szCs w:val="20"/>
          <w:color w:val="auto"/>
        </w:rPr>
      </w:pPr>
    </w:p>
    <w:p>
      <w:pPr>
        <w:ind w:firstLine="648"/>
        <w:spacing w:after="0" w:line="264" w:lineRule="auto"/>
        <w:rPr>
          <w:sz w:val="20"/>
          <w:szCs w:val="20"/>
          <w:color w:val="auto"/>
        </w:rPr>
      </w:pPr>
      <w:r>
        <w:rPr>
          <w:rFonts w:ascii="Arial" w:cs="Arial" w:eastAsia="Arial" w:hAnsi="Arial"/>
          <w:sz w:val="18"/>
          <w:szCs w:val="18"/>
          <w:color w:val="auto"/>
        </w:rPr>
        <w:t>There can be no assurance that Holders generally, or any Holder in particular, will be given the opportunity to receive or exercise rights on the same terms and conditions as the holders of Shares or be able to exercise such rights. Nothing herein shall obligate the Company to file any registration statement in respect of any rights or Shares or other securities to be acquired upon the exercise of such rights.</w:t>
      </w:r>
    </w:p>
    <w:p>
      <w:pPr>
        <w:spacing w:after="0" w:line="177" w:lineRule="exact"/>
        <w:rPr>
          <w:sz w:val="20"/>
          <w:szCs w:val="20"/>
          <w:color w:val="auto"/>
        </w:rPr>
      </w:pPr>
    </w:p>
    <w:p>
      <w:pPr>
        <w:ind w:left="660"/>
        <w:spacing w:after="0"/>
        <w:tabs>
          <w:tab w:leader="none" w:pos="1960" w:val="left"/>
        </w:tabs>
        <w:rPr>
          <w:sz w:val="20"/>
          <w:szCs w:val="20"/>
          <w:color w:val="auto"/>
        </w:rPr>
      </w:pPr>
      <w:r>
        <w:rPr>
          <w:rFonts w:ascii="Arial" w:cs="Arial" w:eastAsia="Arial" w:hAnsi="Arial"/>
          <w:sz w:val="18"/>
          <w:szCs w:val="18"/>
          <w:b w:val="1"/>
          <w:bCs w:val="1"/>
          <w:color w:val="auto"/>
        </w:rPr>
        <w:t>Section 4.5</w:t>
      </w:r>
      <w:r>
        <w:rPr>
          <w:sz w:val="20"/>
          <w:szCs w:val="20"/>
          <w:color w:val="auto"/>
        </w:rPr>
        <w:tab/>
      </w:r>
      <w:r>
        <w:rPr>
          <w:rFonts w:ascii="Arial" w:cs="Arial" w:eastAsia="Arial" w:hAnsi="Arial"/>
          <w:sz w:val="16"/>
          <w:szCs w:val="16"/>
          <w:b w:val="1"/>
          <w:bCs w:val="1"/>
          <w:u w:val="single" w:color="auto"/>
          <w:color w:val="auto"/>
        </w:rPr>
        <w:t>Distributions Other Than Cash, Shares or Rights to Purchase Shares.</w:t>
      </w:r>
    </w:p>
    <w:p>
      <w:pPr>
        <w:spacing w:after="0" w:line="229" w:lineRule="exact"/>
        <w:rPr>
          <w:sz w:val="20"/>
          <w:szCs w:val="20"/>
          <w:color w:val="auto"/>
        </w:rPr>
      </w:pPr>
    </w:p>
    <w:p>
      <w:pPr>
        <w:ind w:right="60" w:firstLine="656"/>
        <w:spacing w:after="0" w:line="255" w:lineRule="auto"/>
        <w:tabs>
          <w:tab w:leader="none" w:pos="1173" w:val="left"/>
        </w:tabs>
        <w:numPr>
          <w:ilvl w:val="1"/>
          <w:numId w:val="21"/>
        </w:numPr>
        <w:rPr>
          <w:rFonts w:ascii="Arial" w:cs="Arial" w:eastAsia="Arial" w:hAnsi="Arial"/>
          <w:sz w:val="18"/>
          <w:szCs w:val="18"/>
          <w:b w:val="1"/>
          <w:bCs w:val="1"/>
          <w:color w:val="auto"/>
        </w:rPr>
      </w:pPr>
      <w:r>
        <w:rPr>
          <w:rFonts w:ascii="Arial" w:cs="Arial" w:eastAsia="Arial" w:hAnsi="Arial"/>
          <w:sz w:val="18"/>
          <w:szCs w:val="18"/>
          <w:color w:val="auto"/>
        </w:rPr>
        <w:t>Whenever the Company intends to distribute to the holders of Deposited Securities property other than cash, Shares or rights to purchase additional Shares, the Company shall give timely notice thereof to the Depositary and shall indicate whether or not it wishes such distribution to be made to Holders of ADSs. Upon receipt of a notice indicating that the Company wishes such distribution to be made to Holders of ADSs, the Depositary shall consult with the Company, and the Company shall assist the Depositary, to determine whether such distribution to Holders is lawful and reasonably practicable. The Depositary shall not make such distribution unless (i) the Company shall have requested the Depositary to make such distribution to Holders, (ii) the Depositary shall have received satisfactory documentation within the terms of Section 5.7, and (iii) the Depositary shall have determined that such distribution is reasonably practicable.</w:t>
      </w:r>
    </w:p>
    <w:p>
      <w:pPr>
        <w:spacing w:after="0" w:line="189" w:lineRule="exact"/>
        <w:rPr>
          <w:rFonts w:ascii="Arial" w:cs="Arial" w:eastAsia="Arial" w:hAnsi="Arial"/>
          <w:sz w:val="18"/>
          <w:szCs w:val="18"/>
          <w:b w:val="1"/>
          <w:bCs w:val="1"/>
          <w:color w:val="auto"/>
        </w:rPr>
      </w:pPr>
    </w:p>
    <w:p>
      <w:pPr>
        <w:ind w:right="60" w:firstLine="656"/>
        <w:spacing w:after="0" w:line="288" w:lineRule="auto"/>
        <w:tabs>
          <w:tab w:leader="none" w:pos="1228" w:val="left"/>
        </w:tabs>
        <w:numPr>
          <w:ilvl w:val="1"/>
          <w:numId w:val="21"/>
        </w:numPr>
        <w:rPr>
          <w:rFonts w:ascii="Arial" w:cs="Arial" w:eastAsia="Arial" w:hAnsi="Arial"/>
          <w:sz w:val="16"/>
          <w:szCs w:val="16"/>
          <w:b w:val="1"/>
          <w:bCs w:val="1"/>
          <w:color w:val="auto"/>
        </w:rPr>
      </w:pPr>
      <w:r>
        <w:rPr>
          <w:rFonts w:ascii="Arial" w:cs="Arial" w:eastAsia="Arial" w:hAnsi="Arial"/>
          <w:sz w:val="16"/>
          <w:szCs w:val="16"/>
          <w:color w:val="auto"/>
        </w:rPr>
        <w:t>Upon receipt of satisfactory documentation and the request of the Company to distribute property to Holders of ADSs and after making the requisite determinations set forth in (a) above, the Depositary shall distribute the property so received to the Holders of record, as of the ADS Record Date, in proportion to the number of ADSs held by them respectively and in such manner as the Depositary may deem practicable for accomplishing such distribution</w:t>
      </w:r>
    </w:p>
    <w:p>
      <w:pPr>
        <w:ind w:right="160" w:firstLine="8"/>
        <w:spacing w:after="0" w:line="254" w:lineRule="auto"/>
        <w:tabs>
          <w:tab w:leader="none" w:pos="215" w:val="left"/>
        </w:tabs>
        <w:numPr>
          <w:ilvl w:val="0"/>
          <w:numId w:val="22"/>
        </w:numPr>
        <w:rPr>
          <w:rFonts w:ascii="Arial" w:cs="Arial" w:eastAsia="Arial" w:hAnsi="Arial"/>
          <w:sz w:val="18"/>
          <w:szCs w:val="18"/>
          <w:color w:val="auto"/>
        </w:rPr>
      </w:pPr>
      <w:r>
        <w:rPr>
          <w:rFonts w:ascii="Arial" w:cs="Arial" w:eastAsia="Arial" w:hAnsi="Arial"/>
          <w:sz w:val="18"/>
          <w:szCs w:val="18"/>
          <w:color w:val="auto"/>
        </w:rPr>
        <w:t>upon receipt of payment or net of the applicable fees and charges of, and expenses incurred by, the Depositary, and (ii) net of any applicable taxes withheld. The Depositary may dispose of all or a portion of the property so distributed and deposited, in such amounts and in such manner (including public or private sale) as the Depositary may deem practicable or necessary to satisfy any taxes (including applicable interest and penalties) or other governmental charges applicable to the distribution.</w:t>
      </w:r>
    </w:p>
    <w:p>
      <w:pPr>
        <w:spacing w:after="0" w:line="291"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7620</wp:posOffset>
            </wp:positionV>
            <wp:extent cx="7246620" cy="17145"/>
            <wp:wrapNone/>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pic:cNvPicPr>
                      <a:picLocks noChangeAspect="1" noChangeArrowheads="1"/>
                    </pic:cNvPicPr>
                  </pic:nvPicPr>
                  <pic:blipFill>
                    <a:blip r:embed="rId59">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341" w:right="239" w:bottom="1440" w:gutter="0" w:footer="0" w:header="0"/>
        </w:sectPr>
      </w:pPr>
    </w:p>
    <w:bookmarkStart w:id="41" w:name="page42"/>
    <w:bookmarkEnd w:id="41"/>
    <w:p>
      <w:pPr>
        <w:ind w:right="40" w:firstLine="656"/>
        <w:spacing w:after="0" w:line="285" w:lineRule="auto"/>
        <w:tabs>
          <w:tab w:leader="none" w:pos="1208" w:val="left"/>
        </w:tabs>
        <w:numPr>
          <w:ilvl w:val="1"/>
          <w:numId w:val="23"/>
        </w:numPr>
        <w:rPr>
          <w:rFonts w:ascii="Arial" w:cs="Arial" w:eastAsia="Arial" w:hAnsi="Arial"/>
          <w:sz w:val="16"/>
          <w:szCs w:val="16"/>
          <w:b w:val="1"/>
          <w:bCs w:val="1"/>
          <w:color w:val="auto"/>
        </w:rPr>
      </w:pPr>
      <w:r>
        <w:rPr>
          <w:rFonts w:ascii="Arial" w:cs="Arial" w:eastAsia="Arial" w:hAnsi="Arial"/>
          <w:sz w:val="16"/>
          <w:szCs w:val="16"/>
          <w:color w:val="auto"/>
        </w:rPr>
        <w:t>If (i) the Company does not request the Depositary to make such distribution to Holders or requests the Depositary not to make such distribution to Holders, (ii) the Depositary does not receive satisfactory documentation within the terms of Section 5.7, or (iii) the Depositary determines that all or a portion of such distribution is not reasonably practicable, the Depositary shall sell or cause such property to be sold in a public or private sale, at such place or places and upon such terms as it may deem practicable and shall (i) cause the proceeds of such sale, if any, to be converted into Dollars and (ii) distribute the proceeds of such conversion received by the Depositary (net of applicable (a) fees and charges of, and expenses incurred by, the Depositary and</w:t>
      </w:r>
    </w:p>
    <w:p>
      <w:pPr>
        <w:spacing w:after="0" w:line="2" w:lineRule="exact"/>
        <w:rPr>
          <w:rFonts w:ascii="Arial" w:cs="Arial" w:eastAsia="Arial" w:hAnsi="Arial"/>
          <w:sz w:val="16"/>
          <w:szCs w:val="16"/>
          <w:b w:val="1"/>
          <w:bCs w:val="1"/>
          <w:color w:val="auto"/>
        </w:rPr>
      </w:pPr>
    </w:p>
    <w:p>
      <w:pPr>
        <w:ind w:right="460" w:firstLine="8"/>
        <w:spacing w:after="0" w:line="290" w:lineRule="auto"/>
        <w:tabs>
          <w:tab w:leader="none" w:pos="255" w:val="left"/>
        </w:tabs>
        <w:numPr>
          <w:ilvl w:val="0"/>
          <w:numId w:val="24"/>
        </w:numPr>
        <w:rPr>
          <w:rFonts w:ascii="Arial" w:cs="Arial" w:eastAsia="Arial" w:hAnsi="Arial"/>
          <w:sz w:val="17"/>
          <w:szCs w:val="17"/>
          <w:color w:val="auto"/>
        </w:rPr>
      </w:pPr>
      <w:r>
        <w:rPr>
          <w:rFonts w:ascii="Arial" w:cs="Arial" w:eastAsia="Arial" w:hAnsi="Arial"/>
          <w:sz w:val="17"/>
          <w:szCs w:val="17"/>
          <w:color w:val="auto"/>
        </w:rPr>
        <w:t>taxes) to the Holders as of the ADS Record Date upon the terms of Section 4.1. If the Depositary is unable to sell such property, the Depositary may dispose of such property for the account of the Holders in any way it deems reasonably practicable under the circumstances.</w:t>
      </w:r>
    </w:p>
    <w:p>
      <w:pPr>
        <w:spacing w:after="0" w:line="161" w:lineRule="exact"/>
        <w:rPr>
          <w:rFonts w:ascii="Arial" w:cs="Arial" w:eastAsia="Arial" w:hAnsi="Arial"/>
          <w:sz w:val="17"/>
          <w:szCs w:val="17"/>
          <w:color w:val="auto"/>
        </w:rPr>
      </w:pPr>
    </w:p>
    <w:p>
      <w:pPr>
        <w:jc w:val="both"/>
        <w:ind w:right="60" w:firstLine="656"/>
        <w:spacing w:after="0" w:line="264" w:lineRule="auto"/>
        <w:tabs>
          <w:tab w:leader="none" w:pos="1228" w:val="left"/>
        </w:tabs>
        <w:numPr>
          <w:ilvl w:val="1"/>
          <w:numId w:val="24"/>
        </w:numPr>
        <w:rPr>
          <w:rFonts w:ascii="Arial" w:cs="Arial" w:eastAsia="Arial" w:hAnsi="Arial"/>
          <w:sz w:val="18"/>
          <w:szCs w:val="18"/>
          <w:b w:val="1"/>
          <w:bCs w:val="1"/>
          <w:color w:val="auto"/>
        </w:rPr>
      </w:pPr>
      <w:r>
        <w:rPr>
          <w:rFonts w:ascii="Arial" w:cs="Arial" w:eastAsia="Arial" w:hAnsi="Arial"/>
          <w:sz w:val="18"/>
          <w:szCs w:val="18"/>
          <w:color w:val="auto"/>
        </w:rPr>
        <w:t>Neither the Depositary nor the Company shall be liable for (i) any failure to accurately determine whether it is lawful or practicable to make the property described in this Section 4.5 available to Holders in general or any Holders in particular, nor (ii) any loss incurred in connection with the sale or disposal of such property.</w:t>
      </w:r>
    </w:p>
    <w:p>
      <w:pPr>
        <w:spacing w:after="0" w:line="177" w:lineRule="exact"/>
        <w:rPr>
          <w:sz w:val="20"/>
          <w:szCs w:val="20"/>
          <w:color w:val="auto"/>
        </w:rPr>
      </w:pPr>
    </w:p>
    <w:p>
      <w:pPr>
        <w:ind w:right="100" w:firstLine="648"/>
        <w:spacing w:after="0" w:line="277" w:lineRule="auto"/>
        <w:rPr>
          <w:sz w:val="20"/>
          <w:szCs w:val="20"/>
          <w:color w:val="auto"/>
        </w:rPr>
      </w:pPr>
      <w:r>
        <w:rPr>
          <w:rFonts w:ascii="Arial" w:cs="Arial" w:eastAsia="Arial" w:hAnsi="Arial"/>
          <w:sz w:val="17"/>
          <w:szCs w:val="17"/>
          <w:b w:val="1"/>
          <w:bCs w:val="1"/>
          <w:color w:val="auto"/>
        </w:rPr>
        <w:t xml:space="preserve">Section 4.6 </w:t>
      </w:r>
      <w:r>
        <w:rPr>
          <w:rFonts w:ascii="Arial" w:cs="Arial" w:eastAsia="Arial" w:hAnsi="Arial"/>
          <w:sz w:val="17"/>
          <w:szCs w:val="17"/>
          <w:b w:val="1"/>
          <w:bCs w:val="1"/>
          <w:u w:val="single" w:color="auto"/>
          <w:color w:val="auto"/>
        </w:rPr>
        <w:t>Distributions with Respect to Deposited Securities in Bearer Form.</w:t>
      </w:r>
      <w:r>
        <w:rPr>
          <w:rFonts w:ascii="Arial" w:cs="Arial" w:eastAsia="Arial" w:hAnsi="Arial"/>
          <w:sz w:val="17"/>
          <w:szCs w:val="17"/>
          <w:b w:val="1"/>
          <w:bCs w:val="1"/>
          <w:color w:val="auto"/>
        </w:rPr>
        <w:t xml:space="preserve"> </w:t>
      </w:r>
      <w:r>
        <w:rPr>
          <w:rFonts w:ascii="Arial" w:cs="Arial" w:eastAsia="Arial" w:hAnsi="Arial"/>
          <w:sz w:val="17"/>
          <w:szCs w:val="17"/>
          <w:color w:val="auto"/>
        </w:rPr>
        <w:t>Subject to the terms of this Article IV, distributions in</w:t>
      </w:r>
      <w:r>
        <w:rPr>
          <w:rFonts w:ascii="Arial" w:cs="Arial" w:eastAsia="Arial" w:hAnsi="Arial"/>
          <w:sz w:val="17"/>
          <w:szCs w:val="17"/>
          <w:b w:val="1"/>
          <w:bCs w:val="1"/>
          <w:color w:val="auto"/>
        </w:rPr>
        <w:t xml:space="preserve"> </w:t>
      </w:r>
      <w:r>
        <w:rPr>
          <w:rFonts w:ascii="Arial" w:cs="Arial" w:eastAsia="Arial" w:hAnsi="Arial"/>
          <w:sz w:val="17"/>
          <w:szCs w:val="17"/>
          <w:color w:val="auto"/>
        </w:rPr>
        <w:t>respect of Deposited Securities that are held by the Depositary or the Custodian in bearer form shall be made to the Depositary for the account of the respective Holders of ADS(s) with respect to which any such distribution is made upon due presentation by the Depositary or the Custodian to the Company of any relevant coupons, talons, or certificates. The Company shall promptly notify the Depositary of such distributions. The Depositary or the Custodian shall promptly present such coupons, talons or certificates, as the case may be, in connection with any such distribution.</w:t>
      </w:r>
    </w:p>
    <w:p>
      <w:pPr>
        <w:spacing w:after="0" w:line="168" w:lineRule="exact"/>
        <w:rPr>
          <w:sz w:val="20"/>
          <w:szCs w:val="20"/>
          <w:color w:val="auto"/>
        </w:rPr>
      </w:pPr>
    </w:p>
    <w:p>
      <w:pPr>
        <w:ind w:firstLine="648"/>
        <w:spacing w:after="0" w:line="268" w:lineRule="auto"/>
        <w:rPr>
          <w:sz w:val="20"/>
          <w:szCs w:val="20"/>
          <w:color w:val="auto"/>
        </w:rPr>
      </w:pPr>
      <w:r>
        <w:rPr>
          <w:rFonts w:ascii="Arial" w:cs="Arial" w:eastAsia="Arial" w:hAnsi="Arial"/>
          <w:sz w:val="17"/>
          <w:szCs w:val="17"/>
          <w:b w:val="1"/>
          <w:bCs w:val="1"/>
          <w:color w:val="auto"/>
        </w:rPr>
        <w:t xml:space="preserve">Section 4.7 </w:t>
      </w:r>
      <w:r>
        <w:rPr>
          <w:rFonts w:ascii="Arial" w:cs="Arial" w:eastAsia="Arial" w:hAnsi="Arial"/>
          <w:sz w:val="17"/>
          <w:szCs w:val="17"/>
          <w:b w:val="1"/>
          <w:bCs w:val="1"/>
          <w:u w:val="single" w:color="auto"/>
          <w:color w:val="auto"/>
        </w:rPr>
        <w:t>Redemption.</w:t>
      </w:r>
      <w:r>
        <w:rPr>
          <w:rFonts w:ascii="Arial" w:cs="Arial" w:eastAsia="Arial" w:hAnsi="Arial"/>
          <w:sz w:val="17"/>
          <w:szCs w:val="17"/>
          <w:b w:val="1"/>
          <w:bCs w:val="1"/>
          <w:color w:val="auto"/>
        </w:rPr>
        <w:t xml:space="preserve"> </w:t>
      </w:r>
      <w:r>
        <w:rPr>
          <w:rFonts w:ascii="Arial" w:cs="Arial" w:eastAsia="Arial" w:hAnsi="Arial"/>
          <w:sz w:val="17"/>
          <w:szCs w:val="17"/>
          <w:color w:val="auto"/>
        </w:rPr>
        <w:t>If the Company intends to exercise any right of redemption in respect of any of the Deposited Securities, the</w:t>
      </w:r>
      <w:r>
        <w:rPr>
          <w:rFonts w:ascii="Arial" w:cs="Arial" w:eastAsia="Arial" w:hAnsi="Arial"/>
          <w:sz w:val="17"/>
          <w:szCs w:val="17"/>
          <w:b w:val="1"/>
          <w:bCs w:val="1"/>
          <w:color w:val="auto"/>
        </w:rPr>
        <w:t xml:space="preserve"> </w:t>
      </w:r>
      <w:r>
        <w:rPr>
          <w:rFonts w:ascii="Arial" w:cs="Arial" w:eastAsia="Arial" w:hAnsi="Arial"/>
          <w:sz w:val="17"/>
          <w:szCs w:val="17"/>
          <w:color w:val="auto"/>
        </w:rPr>
        <w:t>Company shall give notice thereof to the Depositary at least sixty (60) days (or such other number of days as mutually agreed to in writing by the Depositary and the Company) prior to the intended date of redemption which notice shall set forth the particulars of the proposed redemption. Upon timely receipt of (i) such notice and (ii) satisfactory documentation given by the Company to the Depositary within the terms of Section 5.7, and only if the Depositary shall have determined that such proposed redemption is practicable, the Depositary shall provide to each Holder a notice setting forth the intended exercise by the Company of the redemption rights and any other particulars set forth in the Company’s notice to the Depositary. The Depositary shall instruct the Custodian to present to the Company the Deposited Securities in respect of which redemption rights are being exercised against payment of the applicable redemption price. Upon receipt of confirmation from the Custodian that the redemption has taken place and that funds representing the redemption price have been received, the Depositary shall convert, transfer, and distribute the proceeds (net of applicable (a) fees and charges of, and the expenses incurred by, the Depositary, and (b) taxes), retire ADSs and cancel ADRs, if applicable, upon delivery of such ADSs by Holders thereof and the terms set forth in Sections 4.1 and 6.2. If less than all outstanding Deposited Securities are redeemed, the ADSs to be retired will be selected by lot or on a pro rata basis, as may be determined by the Depositary. The redemption price per ADS shall be the dollar equivalent of the per share amount received by the Depositary (adjusted to reflect the ADS(s)-to-Share(s) ratio) upon the redemption of the Deposited Securities represented by ADSs (subject to the terms of Section 4.8 and the applicable fees and charges of, and expenses incurred by, the Depositary, and applicable taxes) multiplied by the number of Deposited Securities represented by each ADS redeemed.</w:t>
      </w:r>
    </w:p>
    <w:p>
      <w:pPr>
        <w:spacing w:after="0" w:line="288" w:lineRule="exact"/>
        <w:rPr>
          <w:sz w:val="20"/>
          <w:szCs w:val="20"/>
          <w:color w:val="auto"/>
        </w:rPr>
      </w:pPr>
    </w:p>
    <w:p>
      <w:pPr>
        <w:jc w:val="center"/>
        <w:ind w:right="-39"/>
        <w:spacing w:after="0"/>
        <w:rPr>
          <w:sz w:val="20"/>
          <w:szCs w:val="20"/>
          <w:color w:val="auto"/>
        </w:rPr>
      </w:pPr>
      <w:r>
        <w:rPr>
          <w:rFonts w:ascii="Arial" w:cs="Arial" w:eastAsia="Arial" w:hAnsi="Arial"/>
          <w:sz w:val="22"/>
          <w:szCs w:val="22"/>
          <w:color w:val="auto"/>
        </w:rPr>
        <w:t>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7620</wp:posOffset>
            </wp:positionV>
            <wp:extent cx="7246620" cy="17145"/>
            <wp:wrapNone/>
            <wp:docPr id="53" name="Picture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pic:cNvPicPr>
                      <a:picLocks noChangeAspect="1" noChangeArrowheads="1"/>
                    </pic:cNvPicPr>
                  </pic:nvPicPr>
                  <pic:blipFill>
                    <a:blip r:embed="rId60">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380"/>
          </w:cols>
          <w:pgMar w:left="240" w:top="341" w:right="279" w:bottom="1440" w:gutter="0" w:footer="0" w:header="0"/>
        </w:sectPr>
      </w:pPr>
    </w:p>
    <w:bookmarkStart w:id="42" w:name="page43"/>
    <w:bookmarkEnd w:id="42"/>
    <w:p>
      <w:pPr>
        <w:ind w:right="20" w:firstLine="648"/>
        <w:spacing w:after="0" w:line="257" w:lineRule="auto"/>
        <w:rPr>
          <w:sz w:val="20"/>
          <w:szCs w:val="20"/>
          <w:color w:val="auto"/>
        </w:rPr>
      </w:pPr>
      <w:r>
        <w:rPr>
          <w:rFonts w:ascii="Arial" w:cs="Arial" w:eastAsia="Arial" w:hAnsi="Arial"/>
          <w:sz w:val="18"/>
          <w:szCs w:val="18"/>
          <w:color w:val="auto"/>
        </w:rPr>
        <w:t>Notwithstanding anything contained in the Deposit Agreement to the contrary, in the event the Company fails to give the Depositary timely notice of the proposed redemption provided for in this Section 4.7, the Depositary agrees to use commercially reasonable efforts to perform the actions contemplated in this Section 4.7, and the Company, the Holders and the Beneficial Owners acknowledge that the Depositary shall have no liability for the Depositary’s failure to perform the actions contemplated in this Section 4.7 where such notice has not been so timely given, other than its failure to use commercially reasonable efforts, as provided herein.</w:t>
      </w:r>
    </w:p>
    <w:p>
      <w:pPr>
        <w:spacing w:after="0" w:line="184" w:lineRule="exact"/>
        <w:rPr>
          <w:sz w:val="20"/>
          <w:szCs w:val="20"/>
          <w:color w:val="auto"/>
        </w:rPr>
      </w:pPr>
    </w:p>
    <w:p>
      <w:pPr>
        <w:ind w:firstLine="648"/>
        <w:spacing w:after="0" w:line="289" w:lineRule="auto"/>
        <w:rPr>
          <w:sz w:val="20"/>
          <w:szCs w:val="20"/>
          <w:color w:val="auto"/>
        </w:rPr>
      </w:pPr>
      <w:r>
        <w:rPr>
          <w:rFonts w:ascii="Arial" w:cs="Arial" w:eastAsia="Arial" w:hAnsi="Arial"/>
          <w:sz w:val="16"/>
          <w:szCs w:val="16"/>
          <w:b w:val="1"/>
          <w:bCs w:val="1"/>
          <w:color w:val="auto"/>
        </w:rPr>
        <w:t xml:space="preserve">Section 4.8 </w:t>
      </w:r>
      <w:r>
        <w:rPr>
          <w:rFonts w:ascii="Arial" w:cs="Arial" w:eastAsia="Arial" w:hAnsi="Arial"/>
          <w:sz w:val="16"/>
          <w:szCs w:val="16"/>
          <w:b w:val="1"/>
          <w:bCs w:val="1"/>
          <w:u w:val="single" w:color="auto"/>
          <w:color w:val="auto"/>
        </w:rPr>
        <w:t>Conversion of Foreign Currency.</w:t>
      </w:r>
      <w:r>
        <w:rPr>
          <w:rFonts w:ascii="Arial" w:cs="Arial" w:eastAsia="Arial" w:hAnsi="Arial"/>
          <w:sz w:val="16"/>
          <w:szCs w:val="16"/>
          <w:b w:val="1"/>
          <w:bCs w:val="1"/>
          <w:color w:val="auto"/>
        </w:rPr>
        <w:t xml:space="preserve"> </w:t>
      </w:r>
      <w:r>
        <w:rPr>
          <w:rFonts w:ascii="Arial" w:cs="Arial" w:eastAsia="Arial" w:hAnsi="Arial"/>
          <w:sz w:val="16"/>
          <w:szCs w:val="16"/>
          <w:color w:val="auto"/>
        </w:rPr>
        <w:t>Whenever the Depositary or the Custodian shall receive Foreign Currency, by way of</w:t>
      </w:r>
      <w:r>
        <w:rPr>
          <w:rFonts w:ascii="Arial" w:cs="Arial" w:eastAsia="Arial" w:hAnsi="Arial"/>
          <w:sz w:val="16"/>
          <w:szCs w:val="16"/>
          <w:b w:val="1"/>
          <w:bCs w:val="1"/>
          <w:color w:val="auto"/>
        </w:rPr>
        <w:t xml:space="preserve"> </w:t>
      </w:r>
      <w:r>
        <w:rPr>
          <w:rFonts w:ascii="Arial" w:cs="Arial" w:eastAsia="Arial" w:hAnsi="Arial"/>
          <w:sz w:val="16"/>
          <w:szCs w:val="16"/>
          <w:color w:val="auto"/>
        </w:rPr>
        <w:t>dividends or other distributions or the net proceeds from the sale of Deposited Property, which in the judgment of the Depositary can at such time be converted on a practicable basis, by sale or in any other manner that it may determine in accordance with applicable law, into Dollars transferable to the United States and distributable to the Holders entitled thereto, the Depositary shall convert or cause to be converted, by sale or in any other manner that it may determine, such Foreign Currency into Dollars, and shall distribute such Dollars (net of any applicable fees, any reasonable and customary expenses incurred in such conversion and any expenses incurred on behalf of the Holders in complying with currency exchange control or other governmental requirements) in accordance with the terms of the applicable sections of the Deposit Agreement. If the Depositary shall have distributed warrants or other instruments that entitle the holders thereof to such Dollars, the Depositary shall distribute such Dollars to the holders of such warrants and/or instruments upon surrender thereof for cancellation, in either case without liability for interest thereon. Such distribution may be made upon an averaged or other practicable basis without regard to any distinctions among Holders on account of any application of exchange restrictions or otherwise.</w:t>
      </w:r>
    </w:p>
    <w:p>
      <w:pPr>
        <w:spacing w:after="0" w:line="165" w:lineRule="exact"/>
        <w:rPr>
          <w:sz w:val="20"/>
          <w:szCs w:val="20"/>
          <w:color w:val="auto"/>
        </w:rPr>
      </w:pPr>
    </w:p>
    <w:p>
      <w:pPr>
        <w:ind w:right="60" w:firstLine="648"/>
        <w:spacing w:after="0" w:line="264" w:lineRule="auto"/>
        <w:rPr>
          <w:sz w:val="20"/>
          <w:szCs w:val="20"/>
          <w:color w:val="auto"/>
        </w:rPr>
      </w:pPr>
      <w:r>
        <w:rPr>
          <w:rFonts w:ascii="Arial" w:cs="Arial" w:eastAsia="Arial" w:hAnsi="Arial"/>
          <w:sz w:val="18"/>
          <w:szCs w:val="18"/>
          <w:color w:val="auto"/>
        </w:rPr>
        <w:t>If such conversion or distribution generally or with regard to a particular Holder can be effected only with the approval or license of any government or agency thereof, the Depositary shall have authority to file such application for approval or license, if any, as it may deem desirable. In no event, however, shall the Depositary be obligated to make such a filing.</w:t>
      </w:r>
    </w:p>
    <w:p>
      <w:pPr>
        <w:spacing w:after="0" w:line="181" w:lineRule="exact"/>
        <w:rPr>
          <w:sz w:val="20"/>
          <w:szCs w:val="20"/>
          <w:color w:val="auto"/>
        </w:rPr>
      </w:pPr>
    </w:p>
    <w:p>
      <w:pPr>
        <w:ind w:right="60" w:firstLine="648"/>
        <w:spacing w:after="0" w:line="272" w:lineRule="auto"/>
        <w:rPr>
          <w:sz w:val="20"/>
          <w:szCs w:val="20"/>
          <w:color w:val="auto"/>
        </w:rPr>
      </w:pPr>
      <w:r>
        <w:rPr>
          <w:rFonts w:ascii="Arial" w:cs="Arial" w:eastAsia="Arial" w:hAnsi="Arial"/>
          <w:sz w:val="17"/>
          <w:szCs w:val="17"/>
          <w:color w:val="auto"/>
        </w:rPr>
        <w:t>If at any time the Depositary shall determine that in its judgment the conversion of any Foreign Currency and the transfer and distribution of proceeds of such conversion received by the Depositary is not practicable or lawful, or if any approval or license of any governmental authority or agency thereof that is required for such conversion, transfer and distribution is denied or, in the opinion of the Depositary, not obtainable at a reasonable cost or within a reasonable period, the Depositary may, in its discretion, (i) make such conversion and distribution in Dollars to the Holders for whom such conversion, transfer and distribution is lawful and practicable, (ii) distribute the Foreign Currency (or an appropriate document evidencing the right to receive such Foreign Currency) to Holders for whom this is lawful and practicable, or (iii) hold (or cause the Custodian to hold) such Foreign Currency (without liability for interest thereon) for the respective accounts of the Holders entitled to receive the same.</w:t>
      </w:r>
    </w:p>
    <w:p>
      <w:pPr>
        <w:spacing w:after="0" w:line="279"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7620</wp:posOffset>
            </wp:positionV>
            <wp:extent cx="7246620" cy="17145"/>
            <wp:wrapNone/>
            <wp:docPr id="54" name="Picture 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
                    <pic:cNvPicPr>
                      <a:picLocks noChangeAspect="1" noChangeArrowheads="1"/>
                    </pic:cNvPicPr>
                  </pic:nvPicPr>
                  <pic:blipFill>
                    <a:blip r:embed="rId61">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341" w:right="239" w:bottom="1440" w:gutter="0" w:footer="0" w:header="0"/>
        </w:sectPr>
      </w:pPr>
    </w:p>
    <w:bookmarkStart w:id="43" w:name="page44"/>
    <w:bookmarkEnd w:id="43"/>
    <w:p>
      <w:pPr>
        <w:ind w:firstLine="648"/>
        <w:spacing w:after="0" w:line="269" w:lineRule="auto"/>
        <w:rPr>
          <w:sz w:val="20"/>
          <w:szCs w:val="20"/>
          <w:color w:val="auto"/>
        </w:rPr>
      </w:pPr>
      <w:r>
        <w:rPr>
          <w:rFonts w:ascii="Arial" w:cs="Arial" w:eastAsia="Arial" w:hAnsi="Arial"/>
          <w:sz w:val="17"/>
          <w:szCs w:val="17"/>
          <w:b w:val="1"/>
          <w:bCs w:val="1"/>
          <w:color w:val="auto"/>
        </w:rPr>
        <w:t xml:space="preserve">Section 4.9 </w:t>
      </w:r>
      <w:r>
        <w:rPr>
          <w:rFonts w:ascii="Arial" w:cs="Arial" w:eastAsia="Arial" w:hAnsi="Arial"/>
          <w:sz w:val="17"/>
          <w:szCs w:val="17"/>
          <w:b w:val="1"/>
          <w:bCs w:val="1"/>
          <w:u w:val="single" w:color="auto"/>
          <w:color w:val="auto"/>
        </w:rPr>
        <w:t>Fixing of ADS Record Date.</w:t>
      </w:r>
      <w:r>
        <w:rPr>
          <w:rFonts w:ascii="Arial" w:cs="Arial" w:eastAsia="Arial" w:hAnsi="Arial"/>
          <w:sz w:val="17"/>
          <w:szCs w:val="17"/>
          <w:b w:val="1"/>
          <w:bCs w:val="1"/>
          <w:color w:val="auto"/>
        </w:rPr>
        <w:t xml:space="preserve"> </w:t>
      </w:r>
      <w:r>
        <w:rPr>
          <w:rFonts w:ascii="Arial" w:cs="Arial" w:eastAsia="Arial" w:hAnsi="Arial"/>
          <w:sz w:val="17"/>
          <w:szCs w:val="17"/>
          <w:color w:val="auto"/>
        </w:rPr>
        <w:t>Whenever the Depositary shall receive notice of the fixing of a record date by the Company for the</w:t>
      </w:r>
      <w:r>
        <w:rPr>
          <w:rFonts w:ascii="Arial" w:cs="Arial" w:eastAsia="Arial" w:hAnsi="Arial"/>
          <w:sz w:val="17"/>
          <w:szCs w:val="17"/>
          <w:b w:val="1"/>
          <w:bCs w:val="1"/>
          <w:color w:val="auto"/>
        </w:rPr>
        <w:t xml:space="preserve"> </w:t>
      </w:r>
      <w:r>
        <w:rPr>
          <w:rFonts w:ascii="Arial" w:cs="Arial" w:eastAsia="Arial" w:hAnsi="Arial"/>
          <w:sz w:val="17"/>
          <w:szCs w:val="17"/>
          <w:color w:val="auto"/>
        </w:rPr>
        <w:t>determination of holders of Deposited Securities entitled to receive any distribution (whether in cash, Shares, rights, or other distribution), or whenever for any reason the Depositary causes a change in the number of Shares that are represented by each ADS, or whenever the Depositary shall receive notice of any meeting of, or solicitation of consents or proxies of, holders of Shares or other Deposited Securities, or whenever the Depositary shall find it necessary or convenient in connection with the giving of any notice, solicitation of any consent or any other matter, the Depositary shall fix the record date (the “ADS Record Date”) for the determination of the Holders of ADS(s) who shall be entitled to receive such distribution, to give instructions for the exercise of voting rights at any such meeting, to give or withhold such consent, to receive such notice or solicitation or to otherwise take action, or to exercise the rights of Holders with respect to such changed number of Shares represented by each ADS. The Depositary shall make reasonable efforts to establish the ADS Record Date as closely as practicable to the applicable record date for the Deposited Securities (if any) set by the Company in England and Wales and shall not announce the establishment of any ADS Record Date prior to the relevant corporate action having been made public by the Company (if such corporate action affects the Deposited Securities). Subject to applicable law and the provisions of Section 4.1 through 4.8 and to the other terms and conditions of the Deposit Agreement, only the Holders of ADSs at the close of business in New York on such ADS Record Date shall be entitled to receive such distribution, to give such voting instructions, to receive such notice or solicitation, or otherwise take action.</w:t>
      </w:r>
    </w:p>
    <w:p>
      <w:pPr>
        <w:spacing w:after="0" w:line="177" w:lineRule="exact"/>
        <w:rPr>
          <w:sz w:val="20"/>
          <w:szCs w:val="20"/>
          <w:color w:val="auto"/>
        </w:rPr>
      </w:pPr>
    </w:p>
    <w:p>
      <w:pPr>
        <w:ind w:right="100" w:firstLine="648"/>
        <w:spacing w:after="0" w:line="269" w:lineRule="auto"/>
        <w:rPr>
          <w:sz w:val="20"/>
          <w:szCs w:val="20"/>
          <w:color w:val="auto"/>
        </w:rPr>
      </w:pPr>
      <w:r>
        <w:rPr>
          <w:rFonts w:ascii="Arial" w:cs="Arial" w:eastAsia="Arial" w:hAnsi="Arial"/>
          <w:sz w:val="17"/>
          <w:szCs w:val="17"/>
          <w:b w:val="1"/>
          <w:bCs w:val="1"/>
          <w:color w:val="auto"/>
        </w:rPr>
        <w:t xml:space="preserve">Section 4.10 </w:t>
      </w:r>
      <w:r>
        <w:rPr>
          <w:rFonts w:ascii="Arial" w:cs="Arial" w:eastAsia="Arial" w:hAnsi="Arial"/>
          <w:sz w:val="17"/>
          <w:szCs w:val="17"/>
          <w:b w:val="1"/>
          <w:bCs w:val="1"/>
          <w:u w:val="single" w:color="auto"/>
          <w:color w:val="auto"/>
        </w:rPr>
        <w:t>Voting of Deposited Securities.</w:t>
      </w:r>
      <w:r>
        <w:rPr>
          <w:rFonts w:ascii="Arial" w:cs="Arial" w:eastAsia="Arial" w:hAnsi="Arial"/>
          <w:sz w:val="17"/>
          <w:szCs w:val="17"/>
          <w:b w:val="1"/>
          <w:bCs w:val="1"/>
          <w:color w:val="auto"/>
        </w:rPr>
        <w:t xml:space="preserve"> </w:t>
      </w:r>
      <w:r>
        <w:rPr>
          <w:rFonts w:ascii="Arial" w:cs="Arial" w:eastAsia="Arial" w:hAnsi="Arial"/>
          <w:sz w:val="17"/>
          <w:szCs w:val="17"/>
          <w:color w:val="auto"/>
        </w:rPr>
        <w:t>As soon as practicable after receipt of notice of any meeting at which the holders of Deposited</w:t>
      </w:r>
      <w:r>
        <w:rPr>
          <w:rFonts w:ascii="Arial" w:cs="Arial" w:eastAsia="Arial" w:hAnsi="Arial"/>
          <w:sz w:val="17"/>
          <w:szCs w:val="17"/>
          <w:b w:val="1"/>
          <w:bCs w:val="1"/>
          <w:color w:val="auto"/>
        </w:rPr>
        <w:t xml:space="preserve"> </w:t>
      </w:r>
      <w:r>
        <w:rPr>
          <w:rFonts w:ascii="Arial" w:cs="Arial" w:eastAsia="Arial" w:hAnsi="Arial"/>
          <w:sz w:val="17"/>
          <w:szCs w:val="17"/>
          <w:color w:val="auto"/>
        </w:rPr>
        <w:t>Securities are entitled to vote, or of solicitation of consents or proxies from holders of Deposited Securities, the Depositary shall fix the ADS Record Date in respect of such meeting or solicitation of consent or proxy in accordance with Section 4.9. The Depositary shall, if requested by the Company in writing in a timely manner (the Depositary having no obligation to take any further action if the request shall not have been received by the Depositary at least thirty (30) days prior to the date of such vote or meeting), at the Company’s expense and provided no U.S. legal prohibitions exist, distribute to Holders as of the ADS Record Date: (a) such notice of meeting or solicitation of consent or proxy, (b) a statement that the Holders at the close of business on the ADS Record Date will be entitled, subject to any applicable law, the provisions of the Deposit Agreement, the Articles of Association of the Company and the provisions of or governing the Deposited Securities (which provisions, if any, shall be summarized in pertinent part by the Company), to instruct the Depositary as to the exercise of the voting rights, if any, pertaining to the Deposited Securities represented by such Holder’s ADSs, and (c) a brief statement as to the manner in which such voting instructions may be given to the Depositary or in which voting instructions may be deemed to have been given in accordance with this Section 4.10 if no instructions are received prior to the deadline set for such purposes to the Depositary to give a discretionary proxy to a person designated by the Company.</w:t>
      </w:r>
    </w:p>
    <w:p>
      <w:pPr>
        <w:spacing w:after="0" w:line="285" w:lineRule="exact"/>
        <w:rPr>
          <w:sz w:val="20"/>
          <w:szCs w:val="20"/>
          <w:color w:val="auto"/>
        </w:rPr>
      </w:pPr>
    </w:p>
    <w:p>
      <w:pPr>
        <w:jc w:val="center"/>
        <w:ind w:right="-19"/>
        <w:spacing w:after="0"/>
        <w:rPr>
          <w:sz w:val="20"/>
          <w:szCs w:val="20"/>
          <w:color w:val="auto"/>
        </w:rPr>
      </w:pPr>
      <w:r>
        <w:rPr>
          <w:rFonts w:ascii="Arial" w:cs="Arial" w:eastAsia="Arial" w:hAnsi="Arial"/>
          <w:sz w:val="22"/>
          <w:szCs w:val="22"/>
          <w:color w:val="auto"/>
        </w:rPr>
        <w:t>27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7620</wp:posOffset>
            </wp:positionV>
            <wp:extent cx="7246620" cy="17145"/>
            <wp:wrapNone/>
            <wp:docPr id="55" name="Picture 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
                    <pic:cNvPicPr>
                      <a:picLocks noChangeAspect="1" noChangeArrowheads="1"/>
                    </pic:cNvPicPr>
                  </pic:nvPicPr>
                  <pic:blipFill>
                    <a:blip r:embed="rId62">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337" w:right="239" w:bottom="1440" w:gutter="0" w:footer="0" w:header="0"/>
        </w:sectPr>
      </w:pPr>
    </w:p>
    <w:bookmarkStart w:id="44" w:name="page45"/>
    <w:bookmarkEnd w:id="44"/>
    <w:p>
      <w:pPr>
        <w:ind w:right="40" w:firstLine="648"/>
        <w:spacing w:after="0" w:line="276" w:lineRule="auto"/>
        <w:rPr>
          <w:sz w:val="20"/>
          <w:szCs w:val="20"/>
          <w:color w:val="auto"/>
        </w:rPr>
      </w:pPr>
      <w:r>
        <w:rPr>
          <w:rFonts w:ascii="Arial" w:cs="Arial" w:eastAsia="Arial" w:hAnsi="Arial"/>
          <w:sz w:val="17"/>
          <w:szCs w:val="17"/>
          <w:color w:val="auto"/>
        </w:rPr>
        <w:t>Notwithstanding anything contained in the Deposit Agreement or any ADR, with the Company’s prior consent, the Depositary may, to the extent not prohibited by law or regulations, or by the requirements of the stock exchange on which the ADSs are listed, in lieu of distribution of the materials provided to the Depositary in connection with any meeting of, or solicitation of consents or proxies from, holders of Deposited Securities, distribute to the Holders a notice that provides Holders with, or otherwise publicizes to Holders, instructions on how to retrieve such materials or receive such materials upon request (</w:t>
      </w:r>
      <w:r>
        <w:rPr>
          <w:rFonts w:ascii="Arial" w:cs="Arial" w:eastAsia="Arial" w:hAnsi="Arial"/>
          <w:sz w:val="17"/>
          <w:szCs w:val="17"/>
          <w:i w:val="1"/>
          <w:iCs w:val="1"/>
          <w:color w:val="auto"/>
        </w:rPr>
        <w:t>e.g.</w:t>
      </w:r>
      <w:r>
        <w:rPr>
          <w:rFonts w:ascii="Arial" w:cs="Arial" w:eastAsia="Arial" w:hAnsi="Arial"/>
          <w:sz w:val="17"/>
          <w:szCs w:val="17"/>
          <w:color w:val="auto"/>
        </w:rPr>
        <w:t>, by reference to a website containing the materials for retrieval or a contact for requesting copies of the materials).</w:t>
      </w:r>
    </w:p>
    <w:p>
      <w:pPr>
        <w:spacing w:after="0" w:line="173" w:lineRule="exact"/>
        <w:rPr>
          <w:sz w:val="20"/>
          <w:szCs w:val="20"/>
          <w:color w:val="auto"/>
        </w:rPr>
      </w:pPr>
    </w:p>
    <w:p>
      <w:pPr>
        <w:ind w:right="240" w:firstLine="648"/>
        <w:spacing w:after="0" w:line="255" w:lineRule="auto"/>
        <w:rPr>
          <w:sz w:val="20"/>
          <w:szCs w:val="20"/>
          <w:color w:val="auto"/>
        </w:rPr>
      </w:pPr>
      <w:r>
        <w:rPr>
          <w:rFonts w:ascii="Arial" w:cs="Arial" w:eastAsia="Arial" w:hAnsi="Arial"/>
          <w:sz w:val="18"/>
          <w:szCs w:val="18"/>
          <w:color w:val="auto"/>
        </w:rPr>
        <w:t>The Depositary has been advised by the Company that under the Articles of Association of the Company as in effect on the date of the Deposit Agreement, voting at any meeting of shareholders of the Company is by show of hands unless a poll is demanded in accordance with the Articles of Association. The Depositary will not join in demanding a poll, whether or not requested to do so by Holders of ADSs. Under the Articles of Association of the Company as in effect on the date of the Deposit Agreement, a poll may be demanded by (a) the chairman of the Company’s board of directors, (b) a majority of the directors of the Company, (c) two or more shareholders present and having the right to vote on the resolution, or (d) any shareholder(s) representing not less than 10% of the total voting rights of all the shareholders having the right to vote on the resolution (excluding any Shares held in treasury).</w:t>
      </w:r>
    </w:p>
    <w:p>
      <w:pPr>
        <w:spacing w:after="0" w:line="189" w:lineRule="exact"/>
        <w:rPr>
          <w:sz w:val="20"/>
          <w:szCs w:val="20"/>
          <w:color w:val="auto"/>
        </w:rPr>
      </w:pPr>
    </w:p>
    <w:p>
      <w:pPr>
        <w:ind w:right="20" w:firstLine="648"/>
        <w:spacing w:after="0" w:line="268" w:lineRule="auto"/>
        <w:rPr>
          <w:sz w:val="20"/>
          <w:szCs w:val="20"/>
          <w:color w:val="auto"/>
        </w:rPr>
      </w:pPr>
      <w:r>
        <w:rPr>
          <w:rFonts w:ascii="Arial" w:cs="Arial" w:eastAsia="Arial" w:hAnsi="Arial"/>
          <w:sz w:val="17"/>
          <w:szCs w:val="17"/>
          <w:color w:val="auto"/>
        </w:rPr>
        <w:t>Voting instructions may be given only in respect of a number of ADSs representing an integral number of Deposited Securities. Upon the timely receipt from a Holder of ADSs as of the ADS Record Date of voting instructions in the manner specified by the Depositary, the Depositary shall endeavor, insofar as practicable and permitted under applicable law, the provisions of the Deposit Agreement, Articles of Association of the Company and the provisions of the Deposited Securities, to vote, or cause the Custodian to vote, the Deposited Securities (in person or by proxy) represented by such Holder’s ADSs as follows: (a) in the event voting takes place at a shareholders’ meeting by a show of hands, the Depositary will instruct the Custodian to vote all Deposited Securities in accordance with the voting instructions timely received from a majority of Holders of ADSs who provided voting instructions, and (b) in the event voting takes place at a shareholders’ meeting by poll, the Depositary will instruct the Custodian to vote the Deposited Securities in accordance with the voting instructions timely received from the Holders of ADSs. If voting is by poll and the Depositary does not receive voting instructions from a Holder as of the ADS Record Date on or before the date established by the Depositary for such purpose, such Holder shall be deemed, and the Depositary shall deem such Holder, to have instructed the Depositary to give a discretionary proxy to a person designated by the Company to vote the Deposited Securities; provided, however, that no such discretionary proxy shall be given by the Depositary with respect to any matter to be voted upon as to which the Company informs the Depositary that (a) the Company does not wish such proxy to be given, (b) substantial opposition exists, or (c) the rights of holders of Deposited Securities may be adversely affected.</w:t>
      </w:r>
    </w:p>
    <w:p>
      <w:pPr>
        <w:spacing w:after="0" w:line="188" w:lineRule="exact"/>
        <w:rPr>
          <w:sz w:val="20"/>
          <w:szCs w:val="20"/>
          <w:color w:val="auto"/>
        </w:rPr>
      </w:pPr>
    </w:p>
    <w:p>
      <w:pPr>
        <w:ind w:firstLine="648"/>
        <w:spacing w:after="0" w:line="287" w:lineRule="auto"/>
        <w:rPr>
          <w:sz w:val="20"/>
          <w:szCs w:val="20"/>
          <w:color w:val="auto"/>
        </w:rPr>
      </w:pPr>
      <w:r>
        <w:rPr>
          <w:rFonts w:ascii="Arial" w:cs="Arial" w:eastAsia="Arial" w:hAnsi="Arial"/>
          <w:sz w:val="16"/>
          <w:szCs w:val="16"/>
          <w:color w:val="auto"/>
        </w:rPr>
        <w:t>Neither the Depositary nor the Custodian shall under any circumstances exercise any discretion as to voting and neither the Depositary nor the Custodian shall vote, attempt to exercise the right to vote, or in any way make use of, for purposes of establishing a quorum or otherwise, the Deposited Securities represented by ADSs, except pursuant to and in accordance with the voting instructions timely received from Holders or as otherwise contemplated herein. If the Depositary timely receives voting instructions from a Holder which fail to specify the manner in which the Depositary is to vote the Deposited Securities represented by such Holder’s ADSs, the Depositary will deem such Holder (unless otherwise specified in the notice distributed to Holders) to have instructed the Depositary to vote in favor of the items set forth in such voting instructions. Deposited Securities represented by ADSs for which no timely voting instructions are received by the Depositary from the Holder shall not be voted (except (a) in the case voting is by show of hands, in which case the Depositary will instruct the Custodian to vote all Deposited Securities in accordance with the voting instructions received from a majority of Holders of ADSs who timely provided voting instructions, and (b) as contemplated in this Section 4.10). Notwithstanding anything else contained herein, the Depositary shall, if so requested in writing by the Company, represent all Deposited Securities (whether or not voting instructions have been received in respect of such Deposited Securities from Holders as of the ADS Record Date) for the sole purpose of establishing quorum at a meeting of shareholders.</w:t>
      </w:r>
    </w:p>
    <w:p>
      <w:pPr>
        <w:spacing w:after="0" w:line="274" w:lineRule="exact"/>
        <w:rPr>
          <w:sz w:val="20"/>
          <w:szCs w:val="20"/>
          <w:color w:val="auto"/>
        </w:rPr>
      </w:pPr>
    </w:p>
    <w:p>
      <w:pPr>
        <w:jc w:val="center"/>
        <w:ind w:right="-19"/>
        <w:spacing w:after="0"/>
        <w:rPr>
          <w:sz w:val="20"/>
          <w:szCs w:val="20"/>
          <w:color w:val="auto"/>
        </w:rPr>
      </w:pPr>
      <w:r>
        <w:rPr>
          <w:rFonts w:ascii="Arial" w:cs="Arial" w:eastAsia="Arial" w:hAnsi="Arial"/>
          <w:sz w:val="22"/>
          <w:szCs w:val="22"/>
          <w:color w:val="auto"/>
        </w:rPr>
        <w:t>28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7620</wp:posOffset>
            </wp:positionV>
            <wp:extent cx="7246620" cy="17145"/>
            <wp:wrapNone/>
            <wp:docPr id="56" name="Picture 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
                    <pic:cNvPicPr>
                      <a:picLocks noChangeAspect="1" noChangeArrowheads="1"/>
                    </pic:cNvPicPr>
                  </pic:nvPicPr>
                  <pic:blipFill>
                    <a:blip r:embed="rId63">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341" w:right="239" w:bottom="1440" w:gutter="0" w:footer="0" w:header="0"/>
        </w:sectPr>
      </w:pPr>
    </w:p>
    <w:bookmarkStart w:id="45" w:name="page46"/>
    <w:bookmarkEnd w:id="45"/>
    <w:p>
      <w:pPr>
        <w:ind w:firstLine="648"/>
        <w:spacing w:after="0" w:line="257" w:lineRule="auto"/>
        <w:rPr>
          <w:sz w:val="20"/>
          <w:szCs w:val="20"/>
          <w:color w:val="auto"/>
        </w:rPr>
      </w:pPr>
      <w:r>
        <w:rPr>
          <w:rFonts w:ascii="Arial" w:cs="Arial" w:eastAsia="Arial" w:hAnsi="Arial"/>
          <w:sz w:val="18"/>
          <w:szCs w:val="18"/>
          <w:color w:val="auto"/>
        </w:rPr>
        <w:t>Notwithstanding anything else contained in the Deposit Agreement or any ADR, the Depositary shall not have any obligation to take any action with respect to any meeting, or solicitation of consents or proxies, of holders of Deposited Securities if the taking of such action would violate U.S. laws. The Company agrees to take any and all actions reasonably necessary and as permitted by the laws of England and Wales to enable Holders and Beneficial Owners to exercise the voting rights accruing to the Deposited Securities and to deliver to the Depositary an opinion of U.S. counsel addressing any actions requested to be taken if so requested by the Depositary.</w:t>
      </w:r>
    </w:p>
    <w:p>
      <w:pPr>
        <w:spacing w:after="0" w:line="188" w:lineRule="exact"/>
        <w:rPr>
          <w:sz w:val="20"/>
          <w:szCs w:val="20"/>
          <w:color w:val="auto"/>
        </w:rPr>
      </w:pPr>
    </w:p>
    <w:p>
      <w:pPr>
        <w:ind w:right="220" w:firstLine="648"/>
        <w:spacing w:after="0" w:line="277" w:lineRule="auto"/>
        <w:rPr>
          <w:sz w:val="20"/>
          <w:szCs w:val="20"/>
          <w:color w:val="auto"/>
        </w:rPr>
      </w:pPr>
      <w:r>
        <w:rPr>
          <w:rFonts w:ascii="Arial" w:cs="Arial" w:eastAsia="Arial" w:hAnsi="Arial"/>
          <w:sz w:val="18"/>
          <w:szCs w:val="18"/>
          <w:color w:val="auto"/>
        </w:rPr>
        <w:t>There can be no assurance that Holders generally or any Holder in particular will receive the notice described above with sufficient time to enable the Holder to return voting instructions to the Depositary in a timely manner.</w:t>
      </w:r>
    </w:p>
    <w:p>
      <w:pPr>
        <w:spacing w:after="0" w:line="166" w:lineRule="exact"/>
        <w:rPr>
          <w:sz w:val="20"/>
          <w:szCs w:val="20"/>
          <w:color w:val="auto"/>
        </w:rPr>
      </w:pPr>
    </w:p>
    <w:p>
      <w:pPr>
        <w:ind w:firstLine="648"/>
        <w:spacing w:after="0" w:line="285" w:lineRule="auto"/>
        <w:rPr>
          <w:sz w:val="20"/>
          <w:szCs w:val="20"/>
          <w:color w:val="auto"/>
        </w:rPr>
      </w:pPr>
      <w:r>
        <w:rPr>
          <w:rFonts w:ascii="Arial" w:cs="Arial" w:eastAsia="Arial" w:hAnsi="Arial"/>
          <w:sz w:val="16"/>
          <w:szCs w:val="16"/>
          <w:b w:val="1"/>
          <w:bCs w:val="1"/>
          <w:color w:val="auto"/>
        </w:rPr>
        <w:t xml:space="preserve">Section 4.11 </w:t>
      </w:r>
      <w:r>
        <w:rPr>
          <w:rFonts w:ascii="Arial" w:cs="Arial" w:eastAsia="Arial" w:hAnsi="Arial"/>
          <w:sz w:val="16"/>
          <w:szCs w:val="16"/>
          <w:b w:val="1"/>
          <w:bCs w:val="1"/>
          <w:u w:val="single" w:color="auto"/>
          <w:color w:val="auto"/>
        </w:rPr>
        <w:t>Changes Affecting Deposited Securities.</w:t>
      </w:r>
      <w:r>
        <w:rPr>
          <w:rFonts w:ascii="Arial" w:cs="Arial" w:eastAsia="Arial" w:hAnsi="Arial"/>
          <w:sz w:val="16"/>
          <w:szCs w:val="16"/>
          <w:b w:val="1"/>
          <w:bCs w:val="1"/>
          <w:color w:val="auto"/>
        </w:rPr>
        <w:t xml:space="preserve"> </w:t>
      </w:r>
      <w:r>
        <w:rPr>
          <w:rFonts w:ascii="Arial" w:cs="Arial" w:eastAsia="Arial" w:hAnsi="Arial"/>
          <w:sz w:val="16"/>
          <w:szCs w:val="16"/>
          <w:color w:val="auto"/>
        </w:rPr>
        <w:t>Upon any change in nominal or par value, split-up, cancellation, consolidation or any</w:t>
      </w:r>
      <w:r>
        <w:rPr>
          <w:rFonts w:ascii="Arial" w:cs="Arial" w:eastAsia="Arial" w:hAnsi="Arial"/>
          <w:sz w:val="16"/>
          <w:szCs w:val="16"/>
          <w:b w:val="1"/>
          <w:bCs w:val="1"/>
          <w:color w:val="auto"/>
        </w:rPr>
        <w:t xml:space="preserve"> </w:t>
      </w:r>
      <w:r>
        <w:rPr>
          <w:rFonts w:ascii="Arial" w:cs="Arial" w:eastAsia="Arial" w:hAnsi="Arial"/>
          <w:sz w:val="16"/>
          <w:szCs w:val="16"/>
          <w:color w:val="auto"/>
        </w:rPr>
        <w:t>other reclassification of Deposited Securities, or upon any recapitalization, reorganization, merger, consolidation or sale of assets affecting the Company or to which it is a party, any property which shall be received by the Depositary or the Custodian in exchange for, or in conversion of, or replacement of, or otherwise in respect of, such Deposited Securities shall, to the extent permitted by law, be treated as new Deposited Property under the Deposit Agreement, and the ADSs shall, subject to the provisions of the Deposit Agreement, any ADR(s) evidencing such ADSs and applicable law, represent the right to receive such additional or replacement Deposited Property. In giving effect to such change, split-up, cancellation, consolidation or other reclassification of Deposited Securities, recapitalization, reorganization, merger, consolidation or sale of assets, the Depositary may, with the Company’s approval, and shall, if the Company shall so request, subject to the terms of the Deposit Agreement (including, without limitation, (a) the applicable fees and charges of, and expenses incurred by, the Depositary, and (b) applicable taxes) and receipt of an opinion of counsel to the Company satisfactory to the Depositary that such actions are not in violation of any applicable laws or regulations, (i) issue and deliver additional ADSs as in the case of a stock dividend on the Shares, (ii) amend the Deposit Agreement and the applicable ADRs, (iii) amend the applicable Registration Statement(s) on Form F-6 as filed with the Commission in respect of the ADSs, (iv) call for the surrender of outstanding ADRs to be exchanged for new ADRs, and (v) take such other actions as are appropriate to reflect the transaction with respect to the ADSs. The Company agrees to, jointly with the Depositary, amend the Registration Statement on Form F-6 as filed with the Commission to permit the issuance of such new form of ADRs. Notwithstanding the foregoing, in the event that any Deposited Property so received may not be lawfully distributed to some or all Holders, the Depositary may, with the Company’s approval, and shall, if the Company requests, subject to receipt of an opinion of Company’s counsel satisfactory to the Depositary that such action is not in violation of any applicable laws or regulations, sell such Deposited Property at public or private sale, at such place or places and upon such terms as it may deem proper and may allocate the net proceeds of such sales (net of applicable (a) fees and charges of, and expenses incurred by, the Depositary and (b) taxes) for the account of the Holders otherwise entitled to such Deposited Property upon an averaged or other practicable basis without regard to any distinctions among such Holders and distribute the net proceeds so allocated to the extent practicable as in the case of a distribution received in cash pursuant to Section 4.1. The Depositary shall not be responsible for (i) any failure to determine that it may be lawful or practicable to make such Deposited Property available to Holders in general or to any Holder in particular, (ii) any foreign exchange exposure or loss incurred in connection with such sale, or (iii) any liability to the purchaser of such Deposited Property.</w:t>
      </w:r>
    </w:p>
    <w:p>
      <w:pPr>
        <w:spacing w:after="0" w:line="268" w:lineRule="exact"/>
        <w:rPr>
          <w:sz w:val="20"/>
          <w:szCs w:val="20"/>
          <w:color w:val="auto"/>
        </w:rPr>
      </w:pPr>
    </w:p>
    <w:p>
      <w:pPr>
        <w:jc w:val="center"/>
        <w:ind w:right="-39"/>
        <w:spacing w:after="0"/>
        <w:rPr>
          <w:sz w:val="20"/>
          <w:szCs w:val="20"/>
          <w:color w:val="auto"/>
        </w:rPr>
      </w:pPr>
      <w:r>
        <w:rPr>
          <w:rFonts w:ascii="Arial" w:cs="Arial" w:eastAsia="Arial" w:hAnsi="Arial"/>
          <w:sz w:val="22"/>
          <w:szCs w:val="22"/>
          <w:color w:val="auto"/>
        </w:rPr>
        <w:t>29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7620</wp:posOffset>
            </wp:positionV>
            <wp:extent cx="7246620" cy="17145"/>
            <wp:wrapNone/>
            <wp:docPr id="57" name="Picture 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
                    <pic:cNvPicPr>
                      <a:picLocks noChangeAspect="1" noChangeArrowheads="1"/>
                    </pic:cNvPicPr>
                  </pic:nvPicPr>
                  <pic:blipFill>
                    <a:blip r:embed="rId64">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380"/>
          </w:cols>
          <w:pgMar w:left="240" w:top="341" w:right="279" w:bottom="1440" w:gutter="0" w:footer="0" w:header="0"/>
        </w:sectPr>
      </w:pPr>
    </w:p>
    <w:bookmarkStart w:id="46" w:name="page47"/>
    <w:bookmarkEnd w:id="46"/>
    <w:p>
      <w:pPr>
        <w:ind w:right="120" w:firstLine="648"/>
        <w:spacing w:after="0" w:line="261" w:lineRule="auto"/>
        <w:rPr>
          <w:sz w:val="20"/>
          <w:szCs w:val="20"/>
          <w:color w:val="auto"/>
        </w:rPr>
      </w:pPr>
      <w:r>
        <w:rPr>
          <w:rFonts w:ascii="Arial" w:cs="Arial" w:eastAsia="Arial" w:hAnsi="Arial"/>
          <w:sz w:val="18"/>
          <w:szCs w:val="18"/>
          <w:b w:val="1"/>
          <w:bCs w:val="1"/>
          <w:color w:val="auto"/>
        </w:rPr>
        <w:t xml:space="preserve">Section 4.12 </w:t>
      </w:r>
      <w:r>
        <w:rPr>
          <w:rFonts w:ascii="Arial" w:cs="Arial" w:eastAsia="Arial" w:hAnsi="Arial"/>
          <w:sz w:val="18"/>
          <w:szCs w:val="18"/>
          <w:b w:val="1"/>
          <w:bCs w:val="1"/>
          <w:u w:val="single" w:color="auto"/>
          <w:color w:val="auto"/>
        </w:rPr>
        <w:t>Available Information.</w:t>
      </w:r>
      <w:r>
        <w:rPr>
          <w:rFonts w:ascii="Arial" w:cs="Arial" w:eastAsia="Arial" w:hAnsi="Arial"/>
          <w:sz w:val="18"/>
          <w:szCs w:val="18"/>
          <w:b w:val="1"/>
          <w:bCs w:val="1"/>
          <w:color w:val="auto"/>
        </w:rPr>
        <w:t xml:space="preserve"> </w:t>
      </w:r>
      <w:r>
        <w:rPr>
          <w:rFonts w:ascii="Arial" w:cs="Arial" w:eastAsia="Arial" w:hAnsi="Arial"/>
          <w:sz w:val="18"/>
          <w:szCs w:val="18"/>
          <w:color w:val="auto"/>
        </w:rPr>
        <w:t>The Company is subject to the periodic reporting requirements of the Exchange Act and, accordingly, is</w:t>
      </w:r>
      <w:r>
        <w:rPr>
          <w:rFonts w:ascii="Arial" w:cs="Arial" w:eastAsia="Arial" w:hAnsi="Arial"/>
          <w:sz w:val="18"/>
          <w:szCs w:val="18"/>
          <w:b w:val="1"/>
          <w:bCs w:val="1"/>
          <w:color w:val="auto"/>
        </w:rPr>
        <w:t xml:space="preserve"> </w:t>
      </w:r>
      <w:r>
        <w:rPr>
          <w:rFonts w:ascii="Arial" w:cs="Arial" w:eastAsia="Arial" w:hAnsi="Arial"/>
          <w:sz w:val="18"/>
          <w:szCs w:val="18"/>
          <w:color w:val="auto"/>
        </w:rPr>
        <w:t>required to file or furnish certain reports with the Commission. These reports can be retrieved from the Commission's website (</w:t>
      </w:r>
      <w:r>
        <w:rPr>
          <w:rFonts w:ascii="Arial" w:cs="Arial" w:eastAsia="Arial" w:hAnsi="Arial"/>
          <w:sz w:val="18"/>
          <w:szCs w:val="18"/>
          <w:u w:val="single" w:color="auto"/>
          <w:color w:val="auto"/>
        </w:rPr>
        <w:t>www.sec.gov</w:t>
      </w:r>
      <w:r>
        <w:rPr>
          <w:rFonts w:ascii="Arial" w:cs="Arial" w:eastAsia="Arial" w:hAnsi="Arial"/>
          <w:sz w:val="18"/>
          <w:szCs w:val="18"/>
          <w:color w:val="auto"/>
        </w:rPr>
        <w:t>) and can be inspected and copied at the public reference facilities maintained by the Commission located (as of the date of the Deposit Agreement) at 100 F Street, N.E., Washington D.C. 20549.</w:t>
      </w:r>
    </w:p>
    <w:p>
      <w:pPr>
        <w:spacing w:after="0" w:line="180" w:lineRule="exact"/>
        <w:rPr>
          <w:sz w:val="20"/>
          <w:szCs w:val="20"/>
          <w:color w:val="auto"/>
        </w:rPr>
      </w:pPr>
    </w:p>
    <w:p>
      <w:pPr>
        <w:ind w:firstLine="648"/>
        <w:spacing w:after="0" w:line="281" w:lineRule="auto"/>
        <w:rPr>
          <w:sz w:val="20"/>
          <w:szCs w:val="20"/>
          <w:color w:val="auto"/>
        </w:rPr>
      </w:pPr>
      <w:r>
        <w:rPr>
          <w:rFonts w:ascii="Arial" w:cs="Arial" w:eastAsia="Arial" w:hAnsi="Arial"/>
          <w:sz w:val="17"/>
          <w:szCs w:val="17"/>
          <w:b w:val="1"/>
          <w:bCs w:val="1"/>
          <w:color w:val="auto"/>
        </w:rPr>
        <w:t xml:space="preserve">Section 4.13 </w:t>
      </w:r>
      <w:r>
        <w:rPr>
          <w:rFonts w:ascii="Arial" w:cs="Arial" w:eastAsia="Arial" w:hAnsi="Arial"/>
          <w:sz w:val="17"/>
          <w:szCs w:val="17"/>
          <w:b w:val="1"/>
          <w:bCs w:val="1"/>
          <w:u w:val="single" w:color="auto"/>
          <w:color w:val="auto"/>
        </w:rPr>
        <w:t>Reports.</w:t>
      </w:r>
      <w:r>
        <w:rPr>
          <w:rFonts w:ascii="Arial" w:cs="Arial" w:eastAsia="Arial" w:hAnsi="Arial"/>
          <w:sz w:val="17"/>
          <w:szCs w:val="17"/>
          <w:b w:val="1"/>
          <w:bCs w:val="1"/>
          <w:color w:val="auto"/>
        </w:rPr>
        <w:t xml:space="preserve"> </w:t>
      </w:r>
      <w:r>
        <w:rPr>
          <w:rFonts w:ascii="Arial" w:cs="Arial" w:eastAsia="Arial" w:hAnsi="Arial"/>
          <w:sz w:val="17"/>
          <w:szCs w:val="17"/>
          <w:color w:val="auto"/>
        </w:rPr>
        <w:t>The Depositary shall make available for inspection by Holders at its Principal Office any reports and communications,</w:t>
      </w:r>
      <w:r>
        <w:rPr>
          <w:rFonts w:ascii="Arial" w:cs="Arial" w:eastAsia="Arial" w:hAnsi="Arial"/>
          <w:sz w:val="17"/>
          <w:szCs w:val="17"/>
          <w:b w:val="1"/>
          <w:bCs w:val="1"/>
          <w:color w:val="auto"/>
        </w:rPr>
        <w:t xml:space="preserve"> </w:t>
      </w:r>
      <w:r>
        <w:rPr>
          <w:rFonts w:ascii="Arial" w:cs="Arial" w:eastAsia="Arial" w:hAnsi="Arial"/>
          <w:sz w:val="17"/>
          <w:szCs w:val="17"/>
          <w:color w:val="auto"/>
        </w:rPr>
        <w:t>including any proxy soliciting materials, received from the Company which are both (a) received by the Depositary, the Custodian, or the nominee of either of them as the holder of the Deposited Property and (b) made generally available to the holders of such Deposited Property by the Company. The Depositary shall also provide or make available to Holders copies of such reports when furnished by the Company pursuant to Section 5.6.</w:t>
      </w:r>
    </w:p>
    <w:p>
      <w:pPr>
        <w:spacing w:after="0" w:line="165" w:lineRule="exact"/>
        <w:rPr>
          <w:sz w:val="20"/>
          <w:szCs w:val="20"/>
          <w:color w:val="auto"/>
        </w:rPr>
      </w:pPr>
    </w:p>
    <w:p>
      <w:pPr>
        <w:ind w:right="160" w:firstLine="648"/>
        <w:spacing w:after="0" w:line="282" w:lineRule="auto"/>
        <w:rPr>
          <w:sz w:val="20"/>
          <w:szCs w:val="20"/>
          <w:color w:val="auto"/>
        </w:rPr>
      </w:pPr>
      <w:r>
        <w:rPr>
          <w:rFonts w:ascii="Arial" w:cs="Arial" w:eastAsia="Arial" w:hAnsi="Arial"/>
          <w:sz w:val="18"/>
          <w:szCs w:val="18"/>
          <w:b w:val="1"/>
          <w:bCs w:val="1"/>
          <w:color w:val="auto"/>
        </w:rPr>
        <w:t xml:space="preserve">Section 4.14 </w:t>
      </w:r>
      <w:r>
        <w:rPr>
          <w:rFonts w:ascii="Arial" w:cs="Arial" w:eastAsia="Arial" w:hAnsi="Arial"/>
          <w:sz w:val="18"/>
          <w:szCs w:val="18"/>
          <w:b w:val="1"/>
          <w:bCs w:val="1"/>
          <w:u w:val="single" w:color="auto"/>
          <w:color w:val="auto"/>
        </w:rPr>
        <w:t>List of Holders.</w:t>
      </w:r>
      <w:r>
        <w:rPr>
          <w:rFonts w:ascii="Arial" w:cs="Arial" w:eastAsia="Arial" w:hAnsi="Arial"/>
          <w:sz w:val="18"/>
          <w:szCs w:val="18"/>
          <w:b w:val="1"/>
          <w:bCs w:val="1"/>
          <w:color w:val="auto"/>
        </w:rPr>
        <w:t xml:space="preserve"> </w:t>
      </w:r>
      <w:r>
        <w:rPr>
          <w:rFonts w:ascii="Arial" w:cs="Arial" w:eastAsia="Arial" w:hAnsi="Arial"/>
          <w:sz w:val="18"/>
          <w:szCs w:val="18"/>
          <w:color w:val="auto"/>
        </w:rPr>
        <w:t>Promptly upon written request by the Company, the Depositary shall furnish to it a list, as of a recent date, of the</w:t>
      </w:r>
      <w:r>
        <w:rPr>
          <w:rFonts w:ascii="Arial" w:cs="Arial" w:eastAsia="Arial" w:hAnsi="Arial"/>
          <w:sz w:val="18"/>
          <w:szCs w:val="18"/>
          <w:b w:val="1"/>
          <w:bCs w:val="1"/>
          <w:color w:val="auto"/>
        </w:rPr>
        <w:t xml:space="preserve"> </w:t>
      </w:r>
      <w:r>
        <w:rPr>
          <w:rFonts w:ascii="Arial" w:cs="Arial" w:eastAsia="Arial" w:hAnsi="Arial"/>
          <w:sz w:val="18"/>
          <w:szCs w:val="18"/>
          <w:color w:val="auto"/>
        </w:rPr>
        <w:t>names, addresses and holdings of ADSs of all Holders.</w:t>
      </w:r>
    </w:p>
    <w:p>
      <w:pPr>
        <w:spacing w:after="0" w:line="162" w:lineRule="exact"/>
        <w:rPr>
          <w:sz w:val="20"/>
          <w:szCs w:val="20"/>
          <w:color w:val="auto"/>
        </w:rPr>
      </w:pPr>
    </w:p>
    <w:p>
      <w:pPr>
        <w:ind w:firstLine="648"/>
        <w:spacing w:after="0" w:line="268" w:lineRule="auto"/>
        <w:rPr>
          <w:sz w:val="20"/>
          <w:szCs w:val="20"/>
          <w:color w:val="auto"/>
        </w:rPr>
      </w:pPr>
      <w:r>
        <w:rPr>
          <w:rFonts w:ascii="Arial" w:cs="Arial" w:eastAsia="Arial" w:hAnsi="Arial"/>
          <w:sz w:val="17"/>
          <w:szCs w:val="17"/>
          <w:b w:val="1"/>
          <w:bCs w:val="1"/>
          <w:color w:val="auto"/>
        </w:rPr>
        <w:t xml:space="preserve">Section 4.15 </w:t>
      </w:r>
      <w:r>
        <w:rPr>
          <w:rFonts w:ascii="Arial" w:cs="Arial" w:eastAsia="Arial" w:hAnsi="Arial"/>
          <w:sz w:val="17"/>
          <w:szCs w:val="17"/>
          <w:b w:val="1"/>
          <w:bCs w:val="1"/>
          <w:u w:val="single" w:color="auto"/>
          <w:color w:val="auto"/>
        </w:rPr>
        <w:t>Taxation.</w:t>
      </w:r>
      <w:r>
        <w:rPr>
          <w:rFonts w:ascii="Arial" w:cs="Arial" w:eastAsia="Arial" w:hAnsi="Arial"/>
          <w:sz w:val="17"/>
          <w:szCs w:val="17"/>
          <w:b w:val="1"/>
          <w:bCs w:val="1"/>
          <w:color w:val="auto"/>
        </w:rPr>
        <w:t xml:space="preserve"> </w:t>
      </w:r>
      <w:r>
        <w:rPr>
          <w:rFonts w:ascii="Arial" w:cs="Arial" w:eastAsia="Arial" w:hAnsi="Arial"/>
          <w:sz w:val="17"/>
          <w:szCs w:val="17"/>
          <w:color w:val="auto"/>
        </w:rPr>
        <w:t>The Depositary will, and will instruct the Custodian to, forward to the Company or its agents such information from its</w:t>
      </w:r>
      <w:r>
        <w:rPr>
          <w:rFonts w:ascii="Arial" w:cs="Arial" w:eastAsia="Arial" w:hAnsi="Arial"/>
          <w:sz w:val="17"/>
          <w:szCs w:val="17"/>
          <w:b w:val="1"/>
          <w:bCs w:val="1"/>
          <w:color w:val="auto"/>
        </w:rPr>
        <w:t xml:space="preserve"> </w:t>
      </w:r>
      <w:r>
        <w:rPr>
          <w:rFonts w:ascii="Arial" w:cs="Arial" w:eastAsia="Arial" w:hAnsi="Arial"/>
          <w:sz w:val="17"/>
          <w:szCs w:val="17"/>
          <w:color w:val="auto"/>
        </w:rPr>
        <w:t>records as the Company may reasonably request to enable the Company or its agents to file the necessary tax reports with governmental authorities or agencies. The Depositary, the Custodian or the Company and its agents may file such reports as are necessary to reduce or eliminate applicable taxes on dividends and on other distributions in respect of Deposited Property under applicable tax treaties or laws for the Holders and Beneficial Owners. In accordance with instructions from the Company and to the extent practicable, the Depositary or the Custodian will take reasonable administrative actions to obtain tax refunds, reduced withholding of tax at source on dividends and other benefits under applicable tax treaties or laws with respect to dividends and other distributions on the Deposited Property. As a condition to receiving such benefits, Holders and Beneficial Owners of ADSs may be required from time to time, and in a timely manner, to file such proof of taxpayer status, residence and beneficial ownership (as applicable), to execute such certificates and to make such representations and warranties, or to provide any other information or documents, as the Depositary or the Custodian may deem necessary or proper to fulfill the Depositary’s or the Custodian’s obligations under applicable law. The Depositary and the Company shall have no obligation or liability to any person if any Holder or Beneficial Owner fails to provide such information or if such information does not reach the relevant tax authorities in time for any Holder or Beneficial Owner to obtain the benefits of any tax treatment. The Holders and Beneficial Owners shall indemnify the Depositary, the Company, the Custodian and any of their respective directors, employees, agents and Affiliates against, and hold each of them harmless from, any claims by any governmental authority with respect to taxes, additions to tax, penalties or interest arising out of any refund of taxes, reduced rate of withholding at source or other tax benefit obtained.</w:t>
      </w:r>
    </w:p>
    <w:p>
      <w:pPr>
        <w:spacing w:after="0" w:line="288" w:lineRule="exact"/>
        <w:rPr>
          <w:sz w:val="20"/>
          <w:szCs w:val="20"/>
          <w:color w:val="auto"/>
        </w:rPr>
      </w:pPr>
    </w:p>
    <w:p>
      <w:pPr>
        <w:jc w:val="center"/>
        <w:ind w:right="-19"/>
        <w:spacing w:after="0"/>
        <w:rPr>
          <w:sz w:val="20"/>
          <w:szCs w:val="20"/>
          <w:color w:val="auto"/>
        </w:rPr>
      </w:pPr>
      <w:r>
        <w:rPr>
          <w:rFonts w:ascii="Arial" w:cs="Arial" w:eastAsia="Arial" w:hAnsi="Arial"/>
          <w:sz w:val="22"/>
          <w:szCs w:val="22"/>
          <w:color w:val="auto"/>
        </w:rPr>
        <w:t>30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7620</wp:posOffset>
            </wp:positionV>
            <wp:extent cx="7246620" cy="17145"/>
            <wp:wrapNone/>
            <wp:docPr id="58" name="Picture 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
                    <pic:cNvPicPr>
                      <a:picLocks noChangeAspect="1" noChangeArrowheads="1"/>
                    </pic:cNvPicPr>
                  </pic:nvPicPr>
                  <pic:blipFill>
                    <a:blip r:embed="rId65">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00"/>
          </w:cols>
          <w:pgMar w:left="240" w:top="337" w:right="259" w:bottom="1440" w:gutter="0" w:footer="0" w:header="0"/>
        </w:sectPr>
      </w:pPr>
    </w:p>
    <w:bookmarkStart w:id="47" w:name="page48"/>
    <w:bookmarkEnd w:id="47"/>
    <w:p>
      <w:pPr>
        <w:ind w:firstLine="648"/>
        <w:spacing w:after="0" w:line="270" w:lineRule="auto"/>
        <w:rPr>
          <w:sz w:val="20"/>
          <w:szCs w:val="20"/>
          <w:color w:val="auto"/>
        </w:rPr>
      </w:pPr>
      <w:r>
        <w:rPr>
          <w:rFonts w:ascii="Arial" w:cs="Arial" w:eastAsia="Arial" w:hAnsi="Arial"/>
          <w:sz w:val="17"/>
          <w:szCs w:val="17"/>
          <w:color w:val="auto"/>
        </w:rPr>
        <w:t>If the Company (or any of its agents) withholds from any distribution any amount on account of taxes or governmental charges, or pays any other tax in respect of such distribution (</w:t>
      </w:r>
      <w:r>
        <w:rPr>
          <w:rFonts w:ascii="Arial" w:cs="Arial" w:eastAsia="Arial" w:hAnsi="Arial"/>
          <w:sz w:val="17"/>
          <w:szCs w:val="17"/>
          <w:i w:val="1"/>
          <w:iCs w:val="1"/>
          <w:color w:val="auto"/>
        </w:rPr>
        <w:t>e.g.</w:t>
      </w:r>
      <w:r>
        <w:rPr>
          <w:rFonts w:ascii="Arial" w:cs="Arial" w:eastAsia="Arial" w:hAnsi="Arial"/>
          <w:sz w:val="17"/>
          <w:szCs w:val="17"/>
          <w:color w:val="auto"/>
        </w:rPr>
        <w:t>, stamp duty tax, capital gains or other similar tax), the Company shall (and shall cause such agent to) remit promptly to the Depositary information about such taxes or governmental charges withheld or paid, and, if so requested, the tax receipt (or other proof of payment to the applicable governmental authority) therefor, in each case, in a form satisfactory to the Depositary. The Depositary shall, to the extent required by U.S. law, report to Holders any taxes withheld by it or the Custodian, and, if such information is provided to it by the Company, any taxes withheld by the Company. The Depositary and the Custodian shall not be required to provide the Holders with any evidence of the remittance by the Company (or its agents) of any taxes withheld, or of the payment of taxes by the Company, except to the extent the evidence is provided by the Company to the Depositary or the Custodian, as applicable. Neither the Depositary nor the Custodian shall be liable for the failure by any Holder or Beneficial Owner to obtain the benefits of credits on the basis of non-U.S. tax paid against such Holder’s or Beneficial Owner’s income tax liability.</w:t>
      </w:r>
    </w:p>
    <w:p>
      <w:pPr>
        <w:spacing w:after="0" w:line="182" w:lineRule="exact"/>
        <w:rPr>
          <w:sz w:val="20"/>
          <w:szCs w:val="20"/>
          <w:color w:val="auto"/>
        </w:rPr>
      </w:pPr>
    </w:p>
    <w:p>
      <w:pPr>
        <w:jc w:val="both"/>
        <w:ind w:right="40" w:firstLine="648"/>
        <w:spacing w:after="0" w:line="302" w:lineRule="auto"/>
        <w:rPr>
          <w:sz w:val="20"/>
          <w:szCs w:val="20"/>
          <w:color w:val="auto"/>
        </w:rPr>
      </w:pPr>
      <w:r>
        <w:rPr>
          <w:rFonts w:ascii="Arial" w:cs="Arial" w:eastAsia="Arial" w:hAnsi="Arial"/>
          <w:sz w:val="16"/>
          <w:szCs w:val="16"/>
          <w:color w:val="auto"/>
        </w:rPr>
        <w:t>The Depositary is under no obligation to provide the Holders and Beneficial Owners with any information about the tax status of the Company. The Depositary shall not incur any liability for any tax consequences that may be incurred by Holders and Beneficial Owners on account of their ownership of the ADSs, including without limitation, tax consequences resulting from the Company (or any of its subsidiaries) being treated as a “Passive Foreign Investment Company” (in each case as defined in the U.S. Internal Revenue Code and the regulations issued thereunder) or otherwise.</w:t>
      </w:r>
    </w:p>
    <w:p>
      <w:pPr>
        <w:spacing w:after="0" w:line="150" w:lineRule="exact"/>
        <w:rPr>
          <w:sz w:val="20"/>
          <w:szCs w:val="20"/>
          <w:color w:val="auto"/>
        </w:rPr>
      </w:pPr>
    </w:p>
    <w:p>
      <w:pPr>
        <w:jc w:val="center"/>
        <w:ind w:right="-79"/>
        <w:spacing w:after="0"/>
        <w:rPr>
          <w:sz w:val="20"/>
          <w:szCs w:val="20"/>
          <w:color w:val="auto"/>
        </w:rPr>
      </w:pPr>
      <w:r>
        <w:rPr>
          <w:rFonts w:ascii="Arial" w:cs="Arial" w:eastAsia="Arial" w:hAnsi="Arial"/>
          <w:sz w:val="18"/>
          <w:szCs w:val="18"/>
          <w:b w:val="1"/>
          <w:bCs w:val="1"/>
          <w:color w:val="auto"/>
        </w:rPr>
        <w:t>ARTICLE V</w:t>
      </w:r>
    </w:p>
    <w:p>
      <w:pPr>
        <w:spacing w:after="0" w:line="225" w:lineRule="exact"/>
        <w:rPr>
          <w:sz w:val="20"/>
          <w:szCs w:val="20"/>
          <w:color w:val="auto"/>
        </w:rPr>
      </w:pPr>
    </w:p>
    <w:p>
      <w:pPr>
        <w:jc w:val="center"/>
        <w:ind w:right="-79"/>
        <w:spacing w:after="0"/>
        <w:rPr>
          <w:sz w:val="20"/>
          <w:szCs w:val="20"/>
          <w:color w:val="auto"/>
        </w:rPr>
      </w:pPr>
      <w:r>
        <w:rPr>
          <w:rFonts w:ascii="Arial" w:cs="Arial" w:eastAsia="Arial" w:hAnsi="Arial"/>
          <w:sz w:val="18"/>
          <w:szCs w:val="18"/>
          <w:b w:val="1"/>
          <w:bCs w:val="1"/>
          <w:color w:val="auto"/>
        </w:rPr>
        <w:t>THE DEPOSITARY, THE CUSTODIAN AND THE COMPANY</w:t>
      </w:r>
    </w:p>
    <w:p>
      <w:pPr>
        <w:spacing w:after="0" w:line="225" w:lineRule="exact"/>
        <w:rPr>
          <w:sz w:val="20"/>
          <w:szCs w:val="20"/>
          <w:color w:val="auto"/>
        </w:rPr>
      </w:pPr>
    </w:p>
    <w:p>
      <w:pPr>
        <w:ind w:firstLine="648"/>
        <w:spacing w:after="0" w:line="258" w:lineRule="auto"/>
        <w:rPr>
          <w:sz w:val="20"/>
          <w:szCs w:val="20"/>
          <w:color w:val="auto"/>
        </w:rPr>
      </w:pPr>
      <w:r>
        <w:rPr>
          <w:rFonts w:ascii="Arial" w:cs="Arial" w:eastAsia="Arial" w:hAnsi="Arial"/>
          <w:sz w:val="18"/>
          <w:szCs w:val="18"/>
          <w:b w:val="1"/>
          <w:bCs w:val="1"/>
          <w:color w:val="auto"/>
        </w:rPr>
        <w:t xml:space="preserve">Section 5.1 </w:t>
      </w:r>
      <w:r>
        <w:rPr>
          <w:rFonts w:ascii="Arial" w:cs="Arial" w:eastAsia="Arial" w:hAnsi="Arial"/>
          <w:sz w:val="18"/>
          <w:szCs w:val="18"/>
          <w:b w:val="1"/>
          <w:bCs w:val="1"/>
          <w:u w:val="single" w:color="auto"/>
          <w:color w:val="auto"/>
        </w:rPr>
        <w:t>Maintenance of Office and Transfer Books by the Registrar.</w:t>
      </w:r>
      <w:r>
        <w:rPr>
          <w:rFonts w:ascii="Arial" w:cs="Arial" w:eastAsia="Arial" w:hAnsi="Arial"/>
          <w:sz w:val="18"/>
          <w:szCs w:val="18"/>
          <w:b w:val="1"/>
          <w:bCs w:val="1"/>
          <w:color w:val="auto"/>
        </w:rPr>
        <w:t xml:space="preserve"> </w:t>
      </w:r>
      <w:r>
        <w:rPr>
          <w:rFonts w:ascii="Arial" w:cs="Arial" w:eastAsia="Arial" w:hAnsi="Arial"/>
          <w:sz w:val="18"/>
          <w:szCs w:val="18"/>
          <w:color w:val="auto"/>
        </w:rPr>
        <w:t>Until termination of the Deposit Agreement in accordance with its</w:t>
      </w:r>
      <w:r>
        <w:rPr>
          <w:rFonts w:ascii="Arial" w:cs="Arial" w:eastAsia="Arial" w:hAnsi="Arial"/>
          <w:sz w:val="18"/>
          <w:szCs w:val="18"/>
          <w:b w:val="1"/>
          <w:bCs w:val="1"/>
          <w:color w:val="auto"/>
        </w:rPr>
        <w:t xml:space="preserve"> </w:t>
      </w:r>
      <w:r>
        <w:rPr>
          <w:rFonts w:ascii="Arial" w:cs="Arial" w:eastAsia="Arial" w:hAnsi="Arial"/>
          <w:sz w:val="18"/>
          <w:szCs w:val="18"/>
          <w:color w:val="auto"/>
        </w:rPr>
        <w:t>terms, the Registrar shall maintain in the Borough of Manhattan, the City of New York, an office and facilities for the issuance and delivery of ADSs, the acceptance for surrender of ADS(s) for the purpose of withdrawal of Deposited Securities, the registration of issuances, cancellations, transfers, combinations and split-ups of ADS(s) and, if applicable, to countersign ADRs evidencing the ADSs so issued, transferred, combined or split-up, in each case in accordance with the provisions of the Deposit Agreement.</w:t>
      </w:r>
    </w:p>
    <w:p>
      <w:pPr>
        <w:spacing w:after="0" w:line="289" w:lineRule="exact"/>
        <w:rPr>
          <w:sz w:val="20"/>
          <w:szCs w:val="20"/>
          <w:color w:val="auto"/>
        </w:rPr>
      </w:pPr>
    </w:p>
    <w:p>
      <w:pPr>
        <w:jc w:val="center"/>
        <w:ind w:right="-19"/>
        <w:spacing w:after="0"/>
        <w:rPr>
          <w:sz w:val="20"/>
          <w:szCs w:val="20"/>
          <w:color w:val="auto"/>
        </w:rPr>
      </w:pPr>
      <w:r>
        <w:rPr>
          <w:rFonts w:ascii="Arial" w:cs="Arial" w:eastAsia="Arial" w:hAnsi="Arial"/>
          <w:sz w:val="22"/>
          <w:szCs w:val="22"/>
          <w:color w:val="auto"/>
        </w:rPr>
        <w:t>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7620</wp:posOffset>
            </wp:positionV>
            <wp:extent cx="7246620" cy="17145"/>
            <wp:wrapNone/>
            <wp:docPr id="59" name="Picture 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
                    <pic:cNvPicPr>
                      <a:picLocks noChangeAspect="1" noChangeArrowheads="1"/>
                    </pic:cNvPicPr>
                  </pic:nvPicPr>
                  <pic:blipFill>
                    <a:blip r:embed="rId66">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00"/>
          </w:cols>
          <w:pgMar w:left="240" w:top="341" w:right="259" w:bottom="1440" w:gutter="0" w:footer="0" w:header="0"/>
        </w:sectPr>
      </w:pPr>
    </w:p>
    <w:bookmarkStart w:id="48" w:name="page49"/>
    <w:bookmarkEnd w:id="48"/>
    <w:p>
      <w:pPr>
        <w:ind w:right="280" w:firstLine="648"/>
        <w:spacing w:after="0" w:line="312" w:lineRule="auto"/>
        <w:rPr>
          <w:sz w:val="20"/>
          <w:szCs w:val="20"/>
          <w:color w:val="auto"/>
        </w:rPr>
      </w:pPr>
      <w:r>
        <w:rPr>
          <w:rFonts w:ascii="Arial" w:cs="Arial" w:eastAsia="Arial" w:hAnsi="Arial"/>
          <w:sz w:val="16"/>
          <w:szCs w:val="16"/>
          <w:color w:val="auto"/>
        </w:rPr>
        <w:t>The Registrar shall keep books for the registration of ADSs which at all reasonable times shall be open for inspection by the Company and by the Holders of such ADSs, provided that such inspection shall not be, to the Registrar’s knowledge, for the purpose of communicating with Holders of such ADSs in the interest of a business or object other than the business of the Company or other than a matter related to the Deposit Agreement or the ADSs.</w:t>
      </w:r>
    </w:p>
    <w:p>
      <w:pPr>
        <w:spacing w:after="0" w:line="147" w:lineRule="exact"/>
        <w:rPr>
          <w:sz w:val="20"/>
          <w:szCs w:val="20"/>
          <w:color w:val="auto"/>
        </w:rPr>
      </w:pPr>
    </w:p>
    <w:p>
      <w:pPr>
        <w:ind w:right="140" w:firstLine="648"/>
        <w:spacing w:after="0" w:line="264" w:lineRule="auto"/>
        <w:rPr>
          <w:sz w:val="20"/>
          <w:szCs w:val="20"/>
          <w:color w:val="auto"/>
        </w:rPr>
      </w:pPr>
      <w:r>
        <w:rPr>
          <w:rFonts w:ascii="Arial" w:cs="Arial" w:eastAsia="Arial" w:hAnsi="Arial"/>
          <w:sz w:val="18"/>
          <w:szCs w:val="18"/>
          <w:color w:val="auto"/>
        </w:rPr>
        <w:t>The Registrar may close the transfer books with respect to the ADSs, at any time or from time to time, when deemed necessary or advisable by it in good faith in connection with the performance of its duties hereunder, or at the reasonable written request of the Company subject, in all cases, to Section 7.8(a).</w:t>
      </w:r>
    </w:p>
    <w:p>
      <w:pPr>
        <w:spacing w:after="0" w:line="181" w:lineRule="exact"/>
        <w:rPr>
          <w:sz w:val="20"/>
          <w:szCs w:val="20"/>
          <w:color w:val="auto"/>
        </w:rPr>
      </w:pPr>
    </w:p>
    <w:p>
      <w:pPr>
        <w:jc w:val="both"/>
        <w:ind w:right="140" w:firstLine="648"/>
        <w:spacing w:after="0" w:line="279" w:lineRule="auto"/>
        <w:rPr>
          <w:sz w:val="20"/>
          <w:szCs w:val="20"/>
          <w:color w:val="auto"/>
        </w:rPr>
      </w:pPr>
      <w:r>
        <w:rPr>
          <w:rFonts w:ascii="Arial" w:cs="Arial" w:eastAsia="Arial" w:hAnsi="Arial"/>
          <w:sz w:val="17"/>
          <w:szCs w:val="17"/>
          <w:color w:val="auto"/>
        </w:rPr>
        <w:t>If any ADSs are listed on one or more stock exchanges or automated quotation systems in the United States, the Depositary shall act as Registrar or appoint a Registrar or one or more co-registrars for registration of issuances, cancellations, transfers, combinations and split-ups of ADSs and, if applicable, to countersign ADRs evidencing the ADSs so issued, transferred, combined or split-up</w:t>
      </w:r>
      <w:r>
        <w:rPr>
          <w:rFonts w:ascii="Arial" w:cs="Arial" w:eastAsia="Arial" w:hAnsi="Arial"/>
          <w:sz w:val="17"/>
          <w:szCs w:val="17"/>
          <w:b w:val="1"/>
          <w:bCs w:val="1"/>
          <w:color w:val="auto"/>
        </w:rPr>
        <w:t>,</w:t>
      </w:r>
      <w:r>
        <w:rPr>
          <w:rFonts w:ascii="Arial" w:cs="Arial" w:eastAsia="Arial" w:hAnsi="Arial"/>
          <w:sz w:val="17"/>
          <w:szCs w:val="17"/>
          <w:color w:val="auto"/>
        </w:rPr>
        <w:t xml:space="preserve"> in accordance with any requirements of such exchanges or systems. Such Registrar or co-registrars may be removed and a substitute or substitutes appointed by the Depositary.</w:t>
      </w:r>
    </w:p>
    <w:p>
      <w:pPr>
        <w:spacing w:after="0" w:line="167" w:lineRule="exact"/>
        <w:rPr>
          <w:sz w:val="20"/>
          <w:szCs w:val="20"/>
          <w:color w:val="auto"/>
        </w:rPr>
      </w:pPr>
    </w:p>
    <w:p>
      <w:pPr>
        <w:ind w:firstLine="648"/>
        <w:spacing w:after="0" w:line="286" w:lineRule="auto"/>
        <w:rPr>
          <w:sz w:val="20"/>
          <w:szCs w:val="20"/>
          <w:color w:val="auto"/>
        </w:rPr>
      </w:pPr>
      <w:r>
        <w:rPr>
          <w:rFonts w:ascii="Arial" w:cs="Arial" w:eastAsia="Arial" w:hAnsi="Arial"/>
          <w:sz w:val="16"/>
          <w:szCs w:val="16"/>
          <w:b w:val="1"/>
          <w:bCs w:val="1"/>
          <w:color w:val="auto"/>
        </w:rPr>
        <w:t xml:space="preserve">Section 5.2 </w:t>
      </w:r>
      <w:r>
        <w:rPr>
          <w:rFonts w:ascii="Arial" w:cs="Arial" w:eastAsia="Arial" w:hAnsi="Arial"/>
          <w:sz w:val="16"/>
          <w:szCs w:val="16"/>
          <w:b w:val="1"/>
          <w:bCs w:val="1"/>
          <w:u w:val="single" w:color="auto"/>
          <w:color w:val="auto"/>
        </w:rPr>
        <w:t>Exoneration.</w:t>
      </w:r>
      <w:r>
        <w:rPr>
          <w:rFonts w:ascii="Arial" w:cs="Arial" w:eastAsia="Arial" w:hAnsi="Arial"/>
          <w:sz w:val="16"/>
          <w:szCs w:val="16"/>
          <w:b w:val="1"/>
          <w:bCs w:val="1"/>
          <w:color w:val="auto"/>
        </w:rPr>
        <w:t xml:space="preserve"> </w:t>
      </w:r>
      <w:r>
        <w:rPr>
          <w:rFonts w:ascii="Arial" w:cs="Arial" w:eastAsia="Arial" w:hAnsi="Arial"/>
          <w:sz w:val="16"/>
          <w:szCs w:val="16"/>
          <w:color w:val="auto"/>
        </w:rPr>
        <w:t>Notwithstanding anything contained in the Deposit Agreement or any ADR, neither the Depositary nor the</w:t>
      </w:r>
      <w:r>
        <w:rPr>
          <w:rFonts w:ascii="Arial" w:cs="Arial" w:eastAsia="Arial" w:hAnsi="Arial"/>
          <w:sz w:val="16"/>
          <w:szCs w:val="16"/>
          <w:b w:val="1"/>
          <w:bCs w:val="1"/>
          <w:color w:val="auto"/>
        </w:rPr>
        <w:t xml:space="preserve"> </w:t>
      </w:r>
      <w:r>
        <w:rPr>
          <w:rFonts w:ascii="Arial" w:cs="Arial" w:eastAsia="Arial" w:hAnsi="Arial"/>
          <w:sz w:val="16"/>
          <w:szCs w:val="16"/>
          <w:color w:val="auto"/>
        </w:rPr>
        <w:t>Company shall be obligated to do or perform any act which is inconsistent with the provisions of the Deposit Agreement or incur any liability (to the extent not limited by Section 7.8(b)) (i) if the Depositary or the Company shall be prevented or forbidden from, or delayed in, doing or performing any act or thing required by the terms of the Deposit Agreement, by reason of any provision of any present or future law or regulation of the United States, England and Wales or any other country, or of any other governmental authority or regulatory authority or stock exchange, or on account of potential criminal or civil penalties or restraint, or by reason of any provision, present or future, of the Articles of Association of the Company or any provision of or governing any Deposited Securities, or by reason of any act of God or war or other circumstances beyond its control (including, without limitation, nationalization, expropriation, currency restrictions, work stoppage, strikes, civil unrest, acts of terrorism, revolutions, rebellions, explosions and computer failure), (ii) by reason of any exercise of, or failure to exercise, any discretion provided for in the Deposit Agreement or in the Articles of Association of the Company or provisions of or governing Deposited Securities, (iii) for any action or inaction in reliance upon the advice of or information from legal counsel, accountants, any person presenting Shares for deposit, any Holder, any Beneficial Owner or authorized representative thereof, or any other person believed by it in good faith to be competent to give such advice or information, (iv) for the inability by a Holder or Beneficial Owner to benefit from any distribution, offering, right or other benefit which is made available to holders of Deposited Securities but is not, under the terms of the Deposit Agreement, made available to Holders of ADSs, or (v) for any consequential or punitive damages (including lost profits) for any breach of the terms of the Deposit Agreement.</w:t>
      </w:r>
    </w:p>
    <w:p>
      <w:pPr>
        <w:spacing w:after="0" w:line="277" w:lineRule="exact"/>
        <w:rPr>
          <w:sz w:val="20"/>
          <w:szCs w:val="20"/>
          <w:color w:val="auto"/>
        </w:rPr>
      </w:pPr>
    </w:p>
    <w:p>
      <w:pPr>
        <w:jc w:val="center"/>
        <w:ind w:right="-19"/>
        <w:spacing w:after="0"/>
        <w:rPr>
          <w:sz w:val="20"/>
          <w:szCs w:val="20"/>
          <w:color w:val="auto"/>
        </w:rPr>
      </w:pPr>
      <w:r>
        <w:rPr>
          <w:rFonts w:ascii="Arial" w:cs="Arial" w:eastAsia="Arial" w:hAnsi="Arial"/>
          <w:sz w:val="22"/>
          <w:szCs w:val="22"/>
          <w:color w:val="auto"/>
        </w:rPr>
        <w:t>32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7620</wp:posOffset>
            </wp:positionV>
            <wp:extent cx="7246620" cy="17145"/>
            <wp:wrapNone/>
            <wp:docPr id="60" name="Picture 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
                    <pic:cNvPicPr>
                      <a:picLocks noChangeAspect="1" noChangeArrowheads="1"/>
                    </pic:cNvPicPr>
                  </pic:nvPicPr>
                  <pic:blipFill>
                    <a:blip r:embed="rId67">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341" w:right="239" w:bottom="1440" w:gutter="0" w:footer="0" w:header="0"/>
        </w:sectPr>
      </w:pPr>
    </w:p>
    <w:bookmarkStart w:id="49" w:name="page50"/>
    <w:bookmarkEnd w:id="49"/>
    <w:p>
      <w:pPr>
        <w:ind w:right="160" w:firstLine="648"/>
        <w:spacing w:after="0" w:line="264" w:lineRule="auto"/>
        <w:rPr>
          <w:sz w:val="20"/>
          <w:szCs w:val="20"/>
          <w:color w:val="auto"/>
        </w:rPr>
      </w:pPr>
      <w:r>
        <w:rPr>
          <w:rFonts w:ascii="Arial" w:cs="Arial" w:eastAsia="Arial" w:hAnsi="Arial"/>
          <w:sz w:val="18"/>
          <w:szCs w:val="18"/>
          <w:color w:val="auto"/>
        </w:rPr>
        <w:t>The Depositary, its controlling persons, its agents, any Custodian and the Company, its controlling persons and its agents may rely and shall be protected in acting upon any written notice, request or other document believed by it to be genuine and to have been signed or presented by the proper party or parties.</w:t>
      </w:r>
    </w:p>
    <w:p>
      <w:pPr>
        <w:spacing w:after="0" w:line="177" w:lineRule="exact"/>
        <w:rPr>
          <w:sz w:val="20"/>
          <w:szCs w:val="20"/>
          <w:color w:val="auto"/>
        </w:rPr>
      </w:pPr>
    </w:p>
    <w:p>
      <w:pPr>
        <w:jc w:val="both"/>
        <w:ind w:right="380" w:firstLine="648"/>
        <w:spacing w:after="0" w:line="266" w:lineRule="auto"/>
        <w:rPr>
          <w:sz w:val="20"/>
          <w:szCs w:val="20"/>
          <w:color w:val="auto"/>
        </w:rPr>
      </w:pPr>
      <w:r>
        <w:rPr>
          <w:rFonts w:ascii="Arial" w:cs="Arial" w:eastAsia="Arial" w:hAnsi="Arial"/>
          <w:sz w:val="18"/>
          <w:szCs w:val="18"/>
          <w:b w:val="1"/>
          <w:bCs w:val="1"/>
          <w:color w:val="auto"/>
        </w:rPr>
        <w:t xml:space="preserve">Section 5.3 </w:t>
      </w:r>
      <w:r>
        <w:rPr>
          <w:rFonts w:ascii="Arial" w:cs="Arial" w:eastAsia="Arial" w:hAnsi="Arial"/>
          <w:sz w:val="18"/>
          <w:szCs w:val="18"/>
          <w:b w:val="1"/>
          <w:bCs w:val="1"/>
          <w:u w:val="single" w:color="auto"/>
          <w:color w:val="auto"/>
        </w:rPr>
        <w:t>Standard of Care.</w:t>
      </w:r>
      <w:r>
        <w:rPr>
          <w:rFonts w:ascii="Arial" w:cs="Arial" w:eastAsia="Arial" w:hAnsi="Arial"/>
          <w:sz w:val="18"/>
          <w:szCs w:val="18"/>
          <w:b w:val="1"/>
          <w:bCs w:val="1"/>
          <w:color w:val="auto"/>
        </w:rPr>
        <w:t xml:space="preserve"> </w:t>
      </w:r>
      <w:r>
        <w:rPr>
          <w:rFonts w:ascii="Arial" w:cs="Arial" w:eastAsia="Arial" w:hAnsi="Arial"/>
          <w:sz w:val="18"/>
          <w:szCs w:val="18"/>
          <w:color w:val="auto"/>
        </w:rPr>
        <w:t>The Company and the Depositary assume no obligation and shall not be subject to any liability under the</w:t>
      </w:r>
      <w:r>
        <w:rPr>
          <w:rFonts w:ascii="Arial" w:cs="Arial" w:eastAsia="Arial" w:hAnsi="Arial"/>
          <w:sz w:val="18"/>
          <w:szCs w:val="18"/>
          <w:b w:val="1"/>
          <w:bCs w:val="1"/>
          <w:color w:val="auto"/>
        </w:rPr>
        <w:t xml:space="preserve"> </w:t>
      </w:r>
      <w:r>
        <w:rPr>
          <w:rFonts w:ascii="Arial" w:cs="Arial" w:eastAsia="Arial" w:hAnsi="Arial"/>
          <w:sz w:val="18"/>
          <w:szCs w:val="18"/>
          <w:color w:val="auto"/>
        </w:rPr>
        <w:t>Deposit Agreement or any ADRs to any Holder(s) or Beneficial Owner(s), except that the Company and the Depositary agree to perform their respective obligations specifically set forth in the Deposit Agreement or the applicable ADRs without negligence or bad faith.</w:t>
      </w:r>
    </w:p>
    <w:p>
      <w:pPr>
        <w:spacing w:after="0" w:line="180" w:lineRule="exact"/>
        <w:rPr>
          <w:sz w:val="20"/>
          <w:szCs w:val="20"/>
          <w:color w:val="auto"/>
        </w:rPr>
      </w:pPr>
    </w:p>
    <w:p>
      <w:pPr>
        <w:ind w:firstLine="648"/>
        <w:spacing w:after="0" w:line="257" w:lineRule="auto"/>
        <w:rPr>
          <w:sz w:val="20"/>
          <w:szCs w:val="20"/>
          <w:color w:val="auto"/>
        </w:rPr>
      </w:pPr>
      <w:r>
        <w:rPr>
          <w:rFonts w:ascii="Arial" w:cs="Arial" w:eastAsia="Arial" w:hAnsi="Arial"/>
          <w:sz w:val="18"/>
          <w:szCs w:val="18"/>
          <w:color w:val="auto"/>
        </w:rPr>
        <w:t>Without limitation of the foregoing, neither the Depositary, nor the Company, nor any of their respective controlling persons, or agents, shall be under any obligation to appear in, prosecute or defend any action, suit or other proceeding in respect of any Deposited Property or in respect of the ADSs, which in its opinion may involve it in expense or liability, unless indemnity satisfactory to it against all expense (including fees and disbursements of counsel) and liability be furnished as often as may be required (and no Custodian shall be under any obligation whatsoever with respect to such proceedings, the responsibility of the Custodian being solely to the Depositary).</w:t>
      </w:r>
    </w:p>
    <w:p>
      <w:pPr>
        <w:spacing w:after="0" w:line="188" w:lineRule="exact"/>
        <w:rPr>
          <w:sz w:val="20"/>
          <w:szCs w:val="20"/>
          <w:color w:val="auto"/>
        </w:rPr>
      </w:pPr>
    </w:p>
    <w:p>
      <w:pPr>
        <w:ind w:right="20" w:firstLine="648"/>
        <w:spacing w:after="0" w:line="270" w:lineRule="auto"/>
        <w:rPr>
          <w:sz w:val="20"/>
          <w:szCs w:val="20"/>
          <w:color w:val="auto"/>
        </w:rPr>
      </w:pPr>
      <w:r>
        <w:rPr>
          <w:rFonts w:ascii="Arial" w:cs="Arial" w:eastAsia="Arial" w:hAnsi="Arial"/>
          <w:sz w:val="17"/>
          <w:szCs w:val="17"/>
          <w:color w:val="auto"/>
        </w:rPr>
        <w:t>The Depositary and its agents shall not be liable for any failure to carry out any instructions to vote any of the Deposited Securities, or for the manner in which any vote is cast or the effect of any vote, provided that any such action or omission is in good faith and without negligence and in accordance with the terms of the Deposit Agreement. The Depositary shall not incur any liability for any failure to accurately determine that any distribution or action may be lawful or reasonably practicable, for the content of any information submitted to it by the Company for distribution to the Holders or for any inaccuracy of any translation thereof, for any investment risk associated with acquiring an interest in the Deposited Property, for the validity or worth of the Deposited Property, for the value of any Deposited Property or any distribution thereon, for any interest on Deposited Property, for any tax consequences that may result from the ownership of ADSs, Shares or other Deposited Property, for the credit-worthiness of any third party, for allowing any rights to lapse upon the terms of the Deposit Agreement, for the failure or timeliness of any notice from the Company, or for any action of or failure to act by, or any information provided or not provided by, DTC or any DTC Participant.</w:t>
      </w:r>
    </w:p>
    <w:p>
      <w:pPr>
        <w:spacing w:after="0" w:line="182" w:lineRule="exact"/>
        <w:rPr>
          <w:sz w:val="20"/>
          <w:szCs w:val="20"/>
          <w:color w:val="auto"/>
        </w:rPr>
      </w:pPr>
    </w:p>
    <w:p>
      <w:pPr>
        <w:ind w:right="20" w:firstLine="648"/>
        <w:spacing w:after="0" w:line="312" w:lineRule="auto"/>
        <w:rPr>
          <w:sz w:val="20"/>
          <w:szCs w:val="20"/>
          <w:color w:val="auto"/>
        </w:rPr>
      </w:pPr>
      <w:r>
        <w:rPr>
          <w:rFonts w:ascii="Arial" w:cs="Arial" w:eastAsia="Arial" w:hAnsi="Arial"/>
          <w:sz w:val="16"/>
          <w:szCs w:val="16"/>
          <w:color w:val="auto"/>
        </w:rPr>
        <w:t>The Depositary shall not be liable for any acts or omissions made by a successor depositary whether in connection with a previous act or omission of the Depositary or in connection with any matter arising wholly after the removal or resignation of the Depositary, provided that in connection with the issue out of which such potential liability arises the Depositary performed its obligations without negligence or bad faith while it acted as Depositary.</w:t>
      </w:r>
    </w:p>
    <w:p>
      <w:pPr>
        <w:spacing w:after="0" w:line="147" w:lineRule="exact"/>
        <w:rPr>
          <w:sz w:val="20"/>
          <w:szCs w:val="20"/>
          <w:color w:val="auto"/>
        </w:rPr>
      </w:pPr>
    </w:p>
    <w:p>
      <w:pPr>
        <w:ind w:right="60" w:firstLine="648"/>
        <w:spacing w:after="0" w:line="259" w:lineRule="auto"/>
        <w:rPr>
          <w:sz w:val="20"/>
          <w:szCs w:val="20"/>
          <w:color w:val="auto"/>
        </w:rPr>
      </w:pPr>
      <w:r>
        <w:rPr>
          <w:rFonts w:ascii="Arial" w:cs="Arial" w:eastAsia="Arial" w:hAnsi="Arial"/>
          <w:sz w:val="18"/>
          <w:szCs w:val="18"/>
          <w:color w:val="auto"/>
        </w:rPr>
        <w:t>The Depositary shall not be liable for any acts or omissions made by a predecessor depositary whether in connection with an act or omission of the Depositary or in connection with any matter arising wholly prior to the appointment of the Depositary or after the removal or resignation of the Depositary, provided that in connection with the issue out of which such potential liability arises the Depositary performed its obligations without negligence or bad faith while it acted as Depositary.</w:t>
      </w:r>
    </w:p>
    <w:p>
      <w:pPr>
        <w:spacing w:after="0" w:line="288" w:lineRule="exact"/>
        <w:rPr>
          <w:sz w:val="20"/>
          <w:szCs w:val="20"/>
          <w:color w:val="auto"/>
        </w:rPr>
      </w:pPr>
    </w:p>
    <w:p>
      <w:pPr>
        <w:jc w:val="center"/>
        <w:ind w:right="-19"/>
        <w:spacing w:after="0"/>
        <w:rPr>
          <w:sz w:val="20"/>
          <w:szCs w:val="20"/>
          <w:color w:val="auto"/>
        </w:rPr>
      </w:pPr>
      <w:r>
        <w:rPr>
          <w:rFonts w:ascii="Arial" w:cs="Arial" w:eastAsia="Arial" w:hAnsi="Arial"/>
          <w:sz w:val="22"/>
          <w:szCs w:val="22"/>
          <w:color w:val="auto"/>
        </w:rPr>
        <w:t>33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7620</wp:posOffset>
            </wp:positionV>
            <wp:extent cx="7246620" cy="17145"/>
            <wp:wrapNone/>
            <wp:docPr id="61" name="Picture 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
                    <pic:cNvPicPr>
                      <a:picLocks noChangeAspect="1" noChangeArrowheads="1"/>
                    </pic:cNvPicPr>
                  </pic:nvPicPr>
                  <pic:blipFill>
                    <a:blip r:embed="rId68">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00"/>
          </w:cols>
          <w:pgMar w:left="240" w:top="341" w:right="259" w:bottom="1440" w:gutter="0" w:footer="0" w:header="0"/>
        </w:sectPr>
      </w:pPr>
    </w:p>
    <w:bookmarkStart w:id="50" w:name="page51"/>
    <w:bookmarkEnd w:id="50"/>
    <w:p>
      <w:pPr>
        <w:ind w:right="40" w:firstLine="648"/>
        <w:spacing w:after="0" w:line="261" w:lineRule="auto"/>
        <w:rPr>
          <w:sz w:val="20"/>
          <w:szCs w:val="20"/>
          <w:color w:val="auto"/>
        </w:rPr>
      </w:pPr>
      <w:r>
        <w:rPr>
          <w:rFonts w:ascii="Arial" w:cs="Arial" w:eastAsia="Arial" w:hAnsi="Arial"/>
          <w:sz w:val="18"/>
          <w:szCs w:val="18"/>
          <w:b w:val="1"/>
          <w:bCs w:val="1"/>
          <w:color w:val="auto"/>
        </w:rPr>
        <w:t xml:space="preserve">Section 5.4 </w:t>
      </w:r>
      <w:r>
        <w:rPr>
          <w:rFonts w:ascii="Arial" w:cs="Arial" w:eastAsia="Arial" w:hAnsi="Arial"/>
          <w:sz w:val="18"/>
          <w:szCs w:val="18"/>
          <w:b w:val="1"/>
          <w:bCs w:val="1"/>
          <w:u w:val="single" w:color="auto"/>
          <w:color w:val="auto"/>
        </w:rPr>
        <w:t>Resignation and Removal of the Depositary; Appointment of Successor Depositary.</w:t>
      </w:r>
      <w:r>
        <w:rPr>
          <w:rFonts w:ascii="Arial" w:cs="Arial" w:eastAsia="Arial" w:hAnsi="Arial"/>
          <w:sz w:val="18"/>
          <w:szCs w:val="18"/>
          <w:b w:val="1"/>
          <w:bCs w:val="1"/>
          <w:color w:val="auto"/>
        </w:rPr>
        <w:t xml:space="preserve"> </w:t>
      </w:r>
      <w:r>
        <w:rPr>
          <w:rFonts w:ascii="Arial" w:cs="Arial" w:eastAsia="Arial" w:hAnsi="Arial"/>
          <w:sz w:val="18"/>
          <w:szCs w:val="18"/>
          <w:color w:val="auto"/>
        </w:rPr>
        <w:t>The Depositary may at any time resign as</w:t>
      </w:r>
      <w:r>
        <w:rPr>
          <w:rFonts w:ascii="Arial" w:cs="Arial" w:eastAsia="Arial" w:hAnsi="Arial"/>
          <w:sz w:val="18"/>
          <w:szCs w:val="18"/>
          <w:b w:val="1"/>
          <w:bCs w:val="1"/>
          <w:color w:val="auto"/>
        </w:rPr>
        <w:t xml:space="preserve"> </w:t>
      </w:r>
      <w:r>
        <w:rPr>
          <w:rFonts w:ascii="Arial" w:cs="Arial" w:eastAsia="Arial" w:hAnsi="Arial"/>
          <w:sz w:val="18"/>
          <w:szCs w:val="18"/>
          <w:color w:val="auto"/>
        </w:rPr>
        <w:t>Depositary hereunder by written notice of resignation delivered to the Company, such resignation to be effective on the earlier of (i) the 90th day after delivery thereof to the Company (whereupon the Depositary shall be entitled to take the actions contemplated in Section 6.2), or (ii) the appointment by the Company of a successor depositary and its acceptance of such appointment as hereinafter provided.</w:t>
      </w:r>
    </w:p>
    <w:p>
      <w:pPr>
        <w:spacing w:after="0" w:line="184" w:lineRule="exact"/>
        <w:rPr>
          <w:sz w:val="20"/>
          <w:szCs w:val="20"/>
          <w:color w:val="auto"/>
        </w:rPr>
      </w:pPr>
    </w:p>
    <w:p>
      <w:pPr>
        <w:jc w:val="both"/>
        <w:ind w:right="120" w:firstLine="648"/>
        <w:spacing w:after="0" w:line="286" w:lineRule="auto"/>
        <w:rPr>
          <w:sz w:val="20"/>
          <w:szCs w:val="20"/>
          <w:color w:val="auto"/>
        </w:rPr>
      </w:pPr>
      <w:r>
        <w:rPr>
          <w:rFonts w:ascii="Arial" w:cs="Arial" w:eastAsia="Arial" w:hAnsi="Arial"/>
          <w:sz w:val="17"/>
          <w:szCs w:val="17"/>
          <w:color w:val="auto"/>
        </w:rPr>
        <w:t>The Depositary may at any time be removed by the Company by written notice of such removal, which removal shall be effective on the later of (i) the 90th day after delivery thereof to the Depositary (whereupon the Depositary shall be entitled to take the actions contemplated in Section 6.2), or (ii) upon the appointment by the Company of a successor depositary and its acceptance of such appointment as hereinafter provided.</w:t>
      </w:r>
    </w:p>
    <w:p>
      <w:pPr>
        <w:spacing w:after="0" w:line="166" w:lineRule="exact"/>
        <w:rPr>
          <w:sz w:val="20"/>
          <w:szCs w:val="20"/>
          <w:color w:val="auto"/>
        </w:rPr>
      </w:pPr>
    </w:p>
    <w:p>
      <w:pPr>
        <w:ind w:right="80" w:firstLine="648"/>
        <w:spacing w:after="0" w:line="270" w:lineRule="auto"/>
        <w:rPr>
          <w:sz w:val="20"/>
          <w:szCs w:val="20"/>
          <w:color w:val="auto"/>
        </w:rPr>
      </w:pPr>
      <w:r>
        <w:rPr>
          <w:rFonts w:ascii="Arial" w:cs="Arial" w:eastAsia="Arial" w:hAnsi="Arial"/>
          <w:sz w:val="17"/>
          <w:szCs w:val="17"/>
          <w:color w:val="auto"/>
        </w:rPr>
        <w:t>In case at any time the Depositary acting hereunder shall resign or be removed, the Company shall use its best efforts to appoint a successor depositary, which shall be a bank or trust company having an office in the Borough of Manhattan, the City of New York. Every successor depositary shall be required by the Company to execute and deliver to its predecessor and to the Company an instrument in writing accepting its appointment hereunder, and thereupon such successor depositary, without any further act or deed (except as required by applicable law), shall become fully vested with all the rights, powers, duties and obligations of its predecessor (other than as contemplated in Sections 5.8 and 5.9). The predecessor depositary, upon payment of all sums due it and on the written request of the Company, shall, (i) execute and deliver an instrument transferring to such successor all rights and powers of such predecessor hereunder (other than as contemplated in Sections 5.8 and 5.9), (ii) duly assign, transfer and deliver all of the Depositary’s right, title and interest to the Deposited Property to such successor, and (iii) deliver to such successor a list of the Holders of all outstanding ADSs and such other information relating to ADSs and Holders thereof as the successor may reasonably request. Any such successor depositary shall promptly provide notice of its appointment to such Holders.</w:t>
      </w:r>
    </w:p>
    <w:p>
      <w:pPr>
        <w:spacing w:after="0" w:line="178" w:lineRule="exact"/>
        <w:rPr>
          <w:sz w:val="20"/>
          <w:szCs w:val="20"/>
          <w:color w:val="auto"/>
        </w:rPr>
      </w:pPr>
    </w:p>
    <w:p>
      <w:pPr>
        <w:ind w:right="100" w:firstLine="648"/>
        <w:spacing w:after="0" w:line="277" w:lineRule="auto"/>
        <w:rPr>
          <w:sz w:val="20"/>
          <w:szCs w:val="20"/>
          <w:color w:val="auto"/>
        </w:rPr>
      </w:pPr>
      <w:r>
        <w:rPr>
          <w:rFonts w:ascii="Arial" w:cs="Arial" w:eastAsia="Arial" w:hAnsi="Arial"/>
          <w:sz w:val="18"/>
          <w:szCs w:val="18"/>
          <w:color w:val="auto"/>
        </w:rPr>
        <w:t>Any entity into or with which the Depositary may be merged or consolidated shall be the successor of the Depositary without the execution or filing of any document or any further act.</w:t>
      </w:r>
    </w:p>
    <w:p>
      <w:pPr>
        <w:spacing w:after="0" w:line="166" w:lineRule="exact"/>
        <w:rPr>
          <w:sz w:val="20"/>
          <w:szCs w:val="20"/>
          <w:color w:val="auto"/>
        </w:rPr>
      </w:pPr>
    </w:p>
    <w:p>
      <w:pPr>
        <w:ind w:firstLine="648"/>
        <w:spacing w:after="0" w:line="270" w:lineRule="auto"/>
        <w:rPr>
          <w:sz w:val="20"/>
          <w:szCs w:val="20"/>
          <w:color w:val="auto"/>
        </w:rPr>
      </w:pPr>
      <w:r>
        <w:rPr>
          <w:rFonts w:ascii="Arial" w:cs="Arial" w:eastAsia="Arial" w:hAnsi="Arial"/>
          <w:sz w:val="17"/>
          <w:szCs w:val="17"/>
          <w:b w:val="1"/>
          <w:bCs w:val="1"/>
          <w:color w:val="auto"/>
        </w:rPr>
        <w:t xml:space="preserve">Section 5.5 </w:t>
      </w:r>
      <w:r>
        <w:rPr>
          <w:rFonts w:ascii="Arial" w:cs="Arial" w:eastAsia="Arial" w:hAnsi="Arial"/>
          <w:sz w:val="17"/>
          <w:szCs w:val="17"/>
          <w:b w:val="1"/>
          <w:bCs w:val="1"/>
          <w:u w:val="single" w:color="auto"/>
          <w:color w:val="auto"/>
        </w:rPr>
        <w:t>The Custodian.</w:t>
      </w:r>
      <w:r>
        <w:rPr>
          <w:rFonts w:ascii="Arial" w:cs="Arial" w:eastAsia="Arial" w:hAnsi="Arial"/>
          <w:sz w:val="17"/>
          <w:szCs w:val="17"/>
          <w:b w:val="1"/>
          <w:bCs w:val="1"/>
          <w:color w:val="auto"/>
        </w:rPr>
        <w:t xml:space="preserve"> </w:t>
      </w:r>
      <w:r>
        <w:rPr>
          <w:rFonts w:ascii="Arial" w:cs="Arial" w:eastAsia="Arial" w:hAnsi="Arial"/>
          <w:sz w:val="17"/>
          <w:szCs w:val="17"/>
          <w:color w:val="auto"/>
        </w:rPr>
        <w:t>The Depositary has initially appointed Citibank N.A., London Branch, as Custodian for the purpose of the</w:t>
      </w:r>
      <w:r>
        <w:rPr>
          <w:rFonts w:ascii="Arial" w:cs="Arial" w:eastAsia="Arial" w:hAnsi="Arial"/>
          <w:sz w:val="17"/>
          <w:szCs w:val="17"/>
          <w:b w:val="1"/>
          <w:bCs w:val="1"/>
          <w:color w:val="auto"/>
        </w:rPr>
        <w:t xml:space="preserve"> </w:t>
      </w:r>
      <w:r>
        <w:rPr>
          <w:rFonts w:ascii="Arial" w:cs="Arial" w:eastAsia="Arial" w:hAnsi="Arial"/>
          <w:sz w:val="17"/>
          <w:szCs w:val="17"/>
          <w:color w:val="auto"/>
        </w:rPr>
        <w:t>Deposit Agreement. The Custodian or its successors in acting hereunder shall be subject at all times and in all respects to the direction of the Depositary for the Deposited Property for which the Custodian acts as custodian and shall be responsible solely to it. If any Custodian resigns or is discharged from its duties hereunder with respect to any Deposited Property and no other Custodian has previously been appointed hereunder, the Depositary shall promptly appoint a substitute custodian. The Depositary shall require such resigning or discharged Custodian to Deliver, or cause the Delivery of, the Deposited Property held by it, together with all such records maintained by it as Custodian with respect to such Deposited Property as the Depositary may request, to the Custodian designated by the Depositary. Whenever the Depositary determines, in its discretion, that it is appropriate to do so, it may appoint an additional custodian with respect to any Deposited Property, or discharge the Custodian with respect to any Deposited Property and appoint a substitute custodian, which shall thereafter be Custodian hereunder with respect to the Deposited Property. Immediately upon any such change, the Depositary shall give notice thereof in writing to all Holders of ADSs, each other Custodian and the Company.</w:t>
      </w:r>
    </w:p>
    <w:p>
      <w:pPr>
        <w:spacing w:after="0" w:line="283" w:lineRule="exact"/>
        <w:rPr>
          <w:sz w:val="20"/>
          <w:szCs w:val="20"/>
          <w:color w:val="auto"/>
        </w:rPr>
      </w:pPr>
    </w:p>
    <w:p>
      <w:pPr>
        <w:jc w:val="center"/>
        <w:ind w:right="-19"/>
        <w:spacing w:after="0"/>
        <w:rPr>
          <w:sz w:val="20"/>
          <w:szCs w:val="20"/>
          <w:color w:val="auto"/>
        </w:rPr>
      </w:pPr>
      <w:r>
        <w:rPr>
          <w:rFonts w:ascii="Arial" w:cs="Arial" w:eastAsia="Arial" w:hAnsi="Arial"/>
          <w:sz w:val="22"/>
          <w:szCs w:val="22"/>
          <w:color w:val="auto"/>
        </w:rPr>
        <w:t>34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7620</wp:posOffset>
            </wp:positionV>
            <wp:extent cx="7246620" cy="17145"/>
            <wp:wrapNone/>
            <wp:docPr id="62" name="Picture 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
                    <pic:cNvPicPr>
                      <a:picLocks noChangeAspect="1" noChangeArrowheads="1"/>
                    </pic:cNvPicPr>
                  </pic:nvPicPr>
                  <pic:blipFill>
                    <a:blip r:embed="rId69">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337" w:right="239" w:bottom="1440" w:gutter="0" w:footer="0" w:header="0"/>
        </w:sectPr>
      </w:pPr>
    </w:p>
    <w:bookmarkStart w:id="51" w:name="page52"/>
    <w:bookmarkEnd w:id="51"/>
    <w:p>
      <w:pPr>
        <w:ind w:right="100" w:firstLine="648"/>
        <w:spacing w:after="0" w:line="259" w:lineRule="auto"/>
        <w:rPr>
          <w:sz w:val="20"/>
          <w:szCs w:val="20"/>
          <w:color w:val="auto"/>
        </w:rPr>
      </w:pPr>
      <w:r>
        <w:rPr>
          <w:rFonts w:ascii="Arial" w:cs="Arial" w:eastAsia="Arial" w:hAnsi="Arial"/>
          <w:sz w:val="18"/>
          <w:szCs w:val="18"/>
          <w:color w:val="auto"/>
        </w:rPr>
        <w:t>Citibank may at any time act as Custodian of the Deposited Property pursuant to the Deposit Agreement, in which case any reference to Custodian shall mean Citibank solely in its capacity as Custodian pursuant to the Deposit Agreement. Notwithstanding anything contained in the Deposit Agreement or any ADR to the contrary, the Depositary shall not be obligated to give notice to the Company, any Holders of ADSs or any other Custodian of its acting as Custodian pursuant to the Deposit Agreement.</w:t>
      </w:r>
    </w:p>
    <w:p>
      <w:pPr>
        <w:spacing w:after="0" w:line="187" w:lineRule="exact"/>
        <w:rPr>
          <w:sz w:val="20"/>
          <w:szCs w:val="20"/>
          <w:color w:val="auto"/>
        </w:rPr>
      </w:pPr>
    </w:p>
    <w:p>
      <w:pPr>
        <w:ind w:firstLine="648"/>
        <w:spacing w:after="0" w:line="302" w:lineRule="auto"/>
        <w:rPr>
          <w:sz w:val="20"/>
          <w:szCs w:val="20"/>
          <w:color w:val="auto"/>
        </w:rPr>
      </w:pPr>
      <w:r>
        <w:rPr>
          <w:rFonts w:ascii="Arial" w:cs="Arial" w:eastAsia="Arial" w:hAnsi="Arial"/>
          <w:sz w:val="16"/>
          <w:szCs w:val="16"/>
          <w:color w:val="auto"/>
        </w:rPr>
        <w:t>Upon the appointment of any successor depositary, any Custodian then acting hereunder shall, unless otherwise instructed by the Depositary, continue to be the Custodian of the Deposited Property without any further act or writing, and shall be subject to the direction of the successor depositary. The successor depositary so appointed shall, nevertheless, on the written request of any Custodian, execute and deliver to such Custodian all such instruments as may be proper to give to such Custodian full and complete power and authority to act on the direction of such successor depositary.</w:t>
      </w:r>
    </w:p>
    <w:p>
      <w:pPr>
        <w:spacing w:after="0" w:line="150" w:lineRule="exact"/>
        <w:rPr>
          <w:sz w:val="20"/>
          <w:szCs w:val="20"/>
          <w:color w:val="auto"/>
        </w:rPr>
      </w:pPr>
    </w:p>
    <w:p>
      <w:pPr>
        <w:ind w:firstLine="648"/>
        <w:spacing w:after="0" w:line="255" w:lineRule="auto"/>
        <w:rPr>
          <w:sz w:val="20"/>
          <w:szCs w:val="20"/>
          <w:color w:val="auto"/>
        </w:rPr>
      </w:pPr>
      <w:r>
        <w:rPr>
          <w:rFonts w:ascii="Arial" w:cs="Arial" w:eastAsia="Arial" w:hAnsi="Arial"/>
          <w:sz w:val="18"/>
          <w:szCs w:val="18"/>
          <w:b w:val="1"/>
          <w:bCs w:val="1"/>
          <w:color w:val="auto"/>
        </w:rPr>
        <w:t xml:space="preserve">Section 5.6 </w:t>
      </w:r>
      <w:r>
        <w:rPr>
          <w:rFonts w:ascii="Arial" w:cs="Arial" w:eastAsia="Arial" w:hAnsi="Arial"/>
          <w:sz w:val="18"/>
          <w:szCs w:val="18"/>
          <w:b w:val="1"/>
          <w:bCs w:val="1"/>
          <w:u w:val="single" w:color="auto"/>
          <w:color w:val="auto"/>
        </w:rPr>
        <w:t>Notices and Reports.</w:t>
      </w:r>
      <w:r>
        <w:rPr>
          <w:rFonts w:ascii="Arial" w:cs="Arial" w:eastAsia="Arial" w:hAnsi="Arial"/>
          <w:sz w:val="18"/>
          <w:szCs w:val="18"/>
          <w:b w:val="1"/>
          <w:bCs w:val="1"/>
          <w:color w:val="auto"/>
        </w:rPr>
        <w:t xml:space="preserve"> </w:t>
      </w:r>
      <w:r>
        <w:rPr>
          <w:rFonts w:ascii="Arial" w:cs="Arial" w:eastAsia="Arial" w:hAnsi="Arial"/>
          <w:sz w:val="18"/>
          <w:szCs w:val="18"/>
          <w:color w:val="auto"/>
        </w:rPr>
        <w:t>On or before the first date on which the Company gives notice, by publication or otherwise, of any meeting</w:t>
      </w:r>
      <w:r>
        <w:rPr>
          <w:rFonts w:ascii="Arial" w:cs="Arial" w:eastAsia="Arial" w:hAnsi="Arial"/>
          <w:sz w:val="18"/>
          <w:szCs w:val="18"/>
          <w:b w:val="1"/>
          <w:bCs w:val="1"/>
          <w:color w:val="auto"/>
        </w:rPr>
        <w:t xml:space="preserve"> </w:t>
      </w:r>
      <w:r>
        <w:rPr>
          <w:rFonts w:ascii="Arial" w:cs="Arial" w:eastAsia="Arial" w:hAnsi="Arial"/>
          <w:sz w:val="18"/>
          <w:szCs w:val="18"/>
          <w:color w:val="auto"/>
        </w:rPr>
        <w:t>of holders of Shares or other Deposited Securities, or of any adjourned meeting of such holders, or of the taking of any action by such holders other than at a meeting, or of the taking of any action in respect of any cash or other distributions or the offering of any rights in respect of Deposited Securities, the Company shall transmit to the Depositary and the Custodian a copy of the notice thereof in the English language but otherwise in the form given or to be given to holders of Shares or other Deposited Securities. The Company shall also furnish to the Custodian and the Depositary a summary, in English, of any applicable provisions or proposed provisions of the Articles of Association of the Company that may be relevant or pertain to such notice of meeting or be the subject of a vote thereat.</w:t>
      </w:r>
    </w:p>
    <w:p>
      <w:pPr>
        <w:spacing w:after="0" w:line="193" w:lineRule="exact"/>
        <w:rPr>
          <w:sz w:val="20"/>
          <w:szCs w:val="20"/>
          <w:color w:val="auto"/>
        </w:rPr>
      </w:pPr>
    </w:p>
    <w:p>
      <w:pPr>
        <w:ind w:right="20" w:firstLine="648"/>
        <w:spacing w:after="0" w:line="289" w:lineRule="auto"/>
        <w:rPr>
          <w:sz w:val="20"/>
          <w:szCs w:val="20"/>
          <w:color w:val="auto"/>
        </w:rPr>
      </w:pPr>
      <w:r>
        <w:rPr>
          <w:rFonts w:ascii="Arial" w:cs="Arial" w:eastAsia="Arial" w:hAnsi="Arial"/>
          <w:sz w:val="16"/>
          <w:szCs w:val="16"/>
          <w:color w:val="auto"/>
        </w:rPr>
        <w:t>The Company will also transmit to the Depositary (a) an English language version of the other notices, reports and communications which are made generally available by the Company to holders of its Shares or other Deposited Securities and (b) the English-language versions of the Company’s annual and semi-annual reports prepared in accordance with the applicable requirements of the Commission. The Depositary shall arrange, at the request of the Company and at the Company’s expense, to provide copies thereof to all Holders or make such notices, reports and other communications available to all Holders on a basis similar to that for holders of Shares or other Deposited Securities or on such other basis as the Company may advise the Depositary or as may be required by any applicable law, regulation or stock exchange requirement. The Company has delivered to the Depositary and the Custodian a copy of the Company’s Articles of Association along with the provisions of or governing the Shares and any other Deposited Securities issued by the Company in connection with such Shares, and promptly upon any amendment thereto or change therein, the Company shall deliver to the Depositary and the Custodian a copy of such amendment thereto or change therein. The Depositary may rely upon such copy for all purposes of the Deposit Agreement.</w:t>
      </w:r>
    </w:p>
    <w:p>
      <w:pPr>
        <w:spacing w:after="0" w:line="268" w:lineRule="exact"/>
        <w:rPr>
          <w:sz w:val="20"/>
          <w:szCs w:val="20"/>
          <w:color w:val="auto"/>
        </w:rPr>
      </w:pPr>
    </w:p>
    <w:p>
      <w:pPr>
        <w:jc w:val="center"/>
        <w:ind w:right="-19"/>
        <w:spacing w:after="0"/>
        <w:rPr>
          <w:sz w:val="20"/>
          <w:szCs w:val="20"/>
          <w:color w:val="auto"/>
        </w:rPr>
      </w:pPr>
      <w:r>
        <w:rPr>
          <w:rFonts w:ascii="Arial" w:cs="Arial" w:eastAsia="Arial" w:hAnsi="Arial"/>
          <w:sz w:val="22"/>
          <w:szCs w:val="22"/>
          <w:color w:val="auto"/>
        </w:rPr>
        <w:t>35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7620</wp:posOffset>
            </wp:positionV>
            <wp:extent cx="7246620" cy="17145"/>
            <wp:wrapNone/>
            <wp:docPr id="63" name="Picture 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
                    <pic:cNvPicPr>
                      <a:picLocks noChangeAspect="1" noChangeArrowheads="1"/>
                    </pic:cNvPicPr>
                  </pic:nvPicPr>
                  <pic:blipFill>
                    <a:blip r:embed="rId70">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00"/>
          </w:cols>
          <w:pgMar w:left="240" w:top="341" w:right="259" w:bottom="1440" w:gutter="0" w:footer="0" w:header="0"/>
        </w:sectPr>
      </w:pPr>
    </w:p>
    <w:bookmarkStart w:id="52" w:name="page53"/>
    <w:bookmarkEnd w:id="52"/>
    <w:p>
      <w:pPr>
        <w:jc w:val="both"/>
        <w:ind w:right="100" w:firstLine="648"/>
        <w:spacing w:after="0" w:line="264" w:lineRule="auto"/>
        <w:rPr>
          <w:sz w:val="20"/>
          <w:szCs w:val="20"/>
          <w:color w:val="auto"/>
        </w:rPr>
      </w:pPr>
      <w:r>
        <w:rPr>
          <w:rFonts w:ascii="Arial" w:cs="Arial" w:eastAsia="Arial" w:hAnsi="Arial"/>
          <w:sz w:val="18"/>
          <w:szCs w:val="18"/>
          <w:color w:val="auto"/>
        </w:rPr>
        <w:t>The Depositary will, at the expense of the Company, make available a copy of any such notices, reports or communications issued by the Company and delivered to the Depositary for inspection by the Holders of the ADSs at the Depositary’s Principal Office, at the office of the Custodian and at any other designated transfer office.</w:t>
      </w:r>
    </w:p>
    <w:p>
      <w:pPr>
        <w:spacing w:after="0" w:line="177" w:lineRule="exact"/>
        <w:rPr>
          <w:sz w:val="20"/>
          <w:szCs w:val="20"/>
          <w:color w:val="auto"/>
        </w:rPr>
      </w:pPr>
    </w:p>
    <w:p>
      <w:pPr>
        <w:ind w:firstLine="648"/>
        <w:spacing w:after="0" w:line="284" w:lineRule="auto"/>
        <w:rPr>
          <w:sz w:val="20"/>
          <w:szCs w:val="20"/>
          <w:color w:val="auto"/>
        </w:rPr>
      </w:pPr>
      <w:r>
        <w:rPr>
          <w:rFonts w:ascii="Arial" w:cs="Arial" w:eastAsia="Arial" w:hAnsi="Arial"/>
          <w:sz w:val="16"/>
          <w:szCs w:val="16"/>
          <w:b w:val="1"/>
          <w:bCs w:val="1"/>
          <w:color w:val="auto"/>
        </w:rPr>
        <w:t xml:space="preserve">Section 5.7 </w:t>
      </w:r>
      <w:r>
        <w:rPr>
          <w:rFonts w:ascii="Arial" w:cs="Arial" w:eastAsia="Arial" w:hAnsi="Arial"/>
          <w:sz w:val="16"/>
          <w:szCs w:val="16"/>
          <w:b w:val="1"/>
          <w:bCs w:val="1"/>
          <w:u w:val="single" w:color="auto"/>
          <w:color w:val="auto"/>
        </w:rPr>
        <w:t>Issuance of Additional Shares, ADSs etc.</w:t>
      </w:r>
      <w:r>
        <w:rPr>
          <w:rFonts w:ascii="Arial" w:cs="Arial" w:eastAsia="Arial" w:hAnsi="Arial"/>
          <w:sz w:val="16"/>
          <w:szCs w:val="16"/>
          <w:b w:val="1"/>
          <w:bCs w:val="1"/>
          <w:color w:val="auto"/>
        </w:rPr>
        <w:t xml:space="preserve"> </w:t>
      </w:r>
      <w:r>
        <w:rPr>
          <w:rFonts w:ascii="Arial" w:cs="Arial" w:eastAsia="Arial" w:hAnsi="Arial"/>
          <w:sz w:val="16"/>
          <w:szCs w:val="16"/>
          <w:color w:val="auto"/>
        </w:rPr>
        <w:t>The Company agrees that in the event it or any of its Affiliates proposes (i) an</w:t>
      </w:r>
      <w:r>
        <w:rPr>
          <w:rFonts w:ascii="Arial" w:cs="Arial" w:eastAsia="Arial" w:hAnsi="Arial"/>
          <w:sz w:val="16"/>
          <w:szCs w:val="16"/>
          <w:b w:val="1"/>
          <w:bCs w:val="1"/>
          <w:color w:val="auto"/>
        </w:rPr>
        <w:t xml:space="preserve"> </w:t>
      </w:r>
      <w:r>
        <w:rPr>
          <w:rFonts w:ascii="Arial" w:cs="Arial" w:eastAsia="Arial" w:hAnsi="Arial"/>
          <w:sz w:val="16"/>
          <w:szCs w:val="16"/>
          <w:color w:val="auto"/>
        </w:rPr>
        <w:t>issuance, sale or distribution of additional Shares, (ii) an offering of rights to subscribe for Shares or other Deposited Securities, (iii) an issuance or assumption of securities convertible into or exchangeable for Shares, (iv) an issuance of rights to subscribe for securities convertible into or exchangeable for Shares, (v) an elective dividend of cash or Shares, (vi) a redemption of Deposited Securities, (vii) a meeting of holders of Deposited Securities, or solicitation of consents or proxies, relating to any reclassification of securities, merger or consolidation or transfer of assets, (viii) any assumption, reclassification, recapitalization, reorganization, merger, consolidation or sale of assets which affects the Deposited Securities, or (ix) a distribution of securities other than Shares, it will obtain U.S. legal advice and take all steps necessary to ensure that the application of the proposed transaction to Holders and Beneficial Owners does not violate the registration provisions of the Securities Act, or any other applicable laws (including, without limitation, the Investment Company Act of 1940, as amended, the Exchange Act and the securities laws of the states of the U.S.). In support of the foregoing, the Company will furnish to the Depositary</w:t>
      </w:r>
    </w:p>
    <w:p>
      <w:pPr>
        <w:spacing w:after="0" w:line="4" w:lineRule="exact"/>
        <w:rPr>
          <w:sz w:val="20"/>
          <w:szCs w:val="20"/>
          <w:color w:val="auto"/>
        </w:rPr>
      </w:pPr>
    </w:p>
    <w:p>
      <w:pPr>
        <w:ind w:right="20" w:firstLine="8"/>
        <w:spacing w:after="0" w:line="285" w:lineRule="auto"/>
        <w:tabs>
          <w:tab w:leader="none" w:pos="245" w:val="left"/>
        </w:tabs>
        <w:numPr>
          <w:ilvl w:val="0"/>
          <w:numId w:val="25"/>
        </w:numPr>
        <w:rPr>
          <w:rFonts w:ascii="Arial" w:cs="Arial" w:eastAsia="Arial" w:hAnsi="Arial"/>
          <w:sz w:val="16"/>
          <w:szCs w:val="16"/>
          <w:color w:val="auto"/>
        </w:rPr>
      </w:pPr>
      <w:r>
        <w:rPr>
          <w:rFonts w:ascii="Arial" w:cs="Arial" w:eastAsia="Arial" w:hAnsi="Arial"/>
          <w:sz w:val="16"/>
          <w:szCs w:val="16"/>
          <w:color w:val="auto"/>
        </w:rPr>
        <w:t>a written opinion of U.S. counsel (reasonably satisfactory to the Depositary) stating whether such transaction (1) requires a registration statement under the Securities Act to be in effect or (2) is exempt from the registration requirements of the Securities Act and (b) an opinion of English counsel stating that (1) making the transaction available to Holders and Beneficial Owners does not violate the laws or regulations of England and Wales and (2) all requisite regulatory consents and approvals have been obtained in England and Wales. If the filing of a registration statement is required, the Depositary shall not have any obligation to proceed with the transaction unless it shall have received evidence reasonably satisfactory to it that such registration statement has been declared effective. If, being advised by counsel, the Company determines that a transaction is required to be registered under the Securities Act, the Company will either (i) register such transaction to the extent necessary, (ii) alter the terms of the transaction to avoid the registration requirements of the Securities Act or (iii) direct the Depositary to take specific measures, in each case as contemplated in the Deposit Agreement, to prevent such transaction from violating the registration requirements of the Securities Act. The Company agrees with the Depositary that neither the Company nor any of its Affiliates will at any time (i) deposit any Shares or other Deposited Securities, either upon original issuance or upon a sale of Shares or other Deposited Securities previously issued and reacquired by the Company or by any such Affiliate, or (ii) issue additional Shares, rights to subscribe for such Shares, securities convertible into or exchangeable for Shares or rights to subscribe for such securities or distribute securities other than Shares, unless such transaction and the securities issuable in such transaction do not violate the registration provisions of the Securities Act, or any other applicable laws (including, without limitation, the Investment Company Act of 1940, as amended, the Exchange Act and the securities laws of the states of the U.S.).</w:t>
      </w:r>
    </w:p>
    <w:p>
      <w:pPr>
        <w:spacing w:after="0" w:line="168" w:lineRule="exact"/>
        <w:rPr>
          <w:sz w:val="20"/>
          <w:szCs w:val="20"/>
          <w:color w:val="auto"/>
        </w:rPr>
      </w:pPr>
    </w:p>
    <w:p>
      <w:pPr>
        <w:ind w:right="180" w:firstLine="648"/>
        <w:spacing w:after="0" w:line="277" w:lineRule="auto"/>
        <w:rPr>
          <w:sz w:val="20"/>
          <w:szCs w:val="20"/>
          <w:color w:val="auto"/>
        </w:rPr>
      </w:pPr>
      <w:r>
        <w:rPr>
          <w:rFonts w:ascii="Arial" w:cs="Arial" w:eastAsia="Arial" w:hAnsi="Arial"/>
          <w:sz w:val="18"/>
          <w:szCs w:val="18"/>
          <w:color w:val="auto"/>
        </w:rPr>
        <w:t>Notwithstanding anything else contained in the Deposit Agreement, nothing in the Deposit Agreement shall be deemed to obligate the Company to file any registration statement in respect of any proposed transaction.</w:t>
      </w:r>
    </w:p>
    <w:p>
      <w:pPr>
        <w:spacing w:after="0" w:line="271" w:lineRule="exact"/>
        <w:rPr>
          <w:sz w:val="20"/>
          <w:szCs w:val="20"/>
          <w:color w:val="auto"/>
        </w:rPr>
      </w:pPr>
    </w:p>
    <w:p>
      <w:pPr>
        <w:jc w:val="center"/>
        <w:ind w:right="-19"/>
        <w:spacing w:after="0"/>
        <w:rPr>
          <w:sz w:val="20"/>
          <w:szCs w:val="20"/>
          <w:color w:val="auto"/>
        </w:rPr>
      </w:pPr>
      <w:r>
        <w:rPr>
          <w:rFonts w:ascii="Arial" w:cs="Arial" w:eastAsia="Arial" w:hAnsi="Arial"/>
          <w:sz w:val="22"/>
          <w:szCs w:val="22"/>
          <w:color w:val="auto"/>
        </w:rPr>
        <w:t>36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7620</wp:posOffset>
            </wp:positionV>
            <wp:extent cx="7246620" cy="17145"/>
            <wp:wrapNone/>
            <wp:docPr id="64" name="Picture 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
                    <pic:cNvPicPr>
                      <a:picLocks noChangeAspect="1" noChangeArrowheads="1"/>
                    </pic:cNvPicPr>
                  </pic:nvPicPr>
                  <pic:blipFill>
                    <a:blip r:embed="rId71">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341" w:right="239" w:bottom="1440" w:gutter="0" w:footer="0" w:header="0"/>
        </w:sectPr>
      </w:pPr>
    </w:p>
    <w:bookmarkStart w:id="53" w:name="page54"/>
    <w:bookmarkEnd w:id="53"/>
    <w:p>
      <w:pPr>
        <w:ind w:right="60" w:firstLine="648"/>
        <w:spacing w:after="0" w:line="261" w:lineRule="auto"/>
        <w:rPr>
          <w:sz w:val="20"/>
          <w:szCs w:val="20"/>
          <w:color w:val="auto"/>
        </w:rPr>
      </w:pPr>
      <w:r>
        <w:rPr>
          <w:rFonts w:ascii="Arial" w:cs="Arial" w:eastAsia="Arial" w:hAnsi="Arial"/>
          <w:sz w:val="18"/>
          <w:szCs w:val="18"/>
          <w:b w:val="1"/>
          <w:bCs w:val="1"/>
          <w:color w:val="auto"/>
        </w:rPr>
        <w:t xml:space="preserve">Section 5.8 </w:t>
      </w:r>
      <w:r>
        <w:rPr>
          <w:rFonts w:ascii="Arial" w:cs="Arial" w:eastAsia="Arial" w:hAnsi="Arial"/>
          <w:sz w:val="18"/>
          <w:szCs w:val="18"/>
          <w:b w:val="1"/>
          <w:bCs w:val="1"/>
          <w:u w:val="single" w:color="auto"/>
          <w:color w:val="auto"/>
        </w:rPr>
        <w:t>Indemnification.</w:t>
      </w:r>
      <w:r>
        <w:rPr>
          <w:rFonts w:ascii="Arial" w:cs="Arial" w:eastAsia="Arial" w:hAnsi="Arial"/>
          <w:sz w:val="18"/>
          <w:szCs w:val="18"/>
          <w:b w:val="1"/>
          <w:bCs w:val="1"/>
          <w:color w:val="auto"/>
        </w:rPr>
        <w:t xml:space="preserve"> </w:t>
      </w:r>
      <w:r>
        <w:rPr>
          <w:rFonts w:ascii="Arial" w:cs="Arial" w:eastAsia="Arial" w:hAnsi="Arial"/>
          <w:sz w:val="18"/>
          <w:szCs w:val="18"/>
          <w:color w:val="auto"/>
        </w:rPr>
        <w:t>The Depositary agrees to indemnify the Company and its directors, officers, employees, agents and Affiliates</w:t>
      </w:r>
      <w:r>
        <w:rPr>
          <w:rFonts w:ascii="Arial" w:cs="Arial" w:eastAsia="Arial" w:hAnsi="Arial"/>
          <w:sz w:val="18"/>
          <w:szCs w:val="18"/>
          <w:b w:val="1"/>
          <w:bCs w:val="1"/>
          <w:color w:val="auto"/>
        </w:rPr>
        <w:t xml:space="preserve"> </w:t>
      </w:r>
      <w:r>
        <w:rPr>
          <w:rFonts w:ascii="Arial" w:cs="Arial" w:eastAsia="Arial" w:hAnsi="Arial"/>
          <w:sz w:val="18"/>
          <w:szCs w:val="18"/>
          <w:color w:val="auto"/>
        </w:rPr>
        <w:t>against, and hold each of them harmless from, any direct loss, liability, tax, charge or expense of any kind whatsoever (including, but not limited to, the reasonable fees and expenses of counsel) which may arise out of acts performed or omitted by the Depositary under the terms hereof due to the negligence or bad faith of the Depositary.</w:t>
      </w:r>
    </w:p>
    <w:p>
      <w:pPr>
        <w:spacing w:after="0" w:line="184" w:lineRule="exact"/>
        <w:rPr>
          <w:sz w:val="20"/>
          <w:szCs w:val="20"/>
          <w:color w:val="auto"/>
        </w:rPr>
      </w:pPr>
    </w:p>
    <w:p>
      <w:pPr>
        <w:ind w:firstLine="648"/>
        <w:spacing w:after="0" w:line="268" w:lineRule="auto"/>
        <w:rPr>
          <w:sz w:val="20"/>
          <w:szCs w:val="20"/>
          <w:color w:val="auto"/>
        </w:rPr>
      </w:pPr>
      <w:r>
        <w:rPr>
          <w:rFonts w:ascii="Arial" w:cs="Arial" w:eastAsia="Arial" w:hAnsi="Arial"/>
          <w:sz w:val="17"/>
          <w:szCs w:val="17"/>
          <w:color w:val="auto"/>
        </w:rPr>
        <w:t>The Company agrees to indemnify the Depositary, the Custodian and any of their respective directors, officers, employees, agents and Affiliates against, and hold each of them harmless from, any direct loss, liability, tax, charge or expense of any kind whatsoever (including, but not limited to, the reasonable fees and expenses of counsel) that may arise (a) out of, or in connection with, any offer, issuance, sale, resale, transfer, deposit or withdrawal of ADRs, ADSs, the Shares, or other Deposited Securities, as the case may be, (b) out of, or as a result of, any offering documents in respect thereof or (c) out of acts performed or omitted, including, but not limited to, any delivery by the Depositary on behalf of the Company of information regarding the Company, in connection with the Deposit Agreement, any ancillary or supplemental agreement entered into between the Company and the Depositary, the ADRs, the ADSs, the Shares, or any Deposited Property, in any such case (i) by the Depositary, the Custodian or any of their respective directors, officers, employees, agents and Affiliates, except to the extent such loss, liability, tax, charge or expense is due to the negligence or bad faith of any of them, or (ii) by the Company or any of its directors, officers, employees, agents and Affiliates. The Company shall not indemnify the Depositary or the Custodian (for so long as the Custodian is a branch of Citibank, N.A.) against (x) any liability or expense arising out of information relating to the Depositary or such Custodian, as the case may be, furnished in a signed writing to the Company, executed by the Depositary expressly for use in any registration statement, prospectus or preliminary prospectus relating to any Deposited Securities represented by the ADSs or (y) any fees, charges or expenses payable by third party Holders or Beneficial Owners under this Deposit Agreement.</w:t>
      </w:r>
    </w:p>
    <w:p>
      <w:pPr>
        <w:spacing w:after="0" w:line="188" w:lineRule="exact"/>
        <w:rPr>
          <w:sz w:val="20"/>
          <w:szCs w:val="20"/>
          <w:color w:val="auto"/>
        </w:rPr>
      </w:pPr>
    </w:p>
    <w:p>
      <w:pPr>
        <w:ind w:left="660"/>
        <w:spacing w:after="0"/>
        <w:rPr>
          <w:sz w:val="20"/>
          <w:szCs w:val="20"/>
          <w:color w:val="auto"/>
        </w:rPr>
      </w:pPr>
      <w:r>
        <w:rPr>
          <w:rFonts w:ascii="Arial" w:cs="Arial" w:eastAsia="Arial" w:hAnsi="Arial"/>
          <w:sz w:val="17"/>
          <w:szCs w:val="17"/>
          <w:color w:val="auto"/>
        </w:rPr>
        <w:t>The obligations set forth in this Section shall survive the termination of the Deposit Agreement and the succession or substitution of any party</w:t>
      </w:r>
    </w:p>
    <w:p>
      <w:pPr>
        <w:spacing w:after="0" w:line="35" w:lineRule="exact"/>
        <w:rPr>
          <w:sz w:val="20"/>
          <w:szCs w:val="20"/>
          <w:color w:val="auto"/>
        </w:rPr>
      </w:pPr>
    </w:p>
    <w:p>
      <w:pPr>
        <w:spacing w:after="0"/>
        <w:rPr>
          <w:sz w:val="20"/>
          <w:szCs w:val="20"/>
          <w:color w:val="auto"/>
        </w:rPr>
      </w:pPr>
      <w:r>
        <w:rPr>
          <w:rFonts w:ascii="Arial" w:cs="Arial" w:eastAsia="Arial" w:hAnsi="Arial"/>
          <w:sz w:val="18"/>
          <w:szCs w:val="18"/>
          <w:color w:val="auto"/>
        </w:rPr>
        <w:t>hereto.</w:t>
      </w:r>
    </w:p>
    <w:p>
      <w:pPr>
        <w:spacing w:after="0" w:line="211" w:lineRule="exact"/>
        <w:rPr>
          <w:sz w:val="20"/>
          <w:szCs w:val="20"/>
          <w:color w:val="auto"/>
        </w:rPr>
      </w:pPr>
    </w:p>
    <w:p>
      <w:pPr>
        <w:ind w:right="80" w:firstLine="648"/>
        <w:spacing w:after="0" w:line="255" w:lineRule="auto"/>
        <w:rPr>
          <w:sz w:val="20"/>
          <w:szCs w:val="20"/>
          <w:color w:val="auto"/>
        </w:rPr>
      </w:pPr>
      <w:r>
        <w:rPr>
          <w:rFonts w:ascii="Arial" w:cs="Arial" w:eastAsia="Arial" w:hAnsi="Arial"/>
          <w:sz w:val="18"/>
          <w:szCs w:val="18"/>
          <w:color w:val="auto"/>
        </w:rPr>
        <w:t>Any person seeking indemnification hereunder (an “indemnified person”) shall notify the person from whom it is seeking indemnification (the “indemnifying person”) of the commencement of any indemnifiable action or claim promptly after such indemnified person becomes aware of such commencement (provided that the failure to make such notification shall not affect such indemnified person’s rights to seek indemnification except to the extent the indemnifying person is materially prejudiced by such failure) and shall consult in good faith with the indemnifying person as to the conduct of the defense of such action or claim that may give rise to an indemnity hereunder, which defense shall be reasonable in the circumstances. No indemnified person shall compromise or settle any action or claim that may give rise to an indemnity hereunder without the consent of the indemnifying person, which consent shall not be unreasonably withheld.</w:t>
      </w:r>
    </w:p>
    <w:p>
      <w:pPr>
        <w:spacing w:after="0" w:line="185" w:lineRule="exact"/>
        <w:rPr>
          <w:sz w:val="20"/>
          <w:szCs w:val="20"/>
          <w:color w:val="auto"/>
        </w:rPr>
      </w:pPr>
    </w:p>
    <w:p>
      <w:pPr>
        <w:ind w:right="40" w:firstLine="648"/>
        <w:spacing w:after="0" w:line="271" w:lineRule="auto"/>
        <w:rPr>
          <w:sz w:val="20"/>
          <w:szCs w:val="20"/>
          <w:color w:val="auto"/>
        </w:rPr>
      </w:pPr>
      <w:r>
        <w:rPr>
          <w:rFonts w:ascii="Arial" w:cs="Arial" w:eastAsia="Arial" w:hAnsi="Arial"/>
          <w:sz w:val="17"/>
          <w:szCs w:val="17"/>
          <w:b w:val="1"/>
          <w:bCs w:val="1"/>
          <w:color w:val="auto"/>
        </w:rPr>
        <w:t xml:space="preserve">Section 5.9 </w:t>
      </w:r>
      <w:r>
        <w:rPr>
          <w:rFonts w:ascii="Arial" w:cs="Arial" w:eastAsia="Arial" w:hAnsi="Arial"/>
          <w:sz w:val="17"/>
          <w:szCs w:val="17"/>
          <w:b w:val="1"/>
          <w:bCs w:val="1"/>
          <w:u w:val="single" w:color="auto"/>
          <w:color w:val="auto"/>
        </w:rPr>
        <w:t>ADS Fees and Charges.</w:t>
      </w:r>
      <w:r>
        <w:rPr>
          <w:rFonts w:ascii="Arial" w:cs="Arial" w:eastAsia="Arial" w:hAnsi="Arial"/>
          <w:sz w:val="17"/>
          <w:szCs w:val="17"/>
          <w:b w:val="1"/>
          <w:bCs w:val="1"/>
          <w:color w:val="auto"/>
        </w:rPr>
        <w:t xml:space="preserve"> </w:t>
      </w:r>
      <w:r>
        <w:rPr>
          <w:rFonts w:ascii="Arial" w:cs="Arial" w:eastAsia="Arial" w:hAnsi="Arial"/>
          <w:sz w:val="17"/>
          <w:szCs w:val="17"/>
          <w:color w:val="auto"/>
        </w:rPr>
        <w:t>The Company, the Holders, the Beneficial Owners, persons depositing Shares or withdrawing Deposited</w:t>
      </w:r>
      <w:r>
        <w:rPr>
          <w:rFonts w:ascii="Arial" w:cs="Arial" w:eastAsia="Arial" w:hAnsi="Arial"/>
          <w:sz w:val="17"/>
          <w:szCs w:val="17"/>
          <w:b w:val="1"/>
          <w:bCs w:val="1"/>
          <w:color w:val="auto"/>
        </w:rPr>
        <w:t xml:space="preserve"> </w:t>
      </w:r>
      <w:r>
        <w:rPr>
          <w:rFonts w:ascii="Arial" w:cs="Arial" w:eastAsia="Arial" w:hAnsi="Arial"/>
          <w:sz w:val="17"/>
          <w:szCs w:val="17"/>
          <w:color w:val="auto"/>
        </w:rPr>
        <w:t>Securities in connection with the issuance and cancellation of ADSs, and persons receiving ADSs upon issuance or whose ADSs are being cancelled shall be required to pay the ADS fees and charges identified as payable by them respectively in the ADS fee schedule attached hereto as Exhibit B. All ADS fees and charges so payable may be deducted from distributions or must be remitted to the Depositary, or its designee, may be waived by the Depositary in full or in part with respect to some or all ADSs upon such terms, and subject to such conditions, as the Depositary and Company may determine in its sole discretion, and may, at any time and from time to time, be changed by agreement between the Depositary and the Company, but, in the case of ADS fees and charges payable by Holders and Beneficial Owners, any such change (excluding any changes to the waiver by the Depositary of fees and charges contemplated herein) may be made only in the manner contemplated in Section 6.1. The Depositary shall provide, without charge, a copy of its latest ADS fee schedule to anyone upon request.</w:t>
      </w:r>
    </w:p>
    <w:p>
      <w:pPr>
        <w:spacing w:after="0" w:line="279" w:lineRule="exact"/>
        <w:rPr>
          <w:sz w:val="20"/>
          <w:szCs w:val="20"/>
          <w:color w:val="auto"/>
        </w:rPr>
      </w:pPr>
    </w:p>
    <w:p>
      <w:pPr>
        <w:jc w:val="center"/>
        <w:ind w:right="-39"/>
        <w:spacing w:after="0"/>
        <w:rPr>
          <w:sz w:val="20"/>
          <w:szCs w:val="20"/>
          <w:color w:val="auto"/>
        </w:rPr>
      </w:pPr>
      <w:r>
        <w:rPr>
          <w:rFonts w:ascii="Arial" w:cs="Arial" w:eastAsia="Arial" w:hAnsi="Arial"/>
          <w:sz w:val="22"/>
          <w:szCs w:val="22"/>
          <w:color w:val="auto"/>
        </w:rPr>
        <w:t>37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7620</wp:posOffset>
            </wp:positionV>
            <wp:extent cx="7246620" cy="17145"/>
            <wp:wrapNone/>
            <wp:docPr id="65" name="Picture 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
                    <pic:cNvPicPr>
                      <a:picLocks noChangeAspect="1" noChangeArrowheads="1"/>
                    </pic:cNvPicPr>
                  </pic:nvPicPr>
                  <pic:blipFill>
                    <a:blip r:embed="rId72">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00"/>
          </w:cols>
          <w:pgMar w:left="240" w:top="337" w:right="259" w:bottom="1440" w:gutter="0" w:footer="0" w:header="0"/>
        </w:sectPr>
      </w:pPr>
    </w:p>
    <w:bookmarkStart w:id="54" w:name="page55"/>
    <w:bookmarkEnd w:id="54"/>
    <w:p>
      <w:pPr>
        <w:ind w:firstLine="648"/>
        <w:spacing w:after="0" w:line="286" w:lineRule="auto"/>
        <w:rPr>
          <w:sz w:val="20"/>
          <w:szCs w:val="20"/>
          <w:color w:val="auto"/>
        </w:rPr>
      </w:pPr>
      <w:r>
        <w:rPr>
          <w:rFonts w:ascii="Arial" w:cs="Arial" w:eastAsia="Arial" w:hAnsi="Arial"/>
          <w:sz w:val="16"/>
          <w:szCs w:val="16"/>
          <w:color w:val="auto"/>
        </w:rPr>
        <w:t>ADS fees and charges for (i) the issuance of ADSs and (ii) the cancellation of ADSs will be payable by the person for whom the ADSs are so issued by the Depositary (in the case of ADS issuances) and by the person for whom ADSs are being cancelled (in the case of ADS cancellations). In the case of ADSs issued by the Depositary into DTC or presented to the Depositary via DTC, the ADS issuance and cancellation fees and charges will be payable by the DTC Participant(s) receiving the ADSs from the Depositary or the DTC Participant(s) holding the ADSs being cancelled, as the case may be, on behalf of the Beneficial Owner(s) and will be charged by the DTC Participant(s) to the account(s) of the applicable Beneficial Owner(s) in accordance with the procedures and practices of the DTC Participant(s) as in effect at the time. ADS fees and charges in respect of distributions and the ADS service fee are payable by Holders as of the applicable ADS Record Date established by the Depositary. In the case of distributions of cash, the amount of the applicable ADS fees and charges is deducted from the funds being distributed. In the case of (i) distributions other than cash and (ii) the ADS service fee, the applicable Holders as of the ADS Record Date established by the Depositary will be invoiced for the amount of the ADS fees and charges and such ADS fees may be deducted from distributions made to Holders. For ADSs held through DTC, the ADS fees and charges for distributions other than cash and the ADS service fee may be deducted from distributions made through DTC, and may be charged to the DTC Participants in accordance with the procedures and practices prescribed by DTC from time to time and the DTC Participants in turn charge the amount of such ADS fees and charges to the Beneficial Owners for whom they hold ADSs. In the case of (i) registration of ADS transfers, the ADS transfer fee will be payable by the ADS Holder whose ADSs are being transferred or by the person to whom the ADSs are transferred, and (ii) conversion of ADSs of one series for ADSs of another series, the ADS conversion fee will be payable by the Holder whose ADSs are converted or by the person to whom the converted ADSs are delivered.</w:t>
      </w:r>
    </w:p>
    <w:p>
      <w:pPr>
        <w:spacing w:after="0" w:line="169" w:lineRule="exact"/>
        <w:rPr>
          <w:sz w:val="20"/>
          <w:szCs w:val="20"/>
          <w:color w:val="auto"/>
        </w:rPr>
      </w:pPr>
    </w:p>
    <w:p>
      <w:pPr>
        <w:ind w:right="60" w:firstLine="648"/>
        <w:spacing w:after="0" w:line="272" w:lineRule="auto"/>
        <w:rPr>
          <w:sz w:val="20"/>
          <w:szCs w:val="20"/>
          <w:color w:val="auto"/>
        </w:rPr>
      </w:pPr>
      <w:r>
        <w:rPr>
          <w:rFonts w:ascii="Arial" w:cs="Arial" w:eastAsia="Arial" w:hAnsi="Arial"/>
          <w:sz w:val="17"/>
          <w:szCs w:val="17"/>
          <w:color w:val="auto"/>
        </w:rPr>
        <w:t>The Depositary may reimburse the Company for certain expenses incurred by the Company in respect of the ADR program established pursuant to the Deposit Agreement, by making available a portion of the ADS fees charged in respect of the ADR program or otherwise, upon such terms and conditions as the Company and the Depositary agree from time to time. The Company shall pay to the Depositary such fees and charges, and reimburse the Depositary for such out-of-pocket expenses, as the Depositary and the Company may agree from time to time. Responsibility for payment of such fees, charges and reimbursements may from time to time be changed by agreement between the Company and the Depositary. Unless otherwise agreed, the Depositary shall present its statement for such fees, charges and reimbursements to the Company once every three months. The charges and expenses of the Custodian are for the sole account of the Depositary.</w:t>
      </w:r>
    </w:p>
    <w:p>
      <w:pPr>
        <w:spacing w:after="0" w:line="279" w:lineRule="exact"/>
        <w:rPr>
          <w:sz w:val="20"/>
          <w:szCs w:val="20"/>
          <w:color w:val="auto"/>
        </w:rPr>
      </w:pPr>
    </w:p>
    <w:p>
      <w:pPr>
        <w:jc w:val="center"/>
        <w:ind w:right="-59"/>
        <w:spacing w:after="0"/>
        <w:rPr>
          <w:sz w:val="20"/>
          <w:szCs w:val="20"/>
          <w:color w:val="auto"/>
        </w:rPr>
      </w:pPr>
      <w:r>
        <w:rPr>
          <w:rFonts w:ascii="Arial" w:cs="Arial" w:eastAsia="Arial" w:hAnsi="Arial"/>
          <w:sz w:val="22"/>
          <w:szCs w:val="22"/>
          <w:color w:val="auto"/>
        </w:rPr>
        <w:t>38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7620</wp:posOffset>
            </wp:positionV>
            <wp:extent cx="7246620" cy="17145"/>
            <wp:wrapNone/>
            <wp:docPr id="66" name="Picture 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
                    <pic:cNvPicPr>
                      <a:picLocks noChangeAspect="1" noChangeArrowheads="1"/>
                    </pic:cNvPicPr>
                  </pic:nvPicPr>
                  <pic:blipFill>
                    <a:blip r:embed="rId73">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380"/>
          </w:cols>
          <w:pgMar w:left="240" w:top="341" w:right="279" w:bottom="1440" w:gutter="0" w:footer="0" w:header="0"/>
        </w:sectPr>
      </w:pPr>
    </w:p>
    <w:bookmarkStart w:id="55" w:name="page56"/>
    <w:bookmarkEnd w:id="55"/>
    <w:p>
      <w:pPr>
        <w:ind w:left="660"/>
        <w:spacing w:after="0"/>
        <w:rPr>
          <w:sz w:val="20"/>
          <w:szCs w:val="20"/>
          <w:color w:val="auto"/>
        </w:rPr>
      </w:pPr>
      <w:r>
        <w:rPr>
          <w:rFonts w:ascii="Arial" w:cs="Arial" w:eastAsia="Arial" w:hAnsi="Arial"/>
          <w:sz w:val="16"/>
          <w:szCs w:val="16"/>
          <w:color w:val="auto"/>
        </w:rPr>
        <w:t>The obligations of Holders and Beneficial Owners to pay ADS fees and charges shall survive the termination of the Deposit Agreement. As to any</w:t>
      </w:r>
    </w:p>
    <w:p>
      <w:pPr>
        <w:spacing w:after="0" w:line="46" w:lineRule="exact"/>
        <w:rPr>
          <w:sz w:val="20"/>
          <w:szCs w:val="20"/>
          <w:color w:val="auto"/>
        </w:rPr>
      </w:pPr>
    </w:p>
    <w:p>
      <w:pPr>
        <w:spacing w:after="0"/>
        <w:rPr>
          <w:sz w:val="20"/>
          <w:szCs w:val="20"/>
          <w:color w:val="auto"/>
        </w:rPr>
      </w:pPr>
      <w:r>
        <w:rPr>
          <w:rFonts w:ascii="Arial" w:cs="Arial" w:eastAsia="Arial" w:hAnsi="Arial"/>
          <w:sz w:val="16"/>
          <w:szCs w:val="16"/>
          <w:color w:val="auto"/>
        </w:rPr>
        <w:t>Depositary, upon the resignation or removal of such Depositary as described in Section 5.4, the right to collect ADS fees and charges shall extend for those</w:t>
      </w:r>
    </w:p>
    <w:p>
      <w:pPr>
        <w:spacing w:after="0" w:line="32" w:lineRule="exact"/>
        <w:rPr>
          <w:sz w:val="20"/>
          <w:szCs w:val="20"/>
          <w:color w:val="auto"/>
        </w:rPr>
      </w:pPr>
    </w:p>
    <w:p>
      <w:pPr>
        <w:spacing w:after="0"/>
        <w:rPr>
          <w:sz w:val="20"/>
          <w:szCs w:val="20"/>
          <w:color w:val="auto"/>
        </w:rPr>
      </w:pPr>
      <w:r>
        <w:rPr>
          <w:rFonts w:ascii="Arial" w:cs="Arial" w:eastAsia="Arial" w:hAnsi="Arial"/>
          <w:sz w:val="18"/>
          <w:szCs w:val="18"/>
          <w:color w:val="auto"/>
        </w:rPr>
        <w:t>ADS fees and charges incurred prior to the effectiveness of such resignation or removal.</w:t>
      </w:r>
    </w:p>
    <w:p>
      <w:pPr>
        <w:spacing w:after="0" w:line="207" w:lineRule="exact"/>
        <w:rPr>
          <w:sz w:val="20"/>
          <w:szCs w:val="20"/>
          <w:color w:val="auto"/>
        </w:rPr>
      </w:pPr>
    </w:p>
    <w:p>
      <w:pPr>
        <w:ind w:right="100" w:firstLine="648"/>
        <w:spacing w:after="0" w:line="261" w:lineRule="auto"/>
        <w:rPr>
          <w:sz w:val="20"/>
          <w:szCs w:val="20"/>
          <w:color w:val="auto"/>
        </w:rPr>
      </w:pPr>
      <w:r>
        <w:rPr>
          <w:rFonts w:ascii="Arial" w:cs="Arial" w:eastAsia="Arial" w:hAnsi="Arial"/>
          <w:sz w:val="18"/>
          <w:szCs w:val="18"/>
          <w:b w:val="1"/>
          <w:bCs w:val="1"/>
          <w:color w:val="auto"/>
        </w:rPr>
        <w:t xml:space="preserve">Section 5.10 </w:t>
      </w:r>
      <w:r>
        <w:rPr>
          <w:rFonts w:ascii="Arial" w:cs="Arial" w:eastAsia="Arial" w:hAnsi="Arial"/>
          <w:sz w:val="18"/>
          <w:szCs w:val="18"/>
          <w:b w:val="1"/>
          <w:bCs w:val="1"/>
          <w:u w:val="single" w:color="auto"/>
          <w:color w:val="auto"/>
        </w:rPr>
        <w:t>Restricted Securities Owners.</w:t>
      </w:r>
      <w:r>
        <w:rPr>
          <w:rFonts w:ascii="Arial" w:cs="Arial" w:eastAsia="Arial" w:hAnsi="Arial"/>
          <w:sz w:val="18"/>
          <w:szCs w:val="18"/>
          <w:b w:val="1"/>
          <w:bCs w:val="1"/>
          <w:color w:val="auto"/>
        </w:rPr>
        <w:t xml:space="preserve"> </w:t>
      </w:r>
      <w:r>
        <w:rPr>
          <w:rFonts w:ascii="Arial" w:cs="Arial" w:eastAsia="Arial" w:hAnsi="Arial"/>
          <w:sz w:val="18"/>
          <w:szCs w:val="18"/>
          <w:color w:val="auto"/>
        </w:rPr>
        <w:t>The Company agrees to advise in writing each of the persons or entities who, to the knowledge of</w:t>
      </w:r>
      <w:r>
        <w:rPr>
          <w:rFonts w:ascii="Arial" w:cs="Arial" w:eastAsia="Arial" w:hAnsi="Arial"/>
          <w:sz w:val="18"/>
          <w:szCs w:val="18"/>
          <w:b w:val="1"/>
          <w:bCs w:val="1"/>
          <w:color w:val="auto"/>
        </w:rPr>
        <w:t xml:space="preserve"> </w:t>
      </w:r>
      <w:r>
        <w:rPr>
          <w:rFonts w:ascii="Arial" w:cs="Arial" w:eastAsia="Arial" w:hAnsi="Arial"/>
          <w:sz w:val="18"/>
          <w:szCs w:val="18"/>
          <w:color w:val="auto"/>
        </w:rPr>
        <w:t>the Company, holds Restricted Securities that such Restricted Securities are ineligible for deposit hereunder (except under the circumstances contemplated in Section 2.14) and, to the extent practicable, shall require each of such persons to represent in writing that such person will not deposit Restricted Securities hereunder (except under the circumstances contemplated in Section 2.14).</w:t>
      </w:r>
    </w:p>
    <w:p>
      <w:pPr>
        <w:spacing w:after="0" w:line="180"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ARTICLE VI</w:t>
      </w:r>
    </w:p>
    <w:p>
      <w:pPr>
        <w:spacing w:after="0" w:line="225"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AMENDMENT AND TERMINATION</w:t>
      </w:r>
    </w:p>
    <w:p>
      <w:pPr>
        <w:spacing w:after="0" w:line="225" w:lineRule="exact"/>
        <w:rPr>
          <w:sz w:val="20"/>
          <w:szCs w:val="20"/>
          <w:color w:val="auto"/>
        </w:rPr>
      </w:pPr>
    </w:p>
    <w:p>
      <w:pPr>
        <w:ind w:firstLine="648"/>
        <w:spacing w:after="0" w:line="285" w:lineRule="auto"/>
        <w:rPr>
          <w:sz w:val="20"/>
          <w:szCs w:val="20"/>
          <w:color w:val="auto"/>
        </w:rPr>
      </w:pPr>
      <w:r>
        <w:rPr>
          <w:rFonts w:ascii="Arial" w:cs="Arial" w:eastAsia="Arial" w:hAnsi="Arial"/>
          <w:sz w:val="16"/>
          <w:szCs w:val="16"/>
          <w:b w:val="1"/>
          <w:bCs w:val="1"/>
          <w:color w:val="auto"/>
        </w:rPr>
        <w:t xml:space="preserve">Section 6.1 </w:t>
      </w:r>
      <w:r>
        <w:rPr>
          <w:rFonts w:ascii="Arial" w:cs="Arial" w:eastAsia="Arial" w:hAnsi="Arial"/>
          <w:sz w:val="16"/>
          <w:szCs w:val="16"/>
          <w:b w:val="1"/>
          <w:bCs w:val="1"/>
          <w:u w:val="single" w:color="auto"/>
          <w:color w:val="auto"/>
        </w:rPr>
        <w:t>Amendment/Supplement.</w:t>
      </w:r>
      <w:r>
        <w:rPr>
          <w:rFonts w:ascii="Arial" w:cs="Arial" w:eastAsia="Arial" w:hAnsi="Arial"/>
          <w:sz w:val="16"/>
          <w:szCs w:val="16"/>
          <w:b w:val="1"/>
          <w:bCs w:val="1"/>
          <w:color w:val="auto"/>
        </w:rPr>
        <w:t xml:space="preserve"> </w:t>
      </w:r>
      <w:r>
        <w:rPr>
          <w:rFonts w:ascii="Arial" w:cs="Arial" w:eastAsia="Arial" w:hAnsi="Arial"/>
          <w:sz w:val="16"/>
          <w:szCs w:val="16"/>
          <w:color w:val="auto"/>
        </w:rPr>
        <w:t>Subject to the terms and conditions of this Section 6.1 and applicable law, the ADRs outstanding at</w:t>
      </w:r>
      <w:r>
        <w:rPr>
          <w:rFonts w:ascii="Arial" w:cs="Arial" w:eastAsia="Arial" w:hAnsi="Arial"/>
          <w:sz w:val="16"/>
          <w:szCs w:val="16"/>
          <w:b w:val="1"/>
          <w:bCs w:val="1"/>
          <w:color w:val="auto"/>
        </w:rPr>
        <w:t xml:space="preserve"> </w:t>
      </w:r>
      <w:r>
        <w:rPr>
          <w:rFonts w:ascii="Arial" w:cs="Arial" w:eastAsia="Arial" w:hAnsi="Arial"/>
          <w:sz w:val="16"/>
          <w:szCs w:val="16"/>
          <w:color w:val="auto"/>
        </w:rPr>
        <w:t>any time, the provisions of the Deposit Agreement and the form of ADR attached hereto and to be issued under the terms hereof may at any time and from time to time be amended or supplemented by written agreement between the Company and the Depositary in any respect which they may deem necessary or desirable without the prior written consent of the Holders or Beneficial Owners. Any amendment or supplement which shall impose or increase any fees or charges (other than charges in connection with foreign exchange control regulations, and taxes and other governmental charges, delivery and other such expenses), or which shall otherwise materially prejudice any substantial existing right of Holders or Beneficial Owners, shall not, however, become effective as to outstanding ADSs until the expiration of thirty (30) days after notice of such amendment or supplement shall have been given to the Holders of outstanding ADSs. Notice of any amendment to the Deposit Agreement or any ADR shall not need to describe in detail the specific amendments effectuated thereby, and failure to describe the specific amendments in any such notice shall not render such notice invalid, provided, however, that, in each such case, the notice given to the Holders identifies a means for Holders and Beneficial Owners to retrieve or receive the text of such amendment (</w:t>
      </w:r>
      <w:r>
        <w:rPr>
          <w:rFonts w:ascii="Arial" w:cs="Arial" w:eastAsia="Arial" w:hAnsi="Arial"/>
          <w:sz w:val="16"/>
          <w:szCs w:val="16"/>
          <w:i w:val="1"/>
          <w:iCs w:val="1"/>
          <w:color w:val="auto"/>
        </w:rPr>
        <w:t>e.g.</w:t>
      </w:r>
      <w:r>
        <w:rPr>
          <w:rFonts w:ascii="Arial" w:cs="Arial" w:eastAsia="Arial" w:hAnsi="Arial"/>
          <w:sz w:val="16"/>
          <w:szCs w:val="16"/>
          <w:color w:val="auto"/>
        </w:rPr>
        <w:t>, upon retrieval from the Commission’s, the Depositary’s or the Company’s website or upon request from the Depositary). The parties hereto agree that any amendments or supplements which (i) are reasonably necessary (as agreed by the Company and the Depositary) in order for (a) the ADSs to be registered on Form F-6 under the Securities Act or (b) the ADSs to be settled solely in electronic book-entry form and (ii) do not in either such case impose or increase any fees or charges to be borne by Holders, shall be deemed not to materially prejudice any substantial existing rights of Holders or Beneficial Owners. Every Holder and Beneficial Owner at the time any amendment or supplement so becomes effective shall be deemed, by continuing to hold such ADSs, to consent and agree to such amendment or supplement and to be bound by the Deposit Agreement and the ADR, if applicable, as amended or supplemented thereby. In no event shall any amendment or supplement impair the right of the Holder to surrender such ADS and receive therefor the Deposited Securities represented thereby, except in order to comply with mandatory provisions of applicable law. Notwithstanding the foregoing, if any governmental body should adopt new laws, rules or regulations which would require an amendment of, or supplement to, the Deposit Agreement to ensure compliance therewith, the Company and the Depositary may amend or supplement the Deposit Agreement and any ADRs at any time in accordance with such changed laws, rules or regulations. Such amendment or supplement to the Deposit Agreement and any ADRs in such circumstances may become effective before a notice of such amendment or supplement is given to Holders or within any other period of time as required for compliance with such laws, rules or regulations.</w:t>
      </w:r>
    </w:p>
    <w:p>
      <w:pPr>
        <w:spacing w:after="0" w:line="268" w:lineRule="exact"/>
        <w:rPr>
          <w:sz w:val="20"/>
          <w:szCs w:val="20"/>
          <w:color w:val="auto"/>
        </w:rPr>
      </w:pPr>
    </w:p>
    <w:p>
      <w:pPr>
        <w:jc w:val="center"/>
        <w:ind w:right="-19"/>
        <w:spacing w:after="0"/>
        <w:rPr>
          <w:sz w:val="20"/>
          <w:szCs w:val="20"/>
          <w:color w:val="auto"/>
        </w:rPr>
      </w:pPr>
      <w:r>
        <w:rPr>
          <w:rFonts w:ascii="Arial" w:cs="Arial" w:eastAsia="Arial" w:hAnsi="Arial"/>
          <w:sz w:val="22"/>
          <w:szCs w:val="22"/>
          <w:color w:val="auto"/>
        </w:rPr>
        <w:t>39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7620</wp:posOffset>
            </wp:positionV>
            <wp:extent cx="7246620" cy="17145"/>
            <wp:wrapNone/>
            <wp:docPr id="67" name="Picture 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
                    <pic:cNvPicPr>
                      <a:picLocks noChangeAspect="1" noChangeArrowheads="1"/>
                    </pic:cNvPicPr>
                  </pic:nvPicPr>
                  <pic:blipFill>
                    <a:blip r:embed="rId74">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341" w:right="239" w:bottom="1440" w:gutter="0" w:footer="0" w:header="0"/>
        </w:sectPr>
      </w:pPr>
    </w:p>
    <w:bookmarkStart w:id="56" w:name="page57"/>
    <w:bookmarkEnd w:id="56"/>
    <w:p>
      <w:pPr>
        <w:ind w:firstLine="648"/>
        <w:spacing w:after="0" w:line="271" w:lineRule="auto"/>
        <w:rPr>
          <w:sz w:val="20"/>
          <w:szCs w:val="20"/>
          <w:color w:val="auto"/>
        </w:rPr>
      </w:pPr>
      <w:r>
        <w:rPr>
          <w:rFonts w:ascii="Arial" w:cs="Arial" w:eastAsia="Arial" w:hAnsi="Arial"/>
          <w:sz w:val="17"/>
          <w:szCs w:val="17"/>
          <w:b w:val="1"/>
          <w:bCs w:val="1"/>
          <w:color w:val="auto"/>
        </w:rPr>
        <w:t xml:space="preserve">Section 6.2 </w:t>
      </w:r>
      <w:r>
        <w:rPr>
          <w:rFonts w:ascii="Arial" w:cs="Arial" w:eastAsia="Arial" w:hAnsi="Arial"/>
          <w:sz w:val="17"/>
          <w:szCs w:val="17"/>
          <w:b w:val="1"/>
          <w:bCs w:val="1"/>
          <w:u w:val="single" w:color="auto"/>
          <w:color w:val="auto"/>
        </w:rPr>
        <w:t>Termination.</w:t>
      </w:r>
      <w:r>
        <w:rPr>
          <w:rFonts w:ascii="Arial" w:cs="Arial" w:eastAsia="Arial" w:hAnsi="Arial"/>
          <w:sz w:val="17"/>
          <w:szCs w:val="17"/>
          <w:b w:val="1"/>
          <w:bCs w:val="1"/>
          <w:color w:val="auto"/>
        </w:rPr>
        <w:t xml:space="preserve"> </w:t>
      </w:r>
      <w:r>
        <w:rPr>
          <w:rFonts w:ascii="Arial" w:cs="Arial" w:eastAsia="Arial" w:hAnsi="Arial"/>
          <w:sz w:val="17"/>
          <w:szCs w:val="17"/>
          <w:color w:val="auto"/>
        </w:rPr>
        <w:t>The Depositary shall, at any time at the written direction of the Company, terminate the Deposit Agreement by</w:t>
      </w:r>
      <w:r>
        <w:rPr>
          <w:rFonts w:ascii="Arial" w:cs="Arial" w:eastAsia="Arial" w:hAnsi="Arial"/>
          <w:sz w:val="17"/>
          <w:szCs w:val="17"/>
          <w:b w:val="1"/>
          <w:bCs w:val="1"/>
          <w:color w:val="auto"/>
        </w:rPr>
        <w:t xml:space="preserve"> </w:t>
      </w:r>
      <w:r>
        <w:rPr>
          <w:rFonts w:ascii="Arial" w:cs="Arial" w:eastAsia="Arial" w:hAnsi="Arial"/>
          <w:sz w:val="17"/>
          <w:szCs w:val="17"/>
          <w:color w:val="auto"/>
        </w:rPr>
        <w:t>distributing notice of such termination to the Holders of all ADSs then outstanding at least thirty (30) days prior to the date fixed in such notice for such termination. If ninety (90) days shall have expired after (i) the Depositary shall have delivered to the Company a written notice of its election to resign, or (ii) the Company shall have delivered to the Depositary a written notice of the removal of the Depositary, and, in either case, a successor depositary shall not have been appointed and accepted its appointment as provided in Section 5.4 of the Deposit Agreement, the Depositary may terminate the Deposit Agreement by distributing notice of such termination to the Holders of all ADSs then outstanding at least thirty (30) days prior to the date fixed in such notice for such termination. The date so fixed for termination of the Deposit Agreement in any termination notice so distributed by the Depositary to the Holders of ADSs is referred to as the “Termination Date”. Until the Termination Date, the Depositary shall continue to perform all of its obligations under the Deposit Agreement, and the Holders and Beneficial Owners will be entitled to all of their rights under the Deposit Agreement.</w:t>
      </w:r>
    </w:p>
    <w:p>
      <w:pPr>
        <w:spacing w:after="0" w:line="178" w:lineRule="exact"/>
        <w:rPr>
          <w:sz w:val="20"/>
          <w:szCs w:val="20"/>
          <w:color w:val="auto"/>
        </w:rPr>
      </w:pPr>
    </w:p>
    <w:p>
      <w:pPr>
        <w:ind w:right="20" w:firstLine="648"/>
        <w:spacing w:after="0" w:line="271" w:lineRule="auto"/>
        <w:rPr>
          <w:sz w:val="20"/>
          <w:szCs w:val="20"/>
          <w:color w:val="auto"/>
        </w:rPr>
      </w:pPr>
      <w:r>
        <w:rPr>
          <w:rFonts w:ascii="Arial" w:cs="Arial" w:eastAsia="Arial" w:hAnsi="Arial"/>
          <w:sz w:val="17"/>
          <w:szCs w:val="17"/>
          <w:color w:val="auto"/>
        </w:rPr>
        <w:t>If any ADSs shall remain outstanding after the Termination Date, the Registrar and the Depositary shall not, after the Termination Date, have any obligation to perform any further acts under the Deposit Agreement, except that the Depositary shall, subject, in each case, to the terms and conditions of the Deposit Agreement, continue to (i) collect dividends and other distributions pertaining to Deposited Securities, (ii) sell Deposited Property received in respect of Deposited Securities, (iii) deliver Deposited Securities, together with any dividends or other distributions received with respect thereto and the net proceeds of the sale of any other Deposited Property, in exchange for ADSs surrendered to the Depositary (after deducting, or charging, as the case may be, in each case, the fees and charges of, and expenses incurred by, the Depositary, and all applicable taxes or governmental charges for the account of the Holders and Beneficial Owners, in each case upon the terms set forth in Section 5.9 of the Deposit Agreement), and (iv) take such actions as may be required under applicable law in connection with its role as Depositary under the Deposit Agreement.</w:t>
      </w:r>
    </w:p>
    <w:p>
      <w:pPr>
        <w:spacing w:after="0" w:line="179" w:lineRule="exact"/>
        <w:rPr>
          <w:sz w:val="20"/>
          <w:szCs w:val="20"/>
          <w:color w:val="auto"/>
        </w:rPr>
      </w:pPr>
    </w:p>
    <w:p>
      <w:pPr>
        <w:ind w:right="80" w:firstLine="648"/>
        <w:spacing w:after="0" w:line="269" w:lineRule="auto"/>
        <w:rPr>
          <w:sz w:val="20"/>
          <w:szCs w:val="20"/>
          <w:color w:val="auto"/>
        </w:rPr>
      </w:pPr>
      <w:r>
        <w:rPr>
          <w:rFonts w:ascii="Arial" w:cs="Arial" w:eastAsia="Arial" w:hAnsi="Arial"/>
          <w:sz w:val="17"/>
          <w:szCs w:val="17"/>
          <w:color w:val="auto"/>
        </w:rPr>
        <w:t>At any time after the Termination Date, the Depositary may sell the Deposited Property then held under the Deposit Agreement and shall after such sale hold un-invested the net proceeds of such sale, together with any other cash then held by it under the Deposit Agreement, in an un-segregated account and without liability for interest, for the pro rata benefit of the Holders whose ADSs have not theretofore been surrendered. After making such sale, the Depositary shall be discharged from all obligations under the Deposit Agreement except (i) to account for such net proceeds and other cash (after deducting, or charging, as the case may be, in each case, the fees and charges of, and expenses incurred by, the Depositary, and all applicable taxes or governmental charges for the account of the Holders and Beneficial Owners, in each case upon the terms set forth in Section 5.9 of the Deposit Agreement), and (ii) as may be required at law in connection with the termination of the Deposit Agreement. After the Termination Date, the Company shall be discharged from all obligations under the Deposit Agreement, except for its obligations to the Depositary under Sections 5.8, 5.9 and 7.6 of the Deposit Agreement. The obligations under the terms of the Deposit Agreement of Holders and Beneficial Owners of ADSs outstanding as of the Termination Date shall survive the Termination Date and shall be discharged only when the applicable ADSs are presented by their Holders to the Depositary for cancellation under the terms of the Deposit Agreement (except as specifically provided in the Deposit Agreement).</w:t>
      </w:r>
    </w:p>
    <w:p>
      <w:pPr>
        <w:spacing w:after="0" w:line="284"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40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7620</wp:posOffset>
            </wp:positionV>
            <wp:extent cx="7246620" cy="17145"/>
            <wp:wrapNone/>
            <wp:docPr id="68" name="Picture 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
                    <pic:cNvPicPr>
                      <a:picLocks noChangeAspect="1" noChangeArrowheads="1"/>
                    </pic:cNvPicPr>
                  </pic:nvPicPr>
                  <pic:blipFill>
                    <a:blip r:embed="rId75">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337" w:right="239" w:bottom="1440" w:gutter="0" w:footer="0" w:header="0"/>
        </w:sectPr>
      </w:pPr>
    </w:p>
    <w:bookmarkStart w:id="57" w:name="page58"/>
    <w:bookmarkEnd w:id="57"/>
    <w:p>
      <w:pPr>
        <w:ind w:right="20" w:firstLine="648"/>
        <w:spacing w:after="0" w:line="293" w:lineRule="auto"/>
        <w:rPr>
          <w:sz w:val="20"/>
          <w:szCs w:val="20"/>
          <w:color w:val="auto"/>
        </w:rPr>
      </w:pPr>
      <w:r>
        <w:rPr>
          <w:rFonts w:ascii="Arial" w:cs="Arial" w:eastAsia="Arial" w:hAnsi="Arial"/>
          <w:sz w:val="16"/>
          <w:szCs w:val="16"/>
          <w:color w:val="auto"/>
        </w:rPr>
        <w:t>Notwithstanding anything contained in the Deposit Agreement or any ADR, in connection with the termination of the Deposit Agreement, the Depositary may, independently and without the need for any action by the Company, make available to Holders of ADSs a means to withdraw the Deposited Securities represented by their ADSs and to direct the deposit of such Deposited Securities into an unsponsored American depositary shares program established by the Depositary, upon such terms and conditions as the Depositary may deem reasonably appropriate, subject however, in each case, to satisfaction of the applicable registration requirements by the unsponsored American depositary shares program under the Securities Act, and to receipt by the Depositary of payment of the applicable fees and charges of, and reimbursement of the applicable expenses incurred by, the Depositary.</w:t>
      </w:r>
    </w:p>
    <w:p>
      <w:pPr>
        <w:spacing w:after="0" w:line="16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ARTICLE VII</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MISCELLANEOUS</w:t>
      </w:r>
    </w:p>
    <w:p>
      <w:pPr>
        <w:spacing w:after="0" w:line="225" w:lineRule="exact"/>
        <w:rPr>
          <w:sz w:val="20"/>
          <w:szCs w:val="20"/>
          <w:color w:val="auto"/>
        </w:rPr>
      </w:pPr>
    </w:p>
    <w:p>
      <w:pPr>
        <w:ind w:right="400" w:firstLine="648"/>
        <w:spacing w:after="0" w:line="266" w:lineRule="auto"/>
        <w:rPr>
          <w:sz w:val="20"/>
          <w:szCs w:val="20"/>
          <w:color w:val="auto"/>
        </w:rPr>
      </w:pPr>
      <w:r>
        <w:rPr>
          <w:rFonts w:ascii="Arial" w:cs="Arial" w:eastAsia="Arial" w:hAnsi="Arial"/>
          <w:sz w:val="18"/>
          <w:szCs w:val="18"/>
          <w:b w:val="1"/>
          <w:bCs w:val="1"/>
          <w:color w:val="auto"/>
        </w:rPr>
        <w:t xml:space="preserve">Section 7.1 </w:t>
      </w:r>
      <w:r>
        <w:rPr>
          <w:rFonts w:ascii="Arial" w:cs="Arial" w:eastAsia="Arial" w:hAnsi="Arial"/>
          <w:sz w:val="18"/>
          <w:szCs w:val="18"/>
          <w:b w:val="1"/>
          <w:bCs w:val="1"/>
          <w:u w:val="single" w:color="auto"/>
          <w:color w:val="auto"/>
        </w:rPr>
        <w:t>Counterparts.</w:t>
      </w:r>
      <w:r>
        <w:rPr>
          <w:rFonts w:ascii="Arial" w:cs="Arial" w:eastAsia="Arial" w:hAnsi="Arial"/>
          <w:sz w:val="18"/>
          <w:szCs w:val="18"/>
          <w:b w:val="1"/>
          <w:bCs w:val="1"/>
          <w:color w:val="auto"/>
        </w:rPr>
        <w:t xml:space="preserve"> </w:t>
      </w:r>
      <w:r>
        <w:rPr>
          <w:rFonts w:ascii="Arial" w:cs="Arial" w:eastAsia="Arial" w:hAnsi="Arial"/>
          <w:sz w:val="18"/>
          <w:szCs w:val="18"/>
          <w:color w:val="auto"/>
        </w:rPr>
        <w:t>The Deposit Agreement may be executed in any number of counterparts, each of which shall be deemed an</w:t>
      </w:r>
      <w:r>
        <w:rPr>
          <w:rFonts w:ascii="Arial" w:cs="Arial" w:eastAsia="Arial" w:hAnsi="Arial"/>
          <w:sz w:val="18"/>
          <w:szCs w:val="18"/>
          <w:b w:val="1"/>
          <w:bCs w:val="1"/>
          <w:color w:val="auto"/>
        </w:rPr>
        <w:t xml:space="preserve"> </w:t>
      </w:r>
      <w:r>
        <w:rPr>
          <w:rFonts w:ascii="Arial" w:cs="Arial" w:eastAsia="Arial" w:hAnsi="Arial"/>
          <w:sz w:val="18"/>
          <w:szCs w:val="18"/>
          <w:color w:val="auto"/>
        </w:rPr>
        <w:t>original and all of such counterparts together shall constitute one and the same agreement. Copies of the Deposit Agreement shall be maintained with the Depositary and shall be open to inspection by any Holder during business hours.</w:t>
      </w:r>
    </w:p>
    <w:p>
      <w:pPr>
        <w:spacing w:after="0" w:line="176" w:lineRule="exact"/>
        <w:rPr>
          <w:sz w:val="20"/>
          <w:szCs w:val="20"/>
          <w:color w:val="auto"/>
        </w:rPr>
      </w:pPr>
    </w:p>
    <w:p>
      <w:pPr>
        <w:ind w:firstLine="648"/>
        <w:spacing w:after="0" w:line="287" w:lineRule="auto"/>
        <w:rPr>
          <w:sz w:val="20"/>
          <w:szCs w:val="20"/>
          <w:color w:val="auto"/>
        </w:rPr>
      </w:pPr>
      <w:r>
        <w:rPr>
          <w:rFonts w:ascii="Arial" w:cs="Arial" w:eastAsia="Arial" w:hAnsi="Arial"/>
          <w:sz w:val="16"/>
          <w:szCs w:val="16"/>
          <w:b w:val="1"/>
          <w:bCs w:val="1"/>
          <w:color w:val="auto"/>
        </w:rPr>
        <w:t xml:space="preserve">Section 7.2 </w:t>
      </w:r>
      <w:r>
        <w:rPr>
          <w:rFonts w:ascii="Arial" w:cs="Arial" w:eastAsia="Arial" w:hAnsi="Arial"/>
          <w:sz w:val="16"/>
          <w:szCs w:val="16"/>
          <w:b w:val="1"/>
          <w:bCs w:val="1"/>
          <w:u w:val="single" w:color="auto"/>
          <w:color w:val="auto"/>
        </w:rPr>
        <w:t>No Third-Party Beneficiaries.</w:t>
      </w:r>
      <w:r>
        <w:rPr>
          <w:rFonts w:ascii="Arial" w:cs="Arial" w:eastAsia="Arial" w:hAnsi="Arial"/>
          <w:sz w:val="16"/>
          <w:szCs w:val="16"/>
          <w:b w:val="1"/>
          <w:bCs w:val="1"/>
          <w:color w:val="auto"/>
        </w:rPr>
        <w:t xml:space="preserve"> </w:t>
      </w:r>
      <w:r>
        <w:rPr>
          <w:rFonts w:ascii="Arial" w:cs="Arial" w:eastAsia="Arial" w:hAnsi="Arial"/>
          <w:sz w:val="16"/>
          <w:szCs w:val="16"/>
          <w:color w:val="auto"/>
        </w:rPr>
        <w:t>The Deposit Agreement is for the exclusive benefit of the parties hereto (and their successors) and</w:t>
      </w:r>
      <w:r>
        <w:rPr>
          <w:rFonts w:ascii="Arial" w:cs="Arial" w:eastAsia="Arial" w:hAnsi="Arial"/>
          <w:sz w:val="16"/>
          <w:szCs w:val="16"/>
          <w:b w:val="1"/>
          <w:bCs w:val="1"/>
          <w:color w:val="auto"/>
        </w:rPr>
        <w:t xml:space="preserve"> </w:t>
      </w:r>
      <w:r>
        <w:rPr>
          <w:rFonts w:ascii="Arial" w:cs="Arial" w:eastAsia="Arial" w:hAnsi="Arial"/>
          <w:sz w:val="16"/>
          <w:szCs w:val="16"/>
          <w:color w:val="auto"/>
        </w:rPr>
        <w:t>shall not be deemed to give any legal or equitable right, remedy or claim whatsoever to any other person, except to the extent specifically set forth in the Deposit Agreement. Nothing in the Deposit Agreement shall be deemed to give rise to a partnership or joint venture among the parties nor establish a fiduciary or similar relationship among the parties. The parties hereto acknowledge and agree that (i) Citibank and its Affiliates may at any time have multiple banking relationships with the Company, the Holders, the Beneficial Owners, and their respective Affiliates, (ii) Citibank and its Affiliates may own and deal in any class of securities of the Company and its Affiliates and in ADSs, and may be engaged at any time in transactions in which parties adverse to the Company, the Holders, the Beneficial Owners or their respective Affiliates may have interests, (iii) the Depositary and its Affiliates may from time to time have in their possession non-public information about the Company, the Holders, the Beneficial Owners, and their respective Affiliates, (iv) nothing contained in the Deposit Agreement shall (a) preclude Citibank or any of its Affiliates from engaging in such transactions or establishing or maintaining such relationships, or (b) obligate Citibank or any of its Affiliates to disclose such information, transactions or relationships, or to account for any profit made or payment received in such transactions or relationships, and (v) the Depositary shall not be deemed to have knowledge of any information any other division of Citibank or any of its Affiliates may have about the Company, the Holders, the Beneficial Owners, or any of their respective Affiliates.</w:t>
      </w:r>
    </w:p>
    <w:p>
      <w:pPr>
        <w:spacing w:after="0" w:line="274"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41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7620</wp:posOffset>
            </wp:positionV>
            <wp:extent cx="7246620" cy="17145"/>
            <wp:wrapNone/>
            <wp:docPr id="69" name="Picture 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
                    <pic:cNvPicPr>
                      <a:picLocks noChangeAspect="1" noChangeArrowheads="1"/>
                    </pic:cNvPicPr>
                  </pic:nvPicPr>
                  <pic:blipFill>
                    <a:blip r:embed="rId76">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341" w:right="239" w:bottom="1440" w:gutter="0" w:footer="0" w:header="0"/>
        </w:sectPr>
      </w:pPr>
    </w:p>
    <w:bookmarkStart w:id="58" w:name="page59"/>
    <w:bookmarkEnd w:id="58"/>
    <w:p>
      <w:pPr>
        <w:jc w:val="both"/>
        <w:ind w:firstLine="648"/>
        <w:spacing w:after="0" w:line="266" w:lineRule="auto"/>
        <w:rPr>
          <w:sz w:val="20"/>
          <w:szCs w:val="20"/>
          <w:color w:val="auto"/>
        </w:rPr>
      </w:pPr>
      <w:r>
        <w:rPr>
          <w:rFonts w:ascii="Arial" w:cs="Arial" w:eastAsia="Arial" w:hAnsi="Arial"/>
          <w:sz w:val="18"/>
          <w:szCs w:val="18"/>
          <w:b w:val="1"/>
          <w:bCs w:val="1"/>
          <w:color w:val="auto"/>
        </w:rPr>
        <w:t xml:space="preserve">Section 7.3 </w:t>
      </w:r>
      <w:r>
        <w:rPr>
          <w:rFonts w:ascii="Arial" w:cs="Arial" w:eastAsia="Arial" w:hAnsi="Arial"/>
          <w:sz w:val="18"/>
          <w:szCs w:val="18"/>
          <w:b w:val="1"/>
          <w:bCs w:val="1"/>
          <w:u w:val="single" w:color="auto"/>
          <w:color w:val="auto"/>
        </w:rPr>
        <w:t>Severability.</w:t>
      </w:r>
      <w:r>
        <w:rPr>
          <w:rFonts w:ascii="Arial" w:cs="Arial" w:eastAsia="Arial" w:hAnsi="Arial"/>
          <w:sz w:val="18"/>
          <w:szCs w:val="18"/>
          <w:b w:val="1"/>
          <w:bCs w:val="1"/>
          <w:color w:val="auto"/>
        </w:rPr>
        <w:t xml:space="preserve"> </w:t>
      </w:r>
      <w:r>
        <w:rPr>
          <w:rFonts w:ascii="Arial" w:cs="Arial" w:eastAsia="Arial" w:hAnsi="Arial"/>
          <w:sz w:val="18"/>
          <w:szCs w:val="18"/>
          <w:color w:val="auto"/>
        </w:rPr>
        <w:t>In case any one or more of the provisions contained in the Deposit Agreement or in the ADRs should be or become</w:t>
      </w:r>
      <w:r>
        <w:rPr>
          <w:rFonts w:ascii="Arial" w:cs="Arial" w:eastAsia="Arial" w:hAnsi="Arial"/>
          <w:sz w:val="18"/>
          <w:szCs w:val="18"/>
          <w:b w:val="1"/>
          <w:bCs w:val="1"/>
          <w:color w:val="auto"/>
        </w:rPr>
        <w:t xml:space="preserve"> </w:t>
      </w:r>
      <w:r>
        <w:rPr>
          <w:rFonts w:ascii="Arial" w:cs="Arial" w:eastAsia="Arial" w:hAnsi="Arial"/>
          <w:sz w:val="18"/>
          <w:szCs w:val="18"/>
          <w:color w:val="auto"/>
        </w:rPr>
        <w:t>invalid, illegal or unenforceable in any respect, the validity, legality and enforceability of the remaining provisions contained herein or therein shall in no way be affected, prejudiced or disturbed thereby.</w:t>
      </w:r>
    </w:p>
    <w:p>
      <w:pPr>
        <w:spacing w:after="0" w:line="176" w:lineRule="exact"/>
        <w:rPr>
          <w:sz w:val="20"/>
          <w:szCs w:val="20"/>
          <w:color w:val="auto"/>
        </w:rPr>
      </w:pPr>
    </w:p>
    <w:p>
      <w:pPr>
        <w:jc w:val="both"/>
        <w:ind w:right="340" w:firstLine="648"/>
        <w:spacing w:after="0" w:line="266" w:lineRule="auto"/>
        <w:rPr>
          <w:sz w:val="20"/>
          <w:szCs w:val="20"/>
          <w:color w:val="auto"/>
        </w:rPr>
      </w:pPr>
      <w:r>
        <w:rPr>
          <w:rFonts w:ascii="Arial" w:cs="Arial" w:eastAsia="Arial" w:hAnsi="Arial"/>
          <w:sz w:val="18"/>
          <w:szCs w:val="18"/>
          <w:b w:val="1"/>
          <w:bCs w:val="1"/>
          <w:color w:val="auto"/>
        </w:rPr>
        <w:t xml:space="preserve">Section 7.4 </w:t>
      </w:r>
      <w:r>
        <w:rPr>
          <w:rFonts w:ascii="Arial" w:cs="Arial" w:eastAsia="Arial" w:hAnsi="Arial"/>
          <w:sz w:val="18"/>
          <w:szCs w:val="18"/>
          <w:b w:val="1"/>
          <w:bCs w:val="1"/>
          <w:u w:val="single" w:color="auto"/>
          <w:color w:val="auto"/>
        </w:rPr>
        <w:t>Holders and Beneficial Owners as Parties; Binding Effect.</w:t>
      </w:r>
      <w:r>
        <w:rPr>
          <w:rFonts w:ascii="Arial" w:cs="Arial" w:eastAsia="Arial" w:hAnsi="Arial"/>
          <w:sz w:val="18"/>
          <w:szCs w:val="18"/>
          <w:b w:val="1"/>
          <w:bCs w:val="1"/>
          <w:color w:val="auto"/>
        </w:rPr>
        <w:t xml:space="preserve"> </w:t>
      </w:r>
      <w:r>
        <w:rPr>
          <w:rFonts w:ascii="Arial" w:cs="Arial" w:eastAsia="Arial" w:hAnsi="Arial"/>
          <w:sz w:val="18"/>
          <w:szCs w:val="18"/>
          <w:color w:val="auto"/>
        </w:rPr>
        <w:t>The Holders and Beneficial Owners from time to time of ADSs</w:t>
      </w:r>
      <w:r>
        <w:rPr>
          <w:rFonts w:ascii="Arial" w:cs="Arial" w:eastAsia="Arial" w:hAnsi="Arial"/>
          <w:sz w:val="18"/>
          <w:szCs w:val="18"/>
          <w:b w:val="1"/>
          <w:bCs w:val="1"/>
          <w:color w:val="auto"/>
        </w:rPr>
        <w:t xml:space="preserve"> </w:t>
      </w:r>
      <w:r>
        <w:rPr>
          <w:rFonts w:ascii="Arial" w:cs="Arial" w:eastAsia="Arial" w:hAnsi="Arial"/>
          <w:sz w:val="18"/>
          <w:szCs w:val="18"/>
          <w:color w:val="auto"/>
        </w:rPr>
        <w:t>issued hereunder shall be parties to the Deposit Agreement and shall be bound by all of the terms and conditions hereof and of any ADR evidencing their ADSs by acceptance thereof or any beneficial interest therein.</w:t>
      </w:r>
    </w:p>
    <w:p>
      <w:pPr>
        <w:spacing w:after="0" w:line="176" w:lineRule="exact"/>
        <w:rPr>
          <w:sz w:val="20"/>
          <w:szCs w:val="20"/>
          <w:color w:val="auto"/>
        </w:rPr>
      </w:pPr>
    </w:p>
    <w:p>
      <w:pPr>
        <w:ind w:right="140" w:firstLine="648"/>
        <w:spacing w:after="0" w:line="261" w:lineRule="auto"/>
        <w:rPr>
          <w:sz w:val="20"/>
          <w:szCs w:val="20"/>
          <w:color w:val="auto"/>
        </w:rPr>
      </w:pPr>
      <w:r>
        <w:rPr>
          <w:rFonts w:ascii="Arial" w:cs="Arial" w:eastAsia="Arial" w:hAnsi="Arial"/>
          <w:sz w:val="18"/>
          <w:szCs w:val="18"/>
          <w:b w:val="1"/>
          <w:bCs w:val="1"/>
          <w:color w:val="auto"/>
        </w:rPr>
        <w:t xml:space="preserve">Section 7.5 </w:t>
      </w:r>
      <w:r>
        <w:rPr>
          <w:rFonts w:ascii="Arial" w:cs="Arial" w:eastAsia="Arial" w:hAnsi="Arial"/>
          <w:sz w:val="18"/>
          <w:szCs w:val="18"/>
          <w:b w:val="1"/>
          <w:bCs w:val="1"/>
          <w:u w:val="single" w:color="auto"/>
          <w:color w:val="auto"/>
        </w:rPr>
        <w:t>Notices.</w:t>
      </w:r>
      <w:r>
        <w:rPr>
          <w:rFonts w:ascii="Arial" w:cs="Arial" w:eastAsia="Arial" w:hAnsi="Arial"/>
          <w:sz w:val="18"/>
          <w:szCs w:val="18"/>
          <w:b w:val="1"/>
          <w:bCs w:val="1"/>
          <w:color w:val="auto"/>
        </w:rPr>
        <w:t xml:space="preserve"> </w:t>
      </w:r>
      <w:r>
        <w:rPr>
          <w:rFonts w:ascii="Arial" w:cs="Arial" w:eastAsia="Arial" w:hAnsi="Arial"/>
          <w:sz w:val="18"/>
          <w:szCs w:val="18"/>
          <w:color w:val="auto"/>
        </w:rPr>
        <w:t>Any and all notices to be given to the Company shall be deemed to have been duly given if personally delivered or sent</w:t>
      </w:r>
      <w:r>
        <w:rPr>
          <w:rFonts w:ascii="Arial" w:cs="Arial" w:eastAsia="Arial" w:hAnsi="Arial"/>
          <w:sz w:val="18"/>
          <w:szCs w:val="18"/>
          <w:b w:val="1"/>
          <w:bCs w:val="1"/>
          <w:color w:val="auto"/>
        </w:rPr>
        <w:t xml:space="preserve"> </w:t>
      </w:r>
      <w:r>
        <w:rPr>
          <w:rFonts w:ascii="Arial" w:cs="Arial" w:eastAsia="Arial" w:hAnsi="Arial"/>
          <w:sz w:val="18"/>
          <w:szCs w:val="18"/>
          <w:color w:val="auto"/>
        </w:rPr>
        <w:t>by mail, air courier or cable, telex or facsimile transmission, confirmed by letter personally delivered or sent by mail or air courier, addressed to Mereo BioPharma Group plc, Fourth Floor, One Cavendish Place, London W1G 0QF, United Kingdom, Attention: General Counsel, or to any other address which the Company may specify in writing to the Depositary.</w:t>
      </w:r>
    </w:p>
    <w:p>
      <w:pPr>
        <w:spacing w:after="0" w:line="184" w:lineRule="exact"/>
        <w:rPr>
          <w:sz w:val="20"/>
          <w:szCs w:val="20"/>
          <w:color w:val="auto"/>
        </w:rPr>
      </w:pPr>
    </w:p>
    <w:p>
      <w:pPr>
        <w:ind w:right="20" w:firstLine="648"/>
        <w:spacing w:after="0" w:line="259" w:lineRule="auto"/>
        <w:rPr>
          <w:sz w:val="20"/>
          <w:szCs w:val="20"/>
          <w:color w:val="auto"/>
        </w:rPr>
      </w:pPr>
      <w:r>
        <w:rPr>
          <w:rFonts w:ascii="Arial" w:cs="Arial" w:eastAsia="Arial" w:hAnsi="Arial"/>
          <w:sz w:val="18"/>
          <w:szCs w:val="18"/>
          <w:color w:val="auto"/>
        </w:rPr>
        <w:t xml:space="preserve">Any and all notices to be given to the Depositary shall be deemed to have been duly given if personally delivered or sent by mail, air courier or cable, telex or facsimile transmission, confirmed by letter personally delivered or sent by mail or air courier, addressed to Citibank, N.A., 388 Greenwich Street, New York, New York 10013, U.S.A., </w:t>
      </w:r>
      <w:r>
        <w:rPr>
          <w:rFonts w:ascii="Arial" w:cs="Arial" w:eastAsia="Arial" w:hAnsi="Arial"/>
          <w:sz w:val="18"/>
          <w:szCs w:val="18"/>
          <w:u w:val="single" w:color="auto"/>
          <w:color w:val="auto"/>
        </w:rPr>
        <w:t>Attention</w:t>
      </w:r>
      <w:r>
        <w:rPr>
          <w:rFonts w:ascii="Arial" w:cs="Arial" w:eastAsia="Arial" w:hAnsi="Arial"/>
          <w:sz w:val="18"/>
          <w:szCs w:val="18"/>
          <w:color w:val="auto"/>
        </w:rPr>
        <w:t>: Depositary Receipts Department, or to any other address which the Depositary may specify in writing to the Company.</w:t>
      </w:r>
    </w:p>
    <w:p>
      <w:pPr>
        <w:spacing w:after="0" w:line="187" w:lineRule="exact"/>
        <w:rPr>
          <w:sz w:val="20"/>
          <w:szCs w:val="20"/>
          <w:color w:val="auto"/>
        </w:rPr>
      </w:pPr>
    </w:p>
    <w:p>
      <w:pPr>
        <w:ind w:right="80" w:firstLine="648"/>
        <w:spacing w:after="0" w:line="270" w:lineRule="auto"/>
        <w:rPr>
          <w:sz w:val="20"/>
          <w:szCs w:val="20"/>
          <w:color w:val="auto"/>
        </w:rPr>
      </w:pPr>
      <w:r>
        <w:rPr>
          <w:rFonts w:ascii="Arial" w:cs="Arial" w:eastAsia="Arial" w:hAnsi="Arial"/>
          <w:sz w:val="17"/>
          <w:szCs w:val="17"/>
          <w:color w:val="auto"/>
        </w:rPr>
        <w:t>Any and all notices to be given to any Holder shall be deemed to have been duly given (a) if personally delivered or sent by mail or cable, telex or facsimile transmission, confirmed by letter, addressed to such Holder at the address of such Holder as it appears on the books of the Depositary or, if such Holder shall have filed with the Depositary a request that notices intended for such Holder be mailed to some other address, at the address specified in such request, or (b) if a Holder shall have designated such means of notification as an acceptable means of notification under the terms of the Deposit Agreement, by means of electronic messaging addressed for delivery to the e-mail address designated by the Holder for such purpose. Notice to Holders shall be deemed to be notice to Beneficial Owners for all purposes of the Deposit Agreement. Failure to notify a Holder or any defect in the notification to a Holder shall not affect the sufficiency of notification to other Holders or to the Beneficial Owners of ADSs held by such other Holders. Any notices given to DTC under the terms of the Deposit Agreement shall (unless otherwise specified by the Depositary) constitute notice to the DTC Participants who hold as the ADSs in their DTC accounts and to the Beneficial Owners of such ADSs.</w:t>
      </w:r>
    </w:p>
    <w:p>
      <w:pPr>
        <w:spacing w:after="0" w:line="283" w:lineRule="exact"/>
        <w:rPr>
          <w:sz w:val="20"/>
          <w:szCs w:val="20"/>
          <w:color w:val="auto"/>
        </w:rPr>
      </w:pPr>
    </w:p>
    <w:p>
      <w:pPr>
        <w:jc w:val="center"/>
        <w:ind w:right="-59"/>
        <w:spacing w:after="0"/>
        <w:rPr>
          <w:sz w:val="20"/>
          <w:szCs w:val="20"/>
          <w:color w:val="auto"/>
        </w:rPr>
      </w:pPr>
      <w:r>
        <w:rPr>
          <w:rFonts w:ascii="Arial" w:cs="Arial" w:eastAsia="Arial" w:hAnsi="Arial"/>
          <w:sz w:val="22"/>
          <w:szCs w:val="22"/>
          <w:color w:val="auto"/>
        </w:rPr>
        <w:t>42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7620</wp:posOffset>
            </wp:positionV>
            <wp:extent cx="7246620" cy="17145"/>
            <wp:wrapNone/>
            <wp:docPr id="70" name="Picture 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
                    <pic:cNvPicPr>
                      <a:picLocks noChangeAspect="1" noChangeArrowheads="1"/>
                    </pic:cNvPicPr>
                  </pic:nvPicPr>
                  <pic:blipFill>
                    <a:blip r:embed="rId77">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380"/>
          </w:cols>
          <w:pgMar w:left="240" w:top="337" w:right="279" w:bottom="1440" w:gutter="0" w:footer="0" w:header="0"/>
        </w:sectPr>
      </w:pPr>
    </w:p>
    <w:bookmarkStart w:id="59" w:name="page60"/>
    <w:bookmarkEnd w:id="59"/>
    <w:p>
      <w:pPr>
        <w:ind w:right="60" w:firstLine="648"/>
        <w:spacing w:after="0" w:line="276" w:lineRule="auto"/>
        <w:rPr>
          <w:sz w:val="20"/>
          <w:szCs w:val="20"/>
          <w:color w:val="auto"/>
        </w:rPr>
      </w:pPr>
      <w:r>
        <w:rPr>
          <w:rFonts w:ascii="Arial" w:cs="Arial" w:eastAsia="Arial" w:hAnsi="Arial"/>
          <w:sz w:val="17"/>
          <w:szCs w:val="17"/>
          <w:color w:val="auto"/>
        </w:rPr>
        <w:t>Delivery of a notice sent by mail, air courier or cable, telex or facsimile transmission shall be deemed to be effective at the time when a duly addressed letter containing the same (or a confirmation thereof in the case of a cable, telex or facsimile transmission) is deposited, postage prepaid, in a post-office letter box or delivered to an air courier service, without regard for the actual receipt or time of actual receipt thereof by a Holder. The Depositary or the Company may, however, act upon any cable, telex or facsimile transmission received by it from any Holder, the Custodian, the Depositary, or the Company, notwithstanding that such cable, telex or facsimile transmission shall not be subsequently confirmed by letter.</w:t>
      </w:r>
    </w:p>
    <w:p>
      <w:pPr>
        <w:spacing w:after="0" w:line="173" w:lineRule="exact"/>
        <w:rPr>
          <w:sz w:val="20"/>
          <w:szCs w:val="20"/>
          <w:color w:val="auto"/>
        </w:rPr>
      </w:pPr>
    </w:p>
    <w:p>
      <w:pPr>
        <w:ind w:right="140" w:firstLine="648"/>
        <w:spacing w:after="0" w:line="259" w:lineRule="auto"/>
        <w:rPr>
          <w:sz w:val="20"/>
          <w:szCs w:val="20"/>
          <w:color w:val="auto"/>
        </w:rPr>
      </w:pPr>
      <w:r>
        <w:rPr>
          <w:rFonts w:ascii="Arial" w:cs="Arial" w:eastAsia="Arial" w:hAnsi="Arial"/>
          <w:sz w:val="18"/>
          <w:szCs w:val="18"/>
          <w:color w:val="auto"/>
        </w:rPr>
        <w:t>Delivery of a notice by means of electronic messaging shall be deemed to be effective at the time of the initiation of the transmission by the sender (as shown on the sender’s records), notwithstanding that the intended recipient retrieves the message at a later date, fails to retrieve such message, or fails to receive such notice on account of its failure to maintain the designated e-mail address, its failure to designate a substitute e-mail address or for any other reason.</w:t>
      </w:r>
    </w:p>
    <w:p>
      <w:pPr>
        <w:spacing w:after="0" w:line="183" w:lineRule="exact"/>
        <w:rPr>
          <w:sz w:val="20"/>
          <w:szCs w:val="20"/>
          <w:color w:val="auto"/>
        </w:rPr>
      </w:pPr>
    </w:p>
    <w:p>
      <w:pPr>
        <w:ind w:right="60" w:firstLine="648"/>
        <w:spacing w:after="0" w:line="256" w:lineRule="auto"/>
        <w:rPr>
          <w:sz w:val="20"/>
          <w:szCs w:val="20"/>
          <w:color w:val="auto"/>
        </w:rPr>
      </w:pPr>
      <w:r>
        <w:rPr>
          <w:rFonts w:ascii="Arial" w:cs="Arial" w:eastAsia="Arial" w:hAnsi="Arial"/>
          <w:sz w:val="18"/>
          <w:szCs w:val="18"/>
          <w:b w:val="1"/>
          <w:bCs w:val="1"/>
          <w:color w:val="auto"/>
        </w:rPr>
        <w:t xml:space="preserve">Section 7.6 </w:t>
      </w:r>
      <w:r>
        <w:rPr>
          <w:rFonts w:ascii="Arial" w:cs="Arial" w:eastAsia="Arial" w:hAnsi="Arial"/>
          <w:sz w:val="18"/>
          <w:szCs w:val="18"/>
          <w:b w:val="1"/>
          <w:bCs w:val="1"/>
          <w:u w:val="single" w:color="auto"/>
          <w:color w:val="auto"/>
        </w:rPr>
        <w:t>Governing Law and Jurisdiction.</w:t>
      </w:r>
      <w:r>
        <w:rPr>
          <w:rFonts w:ascii="Arial" w:cs="Arial" w:eastAsia="Arial" w:hAnsi="Arial"/>
          <w:sz w:val="18"/>
          <w:szCs w:val="18"/>
          <w:b w:val="1"/>
          <w:bCs w:val="1"/>
          <w:color w:val="auto"/>
        </w:rPr>
        <w:t xml:space="preserve"> </w:t>
      </w:r>
      <w:r>
        <w:rPr>
          <w:rFonts w:ascii="Arial" w:cs="Arial" w:eastAsia="Arial" w:hAnsi="Arial"/>
          <w:sz w:val="18"/>
          <w:szCs w:val="18"/>
          <w:color w:val="auto"/>
        </w:rPr>
        <w:t>The Deposit Agreement, the ADRs and the ADSs shall be interpreted in accordance with, and</w:t>
      </w:r>
      <w:r>
        <w:rPr>
          <w:rFonts w:ascii="Arial" w:cs="Arial" w:eastAsia="Arial" w:hAnsi="Arial"/>
          <w:sz w:val="18"/>
          <w:szCs w:val="18"/>
          <w:b w:val="1"/>
          <w:bCs w:val="1"/>
          <w:color w:val="auto"/>
        </w:rPr>
        <w:t xml:space="preserve"> </w:t>
      </w:r>
      <w:r>
        <w:rPr>
          <w:rFonts w:ascii="Arial" w:cs="Arial" w:eastAsia="Arial" w:hAnsi="Arial"/>
          <w:sz w:val="18"/>
          <w:szCs w:val="18"/>
          <w:color w:val="auto"/>
        </w:rPr>
        <w:t>all rights hereunder and thereunder and provisions hereof and thereof shall be governed by, the laws of the State of New York applicable to contracts made and to be wholly performed in that State. Notwithstanding anything contained in the Deposit Agreement to the contrary, any ADR or any present or future provisions of the laws of the State of New York, the rights of holders of Shares and of any other Deposited Securities and the obligations and duties of the Company in respect of the holders of Shares and other Deposited Securities, as such, shall be governed by the laws of England and Wales (or, if applicable, such other laws as may govern the Deposited Securities).</w:t>
      </w:r>
    </w:p>
    <w:p>
      <w:pPr>
        <w:spacing w:after="0" w:line="192" w:lineRule="exact"/>
        <w:rPr>
          <w:sz w:val="20"/>
          <w:szCs w:val="20"/>
          <w:color w:val="auto"/>
        </w:rPr>
      </w:pPr>
    </w:p>
    <w:p>
      <w:pPr>
        <w:ind w:firstLine="648"/>
        <w:spacing w:after="0" w:line="286" w:lineRule="auto"/>
        <w:rPr>
          <w:sz w:val="20"/>
          <w:szCs w:val="20"/>
          <w:color w:val="auto"/>
        </w:rPr>
      </w:pPr>
      <w:r>
        <w:rPr>
          <w:rFonts w:ascii="Arial" w:cs="Arial" w:eastAsia="Arial" w:hAnsi="Arial"/>
          <w:sz w:val="16"/>
          <w:szCs w:val="16"/>
          <w:color w:val="auto"/>
        </w:rPr>
        <w:t>Except as set forth in the following paragraph of this Section 7.6, the Company and the Depositary agree that the federal or state courts in the City of New York shall have jurisdiction to hear and determine any suit, action or proceeding and to settle any dispute between them that may arise out of or in connection with the Deposit Agreement and, for such purposes, each irrevocably submits to the non-exclusive jurisdiction of such courts. The Company hereby irrevocably designates, appoints and empowers Cogency Global Inc. (the “</w:t>
      </w:r>
      <w:r>
        <w:rPr>
          <w:rFonts w:ascii="Arial" w:cs="Arial" w:eastAsia="Arial" w:hAnsi="Arial"/>
          <w:sz w:val="16"/>
          <w:szCs w:val="16"/>
          <w:u w:val="single" w:color="auto"/>
          <w:color w:val="auto"/>
        </w:rPr>
        <w:t>Agent</w:t>
      </w:r>
      <w:r>
        <w:rPr>
          <w:rFonts w:ascii="Arial" w:cs="Arial" w:eastAsia="Arial" w:hAnsi="Arial"/>
          <w:sz w:val="16"/>
          <w:szCs w:val="16"/>
          <w:color w:val="auto"/>
        </w:rPr>
        <w:t>”) now at 10 East 40th Street, 10th Floor, New York, New York 10016, as its authorized agent to receive and accept for and on its behalf, and on behalf of its properties, assets and revenues, service by mail of any and all legal process, summons, notices and documents that may be served in any suit, action or proceeding brought against the Company in any federal or state court as described in the preceding sentence or in the next paragraph of this Section 7.6. If for any reason the Agent shall cease to be available to act as such, the Company agrees to designate a new agent in New York on the terms and for the purposes of this Section 7.6 reasonably satisfactory to the Depositary. The Company further hereby irrevocably consents and agrees to the service of any and all legal process, summons, notices and documents in any suit, action or proceeding against the Company, by service by mail of a copy thereof upon the Agent (whether or not the appointment of such Agent shall for any reason prove to be ineffective or such Agent shall fail to accept or acknowledge such service), with a copy mailed to the Company by registered or certified air mail, postage prepaid, to its address provided in Section 7.5. The Company agrees that the failure of the Agent to give any notice of such service to it shall not impair or affect in any way the validity of such service or any judgment rendered in any action or proceeding based thereon.</w:t>
      </w:r>
    </w:p>
    <w:p>
      <w:pPr>
        <w:spacing w:after="0" w:line="276" w:lineRule="exact"/>
        <w:rPr>
          <w:sz w:val="20"/>
          <w:szCs w:val="20"/>
          <w:color w:val="auto"/>
        </w:rPr>
      </w:pPr>
    </w:p>
    <w:p>
      <w:pPr>
        <w:jc w:val="center"/>
        <w:ind w:right="-19"/>
        <w:spacing w:after="0"/>
        <w:rPr>
          <w:sz w:val="20"/>
          <w:szCs w:val="20"/>
          <w:color w:val="auto"/>
        </w:rPr>
      </w:pPr>
      <w:r>
        <w:rPr>
          <w:rFonts w:ascii="Arial" w:cs="Arial" w:eastAsia="Arial" w:hAnsi="Arial"/>
          <w:sz w:val="22"/>
          <w:szCs w:val="22"/>
          <w:color w:val="auto"/>
        </w:rPr>
        <w:t>43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7620</wp:posOffset>
            </wp:positionV>
            <wp:extent cx="7246620" cy="17145"/>
            <wp:wrapNone/>
            <wp:docPr id="71" name="Picture 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
                    <pic:cNvPicPr>
                      <a:picLocks noChangeAspect="1" noChangeArrowheads="1"/>
                    </pic:cNvPicPr>
                  </pic:nvPicPr>
                  <pic:blipFill>
                    <a:blip r:embed="rId78">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00"/>
          </w:cols>
          <w:pgMar w:left="240" w:top="341" w:right="259" w:bottom="1440" w:gutter="0" w:footer="0" w:header="0"/>
        </w:sectPr>
      </w:pPr>
    </w:p>
    <w:bookmarkStart w:id="60" w:name="page61"/>
    <w:bookmarkEnd w:id="60"/>
    <w:p>
      <w:pPr>
        <w:ind w:firstLine="648"/>
        <w:spacing w:after="0" w:line="254" w:lineRule="auto"/>
        <w:rPr>
          <w:sz w:val="20"/>
          <w:szCs w:val="20"/>
          <w:color w:val="auto"/>
        </w:rPr>
      </w:pPr>
      <w:r>
        <w:rPr>
          <w:rFonts w:ascii="Arial" w:cs="Arial" w:eastAsia="Arial" w:hAnsi="Arial"/>
          <w:sz w:val="18"/>
          <w:szCs w:val="18"/>
          <w:color w:val="auto"/>
        </w:rPr>
        <w:t>Notwithstanding the foregoing, the Depositary and the Company unconditionally agree that in the event that a Holder or Beneficial Owner brings a suit, action or proceeding against (a) the Company, (b) the Depositary in its capacity as Depositary under the Deposit Agreement or (c) against both the Company and the Depositary, in any such case, in any state or federal court of the United States, and the Depositary or the Company have any claim, for indemnification or otherwise, against each other arising out of the subject matter of such suit, action or proceeding, then the Company and the Depositary may pursue such claim against each other in the state or federal court in the United States in which such suit, action, or proceeding is pending and, for such purposes, the Company and the Depositary irrevocably submit to the non-exclusive jurisdiction of such courts. The Company agrees that service of process upon the Agent in the manner set forth in the preceding paragraph shall be effective service upon it for any suit, action or proceeding brought against it as described in this paragraph.</w:t>
      </w:r>
    </w:p>
    <w:p>
      <w:pPr>
        <w:spacing w:after="0" w:line="192" w:lineRule="exact"/>
        <w:rPr>
          <w:sz w:val="20"/>
          <w:szCs w:val="20"/>
          <w:color w:val="auto"/>
        </w:rPr>
      </w:pPr>
    </w:p>
    <w:p>
      <w:pPr>
        <w:ind w:right="180" w:firstLine="648"/>
        <w:spacing w:after="0" w:line="259" w:lineRule="auto"/>
        <w:rPr>
          <w:sz w:val="20"/>
          <w:szCs w:val="20"/>
          <w:color w:val="auto"/>
        </w:rPr>
      </w:pPr>
      <w:r>
        <w:rPr>
          <w:rFonts w:ascii="Arial" w:cs="Arial" w:eastAsia="Arial" w:hAnsi="Arial"/>
          <w:sz w:val="18"/>
          <w:szCs w:val="18"/>
          <w:color w:val="auto"/>
        </w:rPr>
        <w:t>The Company irrevocably and unconditionally waives, to the fullest extent permitted by law, any objection that it may now or hereafter have to the laying of venue of any actions, suits or proceedings brought in any court as provided in this Section 7.6, and hereby further irrevocably and unconditionally waives and agrees not to plead or claim in any such court that any such action, suit or proceeding brought in any such court has been brought in an inconvenient forum.</w:t>
      </w:r>
    </w:p>
    <w:p>
      <w:pPr>
        <w:spacing w:after="0" w:line="187" w:lineRule="exact"/>
        <w:rPr>
          <w:sz w:val="20"/>
          <w:szCs w:val="20"/>
          <w:color w:val="auto"/>
        </w:rPr>
      </w:pPr>
    </w:p>
    <w:p>
      <w:pPr>
        <w:ind w:firstLine="648"/>
        <w:spacing w:after="0" w:line="297" w:lineRule="auto"/>
        <w:rPr>
          <w:sz w:val="20"/>
          <w:szCs w:val="20"/>
          <w:color w:val="auto"/>
        </w:rPr>
      </w:pPr>
      <w:r>
        <w:rPr>
          <w:rFonts w:ascii="Arial" w:cs="Arial" w:eastAsia="Arial" w:hAnsi="Arial"/>
          <w:sz w:val="16"/>
          <w:szCs w:val="16"/>
          <w:color w:val="auto"/>
        </w:rPr>
        <w:t>The Company irrevocably and unconditionally waives, to the fullest extent permitted by law, and agrees not to plead or claim, any right of immunity from legal action, suit or proceeding, from setoff or counterclaim, from the jurisdiction of any court, from service of process, from attachment upon or prior to judgment, from attachment in aid of execution or judgment, from execution of judgment, or from any other legal process or proceeding for the giving of any relief or for the enforcement of any judgment, and consents to such relief and enforcement against it, its assets and its revenues in any jurisdiction, in each case with respect to any matter arising out of, or in connection with, the Deposit Agreement, any ADR or the Deposited Property.</w:t>
      </w:r>
    </w:p>
    <w:p>
      <w:pPr>
        <w:spacing w:after="0" w:line="154" w:lineRule="exact"/>
        <w:rPr>
          <w:sz w:val="20"/>
          <w:szCs w:val="20"/>
          <w:color w:val="auto"/>
        </w:rPr>
      </w:pPr>
    </w:p>
    <w:p>
      <w:pPr>
        <w:ind w:right="240" w:firstLine="648"/>
        <w:spacing w:after="0" w:line="258" w:lineRule="auto"/>
        <w:rPr>
          <w:sz w:val="20"/>
          <w:szCs w:val="20"/>
          <w:color w:val="auto"/>
        </w:rPr>
      </w:pPr>
      <w:r>
        <w:rPr>
          <w:rFonts w:ascii="Arial" w:cs="Arial" w:eastAsia="Arial" w:hAnsi="Arial"/>
          <w:sz w:val="18"/>
          <w:szCs w:val="18"/>
          <w:b w:val="1"/>
          <w:bCs w:val="1"/>
          <w:color w:val="auto"/>
        </w:rPr>
        <w:t>EACH OF THE PARTIES TO THE DEPOSIT AGREEMENT (INCLUDING, WITHOUT LIMITATION, EACH HOLDER AND BENEFICIAL OWNER) IRREVOCABLY WAIVES, TO THE FULLEST EXTENT PERMITTED BY APPLICABLE LAW, ANY AND ALL RIGHT TO TRIAL BY JURY IN ANY LEGAL PROCEEDING AGAINST THE COMPANY AND/OR THE DEPOSITARY ARISING OUT OF, OR RELATING TO, THE DEPOSIT AGREEMENT, ANY ADR AND ANY TRANSACTIONS CONTEMPLATED THEREIN (WHETHER BASED ON CONTRACT, TORT, COMMON LAW OR OTHERWISE).</w:t>
      </w:r>
    </w:p>
    <w:p>
      <w:pPr>
        <w:spacing w:after="0" w:line="188" w:lineRule="exact"/>
        <w:rPr>
          <w:sz w:val="20"/>
          <w:szCs w:val="20"/>
          <w:color w:val="auto"/>
        </w:rPr>
      </w:pPr>
    </w:p>
    <w:p>
      <w:pPr>
        <w:ind w:left="660"/>
        <w:spacing w:after="0"/>
        <w:rPr>
          <w:sz w:val="20"/>
          <w:szCs w:val="20"/>
          <w:color w:val="auto"/>
        </w:rPr>
      </w:pPr>
      <w:r>
        <w:rPr>
          <w:rFonts w:ascii="Arial" w:cs="Arial" w:eastAsia="Arial" w:hAnsi="Arial"/>
          <w:sz w:val="18"/>
          <w:szCs w:val="18"/>
          <w:color w:val="auto"/>
        </w:rPr>
        <w:t>The provisions of this Section 7.6 shall survive any termination of the Deposit Agreement, in whole or in part.</w:t>
      </w:r>
    </w:p>
    <w:p>
      <w:pPr>
        <w:spacing w:after="0" w:line="221" w:lineRule="exact"/>
        <w:rPr>
          <w:sz w:val="20"/>
          <w:szCs w:val="20"/>
          <w:color w:val="auto"/>
        </w:rPr>
      </w:pPr>
    </w:p>
    <w:p>
      <w:pPr>
        <w:ind w:right="200" w:firstLine="648"/>
        <w:spacing w:after="0" w:line="282" w:lineRule="auto"/>
        <w:rPr>
          <w:sz w:val="20"/>
          <w:szCs w:val="20"/>
          <w:color w:val="auto"/>
        </w:rPr>
      </w:pPr>
      <w:r>
        <w:rPr>
          <w:rFonts w:ascii="Arial" w:cs="Arial" w:eastAsia="Arial" w:hAnsi="Arial"/>
          <w:sz w:val="18"/>
          <w:szCs w:val="18"/>
          <w:b w:val="1"/>
          <w:bCs w:val="1"/>
          <w:color w:val="auto"/>
        </w:rPr>
        <w:t xml:space="preserve">Section 7.7 </w:t>
      </w:r>
      <w:r>
        <w:rPr>
          <w:rFonts w:ascii="Arial" w:cs="Arial" w:eastAsia="Arial" w:hAnsi="Arial"/>
          <w:sz w:val="18"/>
          <w:szCs w:val="18"/>
          <w:b w:val="1"/>
          <w:bCs w:val="1"/>
          <w:u w:val="single" w:color="auto"/>
          <w:color w:val="auto"/>
        </w:rPr>
        <w:t>Assignment.</w:t>
      </w:r>
      <w:r>
        <w:rPr>
          <w:rFonts w:ascii="Arial" w:cs="Arial" w:eastAsia="Arial" w:hAnsi="Arial"/>
          <w:sz w:val="18"/>
          <w:szCs w:val="18"/>
          <w:b w:val="1"/>
          <w:bCs w:val="1"/>
          <w:color w:val="auto"/>
        </w:rPr>
        <w:t xml:space="preserve"> </w:t>
      </w:r>
      <w:r>
        <w:rPr>
          <w:rFonts w:ascii="Arial" w:cs="Arial" w:eastAsia="Arial" w:hAnsi="Arial"/>
          <w:sz w:val="18"/>
          <w:szCs w:val="18"/>
          <w:color w:val="auto"/>
        </w:rPr>
        <w:t>Subject to the provisions of Section 5.4, the Deposit Agreement may not be assigned by either the Company or the</w:t>
      </w:r>
      <w:r>
        <w:rPr>
          <w:rFonts w:ascii="Arial" w:cs="Arial" w:eastAsia="Arial" w:hAnsi="Arial"/>
          <w:sz w:val="18"/>
          <w:szCs w:val="18"/>
          <w:b w:val="1"/>
          <w:bCs w:val="1"/>
          <w:color w:val="auto"/>
        </w:rPr>
        <w:t xml:space="preserve"> </w:t>
      </w:r>
      <w:r>
        <w:rPr>
          <w:rFonts w:ascii="Arial" w:cs="Arial" w:eastAsia="Arial" w:hAnsi="Arial"/>
          <w:sz w:val="18"/>
          <w:szCs w:val="18"/>
          <w:color w:val="auto"/>
        </w:rPr>
        <w:t>Depositary.</w:t>
      </w:r>
    </w:p>
    <w:p>
      <w:pPr>
        <w:spacing w:after="0" w:line="162" w:lineRule="exact"/>
        <w:rPr>
          <w:sz w:val="20"/>
          <w:szCs w:val="20"/>
          <w:color w:val="auto"/>
        </w:rPr>
      </w:pPr>
    </w:p>
    <w:p>
      <w:pPr>
        <w:ind w:left="660"/>
        <w:spacing w:after="0"/>
        <w:tabs>
          <w:tab w:leader="none" w:pos="1960" w:val="left"/>
        </w:tabs>
        <w:rPr>
          <w:sz w:val="20"/>
          <w:szCs w:val="20"/>
          <w:color w:val="auto"/>
        </w:rPr>
      </w:pPr>
      <w:r>
        <w:rPr>
          <w:rFonts w:ascii="Arial" w:cs="Arial" w:eastAsia="Arial" w:hAnsi="Arial"/>
          <w:sz w:val="18"/>
          <w:szCs w:val="18"/>
          <w:b w:val="1"/>
          <w:bCs w:val="1"/>
          <w:color w:val="auto"/>
        </w:rPr>
        <w:t>Section 7.8</w:t>
      </w:r>
      <w:r>
        <w:rPr>
          <w:sz w:val="20"/>
          <w:szCs w:val="20"/>
          <w:color w:val="auto"/>
        </w:rPr>
        <w:tab/>
      </w:r>
      <w:r>
        <w:rPr>
          <w:rFonts w:ascii="Arial" w:cs="Arial" w:eastAsia="Arial" w:hAnsi="Arial"/>
          <w:sz w:val="16"/>
          <w:szCs w:val="16"/>
          <w:b w:val="1"/>
          <w:bCs w:val="1"/>
          <w:u w:val="single" w:color="auto"/>
          <w:color w:val="auto"/>
        </w:rPr>
        <w:t>Compliance with, and No Disclaimer under, U.S. Securities Laws.</w:t>
      </w:r>
    </w:p>
    <w:p>
      <w:pPr>
        <w:spacing w:after="0" w:line="229" w:lineRule="exact"/>
        <w:rPr>
          <w:sz w:val="20"/>
          <w:szCs w:val="20"/>
          <w:color w:val="auto"/>
        </w:rPr>
      </w:pPr>
    </w:p>
    <w:p>
      <w:pPr>
        <w:ind w:right="20" w:firstLine="656"/>
        <w:spacing w:after="0" w:line="264" w:lineRule="auto"/>
        <w:tabs>
          <w:tab w:leader="none" w:pos="1208" w:val="left"/>
        </w:tabs>
        <w:numPr>
          <w:ilvl w:val="0"/>
          <w:numId w:val="26"/>
        </w:numPr>
        <w:rPr>
          <w:rFonts w:ascii="Arial" w:cs="Arial" w:eastAsia="Arial" w:hAnsi="Arial"/>
          <w:sz w:val="18"/>
          <w:szCs w:val="18"/>
          <w:color w:val="auto"/>
        </w:rPr>
      </w:pPr>
      <w:r>
        <w:rPr>
          <w:rFonts w:ascii="Arial" w:cs="Arial" w:eastAsia="Arial" w:hAnsi="Arial"/>
          <w:sz w:val="18"/>
          <w:szCs w:val="18"/>
          <w:color w:val="auto"/>
        </w:rPr>
        <w:t>Notwithstanding anything in the Deposit Agreement to the contrary, the withdrawal or delivery of Deposited Securities will not be suspended by the Company or the Depositary except as would be permitted by Instruction I.A.(1) of the General Instructions to Form F-6 Registration Statement, as amended from time to time, under the Securities Act.</w:t>
      </w:r>
    </w:p>
    <w:p>
      <w:pPr>
        <w:spacing w:after="0" w:line="282"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44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7620</wp:posOffset>
            </wp:positionV>
            <wp:extent cx="7246620" cy="17145"/>
            <wp:wrapNone/>
            <wp:docPr id="72" name="Picture 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
                    <pic:cNvPicPr>
                      <a:picLocks noChangeAspect="1" noChangeArrowheads="1"/>
                    </pic:cNvPicPr>
                  </pic:nvPicPr>
                  <pic:blipFill>
                    <a:blip r:embed="rId79">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341" w:right="239" w:bottom="1440" w:gutter="0" w:footer="0" w:header="0"/>
        </w:sectPr>
      </w:pPr>
    </w:p>
    <w:bookmarkStart w:id="61" w:name="page62"/>
    <w:bookmarkEnd w:id="61"/>
    <w:p>
      <w:pPr>
        <w:ind w:right="200" w:firstLine="656"/>
        <w:spacing w:after="0" w:line="264" w:lineRule="auto"/>
        <w:tabs>
          <w:tab w:leader="none" w:pos="1173" w:val="left"/>
        </w:tabs>
        <w:numPr>
          <w:ilvl w:val="0"/>
          <w:numId w:val="27"/>
        </w:numPr>
        <w:rPr>
          <w:rFonts w:ascii="Arial" w:cs="Arial" w:eastAsia="Arial" w:hAnsi="Arial"/>
          <w:sz w:val="18"/>
          <w:szCs w:val="18"/>
          <w:color w:val="auto"/>
        </w:rPr>
      </w:pPr>
      <w:r>
        <w:rPr>
          <w:rFonts w:ascii="Arial" w:cs="Arial" w:eastAsia="Arial" w:hAnsi="Arial"/>
          <w:sz w:val="18"/>
          <w:szCs w:val="18"/>
          <w:color w:val="auto"/>
        </w:rPr>
        <w:t>Each of the parties to the Deposit Agreement (including, without limitation, each Holder and Beneficial Owner) acknowledges and agrees that no provision of the Deposit Agreement or any ADR shall, or shall be deemed to, disclaim any liability under the Securities Act or the Exchange Act, in each case to the extent established under applicable U.S. laws.</w:t>
      </w:r>
    </w:p>
    <w:p>
      <w:pPr>
        <w:spacing w:after="0" w:line="177" w:lineRule="exact"/>
        <w:rPr>
          <w:sz w:val="20"/>
          <w:szCs w:val="20"/>
          <w:color w:val="auto"/>
        </w:rPr>
      </w:pPr>
    </w:p>
    <w:p>
      <w:pPr>
        <w:ind w:right="40" w:firstLine="648"/>
        <w:spacing w:after="0" w:line="274" w:lineRule="auto"/>
        <w:rPr>
          <w:sz w:val="20"/>
          <w:szCs w:val="20"/>
          <w:color w:val="auto"/>
        </w:rPr>
      </w:pPr>
      <w:r>
        <w:rPr>
          <w:rFonts w:ascii="Arial" w:cs="Arial" w:eastAsia="Arial" w:hAnsi="Arial"/>
          <w:sz w:val="17"/>
          <w:szCs w:val="17"/>
          <w:b w:val="1"/>
          <w:bCs w:val="1"/>
          <w:color w:val="auto"/>
        </w:rPr>
        <w:t xml:space="preserve">Section 7.9 </w:t>
      </w:r>
      <w:r>
        <w:rPr>
          <w:rFonts w:ascii="Arial" w:cs="Arial" w:eastAsia="Arial" w:hAnsi="Arial"/>
          <w:sz w:val="17"/>
          <w:szCs w:val="17"/>
          <w:b w:val="1"/>
          <w:bCs w:val="1"/>
          <w:u w:val="single" w:color="auto"/>
          <w:color w:val="auto"/>
        </w:rPr>
        <w:t>England and Wales Law References.</w:t>
      </w:r>
      <w:r>
        <w:rPr>
          <w:rFonts w:ascii="Arial" w:cs="Arial" w:eastAsia="Arial" w:hAnsi="Arial"/>
          <w:sz w:val="17"/>
          <w:szCs w:val="17"/>
          <w:b w:val="1"/>
          <w:bCs w:val="1"/>
          <w:color w:val="auto"/>
        </w:rPr>
        <w:t xml:space="preserve"> </w:t>
      </w:r>
      <w:r>
        <w:rPr>
          <w:rFonts w:ascii="Arial" w:cs="Arial" w:eastAsia="Arial" w:hAnsi="Arial"/>
          <w:sz w:val="17"/>
          <w:szCs w:val="17"/>
          <w:color w:val="auto"/>
        </w:rPr>
        <w:t>Any summary of the laws and regulations of England and Wales and of the terms of the</w:t>
      </w:r>
      <w:r>
        <w:rPr>
          <w:rFonts w:ascii="Arial" w:cs="Arial" w:eastAsia="Arial" w:hAnsi="Arial"/>
          <w:sz w:val="17"/>
          <w:szCs w:val="17"/>
          <w:b w:val="1"/>
          <w:bCs w:val="1"/>
          <w:color w:val="auto"/>
        </w:rPr>
        <w:t xml:space="preserve"> </w:t>
      </w:r>
      <w:r>
        <w:rPr>
          <w:rFonts w:ascii="Arial" w:cs="Arial" w:eastAsia="Arial" w:hAnsi="Arial"/>
          <w:sz w:val="17"/>
          <w:szCs w:val="17"/>
          <w:color w:val="auto"/>
        </w:rPr>
        <w:t>Company’s Articles of Association set forth in the Deposit Agreement have been provided by the Company solely for the convenience of Holders, Beneficial Owners and the Depositary. While such summaries are believed by the Company to be accurate as of the date of the Deposit Agreement, (i) they are summaries and as such may not include all aspects of the materials summarized applicable to a Holder or Beneficial Owner, and (ii) these laws and regulations and the Company’s Articles of Association may change after the date of the Deposit Agreement. Neither the Depositary nor the Company has any obligation under the terms of the Deposit Agreement to update any such summaries.</w:t>
      </w:r>
    </w:p>
    <w:p>
      <w:pPr>
        <w:spacing w:after="0" w:line="174" w:lineRule="exact"/>
        <w:rPr>
          <w:sz w:val="20"/>
          <w:szCs w:val="20"/>
          <w:color w:val="auto"/>
        </w:rPr>
      </w:pPr>
    </w:p>
    <w:p>
      <w:pPr>
        <w:ind w:left="660"/>
        <w:spacing w:after="0"/>
        <w:tabs>
          <w:tab w:leader="none" w:pos="1880" w:val="left"/>
        </w:tabs>
        <w:rPr>
          <w:sz w:val="20"/>
          <w:szCs w:val="20"/>
          <w:color w:val="auto"/>
        </w:rPr>
      </w:pPr>
      <w:r>
        <w:rPr>
          <w:rFonts w:ascii="Arial" w:cs="Arial" w:eastAsia="Arial" w:hAnsi="Arial"/>
          <w:sz w:val="18"/>
          <w:szCs w:val="18"/>
          <w:b w:val="1"/>
          <w:bCs w:val="1"/>
          <w:color w:val="auto"/>
        </w:rPr>
        <w:t>Section 7.10</w:t>
      </w:r>
      <w:r>
        <w:rPr>
          <w:sz w:val="20"/>
          <w:szCs w:val="20"/>
          <w:color w:val="auto"/>
        </w:rPr>
        <w:tab/>
      </w:r>
      <w:r>
        <w:rPr>
          <w:rFonts w:ascii="Arial" w:cs="Arial" w:eastAsia="Arial" w:hAnsi="Arial"/>
          <w:sz w:val="15"/>
          <w:szCs w:val="15"/>
          <w:b w:val="1"/>
          <w:bCs w:val="1"/>
          <w:u w:val="single" w:color="auto"/>
          <w:color w:val="auto"/>
        </w:rPr>
        <w:t>Titles and References.</w:t>
      </w:r>
    </w:p>
    <w:p>
      <w:pPr>
        <w:spacing w:after="0" w:line="225" w:lineRule="exact"/>
        <w:rPr>
          <w:sz w:val="20"/>
          <w:szCs w:val="20"/>
          <w:color w:val="auto"/>
        </w:rPr>
      </w:pPr>
    </w:p>
    <w:p>
      <w:pPr>
        <w:ind w:firstLine="656"/>
        <w:spacing w:after="0" w:line="291" w:lineRule="auto"/>
        <w:tabs>
          <w:tab w:leader="none" w:pos="1173" w:val="left"/>
        </w:tabs>
        <w:numPr>
          <w:ilvl w:val="0"/>
          <w:numId w:val="28"/>
        </w:numPr>
        <w:rPr>
          <w:rFonts w:ascii="Arial" w:cs="Arial" w:eastAsia="Arial" w:hAnsi="Arial"/>
          <w:sz w:val="16"/>
          <w:szCs w:val="16"/>
          <w:b w:val="1"/>
          <w:bCs w:val="1"/>
          <w:color w:val="auto"/>
        </w:rPr>
      </w:pPr>
      <w:r>
        <w:rPr>
          <w:rFonts w:ascii="Arial" w:cs="Arial" w:eastAsia="Arial" w:hAnsi="Arial"/>
          <w:sz w:val="16"/>
          <w:szCs w:val="16"/>
          <w:b w:val="1"/>
          <w:bCs w:val="1"/>
          <w:u w:val="single" w:color="auto"/>
          <w:color w:val="auto"/>
        </w:rPr>
        <w:t>Deposit Agreement</w:t>
      </w:r>
      <w:r>
        <w:rPr>
          <w:rFonts w:ascii="Arial" w:cs="Arial" w:eastAsia="Arial" w:hAnsi="Arial"/>
          <w:sz w:val="16"/>
          <w:szCs w:val="16"/>
          <w:b w:val="1"/>
          <w:bCs w:val="1"/>
          <w:color w:val="auto"/>
        </w:rPr>
        <w:t xml:space="preserve">. </w:t>
      </w:r>
      <w:r>
        <w:rPr>
          <w:rFonts w:ascii="Arial" w:cs="Arial" w:eastAsia="Arial" w:hAnsi="Arial"/>
          <w:sz w:val="16"/>
          <w:szCs w:val="16"/>
          <w:color w:val="auto"/>
        </w:rPr>
        <w:t>All references in the Deposit Agreement to exhibits, articles, sections, subsections, and other subdivisions refer to the</w:t>
      </w:r>
      <w:r>
        <w:rPr>
          <w:rFonts w:ascii="Arial" w:cs="Arial" w:eastAsia="Arial" w:hAnsi="Arial"/>
          <w:sz w:val="16"/>
          <w:szCs w:val="16"/>
          <w:b w:val="1"/>
          <w:bCs w:val="1"/>
          <w:color w:val="auto"/>
        </w:rPr>
        <w:t xml:space="preserve"> </w:t>
      </w:r>
      <w:r>
        <w:rPr>
          <w:rFonts w:ascii="Arial" w:cs="Arial" w:eastAsia="Arial" w:hAnsi="Arial"/>
          <w:sz w:val="16"/>
          <w:szCs w:val="16"/>
          <w:color w:val="auto"/>
        </w:rPr>
        <w:t xml:space="preserve">exhibits, articles, sections, subsections and other subdivisions of the Deposit Agreement unless expressly provided otherwise. The words “the Deposit Agreement”, “herein”, “hereof”, “hereby”, “hereunder”, and words of similar import refer to the Deposit Agreement as a whole as in effect at the relevant time between the Company, the Depositary and the Holders and Beneficial Owners of ADSs and not to any particular subdivision unless expressly so limited. Pronouns in masculine, feminine and neuter gender shall be construed to include any other gender, and words in the singular form shall be construed to include the plural and </w:t>
      </w:r>
      <w:r>
        <w:rPr>
          <w:rFonts w:ascii="Arial" w:cs="Arial" w:eastAsia="Arial" w:hAnsi="Arial"/>
          <w:sz w:val="16"/>
          <w:szCs w:val="16"/>
          <w:i w:val="1"/>
          <w:iCs w:val="1"/>
          <w:color w:val="auto"/>
        </w:rPr>
        <w:t>vice versa</w:t>
      </w:r>
      <w:r>
        <w:rPr>
          <w:rFonts w:ascii="Arial" w:cs="Arial" w:eastAsia="Arial" w:hAnsi="Arial"/>
          <w:sz w:val="16"/>
          <w:szCs w:val="16"/>
          <w:color w:val="auto"/>
        </w:rPr>
        <w:t xml:space="preserve"> unless the context otherwise requires. Titles to sections of the Deposit Agreement are included for convenience only and shall be disregarded in construing the language contained in the Deposit Agreement. References to “applicable laws and regulations” shall refer to laws and regulations applicable to ADRs, ADSs or Deposited Property as in effect at the relevant time of determination, unless otherwise required by law or regulation.</w:t>
      </w:r>
    </w:p>
    <w:p>
      <w:pPr>
        <w:spacing w:after="0" w:line="160" w:lineRule="exact"/>
        <w:rPr>
          <w:rFonts w:ascii="Arial" w:cs="Arial" w:eastAsia="Arial" w:hAnsi="Arial"/>
          <w:sz w:val="16"/>
          <w:szCs w:val="16"/>
          <w:b w:val="1"/>
          <w:bCs w:val="1"/>
          <w:color w:val="auto"/>
        </w:rPr>
      </w:pPr>
    </w:p>
    <w:p>
      <w:pPr>
        <w:ind w:right="20" w:firstLine="656"/>
        <w:spacing w:after="0" w:line="272" w:lineRule="auto"/>
        <w:tabs>
          <w:tab w:leader="none" w:pos="1228" w:val="left"/>
        </w:tabs>
        <w:numPr>
          <w:ilvl w:val="0"/>
          <w:numId w:val="28"/>
        </w:numPr>
        <w:rPr>
          <w:rFonts w:ascii="Arial" w:cs="Arial" w:eastAsia="Arial" w:hAnsi="Arial"/>
          <w:sz w:val="17"/>
          <w:szCs w:val="17"/>
          <w:b w:val="1"/>
          <w:bCs w:val="1"/>
          <w:color w:val="auto"/>
        </w:rPr>
      </w:pPr>
      <w:r>
        <w:rPr>
          <w:rFonts w:ascii="Arial" w:cs="Arial" w:eastAsia="Arial" w:hAnsi="Arial"/>
          <w:sz w:val="17"/>
          <w:szCs w:val="17"/>
          <w:b w:val="1"/>
          <w:bCs w:val="1"/>
          <w:u w:val="single" w:color="auto"/>
          <w:color w:val="auto"/>
        </w:rPr>
        <w:t>ADRs</w:t>
      </w:r>
      <w:r>
        <w:rPr>
          <w:rFonts w:ascii="Arial" w:cs="Arial" w:eastAsia="Arial" w:hAnsi="Arial"/>
          <w:sz w:val="17"/>
          <w:szCs w:val="17"/>
          <w:b w:val="1"/>
          <w:bCs w:val="1"/>
          <w:color w:val="auto"/>
        </w:rPr>
        <w:t xml:space="preserve">. </w:t>
      </w:r>
      <w:r>
        <w:rPr>
          <w:rFonts w:ascii="Arial" w:cs="Arial" w:eastAsia="Arial" w:hAnsi="Arial"/>
          <w:sz w:val="17"/>
          <w:szCs w:val="17"/>
          <w:color w:val="auto"/>
        </w:rPr>
        <w:t>All references in any ADR(s) to paragraphs, exhibits, articles, sections, subsections, and other subdivisions refer to the paragraphs,</w:t>
      </w:r>
      <w:r>
        <w:rPr>
          <w:rFonts w:ascii="Arial" w:cs="Arial" w:eastAsia="Arial" w:hAnsi="Arial"/>
          <w:sz w:val="17"/>
          <w:szCs w:val="17"/>
          <w:b w:val="1"/>
          <w:bCs w:val="1"/>
          <w:color w:val="auto"/>
        </w:rPr>
        <w:t xml:space="preserve"> </w:t>
      </w:r>
      <w:r>
        <w:rPr>
          <w:rFonts w:ascii="Arial" w:cs="Arial" w:eastAsia="Arial" w:hAnsi="Arial"/>
          <w:sz w:val="17"/>
          <w:szCs w:val="17"/>
          <w:color w:val="auto"/>
        </w:rPr>
        <w:t xml:space="preserve">exhibits, articles, sections, subsections and other subdivisions of the ADR(s) in question unless expressly provided otherwise. The words “the Receipt”, “the ADR”, “herein”, “hereof”, “hereby”, “hereunder”, and words of similar import used in any ADR refer to the ADR as a whole and as in effect at the relevant time, and not to any particular subdivision unless expressly so limited. Pronouns in masculine, feminine and neuter gender in any ADR shall be construed to include any other gender, and words in the singular form shall be construed to include the plural and </w:t>
      </w:r>
      <w:r>
        <w:rPr>
          <w:rFonts w:ascii="Arial" w:cs="Arial" w:eastAsia="Arial" w:hAnsi="Arial"/>
          <w:sz w:val="17"/>
          <w:szCs w:val="17"/>
          <w:i w:val="1"/>
          <w:iCs w:val="1"/>
          <w:color w:val="auto"/>
        </w:rPr>
        <w:t>vice versa</w:t>
      </w:r>
      <w:r>
        <w:rPr>
          <w:rFonts w:ascii="Arial" w:cs="Arial" w:eastAsia="Arial" w:hAnsi="Arial"/>
          <w:sz w:val="17"/>
          <w:szCs w:val="17"/>
          <w:color w:val="auto"/>
        </w:rPr>
        <w:t xml:space="preserve"> unless the context otherwise requires. Titles to paragraphs of any ADR are included for convenience only and shall be disregarded in construing the language contained in the ADR. References to “applicable laws and regulations” shall refer to laws and regulations applicable to ADRs, ADSs or Deposited Property as in effect at the relevant time of determination, unless otherwise required by law or regulation.</w:t>
      </w:r>
    </w:p>
    <w:p>
      <w:pPr>
        <w:spacing w:after="0" w:line="277" w:lineRule="exact"/>
        <w:rPr>
          <w:sz w:val="20"/>
          <w:szCs w:val="20"/>
          <w:color w:val="auto"/>
        </w:rPr>
      </w:pPr>
    </w:p>
    <w:p>
      <w:pPr>
        <w:jc w:val="center"/>
        <w:ind w:right="-19"/>
        <w:spacing w:after="0"/>
        <w:rPr>
          <w:sz w:val="20"/>
          <w:szCs w:val="20"/>
          <w:color w:val="auto"/>
        </w:rPr>
      </w:pPr>
      <w:r>
        <w:rPr>
          <w:rFonts w:ascii="Arial" w:cs="Arial" w:eastAsia="Arial" w:hAnsi="Arial"/>
          <w:sz w:val="22"/>
          <w:szCs w:val="22"/>
          <w:color w:val="auto"/>
        </w:rPr>
        <w:t>45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7620</wp:posOffset>
            </wp:positionV>
            <wp:extent cx="7246620" cy="17145"/>
            <wp:wrapNone/>
            <wp:docPr id="73" name="Picture 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3"/>
                    <pic:cNvPicPr>
                      <a:picLocks noChangeAspect="1" noChangeArrowheads="1"/>
                    </pic:cNvPicPr>
                  </pic:nvPicPr>
                  <pic:blipFill>
                    <a:blip r:embed="rId80">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00"/>
          </w:cols>
          <w:pgMar w:left="240" w:top="341" w:right="259" w:bottom="1440" w:gutter="0" w:footer="0" w:header="0"/>
        </w:sectPr>
      </w:pPr>
    </w:p>
    <w:bookmarkStart w:id="62" w:name="page63"/>
    <w:bookmarkEnd w:id="62"/>
    <w:p>
      <w:pPr>
        <w:ind w:firstLine="648"/>
        <w:spacing w:after="0" w:line="264" w:lineRule="auto"/>
        <w:rPr>
          <w:sz w:val="20"/>
          <w:szCs w:val="20"/>
          <w:color w:val="auto"/>
        </w:rPr>
      </w:pPr>
      <w:r>
        <w:rPr>
          <w:rFonts w:ascii="Arial" w:cs="Arial" w:eastAsia="Arial" w:hAnsi="Arial"/>
          <w:sz w:val="18"/>
          <w:szCs w:val="18"/>
          <w:color w:val="auto"/>
        </w:rPr>
        <w:t>IN WITNESS WHEREOF, MEREO BIOPHARMA GROUP PLC and CITIBANK, N.A. have duly executed the Deposit Agreement as of the day and year first above set forth and all Holders and Beneficial Owners shall become parties hereto upon acceptance by them of ADSs issued in accordance with the terms hereof, or upon acquisition of any beneficial interest therein.</w:t>
      </w:r>
    </w:p>
    <w:p>
      <w:pPr>
        <w:spacing w:after="0" w:line="181" w:lineRule="exact"/>
        <w:rPr>
          <w:sz w:val="20"/>
          <w:szCs w:val="20"/>
          <w:color w:val="auto"/>
        </w:rPr>
      </w:pPr>
    </w:p>
    <w:p>
      <w:pPr>
        <w:ind w:left="5720"/>
        <w:spacing w:after="0"/>
        <w:rPr>
          <w:sz w:val="20"/>
          <w:szCs w:val="20"/>
          <w:color w:val="auto"/>
        </w:rPr>
      </w:pPr>
      <w:r>
        <w:rPr>
          <w:rFonts w:ascii="Arial" w:cs="Arial" w:eastAsia="Arial" w:hAnsi="Arial"/>
          <w:sz w:val="18"/>
          <w:szCs w:val="18"/>
          <w:color w:val="auto"/>
        </w:rPr>
        <w:t>MEREO BIOPHARMA GROUP PLC</w:t>
      </w:r>
    </w:p>
    <w:p>
      <w:pPr>
        <w:spacing w:after="0" w:line="225" w:lineRule="exact"/>
        <w:rPr>
          <w:sz w:val="20"/>
          <w:szCs w:val="20"/>
          <w:color w:val="auto"/>
        </w:rPr>
      </w:pPr>
    </w:p>
    <w:p>
      <w:pPr>
        <w:ind w:left="5720"/>
        <w:spacing w:after="0"/>
        <w:rPr>
          <w:sz w:val="20"/>
          <w:szCs w:val="20"/>
          <w:color w:val="auto"/>
        </w:rPr>
      </w:pPr>
      <w:r>
        <w:rPr>
          <w:rFonts w:ascii="Arial" w:cs="Arial" w:eastAsia="Arial" w:hAnsi="Arial"/>
          <w:sz w:val="18"/>
          <w:szCs w:val="18"/>
          <w:color w:val="auto"/>
        </w:rPr>
        <w:t>By: _______________________________</w:t>
      </w:r>
    </w:p>
    <w:p>
      <w:pPr>
        <w:spacing w:after="0" w:line="23" w:lineRule="exact"/>
        <w:rPr>
          <w:sz w:val="20"/>
          <w:szCs w:val="20"/>
          <w:color w:val="auto"/>
        </w:rPr>
      </w:pPr>
    </w:p>
    <w:p>
      <w:pPr>
        <w:ind w:left="6040"/>
        <w:spacing w:after="0"/>
        <w:rPr>
          <w:sz w:val="20"/>
          <w:szCs w:val="20"/>
          <w:color w:val="auto"/>
        </w:rPr>
      </w:pPr>
      <w:r>
        <w:rPr>
          <w:rFonts w:ascii="Arial" w:cs="Arial" w:eastAsia="Arial" w:hAnsi="Arial"/>
          <w:sz w:val="18"/>
          <w:szCs w:val="18"/>
          <w:color w:val="auto"/>
        </w:rPr>
        <w:t>Name:</w:t>
      </w:r>
    </w:p>
    <w:p>
      <w:pPr>
        <w:spacing w:after="0" w:line="9" w:lineRule="exact"/>
        <w:rPr>
          <w:sz w:val="20"/>
          <w:szCs w:val="20"/>
          <w:color w:val="auto"/>
        </w:rPr>
      </w:pPr>
    </w:p>
    <w:p>
      <w:pPr>
        <w:ind w:left="6040"/>
        <w:spacing w:after="0"/>
        <w:rPr>
          <w:sz w:val="20"/>
          <w:szCs w:val="20"/>
          <w:color w:val="auto"/>
        </w:rPr>
      </w:pPr>
      <w:r>
        <w:rPr>
          <w:rFonts w:ascii="Arial" w:cs="Arial" w:eastAsia="Arial" w:hAnsi="Arial"/>
          <w:sz w:val="18"/>
          <w:szCs w:val="18"/>
          <w:color w:val="auto"/>
        </w:rPr>
        <w:t>Title:</w:t>
      </w:r>
    </w:p>
    <w:p>
      <w:pPr>
        <w:spacing w:after="0" w:line="211" w:lineRule="exact"/>
        <w:rPr>
          <w:sz w:val="20"/>
          <w:szCs w:val="20"/>
          <w:color w:val="auto"/>
        </w:rPr>
      </w:pPr>
    </w:p>
    <w:p>
      <w:pPr>
        <w:ind w:left="5720"/>
        <w:spacing w:after="0"/>
        <w:rPr>
          <w:sz w:val="20"/>
          <w:szCs w:val="20"/>
          <w:color w:val="auto"/>
        </w:rPr>
      </w:pPr>
      <w:r>
        <w:rPr>
          <w:rFonts w:ascii="Arial" w:cs="Arial" w:eastAsia="Arial" w:hAnsi="Arial"/>
          <w:sz w:val="18"/>
          <w:szCs w:val="18"/>
          <w:color w:val="auto"/>
        </w:rPr>
        <w:t>CITIBANK, N.A.</w:t>
      </w:r>
    </w:p>
    <w:p>
      <w:pPr>
        <w:spacing w:after="0" w:line="225" w:lineRule="exact"/>
        <w:rPr>
          <w:sz w:val="20"/>
          <w:szCs w:val="20"/>
          <w:color w:val="auto"/>
        </w:rPr>
      </w:pPr>
    </w:p>
    <w:p>
      <w:pPr>
        <w:ind w:left="5720"/>
        <w:spacing w:after="0"/>
        <w:rPr>
          <w:sz w:val="20"/>
          <w:szCs w:val="20"/>
          <w:color w:val="auto"/>
        </w:rPr>
      </w:pPr>
      <w:r>
        <w:rPr>
          <w:rFonts w:ascii="Arial" w:cs="Arial" w:eastAsia="Arial" w:hAnsi="Arial"/>
          <w:sz w:val="18"/>
          <w:szCs w:val="18"/>
          <w:color w:val="auto"/>
        </w:rPr>
        <w:t>By: _______________________________</w:t>
      </w:r>
    </w:p>
    <w:p>
      <w:pPr>
        <w:spacing w:after="0" w:line="23" w:lineRule="exact"/>
        <w:rPr>
          <w:sz w:val="20"/>
          <w:szCs w:val="20"/>
          <w:color w:val="auto"/>
        </w:rPr>
      </w:pPr>
    </w:p>
    <w:p>
      <w:pPr>
        <w:ind w:left="6040"/>
        <w:spacing w:after="0"/>
        <w:rPr>
          <w:sz w:val="20"/>
          <w:szCs w:val="20"/>
          <w:color w:val="auto"/>
        </w:rPr>
      </w:pPr>
      <w:r>
        <w:rPr>
          <w:rFonts w:ascii="Arial" w:cs="Arial" w:eastAsia="Arial" w:hAnsi="Arial"/>
          <w:sz w:val="18"/>
          <w:szCs w:val="18"/>
          <w:color w:val="auto"/>
        </w:rPr>
        <w:t>Name:</w:t>
      </w:r>
    </w:p>
    <w:p>
      <w:pPr>
        <w:spacing w:after="0" w:line="9" w:lineRule="exact"/>
        <w:rPr>
          <w:sz w:val="20"/>
          <w:szCs w:val="20"/>
          <w:color w:val="auto"/>
        </w:rPr>
      </w:pPr>
    </w:p>
    <w:p>
      <w:pPr>
        <w:ind w:left="6040"/>
        <w:spacing w:after="0"/>
        <w:rPr>
          <w:sz w:val="20"/>
          <w:szCs w:val="20"/>
          <w:color w:val="auto"/>
        </w:rPr>
      </w:pPr>
      <w:r>
        <w:rPr>
          <w:rFonts w:ascii="Arial" w:cs="Arial" w:eastAsia="Arial" w:hAnsi="Arial"/>
          <w:sz w:val="18"/>
          <w:szCs w:val="18"/>
          <w:color w:val="auto"/>
        </w:rPr>
        <w:t>Title:</w:t>
      </w:r>
    </w:p>
    <w:p>
      <w:pPr>
        <w:spacing w:after="0" w:line="312" w:lineRule="exact"/>
        <w:rPr>
          <w:sz w:val="20"/>
          <w:szCs w:val="20"/>
          <w:color w:val="auto"/>
        </w:rPr>
      </w:pPr>
    </w:p>
    <w:p>
      <w:pPr>
        <w:jc w:val="center"/>
        <w:ind w:right="-59"/>
        <w:spacing w:after="0"/>
        <w:rPr>
          <w:sz w:val="20"/>
          <w:szCs w:val="20"/>
          <w:color w:val="auto"/>
        </w:rPr>
      </w:pPr>
      <w:r>
        <w:rPr>
          <w:rFonts w:ascii="Arial" w:cs="Arial" w:eastAsia="Arial" w:hAnsi="Arial"/>
          <w:sz w:val="22"/>
          <w:szCs w:val="22"/>
          <w:color w:val="auto"/>
        </w:rPr>
        <w:t>46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7620</wp:posOffset>
            </wp:positionV>
            <wp:extent cx="7246620" cy="17145"/>
            <wp:wrapNone/>
            <wp:docPr id="74" name="Picture 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4"/>
                    <pic:cNvPicPr>
                      <a:picLocks noChangeAspect="1" noChangeArrowheads="1"/>
                    </pic:cNvPicPr>
                  </pic:nvPicPr>
                  <pic:blipFill>
                    <a:blip r:embed="rId81">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360"/>
          </w:cols>
          <w:pgMar w:left="240" w:top="341" w:right="299" w:bottom="1440" w:gutter="0" w:footer="0" w:header="0"/>
        </w:sectPr>
      </w:pPr>
    </w:p>
    <w:bookmarkStart w:id="63" w:name="page64"/>
    <w:bookmarkEnd w:id="63"/>
    <w:tbl>
      <w:tblPr>
        <w:tblLayout w:type="fixed"/>
        <w:tblInd w:w="0" w:type="dxa"/>
        <w:tblCellMar>
          <w:top w:w="0" w:type="dxa"/>
          <w:left w:w="0" w:type="dxa"/>
          <w:bottom w:w="0" w:type="dxa"/>
          <w:right w:w="0" w:type="dxa"/>
        </w:tblCellMar>
      </w:tblPr>
      <w:tr>
        <w:trPr>
          <w:trHeight w:val="234"/>
        </w:trPr>
        <w:tc>
          <w:tcPr>
            <w:tcW w:w="2720" w:type="dxa"/>
            <w:vAlign w:val="bottom"/>
          </w:tcPr>
          <w:p>
            <w:pPr>
              <w:spacing w:after="0"/>
              <w:rPr>
                <w:sz w:val="20"/>
                <w:szCs w:val="20"/>
                <w:color w:val="auto"/>
              </w:rPr>
            </w:pPr>
          </w:p>
        </w:tc>
        <w:tc>
          <w:tcPr>
            <w:tcW w:w="8680" w:type="dxa"/>
            <w:vAlign w:val="bottom"/>
          </w:tcPr>
          <w:p>
            <w:pPr>
              <w:jc w:val="center"/>
              <w:ind w:right="2610"/>
              <w:spacing w:after="0"/>
              <w:rPr>
                <w:sz w:val="20"/>
                <w:szCs w:val="20"/>
                <w:color w:val="auto"/>
              </w:rPr>
            </w:pPr>
            <w:r>
              <w:rPr>
                <w:rFonts w:ascii="Arial" w:cs="Arial" w:eastAsia="Arial" w:hAnsi="Arial"/>
                <w:sz w:val="18"/>
                <w:szCs w:val="18"/>
                <w:b w:val="1"/>
                <w:bCs w:val="1"/>
                <w:color w:val="auto"/>
              </w:rPr>
              <w:t>EXHIBIT A</w:t>
            </w:r>
          </w:p>
        </w:tc>
        <w:tc>
          <w:tcPr>
            <w:tcW w:w="0" w:type="dxa"/>
            <w:vAlign w:val="bottom"/>
          </w:tcPr>
          <w:p>
            <w:pPr>
              <w:spacing w:after="0"/>
              <w:rPr>
                <w:sz w:val="1"/>
                <w:szCs w:val="1"/>
                <w:color w:val="auto"/>
              </w:rPr>
            </w:pPr>
          </w:p>
        </w:tc>
      </w:tr>
      <w:tr>
        <w:trPr>
          <w:trHeight w:val="432"/>
        </w:trPr>
        <w:tc>
          <w:tcPr>
            <w:tcW w:w="2720" w:type="dxa"/>
            <w:vAlign w:val="bottom"/>
          </w:tcPr>
          <w:p>
            <w:pPr>
              <w:spacing w:after="0"/>
              <w:rPr>
                <w:sz w:val="24"/>
                <w:szCs w:val="24"/>
                <w:color w:val="auto"/>
              </w:rPr>
            </w:pPr>
          </w:p>
        </w:tc>
        <w:tc>
          <w:tcPr>
            <w:tcW w:w="8680" w:type="dxa"/>
            <w:vAlign w:val="bottom"/>
          </w:tcPr>
          <w:p>
            <w:pPr>
              <w:jc w:val="center"/>
              <w:ind w:right="2590"/>
              <w:spacing w:after="0"/>
              <w:rPr>
                <w:sz w:val="20"/>
                <w:szCs w:val="20"/>
                <w:color w:val="auto"/>
              </w:rPr>
            </w:pPr>
            <w:r>
              <w:rPr>
                <w:rFonts w:ascii="Arial" w:cs="Arial" w:eastAsia="Arial" w:hAnsi="Arial"/>
                <w:sz w:val="18"/>
                <w:szCs w:val="18"/>
                <w:b w:val="1"/>
                <w:bCs w:val="1"/>
                <w:color w:val="auto"/>
              </w:rPr>
              <w:t>[FORM OF ADR]</w:t>
            </w:r>
          </w:p>
        </w:tc>
        <w:tc>
          <w:tcPr>
            <w:tcW w:w="0" w:type="dxa"/>
            <w:vAlign w:val="bottom"/>
          </w:tcPr>
          <w:p>
            <w:pPr>
              <w:spacing w:after="0"/>
              <w:rPr>
                <w:sz w:val="1"/>
                <w:szCs w:val="1"/>
                <w:color w:val="auto"/>
              </w:rPr>
            </w:pPr>
          </w:p>
        </w:tc>
      </w:tr>
      <w:tr>
        <w:trPr>
          <w:trHeight w:val="418"/>
        </w:trPr>
        <w:tc>
          <w:tcPr>
            <w:tcW w:w="2720" w:type="dxa"/>
            <w:vAlign w:val="bottom"/>
          </w:tcPr>
          <w:p>
            <w:pPr>
              <w:spacing w:after="0"/>
              <w:rPr>
                <w:sz w:val="20"/>
                <w:szCs w:val="20"/>
                <w:color w:val="auto"/>
              </w:rPr>
            </w:pPr>
            <w:r>
              <w:rPr>
                <w:rFonts w:ascii="Arial" w:cs="Arial" w:eastAsia="Arial" w:hAnsi="Arial"/>
                <w:sz w:val="18"/>
                <w:szCs w:val="18"/>
                <w:color w:val="auto"/>
              </w:rPr>
              <w:t>Number</w:t>
            </w:r>
          </w:p>
        </w:tc>
        <w:tc>
          <w:tcPr>
            <w:tcW w:w="8680" w:type="dxa"/>
            <w:vAlign w:val="bottom"/>
          </w:tcPr>
          <w:p>
            <w:pPr>
              <w:ind w:left="4140"/>
              <w:spacing w:after="0"/>
              <w:rPr>
                <w:sz w:val="20"/>
                <w:szCs w:val="20"/>
                <w:color w:val="auto"/>
              </w:rPr>
            </w:pPr>
            <w:r>
              <w:rPr>
                <w:rFonts w:ascii="Arial" w:cs="Arial" w:eastAsia="Arial" w:hAnsi="Arial"/>
                <w:sz w:val="18"/>
                <w:szCs w:val="18"/>
                <w:color w:val="auto"/>
              </w:rPr>
              <w:t>CUSIP NUMBER: _____________</w:t>
            </w:r>
          </w:p>
        </w:tc>
        <w:tc>
          <w:tcPr>
            <w:tcW w:w="0" w:type="dxa"/>
            <w:vAlign w:val="bottom"/>
          </w:tcPr>
          <w:p>
            <w:pPr>
              <w:spacing w:after="0"/>
              <w:rPr>
                <w:sz w:val="1"/>
                <w:szCs w:val="1"/>
                <w:color w:val="auto"/>
              </w:rPr>
            </w:pPr>
          </w:p>
        </w:tc>
      </w:tr>
      <w:tr>
        <w:trPr>
          <w:trHeight w:val="230"/>
        </w:trPr>
        <w:tc>
          <w:tcPr>
            <w:tcW w:w="2720" w:type="dxa"/>
            <w:vAlign w:val="bottom"/>
          </w:tcPr>
          <w:p>
            <w:pPr>
              <w:spacing w:after="0"/>
              <w:rPr>
                <w:sz w:val="20"/>
                <w:szCs w:val="20"/>
                <w:color w:val="auto"/>
              </w:rPr>
            </w:pPr>
            <w:r>
              <w:rPr>
                <w:rFonts w:ascii="Arial" w:cs="Arial" w:eastAsia="Arial" w:hAnsi="Arial"/>
                <w:sz w:val="18"/>
                <w:szCs w:val="18"/>
                <w:color w:val="auto"/>
              </w:rPr>
              <w:t>_____________</w:t>
            </w:r>
          </w:p>
        </w:tc>
        <w:tc>
          <w:tcPr>
            <w:tcW w:w="8680" w:type="dxa"/>
            <w:vAlign w:val="bottom"/>
            <w:vMerge w:val="restart"/>
          </w:tcPr>
          <w:p>
            <w:pPr>
              <w:ind w:left="4140"/>
              <w:spacing w:after="0"/>
              <w:rPr>
                <w:sz w:val="20"/>
                <w:szCs w:val="20"/>
                <w:color w:val="auto"/>
              </w:rPr>
            </w:pPr>
            <w:r>
              <w:rPr>
                <w:rFonts w:ascii="Arial" w:cs="Arial" w:eastAsia="Arial" w:hAnsi="Arial"/>
                <w:sz w:val="18"/>
                <w:szCs w:val="18"/>
                <w:color w:val="auto"/>
                <w:w w:val="89"/>
              </w:rPr>
              <w:t>American Depositary Shares (each American Depositary Share</w:t>
            </w:r>
          </w:p>
        </w:tc>
        <w:tc>
          <w:tcPr>
            <w:tcW w:w="0" w:type="dxa"/>
            <w:vAlign w:val="bottom"/>
          </w:tcPr>
          <w:p>
            <w:pPr>
              <w:spacing w:after="0"/>
              <w:rPr>
                <w:sz w:val="1"/>
                <w:szCs w:val="1"/>
                <w:color w:val="auto"/>
              </w:rPr>
            </w:pPr>
          </w:p>
        </w:tc>
      </w:tr>
      <w:tr>
        <w:trPr>
          <w:trHeight w:val="202"/>
        </w:trPr>
        <w:tc>
          <w:tcPr>
            <w:tcW w:w="2720" w:type="dxa"/>
            <w:vAlign w:val="bottom"/>
          </w:tcPr>
          <w:p>
            <w:pPr>
              <w:spacing w:after="0"/>
              <w:rPr>
                <w:sz w:val="17"/>
                <w:szCs w:val="17"/>
                <w:color w:val="auto"/>
              </w:rPr>
            </w:pPr>
          </w:p>
        </w:tc>
        <w:tc>
          <w:tcPr>
            <w:tcW w:w="8680" w:type="dxa"/>
            <w:vAlign w:val="bottom"/>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720" w:type="dxa"/>
            <w:vAlign w:val="bottom"/>
          </w:tcPr>
          <w:p>
            <w:pPr>
              <w:spacing w:after="0"/>
              <w:rPr>
                <w:sz w:val="18"/>
                <w:szCs w:val="18"/>
                <w:color w:val="auto"/>
              </w:rPr>
            </w:pPr>
          </w:p>
        </w:tc>
        <w:tc>
          <w:tcPr>
            <w:tcW w:w="8680" w:type="dxa"/>
            <w:vAlign w:val="bottom"/>
          </w:tcPr>
          <w:p>
            <w:pPr>
              <w:ind w:left="4140"/>
              <w:spacing w:after="0"/>
              <w:rPr>
                <w:sz w:val="20"/>
                <w:szCs w:val="20"/>
                <w:color w:val="auto"/>
              </w:rPr>
            </w:pPr>
            <w:r>
              <w:rPr>
                <w:rFonts w:ascii="Arial" w:cs="Arial" w:eastAsia="Arial" w:hAnsi="Arial"/>
                <w:sz w:val="18"/>
                <w:szCs w:val="18"/>
                <w:color w:val="auto"/>
                <w:w w:val="98"/>
              </w:rPr>
              <w:t>representing the right to receive five (5) fully paid ordinary</w:t>
            </w:r>
          </w:p>
        </w:tc>
        <w:tc>
          <w:tcPr>
            <w:tcW w:w="0" w:type="dxa"/>
            <w:vAlign w:val="bottom"/>
          </w:tcPr>
          <w:p>
            <w:pPr>
              <w:spacing w:after="0"/>
              <w:rPr>
                <w:sz w:val="1"/>
                <w:szCs w:val="1"/>
                <w:color w:val="auto"/>
              </w:rPr>
            </w:pPr>
          </w:p>
        </w:tc>
      </w:tr>
      <w:tr>
        <w:trPr>
          <w:trHeight w:val="230"/>
        </w:trPr>
        <w:tc>
          <w:tcPr>
            <w:tcW w:w="2720" w:type="dxa"/>
            <w:vAlign w:val="bottom"/>
          </w:tcPr>
          <w:p>
            <w:pPr>
              <w:spacing w:after="0"/>
              <w:rPr>
                <w:sz w:val="20"/>
                <w:szCs w:val="20"/>
                <w:color w:val="auto"/>
              </w:rPr>
            </w:pPr>
          </w:p>
        </w:tc>
        <w:tc>
          <w:tcPr>
            <w:tcW w:w="8680" w:type="dxa"/>
            <w:vAlign w:val="bottom"/>
          </w:tcPr>
          <w:p>
            <w:pPr>
              <w:ind w:left="4140"/>
              <w:spacing w:after="0"/>
              <w:rPr>
                <w:sz w:val="20"/>
                <w:szCs w:val="20"/>
                <w:color w:val="auto"/>
              </w:rPr>
            </w:pPr>
            <w:r>
              <w:rPr>
                <w:rFonts w:ascii="Arial" w:cs="Arial" w:eastAsia="Arial" w:hAnsi="Arial"/>
                <w:sz w:val="18"/>
                <w:szCs w:val="18"/>
                <w:color w:val="auto"/>
              </w:rPr>
              <w:t>shares)</w:t>
            </w:r>
          </w:p>
        </w:tc>
        <w:tc>
          <w:tcPr>
            <w:tcW w:w="0" w:type="dxa"/>
            <w:vAlign w:val="bottom"/>
          </w:tcPr>
          <w:p>
            <w:pPr>
              <w:spacing w:after="0"/>
              <w:rPr>
                <w:sz w:val="1"/>
                <w:szCs w:val="1"/>
                <w:color w:val="auto"/>
              </w:rPr>
            </w:pPr>
          </w:p>
        </w:tc>
      </w:tr>
      <w:tr>
        <w:trPr>
          <w:trHeight w:val="418"/>
        </w:trPr>
        <w:tc>
          <w:tcPr>
            <w:tcW w:w="2720" w:type="dxa"/>
            <w:vAlign w:val="bottom"/>
          </w:tcPr>
          <w:p>
            <w:pPr>
              <w:spacing w:after="0"/>
              <w:rPr>
                <w:sz w:val="24"/>
                <w:szCs w:val="24"/>
                <w:color w:val="auto"/>
              </w:rPr>
            </w:pPr>
          </w:p>
        </w:tc>
        <w:tc>
          <w:tcPr>
            <w:tcW w:w="8680" w:type="dxa"/>
            <w:vAlign w:val="bottom"/>
          </w:tcPr>
          <w:p>
            <w:pPr>
              <w:jc w:val="center"/>
              <w:ind w:right="2590"/>
              <w:spacing w:after="0"/>
              <w:rPr>
                <w:sz w:val="20"/>
                <w:szCs w:val="20"/>
                <w:color w:val="auto"/>
              </w:rPr>
            </w:pPr>
            <w:r>
              <w:rPr>
                <w:rFonts w:ascii="Arial" w:cs="Arial" w:eastAsia="Arial" w:hAnsi="Arial"/>
                <w:sz w:val="18"/>
                <w:szCs w:val="18"/>
                <w:color w:val="auto"/>
                <w:w w:val="96"/>
              </w:rPr>
              <w:t>AMERICAN DEPOSITARY RECEIPT</w:t>
            </w:r>
          </w:p>
        </w:tc>
        <w:tc>
          <w:tcPr>
            <w:tcW w:w="0" w:type="dxa"/>
            <w:vAlign w:val="bottom"/>
          </w:tcPr>
          <w:p>
            <w:pPr>
              <w:spacing w:after="0"/>
              <w:rPr>
                <w:sz w:val="1"/>
                <w:szCs w:val="1"/>
                <w:color w:val="auto"/>
              </w:rPr>
            </w:pPr>
          </w:p>
        </w:tc>
      </w:tr>
      <w:tr>
        <w:trPr>
          <w:trHeight w:val="216"/>
        </w:trPr>
        <w:tc>
          <w:tcPr>
            <w:tcW w:w="2720" w:type="dxa"/>
            <w:vAlign w:val="bottom"/>
          </w:tcPr>
          <w:p>
            <w:pPr>
              <w:spacing w:after="0"/>
              <w:rPr>
                <w:sz w:val="18"/>
                <w:szCs w:val="18"/>
                <w:color w:val="auto"/>
              </w:rPr>
            </w:pPr>
          </w:p>
        </w:tc>
        <w:tc>
          <w:tcPr>
            <w:tcW w:w="8680" w:type="dxa"/>
            <w:vAlign w:val="bottom"/>
          </w:tcPr>
          <w:p>
            <w:pPr>
              <w:jc w:val="center"/>
              <w:ind w:right="2610"/>
              <w:spacing w:after="0"/>
              <w:rPr>
                <w:sz w:val="20"/>
                <w:szCs w:val="20"/>
                <w:color w:val="auto"/>
              </w:rPr>
            </w:pPr>
            <w:r>
              <w:rPr>
                <w:rFonts w:ascii="Arial" w:cs="Arial" w:eastAsia="Arial" w:hAnsi="Arial"/>
                <w:sz w:val="18"/>
                <w:szCs w:val="18"/>
                <w:color w:val="auto"/>
              </w:rPr>
              <w:t>for</w:t>
            </w:r>
          </w:p>
        </w:tc>
        <w:tc>
          <w:tcPr>
            <w:tcW w:w="0" w:type="dxa"/>
            <w:vAlign w:val="bottom"/>
          </w:tcPr>
          <w:p>
            <w:pPr>
              <w:spacing w:after="0"/>
              <w:rPr>
                <w:sz w:val="1"/>
                <w:szCs w:val="1"/>
                <w:color w:val="auto"/>
              </w:rPr>
            </w:pPr>
          </w:p>
        </w:tc>
      </w:tr>
      <w:tr>
        <w:trPr>
          <w:trHeight w:val="216"/>
        </w:trPr>
        <w:tc>
          <w:tcPr>
            <w:tcW w:w="2720" w:type="dxa"/>
            <w:vAlign w:val="bottom"/>
          </w:tcPr>
          <w:p>
            <w:pPr>
              <w:spacing w:after="0"/>
              <w:rPr>
                <w:sz w:val="18"/>
                <w:szCs w:val="18"/>
                <w:color w:val="auto"/>
              </w:rPr>
            </w:pPr>
          </w:p>
        </w:tc>
        <w:tc>
          <w:tcPr>
            <w:tcW w:w="8680" w:type="dxa"/>
            <w:vAlign w:val="bottom"/>
          </w:tcPr>
          <w:p>
            <w:pPr>
              <w:jc w:val="center"/>
              <w:ind w:right="2590"/>
              <w:spacing w:after="0"/>
              <w:rPr>
                <w:sz w:val="20"/>
                <w:szCs w:val="20"/>
                <w:color w:val="auto"/>
              </w:rPr>
            </w:pPr>
            <w:r>
              <w:rPr>
                <w:rFonts w:ascii="Arial" w:cs="Arial" w:eastAsia="Arial" w:hAnsi="Arial"/>
                <w:sz w:val="18"/>
                <w:szCs w:val="18"/>
                <w:color w:val="auto"/>
                <w:w w:val="96"/>
              </w:rPr>
              <w:t>AMERICAN DEPOSITARY SHARES</w:t>
            </w:r>
          </w:p>
        </w:tc>
        <w:tc>
          <w:tcPr>
            <w:tcW w:w="0" w:type="dxa"/>
            <w:vAlign w:val="bottom"/>
          </w:tcPr>
          <w:p>
            <w:pPr>
              <w:spacing w:after="0"/>
              <w:rPr>
                <w:sz w:val="1"/>
                <w:szCs w:val="1"/>
                <w:color w:val="auto"/>
              </w:rPr>
            </w:pPr>
          </w:p>
        </w:tc>
      </w:tr>
      <w:tr>
        <w:trPr>
          <w:trHeight w:val="216"/>
        </w:trPr>
        <w:tc>
          <w:tcPr>
            <w:tcW w:w="2720" w:type="dxa"/>
            <w:vAlign w:val="bottom"/>
          </w:tcPr>
          <w:p>
            <w:pPr>
              <w:spacing w:after="0"/>
              <w:rPr>
                <w:sz w:val="18"/>
                <w:szCs w:val="18"/>
                <w:color w:val="auto"/>
              </w:rPr>
            </w:pPr>
          </w:p>
        </w:tc>
        <w:tc>
          <w:tcPr>
            <w:tcW w:w="8680" w:type="dxa"/>
            <w:vAlign w:val="bottom"/>
          </w:tcPr>
          <w:p>
            <w:pPr>
              <w:jc w:val="center"/>
              <w:ind w:right="2610"/>
              <w:spacing w:after="0"/>
              <w:rPr>
                <w:sz w:val="20"/>
                <w:szCs w:val="20"/>
                <w:color w:val="auto"/>
              </w:rPr>
            </w:pPr>
            <w:r>
              <w:rPr>
                <w:rFonts w:ascii="Arial" w:cs="Arial" w:eastAsia="Arial" w:hAnsi="Arial"/>
                <w:sz w:val="18"/>
                <w:szCs w:val="18"/>
                <w:color w:val="auto"/>
                <w:w w:val="89"/>
              </w:rPr>
              <w:t>representing</w:t>
            </w:r>
          </w:p>
        </w:tc>
        <w:tc>
          <w:tcPr>
            <w:tcW w:w="0" w:type="dxa"/>
            <w:vAlign w:val="bottom"/>
          </w:tcPr>
          <w:p>
            <w:pPr>
              <w:spacing w:after="0"/>
              <w:rPr>
                <w:sz w:val="1"/>
                <w:szCs w:val="1"/>
                <w:color w:val="auto"/>
              </w:rPr>
            </w:pPr>
          </w:p>
        </w:tc>
      </w:tr>
      <w:tr>
        <w:trPr>
          <w:trHeight w:val="216"/>
        </w:trPr>
        <w:tc>
          <w:tcPr>
            <w:tcW w:w="2720" w:type="dxa"/>
            <w:vAlign w:val="bottom"/>
          </w:tcPr>
          <w:p>
            <w:pPr>
              <w:spacing w:after="0"/>
              <w:rPr>
                <w:sz w:val="18"/>
                <w:szCs w:val="18"/>
                <w:color w:val="auto"/>
              </w:rPr>
            </w:pPr>
          </w:p>
        </w:tc>
        <w:tc>
          <w:tcPr>
            <w:tcW w:w="8680" w:type="dxa"/>
            <w:vAlign w:val="bottom"/>
          </w:tcPr>
          <w:p>
            <w:pPr>
              <w:jc w:val="center"/>
              <w:ind w:right="2610"/>
              <w:spacing w:after="0"/>
              <w:rPr>
                <w:sz w:val="20"/>
                <w:szCs w:val="20"/>
                <w:color w:val="auto"/>
              </w:rPr>
            </w:pPr>
            <w:r>
              <w:rPr>
                <w:rFonts w:ascii="Arial" w:cs="Arial" w:eastAsia="Arial" w:hAnsi="Arial"/>
                <w:sz w:val="18"/>
                <w:szCs w:val="18"/>
                <w:color w:val="auto"/>
                <w:w w:val="95"/>
              </w:rPr>
              <w:t>DEPOSITED ORDINARY SHARES</w:t>
            </w:r>
          </w:p>
        </w:tc>
        <w:tc>
          <w:tcPr>
            <w:tcW w:w="0" w:type="dxa"/>
            <w:vAlign w:val="bottom"/>
          </w:tcPr>
          <w:p>
            <w:pPr>
              <w:spacing w:after="0"/>
              <w:rPr>
                <w:sz w:val="1"/>
                <w:szCs w:val="1"/>
                <w:color w:val="auto"/>
              </w:rPr>
            </w:pPr>
          </w:p>
        </w:tc>
      </w:tr>
      <w:tr>
        <w:trPr>
          <w:trHeight w:val="216"/>
        </w:trPr>
        <w:tc>
          <w:tcPr>
            <w:tcW w:w="2720" w:type="dxa"/>
            <w:vAlign w:val="bottom"/>
          </w:tcPr>
          <w:p>
            <w:pPr>
              <w:spacing w:after="0"/>
              <w:rPr>
                <w:sz w:val="18"/>
                <w:szCs w:val="18"/>
                <w:color w:val="auto"/>
              </w:rPr>
            </w:pPr>
          </w:p>
        </w:tc>
        <w:tc>
          <w:tcPr>
            <w:tcW w:w="8680" w:type="dxa"/>
            <w:vAlign w:val="bottom"/>
          </w:tcPr>
          <w:p>
            <w:pPr>
              <w:jc w:val="center"/>
              <w:ind w:right="2610"/>
              <w:spacing w:after="0"/>
              <w:rPr>
                <w:sz w:val="20"/>
                <w:szCs w:val="20"/>
                <w:color w:val="auto"/>
              </w:rPr>
            </w:pPr>
            <w:r>
              <w:rPr>
                <w:rFonts w:ascii="Arial" w:cs="Arial" w:eastAsia="Arial" w:hAnsi="Arial"/>
                <w:sz w:val="18"/>
                <w:szCs w:val="18"/>
                <w:color w:val="auto"/>
                <w:w w:val="92"/>
              </w:rPr>
              <w:t>of</w:t>
            </w:r>
          </w:p>
        </w:tc>
        <w:tc>
          <w:tcPr>
            <w:tcW w:w="0" w:type="dxa"/>
            <w:vAlign w:val="bottom"/>
          </w:tcPr>
          <w:p>
            <w:pPr>
              <w:spacing w:after="0"/>
              <w:rPr>
                <w:sz w:val="1"/>
                <w:szCs w:val="1"/>
                <w:color w:val="auto"/>
              </w:rPr>
            </w:pPr>
          </w:p>
        </w:tc>
      </w:tr>
      <w:tr>
        <w:trPr>
          <w:trHeight w:val="230"/>
        </w:trPr>
        <w:tc>
          <w:tcPr>
            <w:tcW w:w="2720" w:type="dxa"/>
            <w:vAlign w:val="bottom"/>
          </w:tcPr>
          <w:p>
            <w:pPr>
              <w:spacing w:after="0"/>
              <w:rPr>
                <w:sz w:val="20"/>
                <w:szCs w:val="20"/>
                <w:color w:val="auto"/>
              </w:rPr>
            </w:pPr>
          </w:p>
        </w:tc>
        <w:tc>
          <w:tcPr>
            <w:tcW w:w="8680" w:type="dxa"/>
            <w:vAlign w:val="bottom"/>
          </w:tcPr>
          <w:p>
            <w:pPr>
              <w:jc w:val="center"/>
              <w:ind w:right="2610"/>
              <w:spacing w:after="0"/>
              <w:rPr>
                <w:sz w:val="20"/>
                <w:szCs w:val="20"/>
                <w:color w:val="auto"/>
              </w:rPr>
            </w:pPr>
            <w:r>
              <w:rPr>
                <w:rFonts w:ascii="Arial" w:cs="Arial" w:eastAsia="Arial" w:hAnsi="Arial"/>
                <w:sz w:val="18"/>
                <w:szCs w:val="18"/>
                <w:color w:val="auto"/>
                <w:w w:val="95"/>
              </w:rPr>
              <w:t>MEREO BIOPHARMA GROUP PLC</w:t>
            </w:r>
          </w:p>
        </w:tc>
        <w:tc>
          <w:tcPr>
            <w:tcW w:w="0" w:type="dxa"/>
            <w:vAlign w:val="bottom"/>
          </w:tcPr>
          <w:p>
            <w:pPr>
              <w:spacing w:after="0"/>
              <w:rPr>
                <w:sz w:val="1"/>
                <w:szCs w:val="1"/>
                <w:color w:val="auto"/>
              </w:rPr>
            </w:pPr>
          </w:p>
        </w:tc>
      </w:tr>
    </w:tbl>
    <w:p>
      <w:pPr>
        <w:spacing w:after="0" w:line="202"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(Incorporated under the laws of England and Wales)</w:t>
      </w:r>
    </w:p>
    <w:p>
      <w:pPr>
        <w:spacing w:after="0" w:line="225" w:lineRule="exact"/>
        <w:rPr>
          <w:sz w:val="20"/>
          <w:szCs w:val="20"/>
          <w:color w:val="auto"/>
        </w:rPr>
      </w:pPr>
    </w:p>
    <w:p>
      <w:pPr>
        <w:ind w:right="740" w:firstLine="648"/>
        <w:spacing w:after="0" w:line="291" w:lineRule="auto"/>
        <w:rPr>
          <w:sz w:val="20"/>
          <w:szCs w:val="20"/>
          <w:color w:val="auto"/>
        </w:rPr>
      </w:pPr>
      <w:r>
        <w:rPr>
          <w:rFonts w:ascii="Arial" w:cs="Arial" w:eastAsia="Arial" w:hAnsi="Arial"/>
          <w:sz w:val="16"/>
          <w:szCs w:val="16"/>
          <w:color w:val="auto"/>
        </w:rPr>
        <w:t>CITIBANK, N.A., a national banking association organized and existing under the laws of the United States of America, as depositary (the “Depositary”), hereby certifies that _____________is the owner of ______________ American Depositary Shares (hereinafter “ADS”) representing</w:t>
      </w:r>
    </w:p>
    <w:p>
      <w:pPr>
        <w:ind w:right="220"/>
        <w:spacing w:after="0" w:line="292" w:lineRule="auto"/>
        <w:rPr>
          <w:sz w:val="20"/>
          <w:szCs w:val="20"/>
          <w:color w:val="auto"/>
        </w:rPr>
      </w:pPr>
      <w:r>
        <w:rPr>
          <w:rFonts w:ascii="Arial" w:cs="Arial" w:eastAsia="Arial" w:hAnsi="Arial"/>
          <w:sz w:val="16"/>
          <w:szCs w:val="16"/>
          <w:color w:val="auto"/>
        </w:rPr>
        <w:t>deposited ordinary shares, including evidence of rights to receive such ordinary shares (the “Shares”), of Mereo BioPharma Group plc, a public limited company incorporated under the laws of England and Wales (the “Company”). As of the date of issuance of this ADR, each ADS represents the right to receive five (5) Shares deposited under the Deposit Agreement (as hereinafter defined) with the Custodian, which at the date of execution of the Deposit Agreement is Citibank, N.A. London Branch (the “Custodian”). The ADS(s)-to-Share(s) ratio is subject to amendment as provided in Articles IV and VI of the Deposit Agreement. The Depositary’s Principal Office is located at 388 Greenwich Street, New York, New York 10013, U.S.A.</w:t>
      </w:r>
    </w:p>
    <w:p>
      <w:pPr>
        <w:spacing w:after="0" w:line="159" w:lineRule="exact"/>
        <w:rPr>
          <w:sz w:val="20"/>
          <w:szCs w:val="20"/>
          <w:color w:val="auto"/>
        </w:rPr>
      </w:pPr>
    </w:p>
    <w:p>
      <w:pPr>
        <w:ind w:firstLine="656"/>
        <w:spacing w:after="0" w:line="269" w:lineRule="auto"/>
        <w:tabs>
          <w:tab w:leader="none" w:pos="1263" w:val="left"/>
        </w:tabs>
        <w:numPr>
          <w:ilvl w:val="0"/>
          <w:numId w:val="29"/>
        </w:numPr>
        <w:rPr>
          <w:rFonts w:ascii="Arial" w:cs="Arial" w:eastAsia="Arial" w:hAnsi="Arial"/>
          <w:sz w:val="17"/>
          <w:szCs w:val="17"/>
          <w:b w:val="1"/>
          <w:bCs w:val="1"/>
          <w:color w:val="auto"/>
        </w:rPr>
      </w:pPr>
      <w:r>
        <w:rPr>
          <w:rFonts w:ascii="Arial" w:cs="Arial" w:eastAsia="Arial" w:hAnsi="Arial"/>
          <w:sz w:val="17"/>
          <w:szCs w:val="17"/>
          <w:b w:val="1"/>
          <w:bCs w:val="1"/>
          <w:u w:val="single" w:color="auto"/>
          <w:color w:val="auto"/>
        </w:rPr>
        <w:t>The Deposit Agreement</w:t>
      </w:r>
      <w:r>
        <w:rPr>
          <w:rFonts w:ascii="Arial" w:cs="Arial" w:eastAsia="Arial" w:hAnsi="Arial"/>
          <w:sz w:val="17"/>
          <w:szCs w:val="17"/>
          <w:b w:val="1"/>
          <w:bCs w:val="1"/>
          <w:color w:val="auto"/>
        </w:rPr>
        <w:t xml:space="preserve">. </w:t>
      </w:r>
      <w:r>
        <w:rPr>
          <w:rFonts w:ascii="Arial" w:cs="Arial" w:eastAsia="Arial" w:hAnsi="Arial"/>
          <w:sz w:val="17"/>
          <w:szCs w:val="17"/>
          <w:color w:val="auto"/>
        </w:rPr>
        <w:t>This American Depositary Receipt is one of an issue of American Depositary Receipts (“ADRs”), all issued and</w:t>
      </w:r>
      <w:r>
        <w:rPr>
          <w:rFonts w:ascii="Arial" w:cs="Arial" w:eastAsia="Arial" w:hAnsi="Arial"/>
          <w:sz w:val="17"/>
          <w:szCs w:val="17"/>
          <w:b w:val="1"/>
          <w:bCs w:val="1"/>
          <w:color w:val="auto"/>
        </w:rPr>
        <w:t xml:space="preserve"> </w:t>
      </w:r>
      <w:r>
        <w:rPr>
          <w:rFonts w:ascii="Arial" w:cs="Arial" w:eastAsia="Arial" w:hAnsi="Arial"/>
          <w:sz w:val="17"/>
          <w:szCs w:val="17"/>
          <w:color w:val="auto"/>
        </w:rPr>
        <w:t>to be issued upon the terms and conditions set forth in the Deposit Agreement, dated as of [ ], 2019 (as amended and supplemented from time to time, the “Deposit Agreement”), by and among the Company, the Depositary, and all Holders and Beneficial Owners from time to time of ADSs issued thereunder. The Deposit Agreement sets forth the rights and obligations of Holders and Beneficial Owners of ADSs and the rights and duties of the Depositary in respect of the Shares deposited thereunder and any and all other Deposited Property (as defined in the Deposit Agreement) from time to time received and held on deposit in respect of the ADSs. Copies of the Deposit Agreement are on file at the Principal Office of the Depositary and with the Custodian. Each Holder and each Beneficial Owner, upon acceptance of any ADSs (or any interest therein) issued in accordance with the terms and conditions of the Deposit Agreement, shall be deemed for all purposes to (a) be a party to and bound by the terms of the Deposit Agreement and the applicable ADR(s), and (b) appoint the Depositary its attorney-in-fact, with full power to delegate, to act on its behalf and to take any and all actions contemplated in the Deposit Agreement and the applicable ADR(s), to adopt any and all procedures necessary to comply with applicable law and to take such action as the Depositary in its sole discretion may deem necessary or appropriate to carry out the purposes of the Deposit Agreement and the applicable ADR(s), the taking of such actions to be the conclusive determinant of the necessity and appropriateness thereof.</w:t>
      </w:r>
    </w:p>
    <w:p>
      <w:pPr>
        <w:spacing w:after="0" w:line="285" w:lineRule="exact"/>
        <w:rPr>
          <w:sz w:val="20"/>
          <w:szCs w:val="20"/>
          <w:color w:val="auto"/>
        </w:rPr>
      </w:pPr>
    </w:p>
    <w:p>
      <w:pPr>
        <w:jc w:val="center"/>
        <w:ind w:right="-19"/>
        <w:spacing w:after="0"/>
        <w:rPr>
          <w:sz w:val="20"/>
          <w:szCs w:val="20"/>
          <w:color w:val="auto"/>
        </w:rPr>
      </w:pPr>
      <w:r>
        <w:rPr>
          <w:rFonts w:ascii="Arial" w:cs="Arial" w:eastAsia="Arial" w:hAnsi="Arial"/>
          <w:sz w:val="22"/>
          <w:szCs w:val="22"/>
          <w:color w:val="auto"/>
        </w:rPr>
        <w:t>A-1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7620</wp:posOffset>
            </wp:positionV>
            <wp:extent cx="7246620" cy="17145"/>
            <wp:wrapNone/>
            <wp:docPr id="75" name="Picture 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5"/>
                    <pic:cNvPicPr>
                      <a:picLocks noChangeAspect="1" noChangeArrowheads="1"/>
                    </pic:cNvPicPr>
                  </pic:nvPicPr>
                  <pic:blipFill>
                    <a:blip r:embed="rId82">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337" w:right="239" w:bottom="1440" w:gutter="0" w:footer="0" w:header="0"/>
        </w:sectPr>
      </w:pPr>
    </w:p>
    <w:bookmarkStart w:id="64" w:name="page65"/>
    <w:bookmarkEnd w:id="64"/>
    <w:p>
      <w:pPr>
        <w:ind w:right="200" w:firstLine="648"/>
        <w:spacing w:after="0" w:line="264" w:lineRule="auto"/>
        <w:rPr>
          <w:sz w:val="20"/>
          <w:szCs w:val="20"/>
          <w:color w:val="auto"/>
        </w:rPr>
      </w:pPr>
      <w:r>
        <w:rPr>
          <w:rFonts w:ascii="Arial" w:cs="Arial" w:eastAsia="Arial" w:hAnsi="Arial"/>
          <w:sz w:val="18"/>
          <w:szCs w:val="18"/>
          <w:color w:val="auto"/>
        </w:rPr>
        <w:t>The statements made on the face and reverse of this ADR are summaries of certain provisions of the Deposit Agreement and the Articles of Association of the Company (as in effect on the date of the signing of the Deposit Agreement) and are qualified by and subject to the detailed provisions of the Deposit Agreement and the Articles of Association, to which reference is hereby made.</w:t>
      </w:r>
    </w:p>
    <w:p>
      <w:pPr>
        <w:spacing w:after="0" w:line="181" w:lineRule="exact"/>
        <w:rPr>
          <w:sz w:val="20"/>
          <w:szCs w:val="20"/>
          <w:color w:val="auto"/>
        </w:rPr>
      </w:pPr>
    </w:p>
    <w:p>
      <w:pPr>
        <w:ind w:left="660"/>
        <w:spacing w:after="0"/>
        <w:rPr>
          <w:sz w:val="20"/>
          <w:szCs w:val="20"/>
          <w:color w:val="auto"/>
        </w:rPr>
      </w:pPr>
      <w:r>
        <w:rPr>
          <w:rFonts w:ascii="Arial" w:cs="Arial" w:eastAsia="Arial" w:hAnsi="Arial"/>
          <w:sz w:val="18"/>
          <w:szCs w:val="18"/>
          <w:color w:val="auto"/>
        </w:rPr>
        <w:t>All capitalized terms not defined herein shall have the meanings ascribed thereto in the Deposit Agreement.</w:t>
      </w:r>
    </w:p>
    <w:p>
      <w:pPr>
        <w:spacing w:after="0" w:line="225" w:lineRule="exact"/>
        <w:rPr>
          <w:sz w:val="20"/>
          <w:szCs w:val="20"/>
          <w:color w:val="auto"/>
        </w:rPr>
      </w:pPr>
    </w:p>
    <w:p>
      <w:pPr>
        <w:ind w:right="80" w:firstLine="648"/>
        <w:spacing w:after="0" w:line="259" w:lineRule="auto"/>
        <w:rPr>
          <w:sz w:val="20"/>
          <w:szCs w:val="20"/>
          <w:color w:val="auto"/>
        </w:rPr>
      </w:pPr>
      <w:r>
        <w:rPr>
          <w:rFonts w:ascii="Arial" w:cs="Arial" w:eastAsia="Arial" w:hAnsi="Arial"/>
          <w:sz w:val="18"/>
          <w:szCs w:val="18"/>
          <w:color w:val="auto"/>
        </w:rPr>
        <w:t>The Depositary makes no representation or warranty as to the validity or worth of the Deposited Property. The Depositary has made arrangements for the acceptance of the ADSs into DTC. Each Beneficial Owner of ADSs held through DTC must rely on the procedures of DTC and the DTC Participants to exercise and be entitled to any rights attributable to such ADSs. The Depositary may issue Uncertificated ADSs subject, however, to the terms and conditions of Section 2.13 of the Deposit Agreement.</w:t>
      </w:r>
    </w:p>
    <w:p>
      <w:pPr>
        <w:spacing w:after="0" w:line="183" w:lineRule="exact"/>
        <w:rPr>
          <w:sz w:val="20"/>
          <w:szCs w:val="20"/>
          <w:color w:val="auto"/>
        </w:rPr>
      </w:pPr>
    </w:p>
    <w:p>
      <w:pPr>
        <w:ind w:firstLine="656"/>
        <w:spacing w:after="0" w:line="269" w:lineRule="auto"/>
        <w:tabs>
          <w:tab w:leader="none" w:pos="1263" w:val="left"/>
        </w:tabs>
        <w:numPr>
          <w:ilvl w:val="0"/>
          <w:numId w:val="30"/>
        </w:numPr>
        <w:rPr>
          <w:rFonts w:ascii="Arial" w:cs="Arial" w:eastAsia="Arial" w:hAnsi="Arial"/>
          <w:sz w:val="17"/>
          <w:szCs w:val="17"/>
          <w:b w:val="1"/>
          <w:bCs w:val="1"/>
          <w:color w:val="auto"/>
        </w:rPr>
      </w:pPr>
      <w:r>
        <w:rPr>
          <w:rFonts w:ascii="Arial" w:cs="Arial" w:eastAsia="Arial" w:hAnsi="Arial"/>
          <w:sz w:val="17"/>
          <w:szCs w:val="17"/>
          <w:b w:val="1"/>
          <w:bCs w:val="1"/>
          <w:u w:val="single" w:color="auto"/>
          <w:color w:val="auto"/>
        </w:rPr>
        <w:t>Surrender of ADSs and Withdrawal of Deposited Securities.</w:t>
      </w:r>
      <w:r>
        <w:rPr>
          <w:rFonts w:ascii="Arial" w:cs="Arial" w:eastAsia="Arial" w:hAnsi="Arial"/>
          <w:sz w:val="17"/>
          <w:szCs w:val="17"/>
          <w:b w:val="1"/>
          <w:bCs w:val="1"/>
          <w:color w:val="auto"/>
        </w:rPr>
        <w:t xml:space="preserve"> </w:t>
      </w:r>
      <w:r>
        <w:rPr>
          <w:rFonts w:ascii="Arial" w:cs="Arial" w:eastAsia="Arial" w:hAnsi="Arial"/>
          <w:sz w:val="17"/>
          <w:szCs w:val="17"/>
          <w:color w:val="auto"/>
        </w:rPr>
        <w:t>The Holder of this ADR (and of the ADSs evidenced hereby) shall be</w:t>
      </w:r>
      <w:r>
        <w:rPr>
          <w:rFonts w:ascii="Arial" w:cs="Arial" w:eastAsia="Arial" w:hAnsi="Arial"/>
          <w:sz w:val="17"/>
          <w:szCs w:val="17"/>
          <w:b w:val="1"/>
          <w:bCs w:val="1"/>
          <w:color w:val="auto"/>
        </w:rPr>
        <w:t xml:space="preserve"> </w:t>
      </w:r>
      <w:r>
        <w:rPr>
          <w:rFonts w:ascii="Arial" w:cs="Arial" w:eastAsia="Arial" w:hAnsi="Arial"/>
          <w:sz w:val="17"/>
          <w:szCs w:val="17"/>
          <w:color w:val="auto"/>
        </w:rPr>
        <w:t xml:space="preserve">entitled to Delivery (at the Custodian’s designated office) of the Deposited Securities at the time represented by the ADSs evidenced hereby upon satisfaction of each of the following conditions: (i) the Holder (or a duly-authorized attorney of the Holder) has duly Delivered ADSs to the Depositary at its Principal Office the ADSs evidenced hereby (and if applicable, this ADR evidencing such ADSs) for the purpose of withdrawal of the Deposited Securities represented thereby, (ii) if applicable and so required by the Depositary, this ADR Delivered to the Depositary for such purpose has been properly endorsed in blank or is accompanied by proper instruments of transfer in blank (including signature guarantees in accordance with standard securities industry practice), (iii) if so required by the Depositary, the Holder of the ADSs has executed and delivered to the Depositary a written order directing the Depositary to cause the Deposited Securities being withdrawn to be Delivered to or upon the written order of the person(s) designated in such order, and (iv) all applicable fees and charges of, and expenses incurred by, the Depositary and all applicable taxes and governmental charges (as are set forth in Section 5.9 of, and </w:t>
      </w:r>
      <w:r>
        <w:rPr>
          <w:rFonts w:ascii="Arial" w:cs="Arial" w:eastAsia="Arial" w:hAnsi="Arial"/>
          <w:sz w:val="17"/>
          <w:szCs w:val="17"/>
          <w:u w:val="single" w:color="auto"/>
          <w:color w:val="auto"/>
        </w:rPr>
        <w:t>Exhibit B</w:t>
      </w:r>
      <w:r>
        <w:rPr>
          <w:rFonts w:ascii="Arial" w:cs="Arial" w:eastAsia="Arial" w:hAnsi="Arial"/>
          <w:sz w:val="17"/>
          <w:szCs w:val="17"/>
          <w:color w:val="auto"/>
        </w:rPr>
        <w:t xml:space="preserve"> to, the Deposit Agreement) have been paid, </w:t>
      </w:r>
      <w:r>
        <w:rPr>
          <w:rFonts w:ascii="Arial" w:cs="Arial" w:eastAsia="Arial" w:hAnsi="Arial"/>
          <w:sz w:val="17"/>
          <w:szCs w:val="17"/>
          <w:i w:val="1"/>
          <w:iCs w:val="1"/>
          <w:color w:val="auto"/>
        </w:rPr>
        <w:t>subject, however, in each case</w:t>
      </w:r>
      <w:r>
        <w:rPr>
          <w:rFonts w:ascii="Arial" w:cs="Arial" w:eastAsia="Arial" w:hAnsi="Arial"/>
          <w:sz w:val="17"/>
          <w:szCs w:val="17"/>
          <w:color w:val="auto"/>
        </w:rPr>
        <w:t>, to the terms and conditions of this ADR evidencing the surrendered ADSs, of the Deposit Agreement, of the Company’s Articles of Association and of any applicable laws and the rules of CREST, and to any provisions of or governing the Deposited Securities, in each case as in effect at the time thereof.</w:t>
      </w:r>
    </w:p>
    <w:p>
      <w:pPr>
        <w:spacing w:after="0" w:line="285" w:lineRule="exact"/>
        <w:rPr>
          <w:sz w:val="20"/>
          <w:szCs w:val="20"/>
          <w:color w:val="auto"/>
        </w:rPr>
      </w:pPr>
    </w:p>
    <w:p>
      <w:pPr>
        <w:jc w:val="center"/>
        <w:ind w:right="-39"/>
        <w:spacing w:after="0"/>
        <w:rPr>
          <w:sz w:val="20"/>
          <w:szCs w:val="20"/>
          <w:color w:val="auto"/>
        </w:rPr>
      </w:pPr>
      <w:r>
        <w:rPr>
          <w:rFonts w:ascii="Arial" w:cs="Arial" w:eastAsia="Arial" w:hAnsi="Arial"/>
          <w:sz w:val="22"/>
          <w:szCs w:val="22"/>
          <w:color w:val="auto"/>
        </w:rPr>
        <w:t>A-2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7620</wp:posOffset>
            </wp:positionV>
            <wp:extent cx="7246620" cy="17145"/>
            <wp:wrapNone/>
            <wp:docPr id="76" name="Picture 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6"/>
                    <pic:cNvPicPr>
                      <a:picLocks noChangeAspect="1" noChangeArrowheads="1"/>
                    </pic:cNvPicPr>
                  </pic:nvPicPr>
                  <pic:blipFill>
                    <a:blip r:embed="rId83">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380"/>
          </w:cols>
          <w:pgMar w:left="240" w:top="341" w:right="279" w:bottom="1440" w:gutter="0" w:footer="0" w:header="0"/>
        </w:sectPr>
      </w:pPr>
    </w:p>
    <w:bookmarkStart w:id="65" w:name="page66"/>
    <w:bookmarkEnd w:id="65"/>
    <w:p>
      <w:pPr>
        <w:ind w:firstLine="648"/>
        <w:spacing w:after="0" w:line="254" w:lineRule="auto"/>
        <w:rPr>
          <w:sz w:val="20"/>
          <w:szCs w:val="20"/>
          <w:color w:val="auto"/>
        </w:rPr>
      </w:pPr>
      <w:r>
        <w:rPr>
          <w:rFonts w:ascii="Arial" w:cs="Arial" w:eastAsia="Arial" w:hAnsi="Arial"/>
          <w:sz w:val="18"/>
          <w:szCs w:val="18"/>
          <w:color w:val="auto"/>
        </w:rPr>
        <w:t xml:space="preserve">Upon satisfaction of each of the conditions specified above, the Depositary (i) shall cancel the ADSs Delivered to it (and, if applicable, the ADR(s) evidencing the ADSs so Delivered), (ii) shall direct the Registrar to record the cancellation of the ADSs so Delivered on the books maintained for such purpose, and (iii) shall direct the Custodian to Deliver, or cause the Delivery of, in each case, without unreasonable delay, the Deposited Securities represented by the ADSs so canceled together with any certificate or other document of title for the Deposited Securities, or evidence of the electronic transfer thereof (if available), as the case may be, to or upon the written order of the person(s) designated in the order delivered to the Depositary for such purpose, </w:t>
      </w:r>
      <w:r>
        <w:rPr>
          <w:rFonts w:ascii="Arial" w:cs="Arial" w:eastAsia="Arial" w:hAnsi="Arial"/>
          <w:sz w:val="18"/>
          <w:szCs w:val="18"/>
          <w:i w:val="1"/>
          <w:iCs w:val="1"/>
          <w:color w:val="auto"/>
        </w:rPr>
        <w:t xml:space="preserve">subject however, in each case, </w:t>
      </w:r>
      <w:r>
        <w:rPr>
          <w:rFonts w:ascii="Arial" w:cs="Arial" w:eastAsia="Arial" w:hAnsi="Arial"/>
          <w:sz w:val="18"/>
          <w:szCs w:val="18"/>
          <w:color w:val="auto"/>
        </w:rPr>
        <w:t>to the terms and conditions of the Deposit Agreement, of this ADR evidencing the ADSs so canceled, of the Articles of</w:t>
      </w:r>
      <w:r>
        <w:rPr>
          <w:rFonts w:ascii="Arial" w:cs="Arial" w:eastAsia="Arial" w:hAnsi="Arial"/>
          <w:sz w:val="18"/>
          <w:szCs w:val="18"/>
          <w:i w:val="1"/>
          <w:iCs w:val="1"/>
          <w:color w:val="auto"/>
        </w:rPr>
        <w:t xml:space="preserve"> </w:t>
      </w:r>
      <w:r>
        <w:rPr>
          <w:rFonts w:ascii="Arial" w:cs="Arial" w:eastAsia="Arial" w:hAnsi="Arial"/>
          <w:sz w:val="18"/>
          <w:szCs w:val="18"/>
          <w:color w:val="auto"/>
        </w:rPr>
        <w:t>Association of the Company, of any applicable laws and of the rules of CREST, and to the terms and conditions of or governing the Deposited Securities, in each case as in effect at the time thereof.</w:t>
      </w:r>
    </w:p>
    <w:p>
      <w:pPr>
        <w:spacing w:after="0" w:line="192" w:lineRule="exact"/>
        <w:rPr>
          <w:sz w:val="20"/>
          <w:szCs w:val="20"/>
          <w:color w:val="auto"/>
        </w:rPr>
      </w:pPr>
    </w:p>
    <w:p>
      <w:pPr>
        <w:ind w:right="20" w:firstLine="648"/>
        <w:spacing w:after="0" w:line="297" w:lineRule="auto"/>
        <w:rPr>
          <w:sz w:val="20"/>
          <w:szCs w:val="20"/>
          <w:color w:val="auto"/>
        </w:rPr>
      </w:pPr>
      <w:r>
        <w:rPr>
          <w:rFonts w:ascii="Arial" w:cs="Arial" w:eastAsia="Arial" w:hAnsi="Arial"/>
          <w:sz w:val="16"/>
          <w:szCs w:val="16"/>
          <w:color w:val="auto"/>
        </w:rPr>
        <w:t>The Depositary shall not accept for surrender ADSs representing less than one (1) Share. In the case of Delivery to it of ADSs representing a number other than a whole number of Shares, the Depositary shall cause ownership of the appropriate whole number of Shares to be Delivered in accordance with the terms hereof, and shall, at the discretion of the Depositary, either (i) return to the person surrendering such ADSs the number of ADSs representing any remaining fractional Share, or (ii) sell or cause to be sold the fractional Share represented by the ADSs so surrendered and remit the proceeds of such sale (net of (a) applicable fees and charges of, and expenses incurred by, the Depositary and (b) applicable taxes withheld) to the person surrendering the ADSs.</w:t>
      </w:r>
    </w:p>
    <w:p>
      <w:pPr>
        <w:spacing w:after="0" w:line="158" w:lineRule="exact"/>
        <w:rPr>
          <w:sz w:val="20"/>
          <w:szCs w:val="20"/>
          <w:color w:val="auto"/>
        </w:rPr>
      </w:pPr>
    </w:p>
    <w:p>
      <w:pPr>
        <w:ind w:right="160" w:firstLine="648"/>
        <w:spacing w:after="0" w:line="272" w:lineRule="auto"/>
        <w:rPr>
          <w:sz w:val="20"/>
          <w:szCs w:val="20"/>
          <w:color w:val="auto"/>
        </w:rPr>
      </w:pPr>
      <w:r>
        <w:rPr>
          <w:rFonts w:ascii="Arial" w:cs="Arial" w:eastAsia="Arial" w:hAnsi="Arial"/>
          <w:sz w:val="17"/>
          <w:szCs w:val="17"/>
          <w:color w:val="auto"/>
        </w:rPr>
        <w:t>Notwithstanding anything else contained in this ADR or the Deposit Agreement, the Depositary may make delivery at the Principal Office of the Depositary of Deposited Property consisting of (i) any cash dividends or cash distributions, or (ii) any proceeds from the sale of any non-cash distributions, which are at the time held by the Depositary in respect of the Deposited Securities represented by the ADSs surrendered for cancellation and withdrawal. At the request, risk and expense of any Holder so surrendering ADSs represented by this ADR, and for the account of such Holder, the Depositary shall direct the Custodian to forward (to the extent permitted by law) any Deposited Property (other than Deposited Securities) held by the Custodian in respect of such ADSs to the Depositary for delivery at the Principal Office of the Depositary. Such direction shall be given by letter or, at the request, risk and expense of such Holder, by cable, telex or facsimile transmission.</w:t>
      </w:r>
    </w:p>
    <w:p>
      <w:pPr>
        <w:spacing w:after="0" w:line="174" w:lineRule="exact"/>
        <w:rPr>
          <w:sz w:val="20"/>
          <w:szCs w:val="20"/>
          <w:color w:val="auto"/>
        </w:rPr>
      </w:pPr>
    </w:p>
    <w:p>
      <w:pPr>
        <w:ind w:right="120" w:firstLine="656"/>
        <w:spacing w:after="0" w:line="289" w:lineRule="auto"/>
        <w:tabs>
          <w:tab w:leader="none" w:pos="1263" w:val="left"/>
        </w:tabs>
        <w:numPr>
          <w:ilvl w:val="0"/>
          <w:numId w:val="31"/>
        </w:numPr>
        <w:rPr>
          <w:rFonts w:ascii="Arial" w:cs="Arial" w:eastAsia="Arial" w:hAnsi="Arial"/>
          <w:sz w:val="16"/>
          <w:szCs w:val="16"/>
          <w:b w:val="1"/>
          <w:bCs w:val="1"/>
          <w:color w:val="auto"/>
        </w:rPr>
      </w:pPr>
      <w:r>
        <w:rPr>
          <w:rFonts w:ascii="Arial" w:cs="Arial" w:eastAsia="Arial" w:hAnsi="Arial"/>
          <w:sz w:val="16"/>
          <w:szCs w:val="16"/>
          <w:b w:val="1"/>
          <w:bCs w:val="1"/>
          <w:u w:val="single" w:color="auto"/>
          <w:color w:val="auto"/>
        </w:rPr>
        <w:t>Transfer, Combination and Split-up of ADRs</w:t>
      </w:r>
      <w:r>
        <w:rPr>
          <w:rFonts w:ascii="Arial" w:cs="Arial" w:eastAsia="Arial" w:hAnsi="Arial"/>
          <w:sz w:val="16"/>
          <w:szCs w:val="16"/>
          <w:b w:val="1"/>
          <w:bCs w:val="1"/>
          <w:color w:val="auto"/>
        </w:rPr>
        <w:t xml:space="preserve">. </w:t>
      </w:r>
      <w:r>
        <w:rPr>
          <w:rFonts w:ascii="Arial" w:cs="Arial" w:eastAsia="Arial" w:hAnsi="Arial"/>
          <w:sz w:val="16"/>
          <w:szCs w:val="16"/>
          <w:color w:val="auto"/>
        </w:rPr>
        <w:t>The Registrar shall register the transfer of this ADR (and of the ADSs represented hereby)</w:t>
      </w:r>
      <w:r>
        <w:rPr>
          <w:rFonts w:ascii="Arial" w:cs="Arial" w:eastAsia="Arial" w:hAnsi="Arial"/>
          <w:sz w:val="16"/>
          <w:szCs w:val="16"/>
          <w:b w:val="1"/>
          <w:bCs w:val="1"/>
          <w:color w:val="auto"/>
        </w:rPr>
        <w:t xml:space="preserve"> </w:t>
      </w:r>
      <w:r>
        <w:rPr>
          <w:rFonts w:ascii="Arial" w:cs="Arial" w:eastAsia="Arial" w:hAnsi="Arial"/>
          <w:sz w:val="16"/>
          <w:szCs w:val="16"/>
          <w:color w:val="auto"/>
        </w:rPr>
        <w:t xml:space="preserve">on the books maintained for such purpose and the Depositary shall (x) cancel this ADR and execute new ADRs evidencing the same aggregate number of ADSs as those evidenced by this ADR when canceled by the Depositary, (y) cause the Registrar to countersign such new ADRs and (z) Deliver such new ADRs to or upon the order of the person entitled thereto, if each of the following conditions has been satisfied: (i) this ADR has been duly Delivered by the Holder (or by a duly authorized attorney of the Holder) to the Depositary at its Principal Office for the purpose of effecting a transfer thereof, (ii) this surrendered ADR has been properly endorsed or is accompanied by proper instruments of transfer (including signature guarantees in accordance with standard securities industry practice), (iii) this surrendered ADR has been duly stamped (if required by the laws of the State of New York or of the United States), and (iv) all applicable fees and charges of, and expenses incurred by, the Depositary and all applicable taxes and governmental charges (as are set forth in Section 5.9 of, and </w:t>
      </w:r>
      <w:r>
        <w:rPr>
          <w:rFonts w:ascii="Arial" w:cs="Arial" w:eastAsia="Arial" w:hAnsi="Arial"/>
          <w:sz w:val="16"/>
          <w:szCs w:val="16"/>
          <w:u w:val="single" w:color="auto"/>
          <w:color w:val="auto"/>
        </w:rPr>
        <w:t>Exhibit B</w:t>
      </w:r>
      <w:r>
        <w:rPr>
          <w:rFonts w:ascii="Arial" w:cs="Arial" w:eastAsia="Arial" w:hAnsi="Arial"/>
          <w:sz w:val="16"/>
          <w:szCs w:val="16"/>
          <w:color w:val="auto"/>
        </w:rPr>
        <w:t xml:space="preserve"> to, the Deposit Agreement) have been paid, </w:t>
      </w:r>
      <w:r>
        <w:rPr>
          <w:rFonts w:ascii="Arial" w:cs="Arial" w:eastAsia="Arial" w:hAnsi="Arial"/>
          <w:sz w:val="16"/>
          <w:szCs w:val="16"/>
          <w:i w:val="1"/>
          <w:iCs w:val="1"/>
          <w:color w:val="auto"/>
        </w:rPr>
        <w:t>subject, however, in each case,</w:t>
      </w:r>
      <w:r>
        <w:rPr>
          <w:rFonts w:ascii="Arial" w:cs="Arial" w:eastAsia="Arial" w:hAnsi="Arial"/>
          <w:sz w:val="16"/>
          <w:szCs w:val="16"/>
          <w:color w:val="auto"/>
        </w:rPr>
        <w:t xml:space="preserve"> to the terms and conditions of this ADR, of the Deposit Agreement and of applicable law, in each case as in effect at the time thereof.</w:t>
      </w:r>
    </w:p>
    <w:p>
      <w:pPr>
        <w:spacing w:after="0" w:line="266"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A-3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7620</wp:posOffset>
            </wp:positionV>
            <wp:extent cx="7246620" cy="17145"/>
            <wp:wrapNone/>
            <wp:docPr id="77" name="Picture 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7"/>
                    <pic:cNvPicPr>
                      <a:picLocks noChangeAspect="1" noChangeArrowheads="1"/>
                    </pic:cNvPicPr>
                  </pic:nvPicPr>
                  <pic:blipFill>
                    <a:blip r:embed="rId84">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341" w:right="239" w:bottom="1440" w:gutter="0" w:footer="0" w:header="0"/>
        </w:sectPr>
      </w:pPr>
    </w:p>
    <w:bookmarkStart w:id="66" w:name="page67"/>
    <w:bookmarkEnd w:id="66"/>
    <w:p>
      <w:pPr>
        <w:ind w:right="40" w:firstLine="648"/>
        <w:spacing w:after="0" w:line="271" w:lineRule="auto"/>
        <w:rPr>
          <w:sz w:val="20"/>
          <w:szCs w:val="20"/>
          <w:color w:val="auto"/>
        </w:rPr>
      </w:pPr>
      <w:r>
        <w:rPr>
          <w:rFonts w:ascii="Arial" w:cs="Arial" w:eastAsia="Arial" w:hAnsi="Arial"/>
          <w:sz w:val="17"/>
          <w:szCs w:val="17"/>
          <w:color w:val="auto"/>
        </w:rPr>
        <w:t xml:space="preserve">The Registrar shall register the split-up or combination of this ADR (and of the ADSs represented hereby) on the books maintained for such purpose and the Depositary shall (x) cancel this ADR and execute new ADRs for the number of ADSs requested, but in the aggregate not exceeding the number of ADSs evidenced by this ADR canceled by the Depositary, (y) cause the Registrar to countersign such new ADRs and (z) Deliver such new ADRs to or upon the order of the Holder thereof, if each of the following conditions has been satisfied: (i) this ADR has been duly Delivered by the Holder (or by a duly authorized attorney of the Holder) to the Depositary at its Principal Office for the purpose of effecting a split-up or combination thereof, and (ii) all applicable fees and charges of, and expenses incurred by, the Depositary and all applicable taxes and governmental charges (as are set forth in Section 5.9 of, and </w:t>
      </w:r>
      <w:r>
        <w:rPr>
          <w:rFonts w:ascii="Arial" w:cs="Arial" w:eastAsia="Arial" w:hAnsi="Arial"/>
          <w:sz w:val="17"/>
          <w:szCs w:val="17"/>
          <w:u w:val="single" w:color="auto"/>
          <w:color w:val="auto"/>
        </w:rPr>
        <w:t>Exhibit B</w:t>
      </w:r>
      <w:r>
        <w:rPr>
          <w:rFonts w:ascii="Arial" w:cs="Arial" w:eastAsia="Arial" w:hAnsi="Arial"/>
          <w:sz w:val="17"/>
          <w:szCs w:val="17"/>
          <w:color w:val="auto"/>
        </w:rPr>
        <w:t xml:space="preserve"> to, the Deposit Agreement) have been paid, </w:t>
      </w:r>
      <w:r>
        <w:rPr>
          <w:rFonts w:ascii="Arial" w:cs="Arial" w:eastAsia="Arial" w:hAnsi="Arial"/>
          <w:sz w:val="17"/>
          <w:szCs w:val="17"/>
          <w:i w:val="1"/>
          <w:iCs w:val="1"/>
          <w:color w:val="auto"/>
        </w:rPr>
        <w:t>subject, however, in each case</w:t>
      </w:r>
      <w:r>
        <w:rPr>
          <w:rFonts w:ascii="Arial" w:cs="Arial" w:eastAsia="Arial" w:hAnsi="Arial"/>
          <w:sz w:val="17"/>
          <w:szCs w:val="17"/>
          <w:color w:val="auto"/>
        </w:rPr>
        <w:t>, to the terms and conditions of this ADR, of the Deposit Agreement and of applicable law, in each case as in effect at the time thereof.</w:t>
      </w:r>
    </w:p>
    <w:p>
      <w:pPr>
        <w:spacing w:after="0" w:line="175" w:lineRule="exact"/>
        <w:rPr>
          <w:sz w:val="20"/>
          <w:szCs w:val="20"/>
          <w:color w:val="auto"/>
        </w:rPr>
      </w:pPr>
    </w:p>
    <w:p>
      <w:pPr>
        <w:ind w:right="40" w:firstLine="656"/>
        <w:spacing w:after="0" w:line="271" w:lineRule="auto"/>
        <w:tabs>
          <w:tab w:leader="none" w:pos="1263" w:val="left"/>
        </w:tabs>
        <w:numPr>
          <w:ilvl w:val="0"/>
          <w:numId w:val="32"/>
        </w:numPr>
        <w:rPr>
          <w:rFonts w:ascii="Arial" w:cs="Arial" w:eastAsia="Arial" w:hAnsi="Arial"/>
          <w:sz w:val="17"/>
          <w:szCs w:val="17"/>
          <w:b w:val="1"/>
          <w:bCs w:val="1"/>
          <w:color w:val="auto"/>
        </w:rPr>
      </w:pPr>
      <w:r>
        <w:rPr>
          <w:rFonts w:ascii="Arial" w:cs="Arial" w:eastAsia="Arial" w:hAnsi="Arial"/>
          <w:sz w:val="17"/>
          <w:szCs w:val="17"/>
          <w:b w:val="1"/>
          <w:bCs w:val="1"/>
          <w:u w:val="single" w:color="auto"/>
          <w:color w:val="auto"/>
        </w:rPr>
        <w:t>Pre-Conditions to Registration, Transfer, Etc.</w:t>
      </w:r>
      <w:r>
        <w:rPr>
          <w:rFonts w:ascii="Arial" w:cs="Arial" w:eastAsia="Arial" w:hAnsi="Arial"/>
          <w:sz w:val="17"/>
          <w:szCs w:val="17"/>
          <w:b w:val="1"/>
          <w:bCs w:val="1"/>
          <w:color w:val="auto"/>
        </w:rPr>
        <w:t xml:space="preserve"> </w:t>
      </w:r>
      <w:r>
        <w:rPr>
          <w:rFonts w:ascii="Arial" w:cs="Arial" w:eastAsia="Arial" w:hAnsi="Arial"/>
          <w:sz w:val="17"/>
          <w:szCs w:val="17"/>
          <w:color w:val="auto"/>
        </w:rPr>
        <w:t>As a condition precedent to the execution and Delivery, the registration of issuance,</w:t>
      </w:r>
      <w:r>
        <w:rPr>
          <w:rFonts w:ascii="Arial" w:cs="Arial" w:eastAsia="Arial" w:hAnsi="Arial"/>
          <w:sz w:val="17"/>
          <w:szCs w:val="17"/>
          <w:b w:val="1"/>
          <w:bCs w:val="1"/>
          <w:color w:val="auto"/>
        </w:rPr>
        <w:t xml:space="preserve"> </w:t>
      </w:r>
      <w:r>
        <w:rPr>
          <w:rFonts w:ascii="Arial" w:cs="Arial" w:eastAsia="Arial" w:hAnsi="Arial"/>
          <w:sz w:val="17"/>
          <w:szCs w:val="17"/>
          <w:color w:val="auto"/>
        </w:rPr>
        <w:t xml:space="preserve">transfer, split-up, combination or surrender, of any ADS, the delivery of any distribution thereon, or the withdrawal of any Deposited Property, the Depositary or the Custodian may require (i) payment from the depositor of Shares or presenter of ADSs or of this ADR of a sum sufficient to reimburse it for any tax or other governmental charge and any stock transfer or registration fee with respect thereto (including any such tax or charge and fee with respect to Shares being deposited or withdrawn) and payment of any applicable fees and charges of the Depositary as provided in Section 5.9 and </w:t>
      </w:r>
      <w:r>
        <w:rPr>
          <w:rFonts w:ascii="Arial" w:cs="Arial" w:eastAsia="Arial" w:hAnsi="Arial"/>
          <w:sz w:val="17"/>
          <w:szCs w:val="17"/>
          <w:u w:val="single" w:color="auto"/>
          <w:color w:val="auto"/>
        </w:rPr>
        <w:t>Exhibit B</w:t>
      </w:r>
      <w:r>
        <w:rPr>
          <w:rFonts w:ascii="Arial" w:cs="Arial" w:eastAsia="Arial" w:hAnsi="Arial"/>
          <w:sz w:val="17"/>
          <w:szCs w:val="17"/>
          <w:color w:val="auto"/>
        </w:rPr>
        <w:t xml:space="preserve"> to the Deposit Agreement and in this ADR, (ii) the production of proof satisfactory to it as to the identity and genuineness of any signature or any other matter contemplated by Section 3.1 of the Deposit Agreement, and (iii) compliance with (A) any laws or governmental regulations relating to the execution and Delivery of this ADR or ADSs or to the withdrawal of Deposited Securities and (B) such reasonable regulations as the Depositary and the Company may establish consistent with the provisions of this ADR, if applicable, the Deposit Agreement and applicable law.</w:t>
      </w:r>
    </w:p>
    <w:p>
      <w:pPr>
        <w:spacing w:after="0" w:line="178" w:lineRule="exact"/>
        <w:rPr>
          <w:sz w:val="20"/>
          <w:szCs w:val="20"/>
          <w:color w:val="auto"/>
        </w:rPr>
      </w:pPr>
    </w:p>
    <w:p>
      <w:pPr>
        <w:ind w:firstLine="648"/>
        <w:spacing w:after="0" w:line="268" w:lineRule="auto"/>
        <w:rPr>
          <w:sz w:val="20"/>
          <w:szCs w:val="20"/>
          <w:color w:val="auto"/>
        </w:rPr>
      </w:pPr>
      <w:r>
        <w:rPr>
          <w:rFonts w:ascii="Arial" w:cs="Arial" w:eastAsia="Arial" w:hAnsi="Arial"/>
          <w:sz w:val="17"/>
          <w:szCs w:val="17"/>
          <w:color w:val="auto"/>
        </w:rPr>
        <w:t>The issuance of ADSs against deposits of Shares generally or against deposits of particular Shares may be suspended, or the deposit of particular Shares may be refused, or the registration of transfer of ADSs in particular instances may be refused, or the registration of transfers of ADSs generally may be suspended, during any period when the transfer books of the Company, the Depositary, a Registrar or the Share Registrar are closed or if any such action is deemed necessary or advisable by the Depositary or the Company, in good faith, at any time or from time to time because of any requirement of law or regulation, any government or governmental body or commission or any securities exchange on which the ADSs or Shares are listed, or under any provision of the Deposit Agreement or this ADR, if applicable, or under any provision of, or governing, the Deposited Securities, or because of a meeting of shareholders of the Company or for any other reason, subject, in all cases, to paragraph (25) of this ADR and Section 7.8 of the Deposit Agreement. Notwithstanding any provision of the Deposit Agreement or this ADR to the contrary, Holders are entitled to surrender outstanding ADSs to withdraw the Deposited Securities associated herewith at any time subject only to (i) temporary delays caused by closing the transfer books of the Depositary or the Company or the deposit of Shares in connection with voting at a shareholders’ meeting or the payment of dividends, (ii) the payment of fees, taxes and similar charges, (iii) compliance with any U.S. or foreign laws or governmental regulations relating to the ADSs or to the withdrawal of the Deposited Securities, and (iv) other circumstances specifically contemplated by Instruction I.A.(l) of the General Instructions to Form F-6 (as such General Instructions may be amended from time to time).</w:t>
      </w:r>
    </w:p>
    <w:p>
      <w:pPr>
        <w:spacing w:after="0" w:line="288" w:lineRule="exact"/>
        <w:rPr>
          <w:sz w:val="20"/>
          <w:szCs w:val="20"/>
          <w:color w:val="auto"/>
        </w:rPr>
      </w:pPr>
    </w:p>
    <w:p>
      <w:pPr>
        <w:jc w:val="center"/>
        <w:ind w:right="-19"/>
        <w:spacing w:after="0"/>
        <w:rPr>
          <w:sz w:val="20"/>
          <w:szCs w:val="20"/>
          <w:color w:val="auto"/>
        </w:rPr>
      </w:pPr>
      <w:r>
        <w:rPr>
          <w:rFonts w:ascii="Arial" w:cs="Arial" w:eastAsia="Arial" w:hAnsi="Arial"/>
          <w:sz w:val="22"/>
          <w:szCs w:val="22"/>
          <w:color w:val="auto"/>
        </w:rPr>
        <w:t>A-4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7620</wp:posOffset>
            </wp:positionV>
            <wp:extent cx="7246620" cy="17145"/>
            <wp:wrapNone/>
            <wp:docPr id="78" name="Picture 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8"/>
                    <pic:cNvPicPr>
                      <a:picLocks noChangeAspect="1" noChangeArrowheads="1"/>
                    </pic:cNvPicPr>
                  </pic:nvPicPr>
                  <pic:blipFill>
                    <a:blip r:embed="rId85">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341" w:right="239" w:bottom="1440" w:gutter="0" w:footer="0" w:header="0"/>
        </w:sectPr>
      </w:pPr>
    </w:p>
    <w:bookmarkStart w:id="67" w:name="page68"/>
    <w:bookmarkEnd w:id="67"/>
    <w:p>
      <w:pPr>
        <w:ind w:left="-20" w:firstLine="656"/>
        <w:spacing w:after="0" w:line="291" w:lineRule="auto"/>
        <w:tabs>
          <w:tab w:leader="none" w:pos="1243" w:val="left"/>
        </w:tabs>
        <w:numPr>
          <w:ilvl w:val="0"/>
          <w:numId w:val="33"/>
        </w:numPr>
        <w:rPr>
          <w:rFonts w:ascii="Arial" w:cs="Arial" w:eastAsia="Arial" w:hAnsi="Arial"/>
          <w:sz w:val="16"/>
          <w:szCs w:val="16"/>
          <w:b w:val="1"/>
          <w:bCs w:val="1"/>
          <w:color w:val="auto"/>
        </w:rPr>
      </w:pPr>
      <w:r>
        <w:rPr>
          <w:rFonts w:ascii="Arial" w:cs="Arial" w:eastAsia="Arial" w:hAnsi="Arial"/>
          <w:sz w:val="16"/>
          <w:szCs w:val="16"/>
          <w:b w:val="1"/>
          <w:bCs w:val="1"/>
          <w:u w:val="single" w:color="auto"/>
          <w:color w:val="auto"/>
        </w:rPr>
        <w:t>Compliance with Information Requests</w:t>
      </w:r>
      <w:r>
        <w:rPr>
          <w:rFonts w:ascii="Arial" w:cs="Arial" w:eastAsia="Arial" w:hAnsi="Arial"/>
          <w:sz w:val="16"/>
          <w:szCs w:val="16"/>
          <w:b w:val="1"/>
          <w:bCs w:val="1"/>
          <w:color w:val="auto"/>
        </w:rPr>
        <w:t xml:space="preserve">. </w:t>
      </w:r>
      <w:r>
        <w:rPr>
          <w:rFonts w:ascii="Arial" w:cs="Arial" w:eastAsia="Arial" w:hAnsi="Arial"/>
          <w:sz w:val="16"/>
          <w:szCs w:val="16"/>
          <w:color w:val="auto"/>
        </w:rPr>
        <w:t>Notwithstanding any other provision of the Deposit Agreement or this ADR, each Holder and</w:t>
      </w:r>
      <w:r>
        <w:rPr>
          <w:rFonts w:ascii="Arial" w:cs="Arial" w:eastAsia="Arial" w:hAnsi="Arial"/>
          <w:sz w:val="16"/>
          <w:szCs w:val="16"/>
          <w:b w:val="1"/>
          <w:bCs w:val="1"/>
          <w:color w:val="auto"/>
        </w:rPr>
        <w:t xml:space="preserve"> </w:t>
      </w:r>
      <w:r>
        <w:rPr>
          <w:rFonts w:ascii="Arial" w:cs="Arial" w:eastAsia="Arial" w:hAnsi="Arial"/>
          <w:sz w:val="16"/>
          <w:szCs w:val="16"/>
          <w:color w:val="auto"/>
        </w:rPr>
        <w:t xml:space="preserve">Beneficial Owner of the ADSs represented hereby agrees to comply with requests from the Company pursuant to applicable law, the rules and requirements of The NASDAQ Global Market and any other stock exchange on which the Shares or ADSs are, or will be, registered, traded or listed or the Articles of Association of the Company, which are made to provide information, </w:t>
      </w:r>
      <w:r>
        <w:rPr>
          <w:rFonts w:ascii="Arial" w:cs="Arial" w:eastAsia="Arial" w:hAnsi="Arial"/>
          <w:sz w:val="16"/>
          <w:szCs w:val="16"/>
          <w:i w:val="1"/>
          <w:iCs w:val="1"/>
          <w:color w:val="auto"/>
        </w:rPr>
        <w:t>inter alia</w:t>
      </w:r>
      <w:r>
        <w:rPr>
          <w:rFonts w:ascii="Arial" w:cs="Arial" w:eastAsia="Arial" w:hAnsi="Arial"/>
          <w:sz w:val="16"/>
          <w:szCs w:val="16"/>
          <w:color w:val="auto"/>
        </w:rPr>
        <w:t>, as to the capacity in which such Holder or Beneficial Owner owns ADSs (and the Shares represented by such ADSs, as the case may be) and regarding the identity of any other person(s) interested in such ADSs (and the Shares represented by such ADSs, as the case may be) and the nature of such interest and various other matters, whether or not they are Holders and/or Beneficial Owners at the time of such request. The Depositary agrees to use its reasonable efforts to forward, upon the request of the Company and at the Company’s expense, any such request from the Company to the Holders and to forward to the Company any such responses to such requests received by the Depositary.</w:t>
      </w:r>
    </w:p>
    <w:p>
      <w:pPr>
        <w:spacing w:after="0" w:line="160" w:lineRule="exact"/>
        <w:rPr>
          <w:rFonts w:ascii="Arial" w:cs="Arial" w:eastAsia="Arial" w:hAnsi="Arial"/>
          <w:sz w:val="16"/>
          <w:szCs w:val="16"/>
          <w:b w:val="1"/>
          <w:bCs w:val="1"/>
          <w:color w:val="auto"/>
        </w:rPr>
      </w:pPr>
    </w:p>
    <w:p>
      <w:pPr>
        <w:ind w:left="-20" w:right="120" w:firstLine="656"/>
        <w:spacing w:after="0" w:line="289" w:lineRule="auto"/>
        <w:tabs>
          <w:tab w:leader="none" w:pos="1243" w:val="left"/>
        </w:tabs>
        <w:numPr>
          <w:ilvl w:val="0"/>
          <w:numId w:val="33"/>
        </w:numPr>
        <w:rPr>
          <w:rFonts w:ascii="Arial" w:cs="Arial" w:eastAsia="Arial" w:hAnsi="Arial"/>
          <w:sz w:val="16"/>
          <w:szCs w:val="16"/>
          <w:b w:val="1"/>
          <w:bCs w:val="1"/>
          <w:color w:val="auto"/>
        </w:rPr>
      </w:pPr>
      <w:r>
        <w:rPr>
          <w:rFonts w:ascii="Arial" w:cs="Arial" w:eastAsia="Arial" w:hAnsi="Arial"/>
          <w:sz w:val="16"/>
          <w:szCs w:val="16"/>
          <w:b w:val="1"/>
          <w:bCs w:val="1"/>
          <w:u w:val="single" w:color="auto"/>
          <w:color w:val="auto"/>
        </w:rPr>
        <w:t>Ownership Restrictions</w:t>
      </w:r>
      <w:r>
        <w:rPr>
          <w:rFonts w:ascii="Arial" w:cs="Arial" w:eastAsia="Arial" w:hAnsi="Arial"/>
          <w:sz w:val="16"/>
          <w:szCs w:val="16"/>
          <w:b w:val="1"/>
          <w:bCs w:val="1"/>
          <w:color w:val="auto"/>
        </w:rPr>
        <w:t xml:space="preserve">. </w:t>
      </w:r>
      <w:r>
        <w:rPr>
          <w:rFonts w:ascii="Arial" w:cs="Arial" w:eastAsia="Arial" w:hAnsi="Arial"/>
          <w:sz w:val="16"/>
          <w:szCs w:val="16"/>
          <w:color w:val="auto"/>
        </w:rPr>
        <w:t>Notwithstanding any other provision contained in this ADR or of the Deposit Agreement to the contrary, the</w:t>
      </w:r>
      <w:r>
        <w:rPr>
          <w:rFonts w:ascii="Arial" w:cs="Arial" w:eastAsia="Arial" w:hAnsi="Arial"/>
          <w:sz w:val="16"/>
          <w:szCs w:val="16"/>
          <w:b w:val="1"/>
          <w:bCs w:val="1"/>
          <w:color w:val="auto"/>
        </w:rPr>
        <w:t xml:space="preserve"> </w:t>
      </w:r>
      <w:r>
        <w:rPr>
          <w:rFonts w:ascii="Arial" w:cs="Arial" w:eastAsia="Arial" w:hAnsi="Arial"/>
          <w:sz w:val="16"/>
          <w:szCs w:val="16"/>
          <w:color w:val="auto"/>
        </w:rPr>
        <w:t>Company may restrict transfers of the Shares where such transfer might result in ownership of Shares exceeding limits imposed by applicable law or the Articles of Association of the Company. The Company may also restrict, in such manner as it deems appropriate, transfers of the ADSs where such transfer may result in the total number of Shares represented by the ADSs owned by a single Holder or Beneficial Owner to exceed any such limits. The Company may, in its sole discretion but subject to applicable law, instruct the Depositary to take action with respect to the ownership interest of any Holder or Beneficial Owner in excess of the limits set forth in the preceding sentence, including, but not limited to, the imposition of restrictions on the transfer of ADSs, the removal or limitation of voting rights or mandatory sale or disposition on behalf of a Holder or Beneficial Owner of the Shares represented by the ADSs held by such Holder or Beneficial Owner in excess of such limitations, if and to the extent such disposition is permitted by applicable law and the Articles of Association of the Company. Nothing herein or in the Deposit Agreement shall be interpreted as obligating the Depositary or the Company to ensure compliance with the ownership restrictions described herein or in Section 3.5 of the Deposit Agreement.</w:t>
      </w:r>
    </w:p>
    <w:p>
      <w:pPr>
        <w:spacing w:after="0" w:line="266"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A-5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7620</wp:posOffset>
            </wp:positionV>
            <wp:extent cx="7246620" cy="17145"/>
            <wp:wrapNone/>
            <wp:docPr id="79" name="Picture 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9"/>
                    <pic:cNvPicPr>
                      <a:picLocks noChangeAspect="1" noChangeArrowheads="1"/>
                    </pic:cNvPicPr>
                  </pic:nvPicPr>
                  <pic:blipFill>
                    <a:blip r:embed="rId86">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00"/>
          </w:cols>
          <w:pgMar w:left="260" w:top="337" w:right="239" w:bottom="1440" w:gutter="0" w:footer="0" w:header="0"/>
        </w:sectPr>
      </w:pPr>
    </w:p>
    <w:bookmarkStart w:id="68" w:name="page69"/>
    <w:bookmarkEnd w:id="68"/>
    <w:p>
      <w:pPr>
        <w:ind w:right="80" w:firstLine="656"/>
        <w:spacing w:after="0" w:line="273" w:lineRule="auto"/>
        <w:tabs>
          <w:tab w:leader="none" w:pos="1263" w:val="left"/>
        </w:tabs>
        <w:numPr>
          <w:ilvl w:val="0"/>
          <w:numId w:val="34"/>
        </w:numPr>
        <w:rPr>
          <w:rFonts w:ascii="Arial" w:cs="Arial" w:eastAsia="Arial" w:hAnsi="Arial"/>
          <w:sz w:val="17"/>
          <w:szCs w:val="17"/>
          <w:b w:val="1"/>
          <w:bCs w:val="1"/>
          <w:color w:val="auto"/>
        </w:rPr>
      </w:pPr>
      <w:r>
        <w:rPr>
          <w:rFonts w:ascii="Arial" w:cs="Arial" w:eastAsia="Arial" w:hAnsi="Arial"/>
          <w:sz w:val="17"/>
          <w:szCs w:val="17"/>
          <w:b w:val="1"/>
          <w:bCs w:val="1"/>
          <w:u w:val="single" w:color="auto"/>
          <w:color w:val="auto"/>
        </w:rPr>
        <w:t>Reporting Obligations and Regulatory Approvals</w:t>
      </w:r>
      <w:r>
        <w:rPr>
          <w:rFonts w:ascii="Arial" w:cs="Arial" w:eastAsia="Arial" w:hAnsi="Arial"/>
          <w:sz w:val="17"/>
          <w:szCs w:val="17"/>
          <w:b w:val="1"/>
          <w:bCs w:val="1"/>
          <w:color w:val="auto"/>
        </w:rPr>
        <w:t xml:space="preserve">. </w:t>
      </w:r>
      <w:r>
        <w:rPr>
          <w:rFonts w:ascii="Arial" w:cs="Arial" w:eastAsia="Arial" w:hAnsi="Arial"/>
          <w:sz w:val="17"/>
          <w:szCs w:val="17"/>
          <w:color w:val="auto"/>
        </w:rPr>
        <w:t>Applicable laws and regulations may require holders and beneficial owners of Shares,</w:t>
      </w:r>
      <w:r>
        <w:rPr>
          <w:rFonts w:ascii="Arial" w:cs="Arial" w:eastAsia="Arial" w:hAnsi="Arial"/>
          <w:sz w:val="17"/>
          <w:szCs w:val="17"/>
          <w:b w:val="1"/>
          <w:bCs w:val="1"/>
          <w:color w:val="auto"/>
        </w:rPr>
        <w:t xml:space="preserve"> </w:t>
      </w:r>
      <w:r>
        <w:rPr>
          <w:rFonts w:ascii="Arial" w:cs="Arial" w:eastAsia="Arial" w:hAnsi="Arial"/>
          <w:sz w:val="17"/>
          <w:szCs w:val="17"/>
          <w:color w:val="auto"/>
        </w:rPr>
        <w:t>including the Holders and Beneficial Owners of ADSs, to satisfy reporting requirements and obtain regulatory approvals in certain circumstances. Holders and Beneficial Owners of ADSs are solely responsible for determining and complying with such reporting requirements and obtaining such approvals. Each Holder and each Beneficial Owner hereby agrees to make such determination, file such reports, and obtain such approvals to the extent and in the form required by applicable laws and regulations as in effect from time to time. Neither the Depositary, the Custodian, the Company or any of their respective agents or affiliates shall be required to take any actions whatsoever on behalf of Holders or Beneficial Owners to determine or satisfy such reporting requirements or obtain such regulatory approvals under applicable laws and regulations.</w:t>
      </w:r>
    </w:p>
    <w:p>
      <w:pPr>
        <w:spacing w:after="0" w:line="172" w:lineRule="exact"/>
        <w:rPr>
          <w:rFonts w:ascii="Arial" w:cs="Arial" w:eastAsia="Arial" w:hAnsi="Arial"/>
          <w:sz w:val="17"/>
          <w:szCs w:val="17"/>
          <w:b w:val="1"/>
          <w:bCs w:val="1"/>
          <w:color w:val="auto"/>
        </w:rPr>
      </w:pPr>
    </w:p>
    <w:p>
      <w:pPr>
        <w:ind w:right="40" w:firstLine="656"/>
        <w:spacing w:after="0" w:line="287" w:lineRule="auto"/>
        <w:tabs>
          <w:tab w:leader="none" w:pos="1263" w:val="left"/>
        </w:tabs>
        <w:numPr>
          <w:ilvl w:val="0"/>
          <w:numId w:val="34"/>
        </w:numPr>
        <w:rPr>
          <w:rFonts w:ascii="Arial" w:cs="Arial" w:eastAsia="Arial" w:hAnsi="Arial"/>
          <w:sz w:val="16"/>
          <w:szCs w:val="16"/>
          <w:b w:val="1"/>
          <w:bCs w:val="1"/>
          <w:color w:val="auto"/>
        </w:rPr>
      </w:pPr>
      <w:r>
        <w:rPr>
          <w:rFonts w:ascii="Arial" w:cs="Arial" w:eastAsia="Arial" w:hAnsi="Arial"/>
          <w:sz w:val="16"/>
          <w:szCs w:val="16"/>
          <w:b w:val="1"/>
          <w:bCs w:val="1"/>
          <w:u w:val="single" w:color="auto"/>
          <w:color w:val="auto"/>
        </w:rPr>
        <w:t>Liability for Taxes and Other Charges</w:t>
      </w:r>
      <w:r>
        <w:rPr>
          <w:rFonts w:ascii="Arial" w:cs="Arial" w:eastAsia="Arial" w:hAnsi="Arial"/>
          <w:sz w:val="16"/>
          <w:szCs w:val="16"/>
          <w:b w:val="1"/>
          <w:bCs w:val="1"/>
          <w:color w:val="auto"/>
        </w:rPr>
        <w:t xml:space="preserve">. </w:t>
      </w:r>
      <w:r>
        <w:rPr>
          <w:rFonts w:ascii="Arial" w:cs="Arial" w:eastAsia="Arial" w:hAnsi="Arial"/>
          <w:sz w:val="16"/>
          <w:szCs w:val="16"/>
          <w:color w:val="auto"/>
        </w:rPr>
        <w:t>Any tax or other governmental charge payable by the Custodian or by the Depositary with respect</w:t>
      </w:r>
      <w:r>
        <w:rPr>
          <w:rFonts w:ascii="Arial" w:cs="Arial" w:eastAsia="Arial" w:hAnsi="Arial"/>
          <w:sz w:val="16"/>
          <w:szCs w:val="16"/>
          <w:b w:val="1"/>
          <w:bCs w:val="1"/>
          <w:color w:val="auto"/>
        </w:rPr>
        <w:t xml:space="preserve"> </w:t>
      </w:r>
      <w:r>
        <w:rPr>
          <w:rFonts w:ascii="Arial" w:cs="Arial" w:eastAsia="Arial" w:hAnsi="Arial"/>
          <w:sz w:val="16"/>
          <w:szCs w:val="16"/>
          <w:color w:val="auto"/>
        </w:rPr>
        <w:t>to any Deposited Property, ADSs or this ADR shall be payable by the Holders and Beneficial Owners to the Depositary The Company, the Custodian and/or the Depositary may withhold or deduct from any distributions made in respect of Deposited Property held on behalf of such Holder and/or Beneficial Owner, and may sell for the account of a Holder and/or Beneficial Owner any or all of such Deposited Property and apply such distributions and sale proceeds in payment of, any taxes (including applicable interest and penalties) or charges that are or may be payable by Holders or Beneficial Owners in respect of the ADSs, Deposited Property and this ADR, the Holder and the Beneficial Owner hereof remaining liable for any deficiency. The Custodian may refuse the deposit of Shares and the Depositary may refuse to issue ADSs, to deliver ADRs, register the transfer of ADSs, register the split-up or combination of ADRs and (subject to paragraph (25) of this ADR and Section 7.8 of the Deposit Agreement) the withdrawal of Deposited Property until payment in full of such tax, charge, penalty or interest is received. Every Holder and Beneficial Owner agrees to indemnify the Depositary, the Company, the Custodian, and any of their agents, officers, employees and Affiliates for, and to hold each of them harmless from, any claims with respect to taxes (including applicable interest and penalties thereon) arising from any tax benefit obtained for such Holder and/or Beneficial Owner. Notwithstanding anything to the contrary contained in the Deposit Agreement or any ADR, the obligations of Holders and Beneficial Owners under Section 3.2 of the Deposit Agreement shall survive any transfer of ADSs, any cancellation of ADSs and withdrawal of Deposited Securities, and the termination of the Deposit Agreement.</w:t>
      </w:r>
    </w:p>
    <w:p>
      <w:pPr>
        <w:spacing w:after="0" w:line="164" w:lineRule="exact"/>
        <w:rPr>
          <w:rFonts w:ascii="Arial" w:cs="Arial" w:eastAsia="Arial" w:hAnsi="Arial"/>
          <w:sz w:val="16"/>
          <w:szCs w:val="16"/>
          <w:b w:val="1"/>
          <w:bCs w:val="1"/>
          <w:color w:val="auto"/>
        </w:rPr>
      </w:pPr>
    </w:p>
    <w:p>
      <w:pPr>
        <w:ind w:firstLine="656"/>
        <w:spacing w:after="0" w:line="270" w:lineRule="auto"/>
        <w:tabs>
          <w:tab w:leader="none" w:pos="1263" w:val="left"/>
        </w:tabs>
        <w:numPr>
          <w:ilvl w:val="0"/>
          <w:numId w:val="34"/>
        </w:numPr>
        <w:rPr>
          <w:rFonts w:ascii="Arial" w:cs="Arial" w:eastAsia="Arial" w:hAnsi="Arial"/>
          <w:sz w:val="17"/>
          <w:szCs w:val="17"/>
          <w:b w:val="1"/>
          <w:bCs w:val="1"/>
          <w:color w:val="auto"/>
        </w:rPr>
      </w:pPr>
      <w:r>
        <w:rPr>
          <w:rFonts w:ascii="Arial" w:cs="Arial" w:eastAsia="Arial" w:hAnsi="Arial"/>
          <w:sz w:val="17"/>
          <w:szCs w:val="17"/>
          <w:b w:val="1"/>
          <w:bCs w:val="1"/>
          <w:u w:val="single" w:color="auto"/>
          <w:color w:val="auto"/>
        </w:rPr>
        <w:t>Representations and Warranties on Deposit of Shares</w:t>
      </w:r>
      <w:r>
        <w:rPr>
          <w:rFonts w:ascii="Arial" w:cs="Arial" w:eastAsia="Arial" w:hAnsi="Arial"/>
          <w:sz w:val="17"/>
          <w:szCs w:val="17"/>
          <w:b w:val="1"/>
          <w:bCs w:val="1"/>
          <w:color w:val="auto"/>
        </w:rPr>
        <w:t xml:space="preserve">. </w:t>
      </w:r>
      <w:r>
        <w:rPr>
          <w:rFonts w:ascii="Arial" w:cs="Arial" w:eastAsia="Arial" w:hAnsi="Arial"/>
          <w:sz w:val="17"/>
          <w:szCs w:val="17"/>
          <w:color w:val="auto"/>
        </w:rPr>
        <w:t>Each person depositing Shares under the Deposit Agreement shall be deemed</w:t>
      </w:r>
      <w:r>
        <w:rPr>
          <w:rFonts w:ascii="Arial" w:cs="Arial" w:eastAsia="Arial" w:hAnsi="Arial"/>
          <w:sz w:val="17"/>
          <w:szCs w:val="17"/>
          <w:b w:val="1"/>
          <w:bCs w:val="1"/>
          <w:color w:val="auto"/>
        </w:rPr>
        <w:t xml:space="preserve"> </w:t>
      </w:r>
      <w:r>
        <w:rPr>
          <w:rFonts w:ascii="Arial" w:cs="Arial" w:eastAsia="Arial" w:hAnsi="Arial"/>
          <w:sz w:val="17"/>
          <w:szCs w:val="17"/>
          <w:color w:val="auto"/>
        </w:rPr>
        <w:t>thereby to represent and warrant that (i) such Shares and the certificates therefor are duly authorized, validly allotted and issued, fully paid, not subject to any call for the payment of further capital and legally obtained by such person, (ii) all preemptive (and similar) rights, if any, with respect to such Shares have been validly waived, disapplied or exercised, (iii) the person making such deposit is duly authorized so to do, (iv) the Shares presented for deposit are free and clear of any lien, encumbrance, security interest, charge, mortgage or adverse claim, (v) the Shares presented for deposit are not, and the ADSs issuable upon such deposit will not be, Restricted Securities (except as contemplated in Section 2.14 of the Deposit Agreement), and (vi) the Shares presented for deposit have not been stripped of any rights or entitlements. Such representations and warranties shall survive the deposit and withdrawal of Shares, the issuance and cancellation of ADSs in respect thereof and the transfer of such ADSs. If any such representations or warranties are false in any way, the Company and the Depositary shall be authorized, at the cost and expense of the person depositing Shares, to take any and all actions necessary to correct the consequences thereof.</w:t>
      </w:r>
    </w:p>
    <w:p>
      <w:pPr>
        <w:spacing w:after="0" w:line="283"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A-6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7620</wp:posOffset>
            </wp:positionV>
            <wp:extent cx="7246620" cy="17145"/>
            <wp:wrapNone/>
            <wp:docPr id="80" name="Picture 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0"/>
                    <pic:cNvPicPr>
                      <a:picLocks noChangeAspect="1" noChangeArrowheads="1"/>
                    </pic:cNvPicPr>
                  </pic:nvPicPr>
                  <pic:blipFill>
                    <a:blip r:embed="rId87">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337" w:right="239" w:bottom="1440" w:gutter="0" w:footer="0" w:header="0"/>
        </w:sectPr>
      </w:pPr>
    </w:p>
    <w:bookmarkStart w:id="69" w:name="page70"/>
    <w:bookmarkEnd w:id="69"/>
    <w:p>
      <w:pPr>
        <w:ind w:left="-40" w:firstLine="656"/>
        <w:spacing w:after="0" w:line="268" w:lineRule="auto"/>
        <w:tabs>
          <w:tab w:leader="none" w:pos="1178" w:val="left"/>
        </w:tabs>
        <w:numPr>
          <w:ilvl w:val="0"/>
          <w:numId w:val="35"/>
        </w:numPr>
        <w:rPr>
          <w:rFonts w:ascii="Arial" w:cs="Arial" w:eastAsia="Arial" w:hAnsi="Arial"/>
          <w:sz w:val="17"/>
          <w:szCs w:val="17"/>
          <w:b w:val="1"/>
          <w:bCs w:val="1"/>
          <w:color w:val="auto"/>
        </w:rPr>
      </w:pPr>
      <w:r>
        <w:rPr>
          <w:rFonts w:ascii="Arial" w:cs="Arial" w:eastAsia="Arial" w:hAnsi="Arial"/>
          <w:sz w:val="17"/>
          <w:szCs w:val="17"/>
          <w:b w:val="1"/>
          <w:bCs w:val="1"/>
          <w:u w:val="single" w:color="auto"/>
          <w:color w:val="auto"/>
        </w:rPr>
        <w:t>Proofs, Certificates and Other Information</w:t>
      </w:r>
      <w:r>
        <w:rPr>
          <w:rFonts w:ascii="Arial" w:cs="Arial" w:eastAsia="Arial" w:hAnsi="Arial"/>
          <w:sz w:val="17"/>
          <w:szCs w:val="17"/>
          <w:b w:val="1"/>
          <w:bCs w:val="1"/>
          <w:color w:val="auto"/>
        </w:rPr>
        <w:t xml:space="preserve">. </w:t>
      </w:r>
      <w:r>
        <w:rPr>
          <w:rFonts w:ascii="Arial" w:cs="Arial" w:eastAsia="Arial" w:hAnsi="Arial"/>
          <w:sz w:val="17"/>
          <w:szCs w:val="17"/>
          <w:color w:val="auto"/>
        </w:rPr>
        <w:t>Any person presenting Shares for deposit, any Holder and any Beneficial Owner may be</w:t>
      </w:r>
      <w:r>
        <w:rPr>
          <w:rFonts w:ascii="Arial" w:cs="Arial" w:eastAsia="Arial" w:hAnsi="Arial"/>
          <w:sz w:val="17"/>
          <w:szCs w:val="17"/>
          <w:b w:val="1"/>
          <w:bCs w:val="1"/>
          <w:color w:val="auto"/>
        </w:rPr>
        <w:t xml:space="preserve"> </w:t>
      </w:r>
      <w:r>
        <w:rPr>
          <w:rFonts w:ascii="Arial" w:cs="Arial" w:eastAsia="Arial" w:hAnsi="Arial"/>
          <w:sz w:val="17"/>
          <w:szCs w:val="17"/>
          <w:color w:val="auto"/>
        </w:rPr>
        <w:t>required, and every Holder and Beneficial Owner agrees, from time to time to provide to the Depositary and the Custodian such proof of citizenship or residence, taxpayer status, payment of all applicable taxes or other governmental charges, exchange control approval, legal or beneficial ownership of ADSs and Deposited Property, compliance with applicable laws, the terms of the Deposit Agreement or this ADR evidencing the ADSs and the provisions of, or governing, the Deposited Property, to execute such certifications and to make such representations and warranties, and to provide such other information and documentation (or, in the case of Shares in registered form presented for deposit, such information relating to the registration on the books of the Company or of the Share Registrar) as the Depositary or the Custodian may deem necessary or proper or as the Company may reasonably require by written request to the Depositary consistent with its obligations under the Deposit Agreement and this ADR. The Depositary and the Registrar, as applicable, may withhold the execution or delivery or registration of transfer of any ADR or ADS or the distribution or sale of any dividend or distribution of rights or of the proceeds thereof or, to the extent not limited by paragraph (25) and the terms of Section 7.8 of the Deposit Agreement, the delivery of any Deposited Property until such proof or other information is filed or such certifications are executed, or such representations and warranties are made, or such other documentation or information provided, in each case to the Depositary’s, the Registrar’s and the Company’s satisfaction. The Depositary shall provide the Company, in a timely manner, with copies or originals if necessary and appropriate of (i) any such proofs of citizenship or residence, taxpayer status, or exchange control approval or copies of written representations and warranties which it receives from Holders and Beneficial Owners, and (ii) any other information or documents which the Company may reasonably request and which the Depositary shall request and receive from any Holder or Beneficial Owner or any person presenting Shares for deposit or ADSs for cancellation, transfer or withdrawal. Nothing herein shall obligate the Depositary to (i) obtain any information for the Company if not provided by the Holders or Beneficial Owners, or (ii) verify or vouch for the accuracy of the information so provided by the Holders or Beneficial Owners.</w:t>
      </w:r>
    </w:p>
    <w:p>
      <w:pPr>
        <w:spacing w:after="0" w:line="176" w:lineRule="exact"/>
        <w:rPr>
          <w:rFonts w:ascii="Arial" w:cs="Arial" w:eastAsia="Arial" w:hAnsi="Arial"/>
          <w:sz w:val="17"/>
          <w:szCs w:val="17"/>
          <w:b w:val="1"/>
          <w:bCs w:val="1"/>
          <w:color w:val="auto"/>
        </w:rPr>
      </w:pPr>
    </w:p>
    <w:p>
      <w:pPr>
        <w:ind w:left="1180" w:hanging="564"/>
        <w:spacing w:after="0"/>
        <w:tabs>
          <w:tab w:leader="none" w:pos="1180" w:val="left"/>
        </w:tabs>
        <w:numPr>
          <w:ilvl w:val="0"/>
          <w:numId w:val="35"/>
        </w:numPr>
        <w:rPr>
          <w:rFonts w:ascii="Arial" w:cs="Arial" w:eastAsia="Arial" w:hAnsi="Arial"/>
          <w:sz w:val="18"/>
          <w:szCs w:val="18"/>
          <w:b w:val="1"/>
          <w:bCs w:val="1"/>
          <w:color w:val="auto"/>
        </w:rPr>
      </w:pPr>
      <w:r>
        <w:rPr>
          <w:rFonts w:ascii="Arial" w:cs="Arial" w:eastAsia="Arial" w:hAnsi="Arial"/>
          <w:sz w:val="18"/>
          <w:szCs w:val="18"/>
          <w:b w:val="1"/>
          <w:bCs w:val="1"/>
          <w:u w:val="single" w:color="auto"/>
          <w:color w:val="auto"/>
        </w:rPr>
        <w:t>ADS Fees and Charges</w:t>
      </w:r>
      <w:r>
        <w:rPr>
          <w:rFonts w:ascii="Arial" w:cs="Arial" w:eastAsia="Arial" w:hAnsi="Arial"/>
          <w:sz w:val="18"/>
          <w:szCs w:val="18"/>
          <w:b w:val="1"/>
          <w:bCs w:val="1"/>
          <w:color w:val="auto"/>
        </w:rPr>
        <w:t xml:space="preserve">. </w:t>
      </w:r>
      <w:r>
        <w:rPr>
          <w:rFonts w:ascii="Arial" w:cs="Arial" w:eastAsia="Arial" w:hAnsi="Arial"/>
          <w:sz w:val="18"/>
          <w:szCs w:val="18"/>
          <w:color w:val="auto"/>
        </w:rPr>
        <w:t>The following ADS fees are payable under the terms of the Deposit Agreement:</w:t>
      </w:r>
    </w:p>
    <w:p>
      <w:pPr>
        <w:spacing w:after="0" w:line="229" w:lineRule="exact"/>
        <w:rPr>
          <w:rFonts w:ascii="Arial" w:cs="Arial" w:eastAsia="Arial" w:hAnsi="Arial"/>
          <w:sz w:val="18"/>
          <w:szCs w:val="18"/>
          <w:b w:val="1"/>
          <w:bCs w:val="1"/>
          <w:color w:val="auto"/>
        </w:rPr>
      </w:pPr>
    </w:p>
    <w:p>
      <w:pPr>
        <w:ind w:left="1920" w:right="120" w:hanging="655"/>
        <w:spacing w:after="0" w:line="259" w:lineRule="auto"/>
        <w:tabs>
          <w:tab w:leader="none" w:pos="1920" w:val="left"/>
        </w:tabs>
        <w:numPr>
          <w:ilvl w:val="1"/>
          <w:numId w:val="35"/>
        </w:numPr>
        <w:rPr>
          <w:rFonts w:ascii="Arial" w:cs="Arial" w:eastAsia="Arial" w:hAnsi="Arial"/>
          <w:sz w:val="18"/>
          <w:szCs w:val="18"/>
          <w:color w:val="auto"/>
        </w:rPr>
      </w:pPr>
      <w:r>
        <w:rPr>
          <w:rFonts w:ascii="Arial" w:cs="Arial" w:eastAsia="Arial" w:hAnsi="Arial"/>
          <w:sz w:val="18"/>
          <w:szCs w:val="18"/>
          <w:u w:val="single" w:color="auto"/>
          <w:color w:val="auto"/>
        </w:rPr>
        <w:t>ADS Issuance Fee</w:t>
      </w:r>
      <w:r>
        <w:rPr>
          <w:rFonts w:ascii="Arial" w:cs="Arial" w:eastAsia="Arial" w:hAnsi="Arial"/>
          <w:sz w:val="18"/>
          <w:szCs w:val="18"/>
          <w:color w:val="auto"/>
        </w:rPr>
        <w:t>: by any person to whom the ADSs are issued (</w:t>
      </w:r>
      <w:r>
        <w:rPr>
          <w:rFonts w:ascii="Arial" w:cs="Arial" w:eastAsia="Arial" w:hAnsi="Arial"/>
          <w:sz w:val="18"/>
          <w:szCs w:val="18"/>
          <w:i w:val="1"/>
          <w:iCs w:val="1"/>
          <w:color w:val="auto"/>
        </w:rPr>
        <w:t>e.g.</w:t>
      </w:r>
      <w:r>
        <w:rPr>
          <w:rFonts w:ascii="Arial" w:cs="Arial" w:eastAsia="Arial" w:hAnsi="Arial"/>
          <w:sz w:val="18"/>
          <w:szCs w:val="18"/>
          <w:color w:val="auto"/>
        </w:rPr>
        <w:t>, an issuance of ADSs upon a deposit of Shares, upon a change in the ADS(s)-to-Share(s) ratio, or for any other reason), excluding ADS issuances as a result of distributions described in paragraph (iv) below, a fee not in excess of U.S. $5.00 per 100 ADSs (or fraction thereof) issued under the terms of the Deposit Agreement;</w:t>
      </w:r>
    </w:p>
    <w:p>
      <w:pPr>
        <w:spacing w:after="0" w:line="288"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A-7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-19685</wp:posOffset>
            </wp:positionH>
            <wp:positionV relativeFrom="paragraph">
              <wp:posOffset>7620</wp:posOffset>
            </wp:positionV>
            <wp:extent cx="7246620" cy="17145"/>
            <wp:wrapNone/>
            <wp:docPr id="81" name="Picture 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1"/>
                    <pic:cNvPicPr>
                      <a:picLocks noChangeAspect="1" noChangeArrowheads="1"/>
                    </pic:cNvPicPr>
                  </pic:nvPicPr>
                  <pic:blipFill>
                    <a:blip r:embed="rId88">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360"/>
          </w:cols>
          <w:pgMar w:left="280" w:top="337" w:right="259" w:bottom="1440" w:gutter="0" w:footer="0" w:header="0"/>
        </w:sectPr>
      </w:pPr>
    </w:p>
    <w:bookmarkStart w:id="70" w:name="page71"/>
    <w:bookmarkEnd w:id="70"/>
    <w:p>
      <w:pPr>
        <w:ind w:left="1960" w:hanging="655"/>
        <w:spacing w:after="0" w:line="264" w:lineRule="auto"/>
        <w:tabs>
          <w:tab w:leader="none" w:pos="1960" w:val="left"/>
        </w:tabs>
        <w:numPr>
          <w:ilvl w:val="0"/>
          <w:numId w:val="36"/>
        </w:numPr>
        <w:rPr>
          <w:rFonts w:ascii="Arial" w:cs="Arial" w:eastAsia="Arial" w:hAnsi="Arial"/>
          <w:sz w:val="18"/>
          <w:szCs w:val="18"/>
          <w:color w:val="auto"/>
        </w:rPr>
      </w:pPr>
      <w:r>
        <w:rPr>
          <w:rFonts w:ascii="Arial" w:cs="Arial" w:eastAsia="Arial" w:hAnsi="Arial"/>
          <w:sz w:val="18"/>
          <w:szCs w:val="18"/>
          <w:u w:val="single" w:color="auto"/>
          <w:color w:val="auto"/>
        </w:rPr>
        <w:t>ADS Cancellation Fee</w:t>
      </w:r>
      <w:r>
        <w:rPr>
          <w:rFonts w:ascii="Arial" w:cs="Arial" w:eastAsia="Arial" w:hAnsi="Arial"/>
          <w:sz w:val="18"/>
          <w:szCs w:val="18"/>
          <w:color w:val="auto"/>
        </w:rPr>
        <w:t>: by any person whose ADSs are being cancelled (</w:t>
      </w:r>
      <w:r>
        <w:rPr>
          <w:rFonts w:ascii="Arial" w:cs="Arial" w:eastAsia="Arial" w:hAnsi="Arial"/>
          <w:sz w:val="18"/>
          <w:szCs w:val="18"/>
          <w:i w:val="1"/>
          <w:iCs w:val="1"/>
          <w:color w:val="auto"/>
        </w:rPr>
        <w:t>e.g.</w:t>
      </w:r>
      <w:r>
        <w:rPr>
          <w:rFonts w:ascii="Arial" w:cs="Arial" w:eastAsia="Arial" w:hAnsi="Arial"/>
          <w:sz w:val="18"/>
          <w:szCs w:val="18"/>
          <w:color w:val="auto"/>
        </w:rPr>
        <w:t>, a cancellation of ADSs for delivery of Deposited Shares, upon a change in the ADS(s)-to-Share(s) ratio, or for any other reason), a fee not in excess of U.S. $5.00 per 100 ADSs (or fraction thereof) cancelled;</w:t>
      </w:r>
    </w:p>
    <w:p>
      <w:pPr>
        <w:spacing w:after="0" w:line="181" w:lineRule="exact"/>
        <w:rPr>
          <w:rFonts w:ascii="Arial" w:cs="Arial" w:eastAsia="Arial" w:hAnsi="Arial"/>
          <w:sz w:val="18"/>
          <w:szCs w:val="18"/>
          <w:color w:val="auto"/>
        </w:rPr>
      </w:pPr>
    </w:p>
    <w:p>
      <w:pPr>
        <w:ind w:left="1960" w:right="220" w:hanging="655"/>
        <w:spacing w:after="0" w:line="308" w:lineRule="auto"/>
        <w:tabs>
          <w:tab w:leader="none" w:pos="1960" w:val="left"/>
        </w:tabs>
        <w:numPr>
          <w:ilvl w:val="0"/>
          <w:numId w:val="36"/>
        </w:numPr>
        <w:rPr>
          <w:rFonts w:ascii="Arial" w:cs="Arial" w:eastAsia="Arial" w:hAnsi="Arial"/>
          <w:sz w:val="17"/>
          <w:szCs w:val="17"/>
          <w:color w:val="auto"/>
        </w:rPr>
      </w:pPr>
      <w:r>
        <w:rPr>
          <w:rFonts w:ascii="Arial" w:cs="Arial" w:eastAsia="Arial" w:hAnsi="Arial"/>
          <w:sz w:val="17"/>
          <w:szCs w:val="17"/>
          <w:u w:val="single" w:color="auto"/>
          <w:color w:val="auto"/>
        </w:rPr>
        <w:t>Cash Distribution Fee</w:t>
      </w:r>
      <w:r>
        <w:rPr>
          <w:rFonts w:ascii="Arial" w:cs="Arial" w:eastAsia="Arial" w:hAnsi="Arial"/>
          <w:sz w:val="17"/>
          <w:szCs w:val="17"/>
          <w:color w:val="auto"/>
        </w:rPr>
        <w:t>: by any Holder of ADSs, a fee not in excess of U.S. $5.00 per 100 ADSs (or fraction thereof) held for the distribution of cash dividends or other cash distributions (</w:t>
      </w:r>
      <w:r>
        <w:rPr>
          <w:rFonts w:ascii="Arial" w:cs="Arial" w:eastAsia="Arial" w:hAnsi="Arial"/>
          <w:sz w:val="17"/>
          <w:szCs w:val="17"/>
          <w:i w:val="1"/>
          <w:iCs w:val="1"/>
          <w:color w:val="auto"/>
        </w:rPr>
        <w:t>e.g.</w:t>
      </w:r>
      <w:r>
        <w:rPr>
          <w:rFonts w:ascii="Arial" w:cs="Arial" w:eastAsia="Arial" w:hAnsi="Arial"/>
          <w:sz w:val="17"/>
          <w:szCs w:val="17"/>
          <w:color w:val="auto"/>
        </w:rPr>
        <w:t>, upon sale of rights and other entitlements);</w:t>
      </w:r>
    </w:p>
    <w:p>
      <w:pPr>
        <w:spacing w:after="0" w:line="146" w:lineRule="exact"/>
        <w:rPr>
          <w:rFonts w:ascii="Arial" w:cs="Arial" w:eastAsia="Arial" w:hAnsi="Arial"/>
          <w:sz w:val="17"/>
          <w:szCs w:val="17"/>
          <w:color w:val="auto"/>
        </w:rPr>
      </w:pPr>
    </w:p>
    <w:p>
      <w:pPr>
        <w:jc w:val="both"/>
        <w:ind w:left="1960" w:right="300" w:hanging="655"/>
        <w:spacing w:after="0" w:line="264" w:lineRule="auto"/>
        <w:tabs>
          <w:tab w:leader="none" w:pos="1960" w:val="left"/>
        </w:tabs>
        <w:numPr>
          <w:ilvl w:val="0"/>
          <w:numId w:val="36"/>
        </w:numPr>
        <w:rPr>
          <w:rFonts w:ascii="Arial" w:cs="Arial" w:eastAsia="Arial" w:hAnsi="Arial"/>
          <w:sz w:val="18"/>
          <w:szCs w:val="18"/>
          <w:color w:val="auto"/>
        </w:rPr>
      </w:pPr>
      <w:r>
        <w:rPr>
          <w:rFonts w:ascii="Arial" w:cs="Arial" w:eastAsia="Arial" w:hAnsi="Arial"/>
          <w:sz w:val="18"/>
          <w:szCs w:val="18"/>
          <w:u w:val="single" w:color="auto"/>
          <w:color w:val="auto"/>
        </w:rPr>
        <w:t>Stock Distribution /Rights Exercise Fee</w:t>
      </w:r>
      <w:r>
        <w:rPr>
          <w:rFonts w:ascii="Arial" w:cs="Arial" w:eastAsia="Arial" w:hAnsi="Arial"/>
          <w:sz w:val="18"/>
          <w:szCs w:val="18"/>
          <w:color w:val="auto"/>
        </w:rPr>
        <w:t>: by any Holder of ADS(s), a fee not in excess of U.S. $5.00 per 100 ADSs (or fraction thereof) held for (a) the distribution of stock dividends or other free stock distributions or (b) the exercise of rights to purchase additional ADSs;</w:t>
      </w:r>
    </w:p>
    <w:p>
      <w:pPr>
        <w:spacing w:after="0" w:line="181" w:lineRule="exact"/>
        <w:rPr>
          <w:rFonts w:ascii="Arial" w:cs="Arial" w:eastAsia="Arial" w:hAnsi="Arial"/>
          <w:sz w:val="18"/>
          <w:szCs w:val="18"/>
          <w:color w:val="auto"/>
        </w:rPr>
      </w:pPr>
    </w:p>
    <w:p>
      <w:pPr>
        <w:ind w:left="1960" w:right="40" w:hanging="655"/>
        <w:spacing w:after="0" w:line="277" w:lineRule="auto"/>
        <w:tabs>
          <w:tab w:leader="none" w:pos="1960" w:val="left"/>
        </w:tabs>
        <w:numPr>
          <w:ilvl w:val="0"/>
          <w:numId w:val="36"/>
        </w:numPr>
        <w:rPr>
          <w:rFonts w:ascii="Arial" w:cs="Arial" w:eastAsia="Arial" w:hAnsi="Arial"/>
          <w:sz w:val="18"/>
          <w:szCs w:val="18"/>
          <w:color w:val="auto"/>
        </w:rPr>
      </w:pPr>
      <w:r>
        <w:rPr>
          <w:rFonts w:ascii="Arial" w:cs="Arial" w:eastAsia="Arial" w:hAnsi="Arial"/>
          <w:sz w:val="18"/>
          <w:szCs w:val="18"/>
          <w:u w:val="single" w:color="auto"/>
          <w:color w:val="auto"/>
        </w:rPr>
        <w:t>Other Distribution Fee</w:t>
      </w:r>
      <w:r>
        <w:rPr>
          <w:rFonts w:ascii="Arial" w:cs="Arial" w:eastAsia="Arial" w:hAnsi="Arial"/>
          <w:sz w:val="18"/>
          <w:szCs w:val="18"/>
          <w:color w:val="auto"/>
        </w:rPr>
        <w:t>: by any Holder of ADS(s), a fee not in excess of U.S. $5.00 per 100 ADSs (or fraction thereof) held for the distribution of securities other than ADSs or rights to purchase additional ADSs (</w:t>
      </w:r>
      <w:r>
        <w:rPr>
          <w:rFonts w:ascii="Arial" w:cs="Arial" w:eastAsia="Arial" w:hAnsi="Arial"/>
          <w:sz w:val="18"/>
          <w:szCs w:val="18"/>
          <w:i w:val="1"/>
          <w:iCs w:val="1"/>
          <w:color w:val="auto"/>
        </w:rPr>
        <w:t>e.g.</w:t>
      </w:r>
      <w:r>
        <w:rPr>
          <w:rFonts w:ascii="Arial" w:cs="Arial" w:eastAsia="Arial" w:hAnsi="Arial"/>
          <w:sz w:val="18"/>
          <w:szCs w:val="18"/>
          <w:color w:val="auto"/>
        </w:rPr>
        <w:t>, spin-off shares);</w:t>
      </w:r>
    </w:p>
    <w:p>
      <w:pPr>
        <w:spacing w:after="0" w:line="170" w:lineRule="exact"/>
        <w:rPr>
          <w:rFonts w:ascii="Arial" w:cs="Arial" w:eastAsia="Arial" w:hAnsi="Arial"/>
          <w:sz w:val="18"/>
          <w:szCs w:val="18"/>
          <w:color w:val="auto"/>
        </w:rPr>
      </w:pPr>
    </w:p>
    <w:p>
      <w:pPr>
        <w:ind w:left="1960" w:right="220" w:hanging="655"/>
        <w:spacing w:after="0" w:line="277" w:lineRule="auto"/>
        <w:tabs>
          <w:tab w:leader="none" w:pos="1960" w:val="left"/>
        </w:tabs>
        <w:numPr>
          <w:ilvl w:val="0"/>
          <w:numId w:val="36"/>
        </w:numPr>
        <w:rPr>
          <w:rFonts w:ascii="Arial" w:cs="Arial" w:eastAsia="Arial" w:hAnsi="Arial"/>
          <w:sz w:val="18"/>
          <w:szCs w:val="18"/>
          <w:color w:val="auto"/>
        </w:rPr>
      </w:pPr>
      <w:r>
        <w:rPr>
          <w:rFonts w:ascii="Arial" w:cs="Arial" w:eastAsia="Arial" w:hAnsi="Arial"/>
          <w:sz w:val="18"/>
          <w:szCs w:val="18"/>
          <w:u w:val="single" w:color="auto"/>
          <w:color w:val="auto"/>
        </w:rPr>
        <w:t>Depositary Services Fee</w:t>
      </w:r>
      <w:r>
        <w:rPr>
          <w:rFonts w:ascii="Arial" w:cs="Arial" w:eastAsia="Arial" w:hAnsi="Arial"/>
          <w:sz w:val="18"/>
          <w:szCs w:val="18"/>
          <w:color w:val="auto"/>
        </w:rPr>
        <w:t>: by any Holder of ADS(s), a fee not in excess of U.S. $5.00 per 100 ADSs (or fraction thereof) held on the applicable record date(s) established by the Depositary;</w:t>
      </w:r>
    </w:p>
    <w:p>
      <w:pPr>
        <w:spacing w:after="0" w:line="170" w:lineRule="exact"/>
        <w:rPr>
          <w:rFonts w:ascii="Arial" w:cs="Arial" w:eastAsia="Arial" w:hAnsi="Arial"/>
          <w:sz w:val="18"/>
          <w:szCs w:val="18"/>
          <w:color w:val="auto"/>
        </w:rPr>
      </w:pPr>
    </w:p>
    <w:p>
      <w:pPr>
        <w:ind w:left="1960" w:right="240" w:hanging="655"/>
        <w:spacing w:after="0" w:line="277" w:lineRule="auto"/>
        <w:tabs>
          <w:tab w:leader="none" w:pos="1960" w:val="left"/>
        </w:tabs>
        <w:numPr>
          <w:ilvl w:val="0"/>
          <w:numId w:val="36"/>
        </w:numPr>
        <w:rPr>
          <w:rFonts w:ascii="Arial" w:cs="Arial" w:eastAsia="Arial" w:hAnsi="Arial"/>
          <w:sz w:val="18"/>
          <w:szCs w:val="18"/>
          <w:color w:val="auto"/>
        </w:rPr>
      </w:pPr>
      <w:r>
        <w:rPr>
          <w:rFonts w:ascii="Arial" w:cs="Arial" w:eastAsia="Arial" w:hAnsi="Arial"/>
          <w:sz w:val="18"/>
          <w:szCs w:val="18"/>
          <w:u w:val="single" w:color="auto"/>
          <w:color w:val="auto"/>
        </w:rPr>
        <w:t>Transfer Fee</w:t>
      </w:r>
      <w:r>
        <w:rPr>
          <w:rFonts w:ascii="Arial" w:cs="Arial" w:eastAsia="Arial" w:hAnsi="Arial"/>
          <w:sz w:val="18"/>
          <w:szCs w:val="18"/>
          <w:color w:val="auto"/>
        </w:rPr>
        <w:t>: by any Holder of ADS(s) being transferred or by any person to whom ADSs are transferred, a fee not in excess of U.S. $5.00 per 100 ADSs (or fraction thereof) transferred; and</w:t>
      </w:r>
    </w:p>
    <w:p>
      <w:pPr>
        <w:spacing w:after="0" w:line="170" w:lineRule="exact"/>
        <w:rPr>
          <w:rFonts w:ascii="Arial" w:cs="Arial" w:eastAsia="Arial" w:hAnsi="Arial"/>
          <w:sz w:val="18"/>
          <w:szCs w:val="18"/>
          <w:color w:val="auto"/>
        </w:rPr>
      </w:pPr>
    </w:p>
    <w:p>
      <w:pPr>
        <w:ind w:left="1960" w:hanging="655"/>
        <w:spacing w:after="0" w:line="259" w:lineRule="auto"/>
        <w:tabs>
          <w:tab w:leader="none" w:pos="1960" w:val="left"/>
        </w:tabs>
        <w:numPr>
          <w:ilvl w:val="0"/>
          <w:numId w:val="36"/>
        </w:numPr>
        <w:rPr>
          <w:rFonts w:ascii="Arial" w:cs="Arial" w:eastAsia="Arial" w:hAnsi="Arial"/>
          <w:sz w:val="18"/>
          <w:szCs w:val="18"/>
          <w:color w:val="auto"/>
        </w:rPr>
      </w:pPr>
      <w:r>
        <w:rPr>
          <w:rFonts w:ascii="Arial" w:cs="Arial" w:eastAsia="Arial" w:hAnsi="Arial"/>
          <w:sz w:val="18"/>
          <w:szCs w:val="18"/>
          <w:u w:val="single" w:color="auto"/>
          <w:color w:val="auto"/>
        </w:rPr>
        <w:t>Conversion Fee</w:t>
      </w:r>
      <w:r>
        <w:rPr>
          <w:rFonts w:ascii="Arial" w:cs="Arial" w:eastAsia="Arial" w:hAnsi="Arial"/>
          <w:sz w:val="18"/>
          <w:szCs w:val="18"/>
          <w:color w:val="auto"/>
        </w:rPr>
        <w:t>: by any Holder of ADS(s) being transferred or by any person to whom the converted ADSs are delivered, a fee not in excess of U.S. $5.00 per 100 ADSs (or fraction thereof) converted from one ADS series to another ADS series (</w:t>
      </w:r>
      <w:r>
        <w:rPr>
          <w:rFonts w:ascii="Arial" w:cs="Arial" w:eastAsia="Arial" w:hAnsi="Arial"/>
          <w:sz w:val="18"/>
          <w:szCs w:val="18"/>
          <w:i w:val="1"/>
          <w:iCs w:val="1"/>
          <w:color w:val="auto"/>
        </w:rPr>
        <w:t>e.g.</w:t>
      </w:r>
      <w:r>
        <w:rPr>
          <w:rFonts w:ascii="Arial" w:cs="Arial" w:eastAsia="Arial" w:hAnsi="Arial"/>
          <w:sz w:val="18"/>
          <w:szCs w:val="18"/>
          <w:color w:val="auto"/>
        </w:rPr>
        <w:t>, upon conversion of Partial Entitlement ADSs for Full Entitlement ADSs, or upon conversion of Restricted ADSs into freely transferrable ADSs).</w:t>
      </w:r>
    </w:p>
    <w:p>
      <w:pPr>
        <w:spacing w:after="0" w:line="187" w:lineRule="exact"/>
        <w:rPr>
          <w:sz w:val="20"/>
          <w:szCs w:val="20"/>
          <w:color w:val="auto"/>
        </w:rPr>
      </w:pPr>
    </w:p>
    <w:p>
      <w:pPr>
        <w:jc w:val="both"/>
        <w:ind w:right="360" w:firstLine="648"/>
        <w:spacing w:after="0" w:line="264" w:lineRule="auto"/>
        <w:rPr>
          <w:sz w:val="20"/>
          <w:szCs w:val="20"/>
          <w:color w:val="auto"/>
        </w:rPr>
      </w:pPr>
      <w:r>
        <w:rPr>
          <w:rFonts w:ascii="Arial" w:cs="Arial" w:eastAsia="Arial" w:hAnsi="Arial"/>
          <w:sz w:val="18"/>
          <w:szCs w:val="18"/>
          <w:color w:val="auto"/>
        </w:rPr>
        <w:t>The Company, Holders, Beneficial Owners, persons depositing Shares or withdrawing Deposited Securities in connection with the issuance and cancellation of ADSs, persons receiving ADSs upon issuance, and persons whose ADSs are being cancelled shall be responsible for the following ADS charges under the terms of the Deposit Agreement:</w:t>
      </w:r>
    </w:p>
    <w:p>
      <w:pPr>
        <w:spacing w:after="0" w:line="282" w:lineRule="exact"/>
        <w:rPr>
          <w:sz w:val="20"/>
          <w:szCs w:val="20"/>
          <w:color w:val="auto"/>
        </w:rPr>
      </w:pPr>
    </w:p>
    <w:p>
      <w:pPr>
        <w:jc w:val="center"/>
        <w:ind w:right="-39"/>
        <w:spacing w:after="0"/>
        <w:rPr>
          <w:sz w:val="20"/>
          <w:szCs w:val="20"/>
          <w:color w:val="auto"/>
        </w:rPr>
      </w:pPr>
      <w:r>
        <w:rPr>
          <w:rFonts w:ascii="Arial" w:cs="Arial" w:eastAsia="Arial" w:hAnsi="Arial"/>
          <w:sz w:val="22"/>
          <w:szCs w:val="22"/>
          <w:color w:val="auto"/>
        </w:rPr>
        <w:t>A-8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7620</wp:posOffset>
            </wp:positionV>
            <wp:extent cx="7246620" cy="17145"/>
            <wp:wrapNone/>
            <wp:docPr id="82" name="Picture 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2"/>
                    <pic:cNvPicPr>
                      <a:picLocks noChangeAspect="1" noChangeArrowheads="1"/>
                    </pic:cNvPicPr>
                  </pic:nvPicPr>
                  <pic:blipFill>
                    <a:blip r:embed="rId89">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380"/>
          </w:cols>
          <w:pgMar w:left="240" w:top="341" w:right="279" w:bottom="1440" w:gutter="0" w:footer="0" w:header="0"/>
        </w:sectPr>
      </w:pPr>
    </w:p>
    <w:bookmarkStart w:id="71" w:name="page72"/>
    <w:bookmarkEnd w:id="71"/>
    <w:p>
      <w:pPr>
        <w:ind w:left="1960" w:hanging="655"/>
        <w:spacing w:after="0"/>
        <w:tabs>
          <w:tab w:leader="none" w:pos="1960" w:val="left"/>
        </w:tabs>
        <w:numPr>
          <w:ilvl w:val="0"/>
          <w:numId w:val="37"/>
        </w:numPr>
        <w:rPr>
          <w:rFonts w:ascii="Arial" w:cs="Arial" w:eastAsia="Arial" w:hAnsi="Arial"/>
          <w:sz w:val="18"/>
          <w:szCs w:val="18"/>
          <w:color w:val="auto"/>
        </w:rPr>
      </w:pPr>
      <w:r>
        <w:rPr>
          <w:rFonts w:ascii="Arial" w:cs="Arial" w:eastAsia="Arial" w:hAnsi="Arial"/>
          <w:sz w:val="18"/>
          <w:szCs w:val="18"/>
          <w:color w:val="auto"/>
        </w:rPr>
        <w:t>taxes (including applicable interest and penalties) and other governmental charges;</w:t>
      </w:r>
    </w:p>
    <w:p>
      <w:pPr>
        <w:spacing w:after="0" w:line="225" w:lineRule="exact"/>
        <w:rPr>
          <w:rFonts w:ascii="Arial" w:cs="Arial" w:eastAsia="Arial" w:hAnsi="Arial"/>
          <w:sz w:val="18"/>
          <w:szCs w:val="18"/>
          <w:color w:val="auto"/>
        </w:rPr>
      </w:pPr>
    </w:p>
    <w:p>
      <w:pPr>
        <w:jc w:val="both"/>
        <w:ind w:left="1960" w:right="20" w:hanging="655"/>
        <w:spacing w:after="0" w:line="264" w:lineRule="auto"/>
        <w:tabs>
          <w:tab w:leader="none" w:pos="1960" w:val="left"/>
        </w:tabs>
        <w:numPr>
          <w:ilvl w:val="0"/>
          <w:numId w:val="37"/>
        </w:numPr>
        <w:rPr>
          <w:rFonts w:ascii="Arial" w:cs="Arial" w:eastAsia="Arial" w:hAnsi="Arial"/>
          <w:sz w:val="18"/>
          <w:szCs w:val="18"/>
          <w:color w:val="auto"/>
        </w:rPr>
      </w:pPr>
      <w:r>
        <w:rPr>
          <w:rFonts w:ascii="Arial" w:cs="Arial" w:eastAsia="Arial" w:hAnsi="Arial"/>
          <w:sz w:val="18"/>
          <w:szCs w:val="18"/>
          <w:color w:val="auto"/>
        </w:rPr>
        <w:t>such registration fees as may from time to time be in effect for the registration of Shares or other Deposited Securities on the share register and applicable to transfers of Shares or other Deposited Securities to or from the name of the Custodian, the Depositary or any nominees upon the making of deposits and withdrawals, respectively;</w:t>
      </w:r>
    </w:p>
    <w:p>
      <w:pPr>
        <w:spacing w:after="0" w:line="181" w:lineRule="exact"/>
        <w:rPr>
          <w:rFonts w:ascii="Arial" w:cs="Arial" w:eastAsia="Arial" w:hAnsi="Arial"/>
          <w:sz w:val="18"/>
          <w:szCs w:val="18"/>
          <w:color w:val="auto"/>
        </w:rPr>
      </w:pPr>
    </w:p>
    <w:p>
      <w:pPr>
        <w:ind w:left="1960" w:right="20" w:hanging="655"/>
        <w:spacing w:after="0" w:line="342" w:lineRule="auto"/>
        <w:tabs>
          <w:tab w:leader="none" w:pos="1960" w:val="left"/>
        </w:tabs>
        <w:numPr>
          <w:ilvl w:val="0"/>
          <w:numId w:val="37"/>
        </w:numPr>
        <w:rPr>
          <w:rFonts w:ascii="Arial" w:cs="Arial" w:eastAsia="Arial" w:hAnsi="Arial"/>
          <w:sz w:val="16"/>
          <w:szCs w:val="16"/>
          <w:color w:val="auto"/>
        </w:rPr>
      </w:pPr>
      <w:r>
        <w:rPr>
          <w:rFonts w:ascii="Arial" w:cs="Arial" w:eastAsia="Arial" w:hAnsi="Arial"/>
          <w:sz w:val="16"/>
          <w:szCs w:val="16"/>
          <w:color w:val="auto"/>
        </w:rPr>
        <w:t>such cable, telex and facsimile transmission and delivery expenses as are expressly provided in the Deposit Agreement to be at the expense of the person depositing Shares or withdrawing Deposited Securities or of the Holders and Beneficial Owners of ADSs;</w:t>
      </w:r>
    </w:p>
    <w:p>
      <w:pPr>
        <w:spacing w:after="0" w:line="123" w:lineRule="exact"/>
        <w:rPr>
          <w:rFonts w:ascii="Arial" w:cs="Arial" w:eastAsia="Arial" w:hAnsi="Arial"/>
          <w:sz w:val="16"/>
          <w:szCs w:val="16"/>
          <w:color w:val="auto"/>
        </w:rPr>
      </w:pPr>
    </w:p>
    <w:p>
      <w:pPr>
        <w:ind w:left="1960" w:hanging="655"/>
        <w:spacing w:after="0"/>
        <w:tabs>
          <w:tab w:leader="none" w:pos="1960" w:val="left"/>
        </w:tabs>
        <w:numPr>
          <w:ilvl w:val="0"/>
          <w:numId w:val="37"/>
        </w:numPr>
        <w:rPr>
          <w:rFonts w:ascii="Arial" w:cs="Arial" w:eastAsia="Arial" w:hAnsi="Arial"/>
          <w:sz w:val="18"/>
          <w:szCs w:val="18"/>
          <w:color w:val="auto"/>
        </w:rPr>
      </w:pPr>
      <w:r>
        <w:rPr>
          <w:rFonts w:ascii="Arial" w:cs="Arial" w:eastAsia="Arial" w:hAnsi="Arial"/>
          <w:sz w:val="18"/>
          <w:szCs w:val="18"/>
          <w:color w:val="auto"/>
        </w:rPr>
        <w:t>the expenses and charges incurred by the Depositary in the conversion of foreign currency;</w:t>
      </w:r>
    </w:p>
    <w:p>
      <w:pPr>
        <w:spacing w:after="0" w:line="225" w:lineRule="exact"/>
        <w:rPr>
          <w:rFonts w:ascii="Arial" w:cs="Arial" w:eastAsia="Arial" w:hAnsi="Arial"/>
          <w:sz w:val="18"/>
          <w:szCs w:val="18"/>
          <w:color w:val="auto"/>
        </w:rPr>
      </w:pPr>
    </w:p>
    <w:p>
      <w:pPr>
        <w:ind w:left="1960" w:right="280" w:hanging="655"/>
        <w:spacing w:after="0" w:line="277" w:lineRule="auto"/>
        <w:tabs>
          <w:tab w:leader="none" w:pos="1960" w:val="left"/>
        </w:tabs>
        <w:numPr>
          <w:ilvl w:val="0"/>
          <w:numId w:val="37"/>
        </w:numPr>
        <w:rPr>
          <w:rFonts w:ascii="Arial" w:cs="Arial" w:eastAsia="Arial" w:hAnsi="Arial"/>
          <w:sz w:val="18"/>
          <w:szCs w:val="18"/>
          <w:color w:val="auto"/>
        </w:rPr>
      </w:pPr>
      <w:r>
        <w:rPr>
          <w:rFonts w:ascii="Arial" w:cs="Arial" w:eastAsia="Arial" w:hAnsi="Arial"/>
          <w:sz w:val="18"/>
          <w:szCs w:val="18"/>
          <w:color w:val="auto"/>
        </w:rPr>
        <w:t>such fees and expenses as are incurred by the Depositary in connection with compliance with exchange control regulations and other regulatory requirements applicable to Shares, Deposited Securities, ADSs and ADRs; and</w:t>
      </w:r>
    </w:p>
    <w:p>
      <w:pPr>
        <w:spacing w:after="0" w:line="170" w:lineRule="exact"/>
        <w:rPr>
          <w:rFonts w:ascii="Arial" w:cs="Arial" w:eastAsia="Arial" w:hAnsi="Arial"/>
          <w:sz w:val="18"/>
          <w:szCs w:val="18"/>
          <w:color w:val="auto"/>
        </w:rPr>
      </w:pPr>
    </w:p>
    <w:p>
      <w:pPr>
        <w:ind w:left="1960" w:right="460" w:hanging="655"/>
        <w:spacing w:after="0" w:line="277" w:lineRule="auto"/>
        <w:tabs>
          <w:tab w:leader="none" w:pos="1960" w:val="left"/>
        </w:tabs>
        <w:numPr>
          <w:ilvl w:val="0"/>
          <w:numId w:val="37"/>
        </w:numPr>
        <w:rPr>
          <w:rFonts w:ascii="Arial" w:cs="Arial" w:eastAsia="Arial" w:hAnsi="Arial"/>
          <w:sz w:val="18"/>
          <w:szCs w:val="18"/>
          <w:color w:val="auto"/>
        </w:rPr>
      </w:pPr>
      <w:r>
        <w:rPr>
          <w:rFonts w:ascii="Arial" w:cs="Arial" w:eastAsia="Arial" w:hAnsi="Arial"/>
          <w:sz w:val="18"/>
          <w:szCs w:val="18"/>
          <w:color w:val="auto"/>
        </w:rPr>
        <w:t>the fees, charges, costs and expenses incurred by the Depositary, the Custodian, or any nominee in connection with the ADR program.</w:t>
      </w:r>
    </w:p>
    <w:p>
      <w:pPr>
        <w:spacing w:after="0" w:line="170" w:lineRule="exact"/>
        <w:rPr>
          <w:sz w:val="20"/>
          <w:szCs w:val="20"/>
          <w:color w:val="auto"/>
        </w:rPr>
      </w:pPr>
    </w:p>
    <w:p>
      <w:pPr>
        <w:ind w:right="180" w:firstLine="648"/>
        <w:spacing w:after="0" w:line="293" w:lineRule="auto"/>
        <w:rPr>
          <w:sz w:val="20"/>
          <w:szCs w:val="20"/>
          <w:color w:val="auto"/>
        </w:rPr>
      </w:pPr>
      <w:r>
        <w:rPr>
          <w:rFonts w:ascii="Arial" w:cs="Arial" w:eastAsia="Arial" w:hAnsi="Arial"/>
          <w:sz w:val="16"/>
          <w:szCs w:val="16"/>
          <w:color w:val="auto"/>
        </w:rPr>
        <w:t>All ADS fees and charges so payable may be deducted from distributions or must be remitted to the Depositary, or its designee, may be waived by the Depositary in full or in part with respect to some or all ADSs upon such terms, and subject to such conditions, as the Depositary and Company may determine in its sole discretion and may, at any time and from time to time, be changed by agreement between the Depositary and the Company, but, in the case of ADS fees and charges payable by Holders and Beneficial Owners, any such change (excluding any changes to the waiver by the Depositary of fees and charges contemplated herein) may be made only in the manner contemplated by paragraph (23) of this ADR and as contemplated in Section 6.1 of the Deposit Agreement. The Depositary shall provide, without charge, a copy of its latest ADS fee schedule to anyone upon request.</w:t>
      </w:r>
    </w:p>
    <w:p>
      <w:pPr>
        <w:spacing w:after="0" w:line="165" w:lineRule="exact"/>
        <w:rPr>
          <w:sz w:val="20"/>
          <w:szCs w:val="20"/>
          <w:color w:val="auto"/>
        </w:rPr>
      </w:pPr>
    </w:p>
    <w:p>
      <w:pPr>
        <w:ind w:firstLine="648"/>
        <w:spacing w:after="0" w:line="268" w:lineRule="auto"/>
        <w:rPr>
          <w:sz w:val="20"/>
          <w:szCs w:val="20"/>
          <w:color w:val="auto"/>
        </w:rPr>
      </w:pPr>
      <w:r>
        <w:rPr>
          <w:rFonts w:ascii="Arial" w:cs="Arial" w:eastAsia="Arial" w:hAnsi="Arial"/>
          <w:sz w:val="17"/>
          <w:szCs w:val="17"/>
          <w:color w:val="auto"/>
        </w:rPr>
        <w:t>ADS fees and charges for (i) the issuance of ADSs and (ii) the cancellation of ADSs will be payable by the person for whom the ADSs are so issued by the Depositary (in the case of ADS issuances) and by the person for whom ADSs are being cancelled (in the case of ADS cancellations). In the case of ADSs issued by the Depositary into DTC or presented to the Depositary via DTC, the ADS issuance and cancellation fees and charges will be payable by the DTC Participant(s) receiving the ADSs from the Depositary or the DTC Participant(s) holding the ADSs being cancelled, as the case may be, on behalf of the Beneficial Owner(s) and will be charged by the DTC Participant(s) to the account(s) of the applicable Beneficial Owner(s) in accordance with the procedures and practices of the DTC Participant(s) as in effect at the time. ADS fees and charges in respect of distributions and the ADS service fee are payable by Holders as of the applicable ADS Record Date established by the Depositary. In the case of distributions of cash, the amount of the applicable ADS fees and charges is deducted from the funds being distributed. In the case of (i) distributions other than cash and (ii) the ADS service fee, the applicable Holders as of the ADS Record Date established by the Depositary will be invoiced for the amount of the ADS fees and charges and such ADS fees may be deducted from distributions made to Holders. For ADSs held through DTC, the ADS fees and charges for distributions other than cash and the ADS service fee may be deducted from distributions made through DTC, and may be charged to the DTC Participants in accordance with the procedures and practices prescribed by DTC from time to time and the DTC Participants in turn charge the amount of such ADS fees and charges to the Beneficial Owners for whom they hold ADSs.</w:t>
      </w:r>
    </w:p>
    <w:p>
      <w:pPr>
        <w:spacing w:after="0" w:line="288" w:lineRule="exact"/>
        <w:rPr>
          <w:sz w:val="20"/>
          <w:szCs w:val="20"/>
          <w:color w:val="auto"/>
        </w:rPr>
      </w:pPr>
    </w:p>
    <w:p>
      <w:pPr>
        <w:jc w:val="center"/>
        <w:ind w:right="-59"/>
        <w:spacing w:after="0"/>
        <w:rPr>
          <w:sz w:val="20"/>
          <w:szCs w:val="20"/>
          <w:color w:val="auto"/>
        </w:rPr>
      </w:pPr>
      <w:r>
        <w:rPr>
          <w:rFonts w:ascii="Arial" w:cs="Arial" w:eastAsia="Arial" w:hAnsi="Arial"/>
          <w:sz w:val="22"/>
          <w:szCs w:val="22"/>
          <w:color w:val="auto"/>
        </w:rPr>
        <w:t>A-9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7620</wp:posOffset>
            </wp:positionV>
            <wp:extent cx="7246620" cy="17145"/>
            <wp:wrapNone/>
            <wp:docPr id="83" name="Picture 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3"/>
                    <pic:cNvPicPr>
                      <a:picLocks noChangeAspect="1" noChangeArrowheads="1"/>
                    </pic:cNvPicPr>
                  </pic:nvPicPr>
                  <pic:blipFill>
                    <a:blip r:embed="rId90">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380"/>
          </w:cols>
          <w:pgMar w:left="240" w:top="341" w:right="279" w:bottom="1440" w:gutter="0" w:footer="0" w:header="0"/>
        </w:sectPr>
      </w:pPr>
    </w:p>
    <w:bookmarkStart w:id="72" w:name="page73"/>
    <w:bookmarkEnd w:id="72"/>
    <w:p>
      <w:pPr>
        <w:ind w:right="80" w:firstLine="648"/>
        <w:spacing w:after="0" w:line="272" w:lineRule="auto"/>
        <w:rPr>
          <w:sz w:val="20"/>
          <w:szCs w:val="20"/>
          <w:color w:val="auto"/>
        </w:rPr>
      </w:pPr>
      <w:r>
        <w:rPr>
          <w:rFonts w:ascii="Arial" w:cs="Arial" w:eastAsia="Arial" w:hAnsi="Arial"/>
          <w:sz w:val="17"/>
          <w:szCs w:val="17"/>
          <w:color w:val="auto"/>
        </w:rPr>
        <w:t>The Depositary may reimburse the Company for certain expenses incurred by the Company in respect of the ADR program established pursuant to the Deposit Agreement, by making available a portion of the ADS fees charged in respect of the ADR program or otherwise, upon such terms and conditions as the Company and the Depositary agree from time to time. The Company shall pay to the Depositary such fees and charges, and reimburse the Depositary for such out-of-pocket expenses, as the Depositary and the Company may agree from time to time. Responsibility for payment of such fees, charges and reimbursements may from time to time be changed by agreement between the Company and the Depositary. Unless otherwise agreed, the Depositary shall present its statement for such fees, charges and reimbursements to the Company once every three months. The charges and expenses of the Custodian are for the sole account of the Depositary.</w:t>
      </w:r>
    </w:p>
    <w:p>
      <w:pPr>
        <w:spacing w:after="0" w:line="178" w:lineRule="exact"/>
        <w:rPr>
          <w:sz w:val="20"/>
          <w:szCs w:val="20"/>
          <w:color w:val="auto"/>
        </w:rPr>
      </w:pPr>
    </w:p>
    <w:p>
      <w:pPr>
        <w:ind w:right="200" w:firstLine="648"/>
        <w:spacing w:after="0" w:line="286" w:lineRule="auto"/>
        <w:rPr>
          <w:sz w:val="20"/>
          <w:szCs w:val="20"/>
          <w:color w:val="auto"/>
        </w:rPr>
      </w:pPr>
      <w:r>
        <w:rPr>
          <w:rFonts w:ascii="Arial" w:cs="Arial" w:eastAsia="Arial" w:hAnsi="Arial"/>
          <w:sz w:val="17"/>
          <w:szCs w:val="17"/>
          <w:color w:val="auto"/>
        </w:rPr>
        <w:t>The obligations of Holders and Beneficial Owners to pay ADS fees and charges shall survive the termination of the Deposit Agreement. As to any Depositary, upon the resignation or removal of such Depositary as described in Section 5.4 of the Deposit Agreement, the right to collect ADS fees and charges shall extend for those ADS fees and charges incurred prior to the effectiveness of such resignation or removal.</w:t>
      </w:r>
    </w:p>
    <w:p>
      <w:pPr>
        <w:spacing w:after="0" w:line="162" w:lineRule="exact"/>
        <w:rPr>
          <w:sz w:val="20"/>
          <w:szCs w:val="20"/>
          <w:color w:val="auto"/>
        </w:rPr>
      </w:pPr>
    </w:p>
    <w:p>
      <w:pPr>
        <w:ind w:firstLine="656"/>
        <w:spacing w:after="0" w:line="271" w:lineRule="auto"/>
        <w:tabs>
          <w:tab w:leader="none" w:pos="1218" w:val="left"/>
        </w:tabs>
        <w:numPr>
          <w:ilvl w:val="0"/>
          <w:numId w:val="38"/>
        </w:numPr>
        <w:rPr>
          <w:rFonts w:ascii="Arial" w:cs="Arial" w:eastAsia="Arial" w:hAnsi="Arial"/>
          <w:sz w:val="17"/>
          <w:szCs w:val="17"/>
          <w:b w:val="1"/>
          <w:bCs w:val="1"/>
          <w:color w:val="auto"/>
        </w:rPr>
      </w:pPr>
      <w:r>
        <w:rPr>
          <w:rFonts w:ascii="Arial" w:cs="Arial" w:eastAsia="Arial" w:hAnsi="Arial"/>
          <w:sz w:val="17"/>
          <w:szCs w:val="17"/>
          <w:b w:val="1"/>
          <w:bCs w:val="1"/>
          <w:u w:val="single" w:color="auto"/>
          <w:color w:val="auto"/>
        </w:rPr>
        <w:t>Title to ADRs</w:t>
      </w:r>
      <w:r>
        <w:rPr>
          <w:rFonts w:ascii="Arial" w:cs="Arial" w:eastAsia="Arial" w:hAnsi="Arial"/>
          <w:sz w:val="17"/>
          <w:szCs w:val="17"/>
          <w:b w:val="1"/>
          <w:bCs w:val="1"/>
          <w:color w:val="auto"/>
        </w:rPr>
        <w:t xml:space="preserve">. </w:t>
      </w:r>
      <w:r>
        <w:rPr>
          <w:rFonts w:ascii="Arial" w:cs="Arial" w:eastAsia="Arial" w:hAnsi="Arial"/>
          <w:sz w:val="17"/>
          <w:szCs w:val="17"/>
          <w:color w:val="auto"/>
        </w:rPr>
        <w:t>Subject to the limitations contained in the Deposit Agreement and in this ADR, it is a condition of this ADR, and every</w:t>
      </w:r>
      <w:r>
        <w:rPr>
          <w:rFonts w:ascii="Arial" w:cs="Arial" w:eastAsia="Arial" w:hAnsi="Arial"/>
          <w:sz w:val="17"/>
          <w:szCs w:val="17"/>
          <w:b w:val="1"/>
          <w:bCs w:val="1"/>
          <w:color w:val="auto"/>
        </w:rPr>
        <w:t xml:space="preserve"> </w:t>
      </w:r>
      <w:r>
        <w:rPr>
          <w:rFonts w:ascii="Arial" w:cs="Arial" w:eastAsia="Arial" w:hAnsi="Arial"/>
          <w:sz w:val="17"/>
          <w:szCs w:val="17"/>
          <w:color w:val="auto"/>
        </w:rPr>
        <w:t>successive Holder of this ADR by accepting or holding the same consents and agrees, that title to this ADR (and to each Certificated ADS evidenced hereby) shall be transferable upon the same terms as a certificated security under the laws of the State of New York, provided that, in the case of Certificated ADSs, this ADR has been properly endorsed or is accompanied by proper instruments of transfer. Notwithstanding any notice to the contrary, the Depositary and the Company may deem and treat the Holder of this ADR (that is, the person in whose name this ADR is registered on the books of the Depositary) as the absolute owner thereof for all purposes. Neither the Depositary nor the Company shall have any obligation nor be subject to any liability under the Deposit Agreement or this ADR to any holder of this ADR or any Beneficial Owner unless, in the case of a holder of ADSs, such holder is the Holder of this ADR registered on the books of the Depositary or, in the case of a Beneficial Owner, such Beneficial Owner, or the Beneficial Owner’s representative, is the Holder registered on the books of the Depositary.</w:t>
      </w:r>
    </w:p>
    <w:p>
      <w:pPr>
        <w:spacing w:after="0" w:line="279" w:lineRule="exact"/>
        <w:rPr>
          <w:sz w:val="20"/>
          <w:szCs w:val="20"/>
          <w:color w:val="auto"/>
        </w:rPr>
      </w:pPr>
    </w:p>
    <w:p>
      <w:pPr>
        <w:jc w:val="center"/>
        <w:ind w:right="-19"/>
        <w:spacing w:after="0"/>
        <w:rPr>
          <w:sz w:val="20"/>
          <w:szCs w:val="20"/>
          <w:color w:val="auto"/>
        </w:rPr>
      </w:pPr>
      <w:r>
        <w:rPr>
          <w:rFonts w:ascii="Arial" w:cs="Arial" w:eastAsia="Arial" w:hAnsi="Arial"/>
          <w:sz w:val="22"/>
          <w:szCs w:val="22"/>
          <w:color w:val="auto"/>
        </w:rPr>
        <w:t>A-10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7620</wp:posOffset>
            </wp:positionV>
            <wp:extent cx="7246620" cy="17145"/>
            <wp:wrapNone/>
            <wp:docPr id="84" name="Picture 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4"/>
                    <pic:cNvPicPr>
                      <a:picLocks noChangeAspect="1" noChangeArrowheads="1"/>
                    </pic:cNvPicPr>
                  </pic:nvPicPr>
                  <pic:blipFill>
                    <a:blip r:embed="rId91">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00"/>
          </w:cols>
          <w:pgMar w:left="240" w:top="341" w:right="259" w:bottom="1440" w:gutter="0" w:footer="0" w:header="0"/>
        </w:sectPr>
      </w:pPr>
    </w:p>
    <w:bookmarkStart w:id="73" w:name="page74"/>
    <w:bookmarkEnd w:id="73"/>
    <w:p>
      <w:pPr>
        <w:ind w:right="20" w:firstLine="656"/>
        <w:spacing w:after="0" w:line="255" w:lineRule="auto"/>
        <w:tabs>
          <w:tab w:leader="none" w:pos="1218" w:val="left"/>
        </w:tabs>
        <w:numPr>
          <w:ilvl w:val="0"/>
          <w:numId w:val="39"/>
        </w:numPr>
        <w:rPr>
          <w:rFonts w:ascii="Arial" w:cs="Arial" w:eastAsia="Arial" w:hAnsi="Arial"/>
          <w:sz w:val="18"/>
          <w:szCs w:val="18"/>
          <w:b w:val="1"/>
          <w:bCs w:val="1"/>
          <w:color w:val="auto"/>
        </w:rPr>
      </w:pPr>
      <w:r>
        <w:rPr>
          <w:rFonts w:ascii="Arial" w:cs="Arial" w:eastAsia="Arial" w:hAnsi="Arial"/>
          <w:sz w:val="18"/>
          <w:szCs w:val="18"/>
          <w:b w:val="1"/>
          <w:bCs w:val="1"/>
          <w:u w:val="single" w:color="auto"/>
          <w:color w:val="auto"/>
        </w:rPr>
        <w:t>Validity of ADR</w:t>
      </w:r>
      <w:r>
        <w:rPr>
          <w:rFonts w:ascii="Arial" w:cs="Arial" w:eastAsia="Arial" w:hAnsi="Arial"/>
          <w:sz w:val="18"/>
          <w:szCs w:val="18"/>
          <w:b w:val="1"/>
          <w:bCs w:val="1"/>
          <w:color w:val="auto"/>
        </w:rPr>
        <w:t xml:space="preserve">. </w:t>
      </w:r>
      <w:r>
        <w:rPr>
          <w:rFonts w:ascii="Arial" w:cs="Arial" w:eastAsia="Arial" w:hAnsi="Arial"/>
          <w:sz w:val="18"/>
          <w:szCs w:val="18"/>
          <w:color w:val="auto"/>
        </w:rPr>
        <w:t>The Holder(s) of this ADR (and the ADSs represented hereby) shall not be entitled to any benefits under the Deposit</w:t>
      </w:r>
      <w:r>
        <w:rPr>
          <w:rFonts w:ascii="Arial" w:cs="Arial" w:eastAsia="Arial" w:hAnsi="Arial"/>
          <w:sz w:val="18"/>
          <w:szCs w:val="18"/>
          <w:b w:val="1"/>
          <w:bCs w:val="1"/>
          <w:color w:val="auto"/>
        </w:rPr>
        <w:t xml:space="preserve"> </w:t>
      </w:r>
      <w:r>
        <w:rPr>
          <w:rFonts w:ascii="Arial" w:cs="Arial" w:eastAsia="Arial" w:hAnsi="Arial"/>
          <w:sz w:val="18"/>
          <w:szCs w:val="18"/>
          <w:color w:val="auto"/>
        </w:rPr>
        <w:t>Agreement or be valid or enforceable for any purpose against the Depositary or the Company unless this ADR has been (i) dated, (ii) signed by the manual or facsimile signature of a duly-authorized signatory of the Depositary, (iii) countersigned by the manual or facsimile signature of a duly-authorized signatory of the Registrar, and (iv) registered in the books maintained by the Registrar for the registration of issuances and transfers of ADRs. An ADR bearing the facsimile signature of a duly-authorized signatory of the Depositary or the Registrar, who at the time of signature was a duly authorized signatory of the Depositary or the Registrar, as the case may be, shall bind the Depositary, notwithstanding the fact that such signatory has ceased to be so authorized prior to the delivery of such ADR by the Depositary.</w:t>
      </w:r>
    </w:p>
    <w:p>
      <w:pPr>
        <w:spacing w:after="0" w:line="189" w:lineRule="exact"/>
        <w:rPr>
          <w:rFonts w:ascii="Arial" w:cs="Arial" w:eastAsia="Arial" w:hAnsi="Arial"/>
          <w:sz w:val="18"/>
          <w:szCs w:val="18"/>
          <w:b w:val="1"/>
          <w:bCs w:val="1"/>
          <w:color w:val="auto"/>
        </w:rPr>
      </w:pPr>
    </w:p>
    <w:p>
      <w:pPr>
        <w:ind w:right="40" w:firstLine="656"/>
        <w:spacing w:after="0" w:line="261" w:lineRule="auto"/>
        <w:tabs>
          <w:tab w:leader="none" w:pos="1218" w:val="left"/>
        </w:tabs>
        <w:numPr>
          <w:ilvl w:val="0"/>
          <w:numId w:val="39"/>
        </w:numPr>
        <w:rPr>
          <w:rFonts w:ascii="Arial" w:cs="Arial" w:eastAsia="Arial" w:hAnsi="Arial"/>
          <w:sz w:val="18"/>
          <w:szCs w:val="18"/>
          <w:b w:val="1"/>
          <w:bCs w:val="1"/>
          <w:color w:val="auto"/>
        </w:rPr>
      </w:pPr>
      <w:r>
        <w:rPr>
          <w:rFonts w:ascii="Arial" w:cs="Arial" w:eastAsia="Arial" w:hAnsi="Arial"/>
          <w:sz w:val="18"/>
          <w:szCs w:val="18"/>
          <w:b w:val="1"/>
          <w:bCs w:val="1"/>
          <w:u w:val="single" w:color="auto"/>
          <w:color w:val="auto"/>
        </w:rPr>
        <w:t>Available Information; Reports; Inspection of Transfer Books</w:t>
      </w:r>
      <w:r>
        <w:rPr>
          <w:rFonts w:ascii="Arial" w:cs="Arial" w:eastAsia="Arial" w:hAnsi="Arial"/>
          <w:sz w:val="18"/>
          <w:szCs w:val="18"/>
          <w:b w:val="1"/>
          <w:bCs w:val="1"/>
          <w:color w:val="auto"/>
        </w:rPr>
        <w:t xml:space="preserve">. </w:t>
      </w:r>
      <w:r>
        <w:rPr>
          <w:rFonts w:ascii="Arial" w:cs="Arial" w:eastAsia="Arial" w:hAnsi="Arial"/>
          <w:sz w:val="18"/>
          <w:szCs w:val="18"/>
          <w:color w:val="auto"/>
        </w:rPr>
        <w:t>The Company is subject to the periodic reporting requirements of the</w:t>
      </w:r>
      <w:r>
        <w:rPr>
          <w:rFonts w:ascii="Arial" w:cs="Arial" w:eastAsia="Arial" w:hAnsi="Arial"/>
          <w:sz w:val="18"/>
          <w:szCs w:val="18"/>
          <w:b w:val="1"/>
          <w:bCs w:val="1"/>
          <w:color w:val="auto"/>
        </w:rPr>
        <w:t xml:space="preserve"> </w:t>
      </w:r>
      <w:r>
        <w:rPr>
          <w:rFonts w:ascii="Arial" w:cs="Arial" w:eastAsia="Arial" w:hAnsi="Arial"/>
          <w:sz w:val="18"/>
          <w:szCs w:val="18"/>
          <w:color w:val="auto"/>
        </w:rPr>
        <w:t>Exchange Act and, accordingly, is required to file or furnish certain reports with the Commission. These reports can be retrieved from the Commission's website (</w:t>
      </w:r>
      <w:r>
        <w:rPr>
          <w:rFonts w:ascii="Arial" w:cs="Arial" w:eastAsia="Arial" w:hAnsi="Arial"/>
          <w:sz w:val="18"/>
          <w:szCs w:val="18"/>
          <w:u w:val="single" w:color="auto"/>
          <w:color w:val="auto"/>
        </w:rPr>
        <w:t>www.sec.gov</w:t>
      </w:r>
      <w:r>
        <w:rPr>
          <w:rFonts w:ascii="Arial" w:cs="Arial" w:eastAsia="Arial" w:hAnsi="Arial"/>
          <w:sz w:val="18"/>
          <w:szCs w:val="18"/>
          <w:color w:val="auto"/>
        </w:rPr>
        <w:t>) and can be inspected and copied at the public reference facilities maintained by the Commission located (as of the date of the Deposit Agreement) at 100 F Street, N.E., Washington D.C. 20549.</w:t>
      </w:r>
    </w:p>
    <w:p>
      <w:pPr>
        <w:spacing w:after="0" w:line="184" w:lineRule="exact"/>
        <w:rPr>
          <w:sz w:val="20"/>
          <w:szCs w:val="20"/>
          <w:color w:val="auto"/>
        </w:rPr>
      </w:pPr>
    </w:p>
    <w:p>
      <w:pPr>
        <w:ind w:firstLine="648"/>
        <w:spacing w:after="0" w:line="279" w:lineRule="auto"/>
        <w:rPr>
          <w:sz w:val="20"/>
          <w:szCs w:val="20"/>
          <w:color w:val="auto"/>
        </w:rPr>
      </w:pPr>
      <w:r>
        <w:rPr>
          <w:rFonts w:ascii="Arial" w:cs="Arial" w:eastAsia="Arial" w:hAnsi="Arial"/>
          <w:sz w:val="17"/>
          <w:szCs w:val="17"/>
          <w:color w:val="auto"/>
        </w:rPr>
        <w:t>The Depositary shall make available for inspection by Holders at its Principal Office any reports and communications, including any proxy soliciting materials, received from the Company which are both (a) received by the Depositary, the Custodian, or the nominee of either of them as the holder of the Deposited Property and (b) made generally available to the holders of such Deposited Property by the Company. The Depositary shall also provide or make available to Holders copies of such reports when furnished by the Company pursuant to Section 5.6 of the Deposit Agreement.</w:t>
      </w:r>
    </w:p>
    <w:p>
      <w:pPr>
        <w:spacing w:after="0" w:line="171" w:lineRule="exact"/>
        <w:rPr>
          <w:sz w:val="20"/>
          <w:szCs w:val="20"/>
          <w:color w:val="auto"/>
        </w:rPr>
      </w:pPr>
    </w:p>
    <w:p>
      <w:pPr>
        <w:ind w:right="40" w:firstLine="648"/>
        <w:spacing w:after="0" w:line="279" w:lineRule="auto"/>
        <w:rPr>
          <w:sz w:val="20"/>
          <w:szCs w:val="20"/>
          <w:color w:val="auto"/>
        </w:rPr>
      </w:pPr>
      <w:r>
        <w:rPr>
          <w:rFonts w:ascii="Arial" w:cs="Arial" w:eastAsia="Arial" w:hAnsi="Arial"/>
          <w:sz w:val="17"/>
          <w:szCs w:val="17"/>
          <w:color w:val="auto"/>
        </w:rPr>
        <w:t>Until termination of the Deposit Agreement in accordance with its terms, the Registrar shall maintain in the Borough of Manhattan, the City of New York, an office and facilities for the issuance and delivery of ADSs, the acceptance for surrender of ADS(s) for the purpose of withdrawal of Deposited Securities, the registration of issuances, cancellations, transfers, combinations and split-ups of ADS(s) and, if applicable, to countersign ADRs evidencing the ADSs so issued, transferred, combined or split-up, in each case in accordance with the provisions of the Deposit Agreement.</w:t>
      </w:r>
    </w:p>
    <w:p>
      <w:pPr>
        <w:spacing w:after="0" w:line="171" w:lineRule="exact"/>
        <w:rPr>
          <w:sz w:val="20"/>
          <w:szCs w:val="20"/>
          <w:color w:val="auto"/>
        </w:rPr>
      </w:pPr>
    </w:p>
    <w:p>
      <w:pPr>
        <w:ind w:right="260" w:firstLine="648"/>
        <w:spacing w:after="0" w:line="312" w:lineRule="auto"/>
        <w:rPr>
          <w:sz w:val="20"/>
          <w:szCs w:val="20"/>
          <w:color w:val="auto"/>
        </w:rPr>
      </w:pPr>
      <w:r>
        <w:rPr>
          <w:rFonts w:ascii="Arial" w:cs="Arial" w:eastAsia="Arial" w:hAnsi="Arial"/>
          <w:sz w:val="16"/>
          <w:szCs w:val="16"/>
          <w:color w:val="auto"/>
        </w:rPr>
        <w:t>The Registrar shall keep books for the registration of ADSs which at all reasonable times shall be open for inspection by the Company and by the Holders of such ADSs, provided that such inspection shall not be, to the Registrar’s knowledge, for the purpose of communicating with Holders of such ADSs in the interest of a business or object other than the business of the Company or other than a matter related to the Deposit Agreement or the ADSs.</w:t>
      </w:r>
    </w:p>
    <w:p>
      <w:pPr>
        <w:spacing w:after="0" w:line="248" w:lineRule="exact"/>
        <w:rPr>
          <w:sz w:val="20"/>
          <w:szCs w:val="20"/>
          <w:color w:val="auto"/>
        </w:rPr>
      </w:pPr>
    </w:p>
    <w:p>
      <w:pPr>
        <w:jc w:val="center"/>
        <w:ind w:right="-39"/>
        <w:spacing w:after="0"/>
        <w:rPr>
          <w:sz w:val="20"/>
          <w:szCs w:val="20"/>
          <w:color w:val="auto"/>
        </w:rPr>
      </w:pPr>
      <w:r>
        <w:rPr>
          <w:rFonts w:ascii="Arial" w:cs="Arial" w:eastAsia="Arial" w:hAnsi="Arial"/>
          <w:sz w:val="22"/>
          <w:szCs w:val="22"/>
          <w:color w:val="auto"/>
        </w:rPr>
        <w:t>A-11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7620</wp:posOffset>
            </wp:positionV>
            <wp:extent cx="7246620" cy="17145"/>
            <wp:wrapNone/>
            <wp:docPr id="85" name="Picture 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5"/>
                    <pic:cNvPicPr>
                      <a:picLocks noChangeAspect="1" noChangeArrowheads="1"/>
                    </pic:cNvPicPr>
                  </pic:nvPicPr>
                  <pic:blipFill>
                    <a:blip r:embed="rId92">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00"/>
          </w:cols>
          <w:pgMar w:left="240" w:top="337" w:right="259" w:bottom="1440" w:gutter="0" w:footer="0" w:header="0"/>
        </w:sectPr>
      </w:pPr>
    </w:p>
    <w:bookmarkStart w:id="74" w:name="page75"/>
    <w:bookmarkEnd w:id="74"/>
    <w:p>
      <w:pPr>
        <w:jc w:val="both"/>
        <w:ind w:firstLine="648"/>
        <w:spacing w:after="0" w:line="264" w:lineRule="auto"/>
        <w:rPr>
          <w:sz w:val="20"/>
          <w:szCs w:val="20"/>
          <w:color w:val="auto"/>
        </w:rPr>
      </w:pPr>
      <w:r>
        <w:rPr>
          <w:rFonts w:ascii="Arial" w:cs="Arial" w:eastAsia="Arial" w:hAnsi="Arial"/>
          <w:sz w:val="18"/>
          <w:szCs w:val="18"/>
          <w:color w:val="auto"/>
        </w:rPr>
        <w:t>The Registrar may close the transfer books with respect to the ADSs, at any time or from time to time, when deemed necessary or advisable by it in good faith in connection with the performance of its duties hereunder, or at the reasonable written request of the Company subject, in all cases, to Section 7.8 of the Deposit Agreement.</w:t>
      </w:r>
    </w:p>
    <w:p>
      <w:pPr>
        <w:spacing w:after="0" w:line="181" w:lineRule="exact"/>
        <w:rPr>
          <w:sz w:val="20"/>
          <w:szCs w:val="20"/>
          <w:color w:val="auto"/>
        </w:rPr>
      </w:pPr>
    </w:p>
    <w:p>
      <w:pPr>
        <w:spacing w:after="0"/>
        <w:rPr>
          <w:sz w:val="20"/>
          <w:szCs w:val="20"/>
          <w:color w:val="auto"/>
        </w:rPr>
      </w:pPr>
      <w:r>
        <w:rPr>
          <w:rFonts w:ascii="Arial" w:cs="Arial" w:eastAsia="Arial" w:hAnsi="Arial"/>
          <w:sz w:val="18"/>
          <w:szCs w:val="18"/>
          <w:color w:val="auto"/>
        </w:rPr>
        <w:t>Dated:</w:t>
      </w:r>
    </w:p>
    <w:p>
      <w:pPr>
        <w:sectPr>
          <w:pgSz w:w="11900" w:h="16838" w:orient="portrait"/>
          <w:cols w:equalWidth="0" w:num="1">
            <w:col w:w="11320"/>
          </w:cols>
          <w:pgMar w:left="240" w:top="341" w:right="339" w:bottom="1440" w:gutter="0" w:footer="0" w:header="0"/>
        </w:sectPr>
      </w:pP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CITIBANK, N.A.</w:t>
      </w:r>
    </w:p>
    <w:p>
      <w:pPr>
        <w:spacing w:after="0" w:line="23" w:lineRule="exact"/>
        <w:rPr>
          <w:sz w:val="20"/>
          <w:szCs w:val="20"/>
          <w:color w:val="auto"/>
        </w:rPr>
      </w:pPr>
    </w:p>
    <w:p>
      <w:pPr>
        <w:spacing w:after="0"/>
        <w:rPr>
          <w:sz w:val="20"/>
          <w:szCs w:val="20"/>
          <w:color w:val="auto"/>
        </w:rPr>
      </w:pPr>
      <w:r>
        <w:rPr>
          <w:rFonts w:ascii="Arial" w:cs="Arial" w:eastAsia="Arial" w:hAnsi="Arial"/>
          <w:sz w:val="16"/>
          <w:szCs w:val="16"/>
          <w:color w:val="auto"/>
        </w:rPr>
        <w:t>Transfer Agent and Registrar</w:t>
      </w:r>
    </w:p>
    <w:p>
      <w:pPr>
        <w:spacing w:after="0" w:line="20" w:lineRule="exact"/>
        <w:rPr>
          <w:sz w:val="20"/>
          <w:szCs w:val="20"/>
          <w:color w:val="auto"/>
        </w:rPr>
      </w:pPr>
      <w:r>
        <w:rPr>
          <w:sz w:val="20"/>
          <w:szCs w:val="20"/>
          <w:color w:val="auto"/>
        </w:rPr>
        <w:br w:type="column"/>
      </w:r>
    </w:p>
    <w:p>
      <w:pPr>
        <w:spacing w:after="0" w:line="205" w:lineRule="exact"/>
        <w:rPr>
          <w:sz w:val="20"/>
          <w:szCs w:val="20"/>
          <w:color w:val="auto"/>
        </w:rPr>
      </w:pPr>
    </w:p>
    <w:p>
      <w:pPr>
        <w:spacing w:after="0"/>
        <w:rPr>
          <w:sz w:val="20"/>
          <w:szCs w:val="20"/>
          <w:color w:val="auto"/>
        </w:rPr>
      </w:pPr>
      <w:r>
        <w:rPr>
          <w:rFonts w:ascii="Arial" w:cs="Arial" w:eastAsia="Arial" w:hAnsi="Arial"/>
          <w:sz w:val="18"/>
          <w:szCs w:val="18"/>
          <w:color w:val="auto"/>
        </w:rPr>
        <w:t>CITIBANK, N.A.</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as Depositary</w:t>
      </w:r>
    </w:p>
    <w:p>
      <w:pPr>
        <w:spacing w:after="0" w:line="200" w:lineRule="exact"/>
        <w:rPr>
          <w:sz w:val="20"/>
          <w:szCs w:val="20"/>
          <w:color w:val="auto"/>
        </w:rPr>
      </w:pPr>
    </w:p>
    <w:p>
      <w:pPr>
        <w:sectPr>
          <w:pgSz w:w="11900" w:h="16838" w:orient="portrait"/>
          <w:cols w:equalWidth="0" w:num="2">
            <w:col w:w="5000" w:space="720"/>
            <w:col w:w="5600"/>
          </w:cols>
          <w:pgMar w:left="240" w:top="341" w:right="339" w:bottom="1440" w:gutter="0" w:footer="0" w:header="0"/>
          <w:type w:val="continuous"/>
        </w:sectPr>
      </w:pPr>
    </w:p>
    <w:p>
      <w:pPr>
        <w:spacing w:after="0" w:line="11" w:lineRule="exact"/>
        <w:rPr>
          <w:sz w:val="20"/>
          <w:szCs w:val="20"/>
          <w:color w:val="auto"/>
        </w:rPr>
      </w:pPr>
    </w:p>
    <w:p>
      <w:pPr>
        <w:spacing w:after="0"/>
        <w:rPr>
          <w:sz w:val="20"/>
          <w:szCs w:val="20"/>
          <w:color w:val="auto"/>
        </w:rPr>
      </w:pPr>
      <w:r>
        <w:rPr>
          <w:rFonts w:ascii="Arial" w:cs="Arial" w:eastAsia="Arial" w:hAnsi="Arial"/>
          <w:sz w:val="16"/>
          <w:szCs w:val="16"/>
          <w:color w:val="auto"/>
        </w:rPr>
        <w:t>By: __________________________________</w:t>
      </w:r>
    </w:p>
    <w:p>
      <w:pPr>
        <w:spacing w:after="0" w:line="46" w:lineRule="exact"/>
        <w:rPr>
          <w:sz w:val="20"/>
          <w:szCs w:val="20"/>
          <w:color w:val="auto"/>
        </w:rPr>
      </w:pPr>
    </w:p>
    <w:p>
      <w:pPr>
        <w:ind w:left="320"/>
        <w:spacing w:after="0"/>
        <w:rPr>
          <w:sz w:val="20"/>
          <w:szCs w:val="20"/>
          <w:color w:val="auto"/>
        </w:rPr>
      </w:pPr>
      <w:r>
        <w:rPr>
          <w:rFonts w:ascii="Arial" w:cs="Arial" w:eastAsia="Arial" w:hAnsi="Arial"/>
          <w:sz w:val="18"/>
          <w:szCs w:val="18"/>
          <w:color w:val="auto"/>
        </w:rPr>
        <w:t>Authorized Signatory</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Arial" w:cs="Arial" w:eastAsia="Arial" w:hAnsi="Arial"/>
          <w:sz w:val="16"/>
          <w:szCs w:val="16"/>
          <w:color w:val="auto"/>
        </w:rPr>
        <w:t>By: __________________________________</w:t>
      </w:r>
    </w:p>
    <w:p>
      <w:pPr>
        <w:spacing w:after="0" w:line="46" w:lineRule="exact"/>
        <w:rPr>
          <w:sz w:val="20"/>
          <w:szCs w:val="20"/>
          <w:color w:val="auto"/>
        </w:rPr>
      </w:pPr>
    </w:p>
    <w:p>
      <w:pPr>
        <w:ind w:left="300"/>
        <w:spacing w:after="0"/>
        <w:rPr>
          <w:sz w:val="20"/>
          <w:szCs w:val="20"/>
          <w:color w:val="auto"/>
        </w:rPr>
      </w:pPr>
      <w:r>
        <w:rPr>
          <w:rFonts w:ascii="Arial" w:cs="Arial" w:eastAsia="Arial" w:hAnsi="Arial"/>
          <w:sz w:val="18"/>
          <w:szCs w:val="18"/>
          <w:color w:val="auto"/>
        </w:rPr>
        <w:t>Authorized Signatory</w:t>
      </w:r>
    </w:p>
    <w:p>
      <w:pPr>
        <w:spacing w:after="0" w:line="200" w:lineRule="exact"/>
        <w:rPr>
          <w:sz w:val="20"/>
          <w:szCs w:val="20"/>
          <w:color w:val="auto"/>
        </w:rPr>
      </w:pPr>
    </w:p>
    <w:p>
      <w:pPr>
        <w:sectPr>
          <w:pgSz w:w="11900" w:h="16838" w:orient="portrait"/>
          <w:cols w:equalWidth="0" w:num="2">
            <w:col w:w="5000" w:space="720"/>
            <w:col w:w="5600"/>
          </w:cols>
          <w:pgMar w:left="240" w:top="341" w:right="339" w:bottom="1440" w:gutter="0" w:footer="0" w:header="0"/>
          <w:type w:val="continuous"/>
        </w:sectPr>
      </w:pPr>
    </w:p>
    <w:p>
      <w:pPr>
        <w:spacing w:after="0" w:line="38" w:lineRule="exact"/>
        <w:rPr>
          <w:sz w:val="20"/>
          <w:szCs w:val="20"/>
          <w:color w:val="auto"/>
        </w:rPr>
      </w:pPr>
    </w:p>
    <w:p>
      <w:pPr>
        <w:ind w:left="1880"/>
        <w:spacing w:after="0"/>
        <w:rPr>
          <w:sz w:val="20"/>
          <w:szCs w:val="20"/>
          <w:color w:val="auto"/>
        </w:rPr>
      </w:pPr>
      <w:r>
        <w:rPr>
          <w:rFonts w:ascii="Arial" w:cs="Arial" w:eastAsia="Arial" w:hAnsi="Arial"/>
          <w:sz w:val="16"/>
          <w:szCs w:val="16"/>
          <w:color w:val="auto"/>
        </w:rPr>
        <w:t>The address of the Principal Office of the Depositary is 388 Greenwich Street, New York, New York 10013, U.S.A.</w:t>
      </w:r>
    </w:p>
    <w:p>
      <w:pPr>
        <w:spacing w:after="0" w:line="349" w:lineRule="exact"/>
        <w:rPr>
          <w:sz w:val="20"/>
          <w:szCs w:val="20"/>
          <w:color w:val="auto"/>
        </w:rPr>
      </w:pPr>
    </w:p>
    <w:p>
      <w:pPr>
        <w:jc w:val="center"/>
        <w:ind w:right="-119"/>
        <w:spacing w:after="0"/>
        <w:rPr>
          <w:sz w:val="20"/>
          <w:szCs w:val="20"/>
          <w:color w:val="auto"/>
        </w:rPr>
      </w:pPr>
      <w:r>
        <w:rPr>
          <w:rFonts w:ascii="Arial" w:cs="Arial" w:eastAsia="Arial" w:hAnsi="Arial"/>
          <w:sz w:val="22"/>
          <w:szCs w:val="22"/>
          <w:color w:val="auto"/>
        </w:rPr>
        <w:t>A-12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7620</wp:posOffset>
            </wp:positionV>
            <wp:extent cx="7246620" cy="17145"/>
            <wp:wrapNone/>
            <wp:docPr id="86" name="Picture 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6"/>
                    <pic:cNvPicPr>
                      <a:picLocks noChangeAspect="1" noChangeArrowheads="1"/>
                    </pic:cNvPicPr>
                  </pic:nvPicPr>
                  <pic:blipFill>
                    <a:blip r:embed="rId93">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320"/>
          </w:cols>
          <w:pgMar w:left="240" w:top="341" w:right="339" w:bottom="1440" w:gutter="0" w:footer="0" w:header="0"/>
          <w:type w:val="continuous"/>
        </w:sectPr>
      </w:pPr>
    </w:p>
    <w:bookmarkStart w:id="75" w:name="page76"/>
    <w:bookmarkEnd w:id="75"/>
    <w:p>
      <w:pPr>
        <w:jc w:val="center"/>
        <w:spacing w:after="0"/>
        <w:rPr>
          <w:sz w:val="20"/>
          <w:szCs w:val="20"/>
          <w:color w:val="auto"/>
        </w:rPr>
      </w:pPr>
      <w:r>
        <w:rPr>
          <w:rFonts w:ascii="Arial" w:cs="Arial" w:eastAsia="Arial" w:hAnsi="Arial"/>
          <w:sz w:val="18"/>
          <w:szCs w:val="18"/>
          <w:b w:val="1"/>
          <w:bCs w:val="1"/>
          <w:color w:val="auto"/>
        </w:rPr>
        <w:t>[FORM OF REVERSE OF ADR]</w:t>
      </w:r>
    </w:p>
    <w:p>
      <w:pPr>
        <w:spacing w:after="0" w:line="22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SUMMARY OF CERTAIN ADDITIONAL PROVISIONS</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OF THE DEPOSIT AGREEMENT</w:t>
      </w:r>
    </w:p>
    <w:p>
      <w:pPr>
        <w:spacing w:after="0" w:line="221" w:lineRule="exact"/>
        <w:rPr>
          <w:sz w:val="20"/>
          <w:szCs w:val="20"/>
          <w:color w:val="auto"/>
        </w:rPr>
      </w:pPr>
    </w:p>
    <w:p>
      <w:pPr>
        <w:ind w:left="-20" w:firstLine="656"/>
        <w:spacing w:after="0" w:line="284" w:lineRule="auto"/>
        <w:tabs>
          <w:tab w:leader="none" w:pos="1198" w:val="left"/>
        </w:tabs>
        <w:numPr>
          <w:ilvl w:val="0"/>
          <w:numId w:val="40"/>
        </w:numPr>
        <w:rPr>
          <w:rFonts w:ascii="Arial" w:cs="Arial" w:eastAsia="Arial" w:hAnsi="Arial"/>
          <w:sz w:val="16"/>
          <w:szCs w:val="16"/>
          <w:b w:val="1"/>
          <w:bCs w:val="1"/>
          <w:color w:val="auto"/>
        </w:rPr>
      </w:pPr>
      <w:r>
        <w:rPr>
          <w:rFonts w:ascii="Arial" w:cs="Arial" w:eastAsia="Arial" w:hAnsi="Arial"/>
          <w:sz w:val="16"/>
          <w:szCs w:val="16"/>
          <w:b w:val="1"/>
          <w:bCs w:val="1"/>
          <w:u w:val="single" w:color="auto"/>
          <w:color w:val="auto"/>
        </w:rPr>
        <w:t>Dividends and Distributions in Cash, Shares, etc.</w:t>
      </w:r>
      <w:r>
        <w:rPr>
          <w:rFonts w:ascii="Arial" w:cs="Arial" w:eastAsia="Arial" w:hAnsi="Arial"/>
          <w:sz w:val="16"/>
          <w:szCs w:val="16"/>
          <w:b w:val="1"/>
          <w:bCs w:val="1"/>
          <w:color w:val="auto"/>
        </w:rPr>
        <w:t xml:space="preserve"> </w:t>
      </w:r>
      <w:r>
        <w:rPr>
          <w:rFonts w:ascii="Arial" w:cs="Arial" w:eastAsia="Arial" w:hAnsi="Arial"/>
          <w:sz w:val="16"/>
          <w:szCs w:val="16"/>
          <w:color w:val="auto"/>
        </w:rPr>
        <w:t>(a)</w:t>
      </w:r>
      <w:r>
        <w:rPr>
          <w:rFonts w:ascii="Arial" w:cs="Arial" w:eastAsia="Arial" w:hAnsi="Arial"/>
          <w:sz w:val="16"/>
          <w:szCs w:val="16"/>
          <w:b w:val="1"/>
          <w:bCs w:val="1"/>
          <w:color w:val="auto"/>
        </w:rPr>
        <w:t xml:space="preserve"> </w:t>
      </w:r>
      <w:r>
        <w:rPr>
          <w:rFonts w:ascii="Arial" w:cs="Arial" w:eastAsia="Arial" w:hAnsi="Arial"/>
          <w:sz w:val="16"/>
          <w:szCs w:val="16"/>
          <w:b w:val="1"/>
          <w:bCs w:val="1"/>
          <w:i w:val="1"/>
          <w:iCs w:val="1"/>
          <w:color w:val="auto"/>
        </w:rPr>
        <w:t>Cash Distributions:</w:t>
      </w:r>
      <w:r>
        <w:rPr>
          <w:rFonts w:ascii="Arial" w:cs="Arial" w:eastAsia="Arial" w:hAnsi="Arial"/>
          <w:sz w:val="16"/>
          <w:szCs w:val="16"/>
          <w:b w:val="1"/>
          <w:bCs w:val="1"/>
          <w:color w:val="auto"/>
        </w:rPr>
        <w:t xml:space="preserve"> </w:t>
      </w:r>
      <w:r>
        <w:rPr>
          <w:rFonts w:ascii="Arial" w:cs="Arial" w:eastAsia="Arial" w:hAnsi="Arial"/>
          <w:sz w:val="16"/>
          <w:szCs w:val="16"/>
          <w:color w:val="auto"/>
        </w:rPr>
        <w:t>Whenever the Company intends to make a distribution of a cash</w:t>
      </w:r>
      <w:r>
        <w:rPr>
          <w:rFonts w:ascii="Arial" w:cs="Arial" w:eastAsia="Arial" w:hAnsi="Arial"/>
          <w:sz w:val="16"/>
          <w:szCs w:val="16"/>
          <w:b w:val="1"/>
          <w:bCs w:val="1"/>
          <w:color w:val="auto"/>
        </w:rPr>
        <w:t xml:space="preserve"> </w:t>
      </w:r>
      <w:r>
        <w:rPr>
          <w:rFonts w:ascii="Arial" w:cs="Arial" w:eastAsia="Arial" w:hAnsi="Arial"/>
          <w:sz w:val="16"/>
          <w:szCs w:val="16"/>
          <w:color w:val="auto"/>
        </w:rPr>
        <w:t xml:space="preserve">dividend or other cash distribution in respect of any Deposited Securities, the Company shall give notice thereof to the Depositary at least twenty (20) days (or such other number of days as mutually agreed to in writing by the Depositary and the Company) prior to the proposed distribution specifying, </w:t>
      </w:r>
      <w:r>
        <w:rPr>
          <w:rFonts w:ascii="Arial" w:cs="Arial" w:eastAsia="Arial" w:hAnsi="Arial"/>
          <w:sz w:val="16"/>
          <w:szCs w:val="16"/>
          <w:i w:val="1"/>
          <w:iCs w:val="1"/>
          <w:color w:val="auto"/>
        </w:rPr>
        <w:t>inter alia</w:t>
      </w:r>
      <w:r>
        <w:rPr>
          <w:rFonts w:ascii="Arial" w:cs="Arial" w:eastAsia="Arial" w:hAnsi="Arial"/>
          <w:sz w:val="16"/>
          <w:szCs w:val="16"/>
          <w:color w:val="auto"/>
        </w:rPr>
        <w:t>, the record date applicable for determining the holders of Deposited Securities entitled to receive such distribution. Upon the timely receipt of such notice, the Depositary shall establish the ADS Record Date upon the terms described in Section 4.9 of the Deposit Agreement. Upon receipt of confirmation of the receipt of (x) any cash dividend or other cash distribution on any Deposited Securities, or (y) proceeds from the sale of any Deposited Property held in respect of the ADSs under the terms of the Deposit Agreement, the Depositary will (i) if at the time of receipt thereof any amounts received in a Foreign Currency can, in the judgment of the Depositary (pursuant to Section 4.8 of the Deposit Agreement), be converted on a practicable basis into Dollars transferable to the United States, promptly convert or cause to be converted such cash dividend, distribution or proceeds into Dollars (on the terms described in Section 4.8 of the Deposit Agreement), (ii) if applicable and unless previously established, establish the ADS Record Date upon the terms described in Section 4.9 of the Deposit Agreement, and (iii) distribute promptly the amount thus received (net of (a) the applicable fees and charges of, and expenses incurred by, the Depositary and (b) applicable taxes withheld) to the Holders entitled thereto as of the ADS Record Date in proportion to the number of ADSs held as of the ADS Record Date. The Depositary shall distribute only such amount, however, as can be distributed without attributing to any Holder a fraction of one cent, and any balance not so distributed shall be held by the Depositary (without liability for interest thereon) and shall be added to and become part of the next sum received by the Depositary for distribution to Holders of ADSs outstanding at the time of the next distribution. If the Company, the Custodian or the Depositary is required to withhold and does withhold from any cash dividend or other cash distribution in respect of any Deposited Securities, or from any cash proceeds from the sales of Deposited Property, an amount on account of taxes, duties or other governmental charges, the amount distributed to Holders on the ADSs shall be reduced accordingly. Such withheld amounts shall be forwarded by the Company, the Custodian or the Depositary to the relevant governmental authority. Evidence of payment thereof by the Company shall be forwarded by the Company to the Depositary upon request. The Depositary will hold any cash amounts it is unable to distribute in a non-interest bearing account for the benefit of the applicable Holders and Beneficial Owners of ADSs until the distribution can be effected or the funds that the Depositary holds must be escheated as unclaimed property in accordance with the laws of the relevant states of the United States. Notwithstanding anything contained in the Deposit Agreement to the contrary, in the event the Company fails to give the Depositary timely notice of the proposed distribution provided for in Section 4.1 of the Deposit Agreement, the Depositary agrees to use commercially reasonable efforts to perform the actions contemplated in Section 4.1 of the Deposit Agreement, and the Company, the Holders and the Beneficial Owners acknowledge that the Depositary shall have no liability for the Depositary’s failure to perform the actions contemplated in Section 4.1 of the Deposit Agreement where such notice has not been so timely given, other than its failure to use commercially reasonable efforts, as provided herein.</w:t>
      </w:r>
    </w:p>
    <w:p>
      <w:pPr>
        <w:spacing w:after="0" w:line="279"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A-13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7620</wp:posOffset>
            </wp:positionV>
            <wp:extent cx="7246620" cy="17145"/>
            <wp:wrapNone/>
            <wp:docPr id="87" name="Picture 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7"/>
                    <pic:cNvPicPr>
                      <a:picLocks noChangeAspect="1" noChangeArrowheads="1"/>
                    </pic:cNvPicPr>
                  </pic:nvPicPr>
                  <pic:blipFill>
                    <a:blip r:embed="rId94">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00"/>
          </w:cols>
          <w:pgMar w:left="260" w:top="337" w:right="239" w:bottom="1440" w:gutter="0" w:footer="0" w:header="0"/>
        </w:sectPr>
      </w:pPr>
    </w:p>
    <w:bookmarkStart w:id="76" w:name="page77"/>
    <w:bookmarkEnd w:id="76"/>
    <w:p>
      <w:pPr>
        <w:ind w:firstLine="656"/>
        <w:spacing w:after="0" w:line="284" w:lineRule="auto"/>
        <w:tabs>
          <w:tab w:leader="none" w:pos="1173" w:val="left"/>
        </w:tabs>
        <w:numPr>
          <w:ilvl w:val="0"/>
          <w:numId w:val="41"/>
        </w:numPr>
        <w:rPr>
          <w:rFonts w:ascii="Arial" w:cs="Arial" w:eastAsia="Arial" w:hAnsi="Arial"/>
          <w:sz w:val="16"/>
          <w:szCs w:val="16"/>
          <w:color w:val="auto"/>
        </w:rPr>
      </w:pPr>
      <w:r>
        <w:rPr>
          <w:rFonts w:ascii="Arial" w:cs="Arial" w:eastAsia="Arial" w:hAnsi="Arial"/>
          <w:sz w:val="16"/>
          <w:szCs w:val="16"/>
          <w:b w:val="1"/>
          <w:bCs w:val="1"/>
          <w:i w:val="1"/>
          <w:iCs w:val="1"/>
          <w:color w:val="auto"/>
        </w:rPr>
        <w:t xml:space="preserve">Share Distributions: </w:t>
      </w:r>
      <w:r>
        <w:rPr>
          <w:rFonts w:ascii="Arial" w:cs="Arial" w:eastAsia="Arial" w:hAnsi="Arial"/>
          <w:sz w:val="16"/>
          <w:szCs w:val="16"/>
          <w:color w:val="auto"/>
        </w:rPr>
        <w:t>Whenever the Company intends to make a distribution that consists of a dividend in, or free distribution of, Shares, the</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 xml:space="preserve">Company shall give notice thereof to the Depositary at least twenty (20) days (or such other number of days as mutually agreed to in writing by the Depositary and the Company) prior to the proposed distribution, specifying, </w:t>
      </w:r>
      <w:r>
        <w:rPr>
          <w:rFonts w:ascii="Arial" w:cs="Arial" w:eastAsia="Arial" w:hAnsi="Arial"/>
          <w:sz w:val="16"/>
          <w:szCs w:val="16"/>
          <w:i w:val="1"/>
          <w:iCs w:val="1"/>
          <w:color w:val="auto"/>
        </w:rPr>
        <w:t>inter alia</w:t>
      </w:r>
      <w:r>
        <w:rPr>
          <w:rFonts w:ascii="Arial" w:cs="Arial" w:eastAsia="Arial" w:hAnsi="Arial"/>
          <w:sz w:val="16"/>
          <w:szCs w:val="16"/>
          <w:color w:val="auto"/>
        </w:rPr>
        <w:t>, the record date applicable to holders of Deposited Securities entitled to receive such distribution. Upon the timely receipt of such notice from the Company, the Depositary shall establish the ADS Record Date upon the terms described in Section 4.9 of the Deposit Agreement. Upon receipt of confirmation from the Custodian of the receipt of the Shares so distributed by the Company, the Depositary shall either (i) subject to Section 5.9 of the Deposit Agreement, distribute to the Holders as of the ADS Record Date in proportion to the number of ADSs held as of the ADS Record Date, additional ADSs, which represent in the aggregate the number of Shares received as such dividend, or free distribution, subject to the other terms of the Deposit Agreement (including, without limitation, (a) the applicable fees and charges of, and expenses incurred by, the Depositary and (b) applicable taxes), or (ii) if additional ADSs are not so distributed, take all actions necessary so that each ADS issued and outstanding after the ADS Record Date shall, to the extent permissible by law, thenceforth also represent rights and interests in the additional integral number of Shares distributed upon the Deposited Securities represented thereby (net of (a) the applicable fees and charges of, and expenses incurred by, the Depositary and (b) applicable taxes). In lieu of delivering fractional ADSs, the Depositary shall sell the number of Shares or ADSs, as the case may be, represented by the aggregate of such fractions and distribute the net proceeds upon the terms described in Section 4.1 of the Deposit Agreement. In the event that the Depositary determines that any distribution in property (including Shares) is subject to any tax or other governmental charges which the Depositary is obligated to withhold, or, if the Company in the fulfillment of its obligation under Section 5.7 of the Deposit Agreement, has furnished an opinion of U.S. counsel determining that Shares must be registered under the Securities Act or other laws in order to be distributed to Holders (and no such registration statement has been declared effective), the Depositary may dispose of all or a portion of such property (including Shares and rights to subscribe therefor) in such amounts and in such manner, including by public or private sale, as the Depositary deems necessary and practicable, and the Depositary shall distribute the net proceeds of any such sale (after deduction of (a) applicable taxes and (b) fees and charges of, and expenses incurred by, the Depositary) to Holders entitled thereto upon the terms described in Section 4.1 of the Deposit Agreement. The Depositary shall hold and/or distribute any unsold balance of such property in accordance with the provisions of the Deposit Agreement. Notwithstanding anything contained in the Deposit Agreement to the contrary, in the event the Company fails to give the Depositary timely notice of the proposed distribution provided for above, the Depositary agrees to use commercially reasonable efforts to perform the actions contemplated in Section 4.2 of the Deposit Agreement, and the Company, the Holders and the Beneficial Owners acknowledge that the Depositary shall have no liability for the Depositary’s failure to perform the actions contemplated in Section 4.2 of the Deposit Agreement where such notice has not been so timely given, other than its failure to use commercially reasonable efforts, as provided herein.</w:t>
      </w:r>
    </w:p>
    <w:p>
      <w:pPr>
        <w:spacing w:after="0" w:line="276"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A-14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7620</wp:posOffset>
            </wp:positionV>
            <wp:extent cx="7246620" cy="17145"/>
            <wp:wrapNone/>
            <wp:docPr id="88" name="Picture 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8"/>
                    <pic:cNvPicPr>
                      <a:picLocks noChangeAspect="1" noChangeArrowheads="1"/>
                    </pic:cNvPicPr>
                  </pic:nvPicPr>
                  <pic:blipFill>
                    <a:blip r:embed="rId95">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341" w:right="239" w:bottom="1440" w:gutter="0" w:footer="0" w:header="0"/>
        </w:sectPr>
      </w:pPr>
    </w:p>
    <w:bookmarkStart w:id="77" w:name="page78"/>
    <w:bookmarkEnd w:id="77"/>
    <w:p>
      <w:pPr>
        <w:ind w:left="-40" w:firstLine="656"/>
        <w:spacing w:after="0" w:line="284" w:lineRule="auto"/>
        <w:tabs>
          <w:tab w:leader="none" w:pos="1123" w:val="left"/>
        </w:tabs>
        <w:numPr>
          <w:ilvl w:val="0"/>
          <w:numId w:val="42"/>
        </w:numPr>
        <w:rPr>
          <w:rFonts w:ascii="Arial" w:cs="Arial" w:eastAsia="Arial" w:hAnsi="Arial"/>
          <w:sz w:val="16"/>
          <w:szCs w:val="16"/>
          <w:color w:val="auto"/>
        </w:rPr>
      </w:pPr>
      <w:r>
        <w:rPr>
          <w:rFonts w:ascii="Arial" w:cs="Arial" w:eastAsia="Arial" w:hAnsi="Arial"/>
          <w:sz w:val="16"/>
          <w:szCs w:val="16"/>
          <w:b w:val="1"/>
          <w:bCs w:val="1"/>
          <w:i w:val="1"/>
          <w:iCs w:val="1"/>
          <w:color w:val="auto"/>
        </w:rPr>
        <w:t xml:space="preserve">Elective Distributions in Cash or Shares: </w:t>
      </w:r>
      <w:r>
        <w:rPr>
          <w:rFonts w:ascii="Arial" w:cs="Arial" w:eastAsia="Arial" w:hAnsi="Arial"/>
          <w:sz w:val="16"/>
          <w:szCs w:val="16"/>
          <w:color w:val="auto"/>
        </w:rPr>
        <w:t>Whenever the Company intends to make a distribution payable at the election of the holders of</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 xml:space="preserve">Deposited Securities in cash or in additional Shares, the Company shall give notice thereof to the Depositary at least sixty (60) days (or such other number of days as mutually agreed to in writing by the Depositary and the Company) prior to the proposed distribution specifying, </w:t>
      </w:r>
      <w:r>
        <w:rPr>
          <w:rFonts w:ascii="Arial" w:cs="Arial" w:eastAsia="Arial" w:hAnsi="Arial"/>
          <w:sz w:val="16"/>
          <w:szCs w:val="16"/>
          <w:i w:val="1"/>
          <w:iCs w:val="1"/>
          <w:color w:val="auto"/>
        </w:rPr>
        <w:t>inter alia</w:t>
      </w:r>
      <w:r>
        <w:rPr>
          <w:rFonts w:ascii="Arial" w:cs="Arial" w:eastAsia="Arial" w:hAnsi="Arial"/>
          <w:sz w:val="16"/>
          <w:szCs w:val="16"/>
          <w:color w:val="auto"/>
        </w:rPr>
        <w:t>, the record date applicable to holders of Deposited Securities entitled to receive such elective distribution and whether or not it wishes such elective distribution to be made available to Holders of ADSs. Upon the timely receipt of a notice indicating that the Company wishes such elective distribution to be made available to Holders of ADSs, the Depositary shall consult with the Company to determine, and the Company shall assist the Depositary in its determination, whether it is lawful and reasonably practicable to make such elective distribution available to the Holders of ADSs. The Depositary shall make such elective distribution available to Holders only if (i) the Company shall have timely requested that the elective distribution be made available to Holders, (ii) the Depositary shall have determined that such distribution is reasonably practicable and (iii) the Depositary shall have received satisfactory documentation within the terms of Section 5.7 of the Deposit Agreement. If the above conditions are not satisfied or if the Company requests such elective distribution not to be made available to Holders of ADSs, the Depositary shall establish the ADS Record Date on the terms described in Section 4.9 of the Deposit Agreement and, to the extent permitted by law, distribute to the Holders, on the basis of the same determination as is made in England and Wales in respect of the Shares for which no election is made, either (X) cash upon the terms described in Section 4.1 of the Deposit Agreement or (Y) additional ADSs representing such additional Shares upon the terms described in Section 4.2 of the Deposit Agreement. If the above conditions are satisfied, the Depositary shall establish an ADS Record Date on the terms described in Section 4.9 of the Deposit Agreement and establish procedures to enable Holders to elect the receipt of the proposed distribution in cash or in additional ADSs. The Company shall assist the Depositary in establishing such procedures to the extent necessary. If a Holder elects to receive the proposed distribution (X) in cash, the distribution shall be made upon the terms described in Section 4.1 of the Deposit Agreement, or (Y) in ADSs, the distribution shall be made upon the terms described in Section 4.2 of the Deposit Agreement. Nothing herein shall obligate the Depositary to make available to Holders a method to receive the elective distribution in Shares (rather than ADSs). There can be no assurance that Holders generally, or any Holder in particular, will be given the opportunity to receive elective distributions on the same terms and conditions as the holders of Shares. Notwithstanding anything contained in the Deposit Agreement to the contrary, in the event the Company fails to give the Depositary timely notice of the proposed distribution provided for in Section 4.3 of the Deposit Agreement, the Depositary agrees to use commercially reasonable efforts to perform the actions contemplated in Section 4.3 of the Deposit Agreement, and the Company, the Holders and the Beneficial Owners acknowledge that the Depositary shall have no liability for the Depositary’s failure to perform the actions contemplated in Section 4.3 of the Deposit Agreement where such notice has not been so timely given, other than its failure to use commercially reasonable efforts, as provided herein.</w:t>
      </w:r>
    </w:p>
    <w:p>
      <w:pPr>
        <w:spacing w:after="0" w:line="276"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A-15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-19685</wp:posOffset>
            </wp:positionH>
            <wp:positionV relativeFrom="paragraph">
              <wp:posOffset>7620</wp:posOffset>
            </wp:positionV>
            <wp:extent cx="7246620" cy="17145"/>
            <wp:wrapNone/>
            <wp:docPr id="89" name="Picture 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9"/>
                    <pic:cNvPicPr>
                      <a:picLocks noChangeAspect="1" noChangeArrowheads="1"/>
                    </pic:cNvPicPr>
                  </pic:nvPicPr>
                  <pic:blipFill>
                    <a:blip r:embed="rId96">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360"/>
          </w:cols>
          <w:pgMar w:left="280" w:top="341" w:right="259" w:bottom="1440" w:gutter="0" w:footer="0" w:header="0"/>
        </w:sectPr>
      </w:pPr>
    </w:p>
    <w:bookmarkStart w:id="78" w:name="page79"/>
    <w:bookmarkEnd w:id="78"/>
    <w:p>
      <w:pPr>
        <w:ind w:left="-8" w:right="20" w:firstLine="656"/>
        <w:spacing w:after="0" w:line="284" w:lineRule="auto"/>
        <w:tabs>
          <w:tab w:leader="none" w:pos="1165" w:val="left"/>
        </w:tabs>
        <w:numPr>
          <w:ilvl w:val="1"/>
          <w:numId w:val="43"/>
        </w:numPr>
        <w:rPr>
          <w:rFonts w:ascii="Arial" w:cs="Arial" w:eastAsia="Arial" w:hAnsi="Arial"/>
          <w:sz w:val="16"/>
          <w:szCs w:val="16"/>
          <w:color w:val="auto"/>
        </w:rPr>
      </w:pPr>
      <w:r>
        <w:rPr>
          <w:rFonts w:ascii="Arial" w:cs="Arial" w:eastAsia="Arial" w:hAnsi="Arial"/>
          <w:sz w:val="16"/>
          <w:szCs w:val="16"/>
          <w:b w:val="1"/>
          <w:bCs w:val="1"/>
          <w:i w:val="1"/>
          <w:iCs w:val="1"/>
          <w:color w:val="auto"/>
        </w:rPr>
        <w:t xml:space="preserve">Distribution of Rights to Purchase Additional ADSs: </w:t>
      </w:r>
      <w:r>
        <w:rPr>
          <w:rFonts w:ascii="Arial" w:cs="Arial" w:eastAsia="Arial" w:hAnsi="Arial"/>
          <w:sz w:val="16"/>
          <w:szCs w:val="16"/>
          <w:color w:val="auto"/>
        </w:rPr>
        <w:t>Whenever the Company intends to distribute to the holders of the Deposited Securities</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 xml:space="preserve">rights to subscribe for additional Shares, the Company shall give notice thereof to the Depositary at least sixty (60) days (or such other number of days as mutually agreed to in writing by the Depositary and the Company) prior to the proposed distribution specifying, </w:t>
      </w:r>
      <w:r>
        <w:rPr>
          <w:rFonts w:ascii="Arial" w:cs="Arial" w:eastAsia="Arial" w:hAnsi="Arial"/>
          <w:sz w:val="16"/>
          <w:szCs w:val="16"/>
          <w:i w:val="1"/>
          <w:iCs w:val="1"/>
          <w:color w:val="auto"/>
        </w:rPr>
        <w:t>inter alia</w:t>
      </w:r>
      <w:r>
        <w:rPr>
          <w:rFonts w:ascii="Arial" w:cs="Arial" w:eastAsia="Arial" w:hAnsi="Arial"/>
          <w:sz w:val="16"/>
          <w:szCs w:val="16"/>
          <w:color w:val="auto"/>
        </w:rPr>
        <w:t>, the record date applicable to holders of Deposited Securities entitled to receive such distribution and whether or not it wishes such rights to be made available to Holders of ADSs. Upon the timely receipt of a notice indicating that the Company wishes such rights to be made available to Holders of ADSs, the Depositary shall consult with the Company to determine, and the Company shall assist the Depositary in its determination, whether it is lawful and reasonably practicable to make such rights available to the Holders. The Depositary shall make such rights available to Holders only if (i) the Company shall have timely requested that such rights be made available to Holders, (ii) the Depositary shall have received satisfactory documentation within the terms of Section 5.7 of the Deposit Agreement, and</w:t>
      </w:r>
    </w:p>
    <w:p>
      <w:pPr>
        <w:spacing w:after="0" w:line="1" w:lineRule="exact"/>
        <w:rPr>
          <w:rFonts w:ascii="Arial" w:cs="Arial" w:eastAsia="Arial" w:hAnsi="Arial"/>
          <w:sz w:val="16"/>
          <w:szCs w:val="16"/>
          <w:color w:val="auto"/>
        </w:rPr>
      </w:pPr>
    </w:p>
    <w:p>
      <w:pPr>
        <w:ind w:left="-8" w:firstLine="8"/>
        <w:spacing w:after="0" w:line="268" w:lineRule="auto"/>
        <w:tabs>
          <w:tab w:leader="none" w:pos="307" w:val="left"/>
        </w:tabs>
        <w:numPr>
          <w:ilvl w:val="0"/>
          <w:numId w:val="44"/>
        </w:numPr>
        <w:rPr>
          <w:rFonts w:ascii="Arial" w:cs="Arial" w:eastAsia="Arial" w:hAnsi="Arial"/>
          <w:sz w:val="17"/>
          <w:szCs w:val="17"/>
          <w:color w:val="auto"/>
        </w:rPr>
      </w:pPr>
      <w:r>
        <w:rPr>
          <w:rFonts w:ascii="Arial" w:cs="Arial" w:eastAsia="Arial" w:hAnsi="Arial"/>
          <w:sz w:val="17"/>
          <w:szCs w:val="17"/>
          <w:color w:val="auto"/>
        </w:rPr>
        <w:t>the Depositary shall have determined that such distribution of rights is reasonably practicable. In the event any of the conditions set forth above are not satisfied or if the Company requests that the rights not be made available to Holders of ADSs, the Depositary shall proceed with the sale of the rights as contemplated in Section 4.4(b) of the Deposit Agreement. In the event all conditions set forth above are satisfied, the Depositary shall establish the ADS Record Date (upon the terms described in Section 4.9 of the Deposit Agreement) and establish procedures to (x) distribute rights to purchase additional ADSs (by means of warrants or otherwise), (y) enable the Holders to exercise such rights (upon payment of the subscription price and of the applicable (a) fees and charges of, and expenses incurred by, the Depositary and (b) taxes), and (z) deliver ADSs upon the valid exercise of such rights. The Company shall assist the Depositary to the extent necessary in establishing such procedures. Nothing herein shall obligate the Depositary to make available to the Holders a method to exercise rights to subscribe for Shares (rather than ADSs).</w:t>
      </w:r>
    </w:p>
    <w:p>
      <w:pPr>
        <w:spacing w:after="0" w:line="285" w:lineRule="exact"/>
        <w:rPr>
          <w:sz w:val="20"/>
          <w:szCs w:val="20"/>
          <w:color w:val="auto"/>
        </w:rPr>
      </w:pPr>
    </w:p>
    <w:p>
      <w:pPr>
        <w:jc w:val="center"/>
        <w:ind w:right="-31"/>
        <w:spacing w:after="0"/>
        <w:rPr>
          <w:sz w:val="20"/>
          <w:szCs w:val="20"/>
          <w:color w:val="auto"/>
        </w:rPr>
      </w:pPr>
      <w:r>
        <w:rPr>
          <w:rFonts w:ascii="Arial" w:cs="Arial" w:eastAsia="Arial" w:hAnsi="Arial"/>
          <w:sz w:val="22"/>
          <w:szCs w:val="22"/>
          <w:color w:val="auto"/>
        </w:rPr>
        <w:t>A-16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7620</wp:posOffset>
            </wp:positionV>
            <wp:extent cx="7246620" cy="17145"/>
            <wp:wrapNone/>
            <wp:docPr id="90" name="Picture 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0"/>
                    <pic:cNvPicPr>
                      <a:picLocks noChangeAspect="1" noChangeArrowheads="1"/>
                    </pic:cNvPicPr>
                  </pic:nvPicPr>
                  <pic:blipFill>
                    <a:blip r:embed="rId97">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372"/>
          </w:cols>
          <w:pgMar w:left="248" w:top="341" w:right="279" w:bottom="1440" w:gutter="0" w:footer="0" w:header="0"/>
        </w:sectPr>
      </w:pPr>
    </w:p>
    <w:bookmarkStart w:id="79" w:name="page80"/>
    <w:bookmarkEnd w:id="79"/>
    <w:p>
      <w:pPr>
        <w:ind w:firstLine="648"/>
        <w:spacing w:after="0" w:line="291" w:lineRule="auto"/>
        <w:rPr>
          <w:sz w:val="20"/>
          <w:szCs w:val="20"/>
          <w:color w:val="auto"/>
        </w:rPr>
      </w:pPr>
      <w:r>
        <w:rPr>
          <w:rFonts w:ascii="Arial" w:cs="Arial" w:eastAsia="Arial" w:hAnsi="Arial"/>
          <w:sz w:val="16"/>
          <w:szCs w:val="16"/>
          <w:color w:val="auto"/>
        </w:rPr>
        <w:t>If (i) the Company does not timely request the Depositary to make the rights available to Holders or requests that the rights not be made available to Holders, (ii) the Depositary fails to receive satisfactory documentation within the terms of Section 5.7 of the Deposit Agreement, or determines it is not reasonably practicable to make the rights available to Holders, or (iii) any rights made available are not exercised and appear to be about to lapse, the Depositary shall determine whether it is lawful and reasonably practicable to sell such rights, in a riskless principal capacity, at such place and upon such terms (including public or private sale) as it may deem practicable. The Company shall assist the Depositary to the extent necessary to determine such legality and practicability. The Depositary shall, upon such sale, convert and distribute proceeds of such sale (net of applicable (a) fees and charges of, and expenses incurred by, the Depositary and (b) taxes) upon the terms set forth in Section 4.1 of the Deposit Agreement.</w:t>
      </w:r>
    </w:p>
    <w:p>
      <w:pPr>
        <w:spacing w:after="0" w:line="167" w:lineRule="exact"/>
        <w:rPr>
          <w:sz w:val="20"/>
          <w:szCs w:val="20"/>
          <w:color w:val="auto"/>
        </w:rPr>
      </w:pPr>
    </w:p>
    <w:p>
      <w:pPr>
        <w:ind w:firstLine="648"/>
        <w:spacing w:after="0" w:line="308" w:lineRule="auto"/>
        <w:rPr>
          <w:sz w:val="20"/>
          <w:szCs w:val="20"/>
          <w:color w:val="auto"/>
        </w:rPr>
      </w:pPr>
      <w:r>
        <w:rPr>
          <w:rFonts w:ascii="Arial" w:cs="Arial" w:eastAsia="Arial" w:hAnsi="Arial"/>
          <w:sz w:val="17"/>
          <w:szCs w:val="17"/>
          <w:color w:val="auto"/>
        </w:rPr>
        <w:t>If the Depositary is unable to make any rights available to Holders upon the terms described in Section 4.4(a) of the Deposit Agreement or to arrange for the sale of the rights upon the terms described in Section 4.4(b) of the Deposit Agreement, the Depositary shall allow such rights to lapse.</w:t>
      </w:r>
    </w:p>
    <w:p>
      <w:pPr>
        <w:spacing w:after="0" w:line="147" w:lineRule="exact"/>
        <w:rPr>
          <w:sz w:val="20"/>
          <w:szCs w:val="20"/>
          <w:color w:val="auto"/>
        </w:rPr>
      </w:pPr>
    </w:p>
    <w:p>
      <w:pPr>
        <w:ind w:right="80" w:firstLine="648"/>
        <w:spacing w:after="0" w:line="264" w:lineRule="auto"/>
        <w:rPr>
          <w:sz w:val="20"/>
          <w:szCs w:val="20"/>
          <w:color w:val="auto"/>
        </w:rPr>
      </w:pPr>
      <w:r>
        <w:rPr>
          <w:rFonts w:ascii="Arial" w:cs="Arial" w:eastAsia="Arial" w:hAnsi="Arial"/>
          <w:sz w:val="18"/>
          <w:szCs w:val="18"/>
          <w:color w:val="auto"/>
        </w:rPr>
        <w:t>The Depositary shall not be liable for (i) any failure to accurately determine whether it may be lawful or practicable to make such rights available to Holders in general or any Holders in particular, (ii) any foreign exchange exposure or loss incurred in connection with such sale, or exercise, or (iii) the content of any materials forwarded to the Holders on behalf of the Company in connection with the rights distribution.</w:t>
      </w:r>
    </w:p>
    <w:p>
      <w:pPr>
        <w:spacing w:after="0" w:line="181" w:lineRule="exact"/>
        <w:rPr>
          <w:sz w:val="20"/>
          <w:szCs w:val="20"/>
          <w:color w:val="auto"/>
        </w:rPr>
      </w:pPr>
    </w:p>
    <w:p>
      <w:pPr>
        <w:ind w:right="20" w:firstLine="648"/>
        <w:spacing w:after="0" w:line="272" w:lineRule="auto"/>
        <w:rPr>
          <w:sz w:val="20"/>
          <w:szCs w:val="20"/>
          <w:color w:val="auto"/>
        </w:rPr>
      </w:pPr>
      <w:r>
        <w:rPr>
          <w:rFonts w:ascii="Arial" w:cs="Arial" w:eastAsia="Arial" w:hAnsi="Arial"/>
          <w:sz w:val="17"/>
          <w:szCs w:val="17"/>
          <w:color w:val="auto"/>
        </w:rPr>
        <w:t>Notwithstanding anything to the contrary in Section 4.4 of the Deposit Agreement, if registration (under the Securities Act or any other applicable law) of the rights or the securities to which any rights relate may be required in order for the Company to offer such rights or such securities to Holders and to sell the securities represented by such rights, the Depositary will not distribute such rights to the Holders (i) unless and until a registration statement under the Securities Act (or other applicable law) covering such offering is in effect or (ii) unless the Company furnishes the Depositary opinion(s) of counsel for the Company in the United States and counsel to the Company in any other applicable country in which rights would be distributed, in each case satisfactory to the Depositary, to the effect that the offering and sale of such securities to Holders and Beneficial Owners are exempt from, or do not require registration under, the provisions of the Securities Act or any other applicable laws.</w:t>
      </w:r>
    </w:p>
    <w:p>
      <w:pPr>
        <w:spacing w:after="0" w:line="178" w:lineRule="exact"/>
        <w:rPr>
          <w:sz w:val="20"/>
          <w:szCs w:val="20"/>
          <w:color w:val="auto"/>
        </w:rPr>
      </w:pPr>
    </w:p>
    <w:p>
      <w:pPr>
        <w:ind w:right="180" w:firstLine="648"/>
        <w:spacing w:after="0" w:line="273" w:lineRule="auto"/>
        <w:rPr>
          <w:sz w:val="20"/>
          <w:szCs w:val="20"/>
          <w:color w:val="auto"/>
        </w:rPr>
      </w:pPr>
      <w:r>
        <w:rPr>
          <w:rFonts w:ascii="Arial" w:cs="Arial" w:eastAsia="Arial" w:hAnsi="Arial"/>
          <w:sz w:val="17"/>
          <w:szCs w:val="17"/>
          <w:color w:val="auto"/>
        </w:rPr>
        <w:t>In the event that the Company, the Depositary or the Custodian shall be required to withhold and does withhold from any distribution of Deposited Property (including rights) an amount on account of taxes or other governmental charges, the amount distributed to the Holders of ADSs shall be reduced accordingly. In the event that the Depositary determines that any distribution of Deposited Property (including Shares and rights to subscribe therefor) is subject to any tax or other governmental charges which the Depositary is obligated to withhold, the Depositary may dispose of all or a portion of such Deposited Property (including Shares and rights to subscribe therefor) in such amounts and in such manner, including by public or private sale, as the Depositary deems necessary and practicable to pay any such taxes or charges.</w:t>
      </w:r>
    </w:p>
    <w:p>
      <w:pPr>
        <w:spacing w:after="0" w:line="279" w:lineRule="exact"/>
        <w:rPr>
          <w:sz w:val="20"/>
          <w:szCs w:val="20"/>
          <w:color w:val="auto"/>
        </w:rPr>
      </w:pPr>
    </w:p>
    <w:p>
      <w:pPr>
        <w:jc w:val="center"/>
        <w:ind w:right="-19"/>
        <w:spacing w:after="0"/>
        <w:rPr>
          <w:sz w:val="20"/>
          <w:szCs w:val="20"/>
          <w:color w:val="auto"/>
        </w:rPr>
      </w:pPr>
      <w:r>
        <w:rPr>
          <w:rFonts w:ascii="Arial" w:cs="Arial" w:eastAsia="Arial" w:hAnsi="Arial"/>
          <w:sz w:val="22"/>
          <w:szCs w:val="22"/>
          <w:color w:val="auto"/>
        </w:rPr>
        <w:t>A-17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7620</wp:posOffset>
            </wp:positionV>
            <wp:extent cx="7246620" cy="17145"/>
            <wp:wrapNone/>
            <wp:docPr id="91" name="Picture 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1"/>
                    <pic:cNvPicPr>
                      <a:picLocks noChangeAspect="1" noChangeArrowheads="1"/>
                    </pic:cNvPicPr>
                  </pic:nvPicPr>
                  <pic:blipFill>
                    <a:blip r:embed="rId98">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00"/>
          </w:cols>
          <w:pgMar w:left="240" w:top="341" w:right="259" w:bottom="1440" w:gutter="0" w:footer="0" w:header="0"/>
        </w:sectPr>
      </w:pPr>
    </w:p>
    <w:bookmarkStart w:id="80" w:name="page81"/>
    <w:bookmarkEnd w:id="80"/>
    <w:p>
      <w:pPr>
        <w:ind w:firstLine="648"/>
        <w:spacing w:after="0" w:line="264" w:lineRule="auto"/>
        <w:rPr>
          <w:sz w:val="20"/>
          <w:szCs w:val="20"/>
          <w:color w:val="auto"/>
        </w:rPr>
      </w:pPr>
      <w:r>
        <w:rPr>
          <w:rFonts w:ascii="Arial" w:cs="Arial" w:eastAsia="Arial" w:hAnsi="Arial"/>
          <w:sz w:val="18"/>
          <w:szCs w:val="18"/>
          <w:color w:val="auto"/>
        </w:rPr>
        <w:t>There can be no assurance that Holders generally, or any Holder in particular, will be given the opportunity to receive or exercise rights on the same terms and conditions as the holders of Shares or be able to exercise such rights. Nothing herein shall obligate the Company to file any registration statement in respect of any rights or Shares or other securities to be acquired upon the exercise of such rights.</w:t>
      </w:r>
    </w:p>
    <w:p>
      <w:pPr>
        <w:spacing w:after="0" w:line="181" w:lineRule="exact"/>
        <w:rPr>
          <w:sz w:val="20"/>
          <w:szCs w:val="20"/>
          <w:color w:val="auto"/>
        </w:rPr>
      </w:pPr>
    </w:p>
    <w:p>
      <w:pPr>
        <w:ind w:right="100" w:firstLine="656"/>
        <w:spacing w:after="0" w:line="291" w:lineRule="auto"/>
        <w:tabs>
          <w:tab w:leader="none" w:pos="1163" w:val="left"/>
        </w:tabs>
        <w:numPr>
          <w:ilvl w:val="0"/>
          <w:numId w:val="45"/>
        </w:numPr>
        <w:rPr>
          <w:rFonts w:ascii="Arial" w:cs="Arial" w:eastAsia="Arial" w:hAnsi="Arial"/>
          <w:sz w:val="16"/>
          <w:szCs w:val="16"/>
          <w:color w:val="auto"/>
        </w:rPr>
      </w:pPr>
      <w:r>
        <w:rPr>
          <w:rFonts w:ascii="Arial" w:cs="Arial" w:eastAsia="Arial" w:hAnsi="Arial"/>
          <w:sz w:val="16"/>
          <w:szCs w:val="16"/>
          <w:b w:val="1"/>
          <w:bCs w:val="1"/>
          <w:i w:val="1"/>
          <w:iCs w:val="1"/>
          <w:color w:val="auto"/>
        </w:rPr>
        <w:t xml:space="preserve">Distributions Other Than Cash, Shares or Rights to Purchase Shares: </w:t>
      </w:r>
      <w:r>
        <w:rPr>
          <w:rFonts w:ascii="Arial" w:cs="Arial" w:eastAsia="Arial" w:hAnsi="Arial"/>
          <w:sz w:val="16"/>
          <w:szCs w:val="16"/>
          <w:color w:val="auto"/>
        </w:rPr>
        <w:t>Whenever the Company intends to distribute to the holders of</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Deposited Securities property other than cash, Shares or rights to purchase additional Shares, the Company shall give timely notice thereof to the Depositary and shall indicate whether or not it wishes such distribution to be made to Holders of ADSs. Upon receipt of a notice indicating that the Company wishes such distribution to be made to Holders of ADSs, the Depositary shall consult with the Company, and the Company shall assist the Depositary, to determine whether such distribution to Holders is lawful and reasonably practicable. The Depositary shall not make such distribution unless (i) the Company shall have requested the Depositary to make such distribution to Holders, (ii) the Depositary shall have received satisfactory documentation within the terms of Section 5.7 of the Deposit Agreement, and (iii) the Depositary shall have determined that such distribution is reasonably practicable.</w:t>
      </w:r>
    </w:p>
    <w:p>
      <w:pPr>
        <w:spacing w:after="0" w:line="167" w:lineRule="exact"/>
        <w:rPr>
          <w:sz w:val="20"/>
          <w:szCs w:val="20"/>
          <w:color w:val="auto"/>
        </w:rPr>
      </w:pPr>
    </w:p>
    <w:p>
      <w:pPr>
        <w:ind w:right="60" w:firstLine="648"/>
        <w:spacing w:after="0" w:line="288" w:lineRule="auto"/>
        <w:rPr>
          <w:sz w:val="20"/>
          <w:szCs w:val="20"/>
          <w:color w:val="auto"/>
        </w:rPr>
      </w:pPr>
      <w:r>
        <w:rPr>
          <w:rFonts w:ascii="Arial" w:cs="Arial" w:eastAsia="Arial" w:hAnsi="Arial"/>
          <w:sz w:val="16"/>
          <w:szCs w:val="16"/>
          <w:color w:val="auto"/>
        </w:rPr>
        <w:t>Upon receipt of satisfactory documentation and the request of the Company to distribute property to Holders of ADSs and after making the requisite determinations set forth in (a) above, the Depositary shall distribute the property so received to the Holders of record, as of the ADS Record Date, in proportion to the number of ADSs held by them respectively and in such manner as the Depositary may deem practicable for accomplishing such distribution</w:t>
      </w:r>
    </w:p>
    <w:p>
      <w:pPr>
        <w:ind w:right="160" w:firstLine="8"/>
        <w:spacing w:after="0" w:line="254" w:lineRule="auto"/>
        <w:tabs>
          <w:tab w:leader="none" w:pos="215" w:val="left"/>
        </w:tabs>
        <w:numPr>
          <w:ilvl w:val="0"/>
          <w:numId w:val="46"/>
        </w:numPr>
        <w:rPr>
          <w:rFonts w:ascii="Arial" w:cs="Arial" w:eastAsia="Arial" w:hAnsi="Arial"/>
          <w:sz w:val="18"/>
          <w:szCs w:val="18"/>
          <w:color w:val="auto"/>
        </w:rPr>
      </w:pPr>
      <w:r>
        <w:rPr>
          <w:rFonts w:ascii="Arial" w:cs="Arial" w:eastAsia="Arial" w:hAnsi="Arial"/>
          <w:sz w:val="18"/>
          <w:szCs w:val="18"/>
          <w:color w:val="auto"/>
        </w:rPr>
        <w:t>upon receipt of payment or net of the applicable fees and charges of, and expenses incurred by, the Depositary, and (ii) net of any applicable taxes withheld. The Depositary may dispose of all or a portion of the property so distributed and deposited, in such amounts and in such manner (including public or private sale) as the Depositary may deem practicable or necessary to satisfy any taxes (including applicable interest and penalties) or other governmental charges applicable to the distribution.</w:t>
      </w:r>
    </w:p>
    <w:p>
      <w:pPr>
        <w:spacing w:after="0" w:line="190" w:lineRule="exact"/>
        <w:rPr>
          <w:sz w:val="20"/>
          <w:szCs w:val="20"/>
          <w:color w:val="auto"/>
        </w:rPr>
      </w:pPr>
    </w:p>
    <w:p>
      <w:pPr>
        <w:ind w:right="60" w:firstLine="648"/>
        <w:spacing w:after="0" w:line="254" w:lineRule="auto"/>
        <w:rPr>
          <w:sz w:val="20"/>
          <w:szCs w:val="20"/>
          <w:color w:val="auto"/>
        </w:rPr>
      </w:pPr>
      <w:r>
        <w:rPr>
          <w:rFonts w:ascii="Arial" w:cs="Arial" w:eastAsia="Arial" w:hAnsi="Arial"/>
          <w:sz w:val="18"/>
          <w:szCs w:val="18"/>
          <w:color w:val="auto"/>
        </w:rPr>
        <w:t>If (i) the Company does not request the Depositary to make such distribution to Holders or requests the Depositary not to make such distribution to Holders, (ii) the Depositary does not receive satisfactory documentation within the terms of Section 5.7 of the Deposit Agreement, or (iii) the Depositary determines that all or a portion of such distribution is not reasonably practicable, the Depositary shall sell or cause such property to be sold in a public or private sale, at such place or places and upon such terms as it may deem practicable and shall (i) cause the proceeds of such sale, if any, to be converted into Dollars and (ii) distribute the proceeds of such conversion received by the Depositary (net of applicable (a) fees and charges of, and expenses incurred by, the Depositary and (b) taxes) to the Holders as of the ADS Record Date upon the terms of Section 4.1 of the Deposit Agreement. If the Depositary is unable to sell such property, the Depositary may dispose of such property for the account of the Holders in any way it deems reasonably practicable under the circumstances.</w:t>
      </w:r>
    </w:p>
    <w:p>
      <w:pPr>
        <w:spacing w:after="0" w:line="293"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A-18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7620</wp:posOffset>
            </wp:positionV>
            <wp:extent cx="7246620" cy="17145"/>
            <wp:wrapNone/>
            <wp:docPr id="92" name="Picture 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2"/>
                    <pic:cNvPicPr>
                      <a:picLocks noChangeAspect="1" noChangeArrowheads="1"/>
                    </pic:cNvPicPr>
                  </pic:nvPicPr>
                  <pic:blipFill>
                    <a:blip r:embed="rId99">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341" w:right="239" w:bottom="1440" w:gutter="0" w:footer="0" w:header="0"/>
        </w:sectPr>
      </w:pPr>
    </w:p>
    <w:bookmarkStart w:id="81" w:name="page82"/>
    <w:bookmarkEnd w:id="81"/>
    <w:p>
      <w:pPr>
        <w:ind w:right="400" w:firstLine="648"/>
        <w:spacing w:after="0" w:line="264" w:lineRule="auto"/>
        <w:rPr>
          <w:sz w:val="20"/>
          <w:szCs w:val="20"/>
          <w:color w:val="auto"/>
        </w:rPr>
      </w:pPr>
      <w:r>
        <w:rPr>
          <w:rFonts w:ascii="Arial" w:cs="Arial" w:eastAsia="Arial" w:hAnsi="Arial"/>
          <w:sz w:val="18"/>
          <w:szCs w:val="18"/>
          <w:color w:val="auto"/>
        </w:rPr>
        <w:t>Neither the Depositary nor the Company shall be liable for (i) any failure to accurately determine whether it is lawful or practicable to make the property described in Section 4.5 of the Deposit Agreement available to Holders in general or any Holders in particular, nor (ii) any loss incurred in connection with the sale or disposal of such property.</w:t>
      </w:r>
    </w:p>
    <w:p>
      <w:pPr>
        <w:spacing w:after="0" w:line="177" w:lineRule="exact"/>
        <w:rPr>
          <w:sz w:val="20"/>
          <w:szCs w:val="20"/>
          <w:color w:val="auto"/>
        </w:rPr>
      </w:pPr>
    </w:p>
    <w:p>
      <w:pPr>
        <w:ind w:right="40" w:firstLine="656"/>
        <w:spacing w:after="0" w:line="286" w:lineRule="auto"/>
        <w:tabs>
          <w:tab w:leader="none" w:pos="1218" w:val="left"/>
        </w:tabs>
        <w:numPr>
          <w:ilvl w:val="0"/>
          <w:numId w:val="47"/>
        </w:numPr>
        <w:rPr>
          <w:rFonts w:ascii="Arial" w:cs="Arial" w:eastAsia="Arial" w:hAnsi="Arial"/>
          <w:sz w:val="16"/>
          <w:szCs w:val="16"/>
          <w:b w:val="1"/>
          <w:bCs w:val="1"/>
          <w:color w:val="auto"/>
        </w:rPr>
      </w:pPr>
      <w:r>
        <w:rPr>
          <w:rFonts w:ascii="Arial" w:cs="Arial" w:eastAsia="Arial" w:hAnsi="Arial"/>
          <w:sz w:val="16"/>
          <w:szCs w:val="16"/>
          <w:b w:val="1"/>
          <w:bCs w:val="1"/>
          <w:u w:val="single" w:color="auto"/>
          <w:color w:val="auto"/>
        </w:rPr>
        <w:t>Redemption</w:t>
      </w:r>
      <w:r>
        <w:rPr>
          <w:rFonts w:ascii="Arial" w:cs="Arial" w:eastAsia="Arial" w:hAnsi="Arial"/>
          <w:sz w:val="16"/>
          <w:szCs w:val="16"/>
          <w:color w:val="auto"/>
        </w:rPr>
        <w:t>. If the Company intends to exercise any right of redemption in respect of any of the Deposited Securities, the Company shall</w:t>
      </w:r>
      <w:r>
        <w:rPr>
          <w:rFonts w:ascii="Arial" w:cs="Arial" w:eastAsia="Arial" w:hAnsi="Arial"/>
          <w:sz w:val="16"/>
          <w:szCs w:val="16"/>
          <w:b w:val="1"/>
          <w:bCs w:val="1"/>
          <w:color w:val="auto"/>
        </w:rPr>
        <w:t xml:space="preserve"> </w:t>
      </w:r>
      <w:r>
        <w:rPr>
          <w:rFonts w:ascii="Arial" w:cs="Arial" w:eastAsia="Arial" w:hAnsi="Arial"/>
          <w:sz w:val="16"/>
          <w:szCs w:val="16"/>
          <w:color w:val="auto"/>
        </w:rPr>
        <w:t>give notice thereof to the Depositary at least sixty (60) days (or such other number of days as mutually agreed to in writing by the Depositary and the Company) prior to the intended date of redemption which notice shall set forth the particulars of the proposed redemption. Upon timely receipt of (i) such notice and (ii) satisfactory documentation given by the Company to the Depositary within the terms of Section 5.7 of the Deposit Agreement, and only if the Depositary shall have determined that such proposed redemption is practicable, the Depositary shall provide to each Holder a notice setting forth the intended exercise by the Company of the redemption rights and any other particulars set forth in the Company’s notice to the Depositary. The Depositary shall instruct the Custodian to present to the Company the Deposited Securities in respect of which redemption rights are being exercised against payment of the applicable redemption price. Upon receipt of confirmation from the Custodian that the redemption has taken place and that funds representing the redemption price have been received, the Depositary shall convert, transfer, and distribute the proceeds (net of applicable (a) fees and charges of, and the expenses incurred by, the Depositary, and (b) taxes), retire ADSs and cancel ADRs, if applicable, upon delivery of such ADSs by Holders thereof and the terms set forth in Sections 4.1 and 6.2 of the Deposit Agreement. If less than all outstanding Deposited Securities are redeemed, the ADSs to be retired will be selected by lot or on a pro rata basis, as may be determined by the Depositary. The redemption price per ADS shall be the dollar equivalent of the per share amount received by the Depositary (adjusted to reflect the ADS(s)-to-Share(s) ratio) upon the redemption of the Deposited Securities represented by ADSs (subject to the terms of Section 4.8 of the Deposit Agreement and the applicable fees and charges of, and expenses incurred by, the Depositary, and applicable taxes) multiplied by the number of Deposited Securities represented by each ADS redeemed.</w:t>
      </w:r>
    </w:p>
    <w:p>
      <w:pPr>
        <w:spacing w:after="0" w:line="173" w:lineRule="exact"/>
        <w:rPr>
          <w:sz w:val="20"/>
          <w:szCs w:val="20"/>
          <w:color w:val="auto"/>
        </w:rPr>
      </w:pPr>
    </w:p>
    <w:p>
      <w:pPr>
        <w:ind w:right="40" w:firstLine="648"/>
        <w:spacing w:after="0" w:line="276" w:lineRule="auto"/>
        <w:rPr>
          <w:sz w:val="20"/>
          <w:szCs w:val="20"/>
          <w:color w:val="auto"/>
        </w:rPr>
      </w:pPr>
      <w:r>
        <w:rPr>
          <w:rFonts w:ascii="Arial" w:cs="Arial" w:eastAsia="Arial" w:hAnsi="Arial"/>
          <w:sz w:val="17"/>
          <w:szCs w:val="17"/>
          <w:color w:val="auto"/>
        </w:rPr>
        <w:t>Notwithstanding anything contained in the Deposit Agreement to the contrary, in the event the Company fails to give the Depositary timely notice of the proposed redemption provided for in Section 4.7 of the Deposit Agreement, the Depositary agrees to use commercially reasonable efforts to perform the actions contemplated in Section 4.7 of the Deposit Agreement, and the Company, the Holders and the Beneficial Owners acknowledge that the Depositary shall have no liability for the Depositary’s failure to perform the actions contemplated in Section 4.7 of the Deposit Agreement where such notice has not been so timely given, other than its failure to use commercially reasonable efforts, as provided herein.</w:t>
      </w:r>
    </w:p>
    <w:p>
      <w:pPr>
        <w:spacing w:after="0" w:line="169" w:lineRule="exact"/>
        <w:rPr>
          <w:sz w:val="20"/>
          <w:szCs w:val="20"/>
          <w:color w:val="auto"/>
        </w:rPr>
      </w:pPr>
    </w:p>
    <w:p>
      <w:pPr>
        <w:ind w:firstLine="656"/>
        <w:spacing w:after="0" w:line="287" w:lineRule="auto"/>
        <w:tabs>
          <w:tab w:leader="none" w:pos="1218" w:val="left"/>
        </w:tabs>
        <w:numPr>
          <w:ilvl w:val="0"/>
          <w:numId w:val="48"/>
        </w:numPr>
        <w:rPr>
          <w:rFonts w:ascii="Arial" w:cs="Arial" w:eastAsia="Arial" w:hAnsi="Arial"/>
          <w:sz w:val="16"/>
          <w:szCs w:val="16"/>
          <w:b w:val="1"/>
          <w:bCs w:val="1"/>
          <w:color w:val="auto"/>
        </w:rPr>
      </w:pPr>
      <w:r>
        <w:rPr>
          <w:rFonts w:ascii="Arial" w:cs="Arial" w:eastAsia="Arial" w:hAnsi="Arial"/>
          <w:sz w:val="16"/>
          <w:szCs w:val="16"/>
          <w:b w:val="1"/>
          <w:bCs w:val="1"/>
          <w:u w:val="single" w:color="auto"/>
          <w:color w:val="auto"/>
        </w:rPr>
        <w:t>Fixing of ADS Record Date</w:t>
      </w:r>
      <w:r>
        <w:rPr>
          <w:rFonts w:ascii="Arial" w:cs="Arial" w:eastAsia="Arial" w:hAnsi="Arial"/>
          <w:sz w:val="16"/>
          <w:szCs w:val="16"/>
          <w:b w:val="1"/>
          <w:bCs w:val="1"/>
          <w:color w:val="auto"/>
        </w:rPr>
        <w:t xml:space="preserve">. </w:t>
      </w:r>
      <w:r>
        <w:rPr>
          <w:rFonts w:ascii="Arial" w:cs="Arial" w:eastAsia="Arial" w:hAnsi="Arial"/>
          <w:sz w:val="16"/>
          <w:szCs w:val="16"/>
          <w:color w:val="auto"/>
        </w:rPr>
        <w:t>Whenever the Depositary shall receive notice of the fixing of a record date by the Company for the</w:t>
      </w:r>
      <w:r>
        <w:rPr>
          <w:rFonts w:ascii="Arial" w:cs="Arial" w:eastAsia="Arial" w:hAnsi="Arial"/>
          <w:sz w:val="16"/>
          <w:szCs w:val="16"/>
          <w:b w:val="1"/>
          <w:bCs w:val="1"/>
          <w:color w:val="auto"/>
        </w:rPr>
        <w:t xml:space="preserve"> </w:t>
      </w:r>
      <w:r>
        <w:rPr>
          <w:rFonts w:ascii="Arial" w:cs="Arial" w:eastAsia="Arial" w:hAnsi="Arial"/>
          <w:sz w:val="16"/>
          <w:szCs w:val="16"/>
          <w:color w:val="auto"/>
        </w:rPr>
        <w:t>determination of holders of Deposited Securities entitled to receive any distribution (whether in cash, Shares, rights, or other distribution), or whenever for any reason the Depositary causes a change in the number of Shares that are represented by each ADS, or whenever the Depositary shall receive notice of any meeting of, or solicitation of consents or proxies of, holders of Shares or other Deposited Securities, or whenever the Depositary shall find it necessary or convenient in connection with the giving of any notice, solicitation of any consent or any other matter, the Depositary shall fix the record date (the “</w:t>
      </w:r>
      <w:r>
        <w:rPr>
          <w:rFonts w:ascii="Arial" w:cs="Arial" w:eastAsia="Arial" w:hAnsi="Arial"/>
          <w:sz w:val="16"/>
          <w:szCs w:val="16"/>
          <w:u w:val="single" w:color="auto"/>
          <w:color w:val="auto"/>
        </w:rPr>
        <w:t>ADS</w:t>
      </w:r>
      <w:r>
        <w:rPr>
          <w:rFonts w:ascii="Arial" w:cs="Arial" w:eastAsia="Arial" w:hAnsi="Arial"/>
          <w:sz w:val="16"/>
          <w:szCs w:val="16"/>
          <w:color w:val="auto"/>
        </w:rPr>
        <w:t xml:space="preserve"> </w:t>
      </w:r>
      <w:r>
        <w:rPr>
          <w:rFonts w:ascii="Arial" w:cs="Arial" w:eastAsia="Arial" w:hAnsi="Arial"/>
          <w:sz w:val="16"/>
          <w:szCs w:val="16"/>
          <w:u w:val="single" w:color="auto"/>
          <w:color w:val="auto"/>
        </w:rPr>
        <w:t>Record Date</w:t>
      </w:r>
      <w:r>
        <w:rPr>
          <w:rFonts w:ascii="Arial" w:cs="Arial" w:eastAsia="Arial" w:hAnsi="Arial"/>
          <w:sz w:val="16"/>
          <w:szCs w:val="16"/>
          <w:color w:val="auto"/>
        </w:rPr>
        <w:t>”) for the determination of the Holders of ADS(s) who shall be entitled to receive such distribution, to give instructions for the exercise of voting rights at any such meeting, to give or withhold such consent, to receive such notice or solicitation or to otherwise take action, or to exercise the rights of Holders with respect to such changed number of Shares represented by each ADS. The Depositary shall make reasonable efforts to establish the ADS Record Date as closely as practicable to the applicable record date for the Deposited Securities (if any) set by the Company in England and Wales and shall not announce the establishment of any ADS Record Date prior to the relevant corporate action having been made public by the Company (if such corporate action affects the Deposited Securities). Subject to applicable law and the provisions of Section 4.1 through 4.8 of the Deposit Agreement and to the other terms and conditions of the Deposit Agreement, only the Holders of ADSs at the close of business in New York on such ADS Record Date shall be entitled to receive such distribution, to give such voting instructions, to receive such notice or solicitation, or otherwise take action.</w:t>
      </w:r>
    </w:p>
    <w:p>
      <w:pPr>
        <w:spacing w:after="0" w:line="270" w:lineRule="exact"/>
        <w:rPr>
          <w:sz w:val="20"/>
          <w:szCs w:val="20"/>
          <w:color w:val="auto"/>
        </w:rPr>
      </w:pPr>
    </w:p>
    <w:p>
      <w:pPr>
        <w:jc w:val="center"/>
        <w:ind w:right="-19"/>
        <w:spacing w:after="0"/>
        <w:rPr>
          <w:sz w:val="20"/>
          <w:szCs w:val="20"/>
          <w:color w:val="auto"/>
        </w:rPr>
      </w:pPr>
      <w:r>
        <w:rPr>
          <w:rFonts w:ascii="Arial" w:cs="Arial" w:eastAsia="Arial" w:hAnsi="Arial"/>
          <w:sz w:val="22"/>
          <w:szCs w:val="22"/>
          <w:color w:val="auto"/>
        </w:rPr>
        <w:t>A-19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7620</wp:posOffset>
            </wp:positionV>
            <wp:extent cx="7246620" cy="17145"/>
            <wp:wrapNone/>
            <wp:docPr id="93" name="Picture 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3"/>
                    <pic:cNvPicPr>
                      <a:picLocks noChangeAspect="1" noChangeArrowheads="1"/>
                    </pic:cNvPicPr>
                  </pic:nvPicPr>
                  <pic:blipFill>
                    <a:blip r:embed="rId100">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341" w:right="239" w:bottom="1440" w:gutter="0" w:footer="0" w:header="0"/>
        </w:sectPr>
      </w:pPr>
    </w:p>
    <w:bookmarkStart w:id="82" w:name="page83"/>
    <w:bookmarkEnd w:id="82"/>
    <w:p>
      <w:pPr>
        <w:ind w:firstLine="656"/>
        <w:spacing w:after="0" w:line="287" w:lineRule="auto"/>
        <w:tabs>
          <w:tab w:leader="none" w:pos="1218" w:val="left"/>
        </w:tabs>
        <w:numPr>
          <w:ilvl w:val="0"/>
          <w:numId w:val="49"/>
        </w:numPr>
        <w:rPr>
          <w:rFonts w:ascii="Arial" w:cs="Arial" w:eastAsia="Arial" w:hAnsi="Arial"/>
          <w:sz w:val="16"/>
          <w:szCs w:val="16"/>
          <w:b w:val="1"/>
          <w:bCs w:val="1"/>
          <w:color w:val="auto"/>
        </w:rPr>
      </w:pPr>
      <w:r>
        <w:rPr>
          <w:rFonts w:ascii="Arial" w:cs="Arial" w:eastAsia="Arial" w:hAnsi="Arial"/>
          <w:sz w:val="16"/>
          <w:szCs w:val="16"/>
          <w:b w:val="1"/>
          <w:bCs w:val="1"/>
          <w:u w:val="single" w:color="auto"/>
          <w:color w:val="auto"/>
        </w:rPr>
        <w:t>Voting of Deposited Securities</w:t>
      </w:r>
      <w:r>
        <w:rPr>
          <w:rFonts w:ascii="Arial" w:cs="Arial" w:eastAsia="Arial" w:hAnsi="Arial"/>
          <w:sz w:val="16"/>
          <w:szCs w:val="16"/>
          <w:b w:val="1"/>
          <w:bCs w:val="1"/>
          <w:color w:val="auto"/>
        </w:rPr>
        <w:t xml:space="preserve">. </w:t>
      </w:r>
      <w:r>
        <w:rPr>
          <w:rFonts w:ascii="Arial" w:cs="Arial" w:eastAsia="Arial" w:hAnsi="Arial"/>
          <w:sz w:val="16"/>
          <w:szCs w:val="16"/>
          <w:color w:val="auto"/>
        </w:rPr>
        <w:t>As soon as practicable after receipt of notice of any meeting at which the holders of Deposited Securities</w:t>
      </w:r>
      <w:r>
        <w:rPr>
          <w:rFonts w:ascii="Arial" w:cs="Arial" w:eastAsia="Arial" w:hAnsi="Arial"/>
          <w:sz w:val="16"/>
          <w:szCs w:val="16"/>
          <w:b w:val="1"/>
          <w:bCs w:val="1"/>
          <w:color w:val="auto"/>
        </w:rPr>
        <w:t xml:space="preserve"> </w:t>
      </w:r>
      <w:r>
        <w:rPr>
          <w:rFonts w:ascii="Arial" w:cs="Arial" w:eastAsia="Arial" w:hAnsi="Arial"/>
          <w:sz w:val="16"/>
          <w:szCs w:val="16"/>
          <w:color w:val="auto"/>
        </w:rPr>
        <w:t>are entitled to vote, or of solicitation of consents or proxies from holders of Deposited Securities, the Depositary shall fix the ADS Record Date in respect of such meeting or solicitation of consent or proxy in accordance with Section 4.9 of the Deposit Agreement. The Depositary shall, if requested by the Company in writing in a timely manner (the Depositary having no obligation to take any further action if the request shall not have been received by the Depositary at least thirty (30) days prior to the date of such vote or meeting), at the Company’s expense and provided no U.S. legal prohibitions exist, distribute to Holders as of the ADS Record Date: (a) such notice of meeting or solicitation of consent or proxy, (b) a statement that the Holders at the close of business on the ADS Record Date will be entitled, subject to any applicable law, the provisions of the Deposit Agreement, the Articles of Association of the Company and the provisions of or governing the Deposited Securities (which provisions, if any, shall be summarized in pertinent part by the Company), to instruct the Depositary as to the exercise of the voting rights, if any, pertaining to the Deposited Securities represented by such Holder’s ADSs, and (c) a brief statement as to the manner in which such voting instructions may be given to the Depositary or in which voting instructions may be deemed to have been given in accordance with Section 4.10 of the Deposit Agreement if no instructions are received prior to the deadline set for such purposes to the Depositary to give a discretionary proxy to a person designated by the Company.</w:t>
      </w:r>
    </w:p>
    <w:p>
      <w:pPr>
        <w:spacing w:after="0" w:line="173" w:lineRule="exact"/>
        <w:rPr>
          <w:sz w:val="20"/>
          <w:szCs w:val="20"/>
          <w:color w:val="auto"/>
        </w:rPr>
      </w:pPr>
    </w:p>
    <w:p>
      <w:pPr>
        <w:ind w:right="40" w:firstLine="648"/>
        <w:spacing w:after="0" w:line="297" w:lineRule="auto"/>
        <w:rPr>
          <w:sz w:val="20"/>
          <w:szCs w:val="20"/>
          <w:color w:val="auto"/>
        </w:rPr>
      </w:pPr>
      <w:r>
        <w:rPr>
          <w:rFonts w:ascii="Arial" w:cs="Arial" w:eastAsia="Arial" w:hAnsi="Arial"/>
          <w:sz w:val="16"/>
          <w:szCs w:val="16"/>
          <w:color w:val="auto"/>
        </w:rPr>
        <w:t>Notwithstanding anything contained in the Deposit Agreement or any ADR, with the Company’s prior written consent, the Depositary may, to the extent not prohibited by law or regulations, or by the requirements of the stock exchange on which the ADSs are listed, in lieu of distribution of the materials provided to the Depositary in connection with any meeting of, or solicitation of consents or proxies from, holders of Deposited Securities, distribute to the Holders a notice that provides Holders with, or otherwise publicizes to Holders, instructions on how to retrieve such materials or receive such materials upon request (</w:t>
      </w:r>
      <w:r>
        <w:rPr>
          <w:rFonts w:ascii="Arial" w:cs="Arial" w:eastAsia="Arial" w:hAnsi="Arial"/>
          <w:sz w:val="16"/>
          <w:szCs w:val="16"/>
          <w:i w:val="1"/>
          <w:iCs w:val="1"/>
          <w:color w:val="auto"/>
        </w:rPr>
        <w:t>e.g.</w:t>
      </w:r>
      <w:r>
        <w:rPr>
          <w:rFonts w:ascii="Arial" w:cs="Arial" w:eastAsia="Arial" w:hAnsi="Arial"/>
          <w:sz w:val="16"/>
          <w:szCs w:val="16"/>
          <w:color w:val="auto"/>
        </w:rPr>
        <w:t>, by reference to a website containing the materials for retrieval or a contact for requesting copies of the materials).</w:t>
      </w:r>
    </w:p>
    <w:p>
      <w:pPr>
        <w:spacing w:after="0" w:line="259" w:lineRule="exact"/>
        <w:rPr>
          <w:sz w:val="20"/>
          <w:szCs w:val="20"/>
          <w:color w:val="auto"/>
        </w:rPr>
      </w:pPr>
    </w:p>
    <w:p>
      <w:pPr>
        <w:jc w:val="center"/>
        <w:ind w:right="-39"/>
        <w:spacing w:after="0"/>
        <w:rPr>
          <w:sz w:val="20"/>
          <w:szCs w:val="20"/>
          <w:color w:val="auto"/>
        </w:rPr>
      </w:pPr>
      <w:r>
        <w:rPr>
          <w:rFonts w:ascii="Arial" w:cs="Arial" w:eastAsia="Arial" w:hAnsi="Arial"/>
          <w:sz w:val="22"/>
          <w:szCs w:val="22"/>
          <w:color w:val="auto"/>
        </w:rPr>
        <w:t>A-20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7620</wp:posOffset>
            </wp:positionV>
            <wp:extent cx="7246620" cy="17145"/>
            <wp:wrapNone/>
            <wp:docPr id="94" name="Picture 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4"/>
                    <pic:cNvPicPr>
                      <a:picLocks noChangeAspect="1" noChangeArrowheads="1"/>
                    </pic:cNvPicPr>
                  </pic:nvPicPr>
                  <pic:blipFill>
                    <a:blip r:embed="rId101">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380"/>
          </w:cols>
          <w:pgMar w:left="240" w:top="337" w:right="279" w:bottom="1440" w:gutter="0" w:footer="0" w:header="0"/>
        </w:sectPr>
      </w:pPr>
    </w:p>
    <w:bookmarkStart w:id="83" w:name="page84"/>
    <w:bookmarkEnd w:id="83"/>
    <w:p>
      <w:pPr>
        <w:ind w:right="220" w:firstLine="648"/>
        <w:spacing w:after="0" w:line="255" w:lineRule="auto"/>
        <w:rPr>
          <w:sz w:val="20"/>
          <w:szCs w:val="20"/>
          <w:color w:val="auto"/>
        </w:rPr>
      </w:pPr>
      <w:r>
        <w:rPr>
          <w:rFonts w:ascii="Arial" w:cs="Arial" w:eastAsia="Arial" w:hAnsi="Arial"/>
          <w:sz w:val="18"/>
          <w:szCs w:val="18"/>
          <w:color w:val="auto"/>
        </w:rPr>
        <w:t>The Depositary has been advised by the Company that under the Articles of Association of the Company as in effect on the date of the Deposit Agreement, voting at any meeting of shareholders of the Company is by show of hands unless a poll is demanded in accordance with the Articles of Association. The Depositary will not join in demanding a poll, whether or not requested to do so by Holders of ADSs. Under the Articles of Association of the Company as in effect on the date of the Deposit Agreement, a poll may be demanded by (a) the chairman of the Company’s board of directors, (b) a majority of the directors of the Company, (c) two or more shareholders present and having the right to vote on the resolution, or (d) any shareholder(s) representing not less than 10% of the total voting rights of all the shareholders having the right to vote on the resolution (excluding any Shares held in treasury).</w:t>
      </w:r>
    </w:p>
    <w:p>
      <w:pPr>
        <w:spacing w:after="0" w:line="189" w:lineRule="exact"/>
        <w:rPr>
          <w:sz w:val="20"/>
          <w:szCs w:val="20"/>
          <w:color w:val="auto"/>
        </w:rPr>
      </w:pPr>
    </w:p>
    <w:p>
      <w:pPr>
        <w:ind w:firstLine="648"/>
        <w:spacing w:after="0" w:line="268" w:lineRule="auto"/>
        <w:rPr>
          <w:sz w:val="20"/>
          <w:szCs w:val="20"/>
          <w:color w:val="auto"/>
        </w:rPr>
      </w:pPr>
      <w:r>
        <w:rPr>
          <w:rFonts w:ascii="Arial" w:cs="Arial" w:eastAsia="Arial" w:hAnsi="Arial"/>
          <w:sz w:val="17"/>
          <w:szCs w:val="17"/>
          <w:color w:val="auto"/>
        </w:rPr>
        <w:t>Voting instructions may be given only in respect of a number of ADSs representing an integral number of Deposited Securities. Upon the timely receipt from a Holder of ADSs as of the ADS Record Date of voting instructions in the manner specified by the Depositary, the Depositary shall endeavor, insofar as practicable and permitted under applicable law, the provisions of the Deposit Agreement, Articles of Association of the Company and the provisions of the Deposited Securities, to vote, or cause the Custodian to vote, the Deposited Securities (in person or by proxy) represented by such Holder’s ADSs as follows: (a) in the event voting takes place at a shareholders’ meeting by a show of hands, the Depositary will instruct the Custodian to vote all Deposited Securities in accordance with the voting instructions timely received from a majority of Holders of ADSs who provided voting instructions, and (b) in the event voting takes place at a shareholders’ meeting by poll, the Depositary will instruct the Custodian to vote the Deposited Securities in accordance with the voting instructions timely received from the Holders of ADSs. If voting is by poll and the Depositary does not receive voting instructions from a Holder as of the ADS Record Date on or before the date established by the Depositary for such purpose, such Holder shall be deemed, and the Depositary shall deem such Holder, to have instructed the Depositary to give a discretionary proxy to a person designated by the Company to vote the Deposited Securities; provided, however, that no such discretionary proxy shall be given by the Depositary with respect to any matter to be voted upon as to which the Company informs the Depositary that (a) the Company does not wish such proxy to be given, (b) substantial opposition exists, or (c) the rights of holders of Deposited Securities may be adversely affected.</w:t>
      </w:r>
    </w:p>
    <w:p>
      <w:pPr>
        <w:spacing w:after="0" w:line="188" w:lineRule="exact"/>
        <w:rPr>
          <w:sz w:val="20"/>
          <w:szCs w:val="20"/>
          <w:color w:val="auto"/>
        </w:rPr>
      </w:pPr>
    </w:p>
    <w:p>
      <w:pPr>
        <w:ind w:right="20" w:firstLine="648"/>
        <w:spacing w:after="0" w:line="269" w:lineRule="auto"/>
        <w:rPr>
          <w:sz w:val="20"/>
          <w:szCs w:val="20"/>
          <w:color w:val="auto"/>
        </w:rPr>
      </w:pPr>
      <w:r>
        <w:rPr>
          <w:rFonts w:ascii="Arial" w:cs="Arial" w:eastAsia="Arial" w:hAnsi="Arial"/>
          <w:sz w:val="17"/>
          <w:szCs w:val="17"/>
          <w:color w:val="auto"/>
        </w:rPr>
        <w:t>Neither the Depositary nor the Custodian shall under any circumstances exercise any discretion as to voting and neither the Depositary nor the Custodian shall vote, attempt to exercise the right to vote, or in any way make use of, for purposes of establishing a quorum or otherwise, the Deposited Securities represented by ADSs, except pursuant to and in accordance with the voting instructions timely received from Holders or as otherwise contemplated in the Deposit Agreement. If the Depositary timely receives voting instructions from a Holder which fail to specify the manner in which the Depositary is to vote the Deposited Securities represented by such Holder’s ADSs, the Depositary will deem such Holder (unless otherwise specified in the notice distributed to Holders) to have instructed the Depositary to vote in favor of the items set forth in such voting instructions. Deposited Securities represented by ADSs for which no timely voting instructions are received by the Depositary from the Holder shall not be voted (except (a) in the case voting is by show of hands, in which case the Depositary will instruct the Custodian to vote all Deposited Securities in accordance with the voting instructions received from a majority of Holders of ADSs who timely provided voting instructions, and (b) as contemplated in Section 4.10 of the Deposit Agreement). Notwithstanding anything else contained herein, the Depositary shall, if so requested in writing by the Company, represent all Deposited Securities (whether or not voting instructions have been received in respect of such Deposited Securities from Holders as of the ADS Record Date) for the sole purpose of establishing quorum at a meeting of shareholders.</w:t>
      </w:r>
    </w:p>
    <w:p>
      <w:pPr>
        <w:spacing w:after="0" w:line="281" w:lineRule="exact"/>
        <w:rPr>
          <w:sz w:val="20"/>
          <w:szCs w:val="20"/>
          <w:color w:val="auto"/>
        </w:rPr>
      </w:pPr>
    </w:p>
    <w:p>
      <w:pPr>
        <w:jc w:val="center"/>
        <w:ind w:right="-19"/>
        <w:spacing w:after="0"/>
        <w:rPr>
          <w:sz w:val="20"/>
          <w:szCs w:val="20"/>
          <w:color w:val="auto"/>
        </w:rPr>
      </w:pPr>
      <w:r>
        <w:rPr>
          <w:rFonts w:ascii="Arial" w:cs="Arial" w:eastAsia="Arial" w:hAnsi="Arial"/>
          <w:sz w:val="22"/>
          <w:szCs w:val="22"/>
          <w:color w:val="auto"/>
        </w:rPr>
        <w:t>A-21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7620</wp:posOffset>
            </wp:positionV>
            <wp:extent cx="7246620" cy="17145"/>
            <wp:wrapNone/>
            <wp:docPr id="95" name="Picture 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5"/>
                    <pic:cNvPicPr>
                      <a:picLocks noChangeAspect="1" noChangeArrowheads="1"/>
                    </pic:cNvPicPr>
                  </pic:nvPicPr>
                  <pic:blipFill>
                    <a:blip r:embed="rId102">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00"/>
          </w:cols>
          <w:pgMar w:left="240" w:top="341" w:right="259" w:bottom="1440" w:gutter="0" w:footer="0" w:header="0"/>
        </w:sectPr>
      </w:pPr>
    </w:p>
    <w:bookmarkStart w:id="84" w:name="page85"/>
    <w:bookmarkEnd w:id="84"/>
    <w:p>
      <w:pPr>
        <w:ind w:firstLine="648"/>
        <w:spacing w:after="0" w:line="257" w:lineRule="auto"/>
        <w:rPr>
          <w:sz w:val="20"/>
          <w:szCs w:val="20"/>
          <w:color w:val="auto"/>
        </w:rPr>
      </w:pPr>
      <w:r>
        <w:rPr>
          <w:rFonts w:ascii="Arial" w:cs="Arial" w:eastAsia="Arial" w:hAnsi="Arial"/>
          <w:sz w:val="18"/>
          <w:szCs w:val="18"/>
          <w:color w:val="auto"/>
        </w:rPr>
        <w:t>Notwithstanding anything else contained in the Deposit Agreement or any ADR, the Depositary shall not have any obligation to take any action with respect to any meeting, or solicitation of consents or proxies, of holders of Deposited Securities if the taking of such action would violate U.S. laws. The Company agrees to take any and all actions reasonably necessary and as permitted by the laws of England and Wales to enable Holders and Beneficial Owners to exercise the voting rights accruing to the Deposited Securities and to deliver to the Depositary an opinion of U.S. counsel addressing any actions requested to be taken if so requested by the Depositary.</w:t>
      </w:r>
    </w:p>
    <w:p>
      <w:pPr>
        <w:spacing w:after="0" w:line="188" w:lineRule="exact"/>
        <w:rPr>
          <w:sz w:val="20"/>
          <w:szCs w:val="20"/>
          <w:color w:val="auto"/>
        </w:rPr>
      </w:pPr>
    </w:p>
    <w:p>
      <w:pPr>
        <w:ind w:right="220" w:firstLine="648"/>
        <w:spacing w:after="0" w:line="277" w:lineRule="auto"/>
        <w:rPr>
          <w:sz w:val="20"/>
          <w:szCs w:val="20"/>
          <w:color w:val="auto"/>
        </w:rPr>
      </w:pPr>
      <w:r>
        <w:rPr>
          <w:rFonts w:ascii="Arial" w:cs="Arial" w:eastAsia="Arial" w:hAnsi="Arial"/>
          <w:sz w:val="18"/>
          <w:szCs w:val="18"/>
          <w:color w:val="auto"/>
        </w:rPr>
        <w:t>There can be no assurance that Holders generally or any Holder in particular will receive the notice described above with sufficient time to enable the Holder to return voting instructions to the Depositary in a timely manner.</w:t>
      </w:r>
    </w:p>
    <w:p>
      <w:pPr>
        <w:spacing w:after="0" w:line="166" w:lineRule="exact"/>
        <w:rPr>
          <w:sz w:val="20"/>
          <w:szCs w:val="20"/>
          <w:color w:val="auto"/>
        </w:rPr>
      </w:pPr>
    </w:p>
    <w:p>
      <w:pPr>
        <w:ind w:firstLine="656"/>
        <w:spacing w:after="0" w:line="285" w:lineRule="auto"/>
        <w:tabs>
          <w:tab w:leader="none" w:pos="1218" w:val="left"/>
        </w:tabs>
        <w:numPr>
          <w:ilvl w:val="0"/>
          <w:numId w:val="50"/>
        </w:numPr>
        <w:rPr>
          <w:rFonts w:ascii="Arial" w:cs="Arial" w:eastAsia="Arial" w:hAnsi="Arial"/>
          <w:sz w:val="16"/>
          <w:szCs w:val="16"/>
          <w:b w:val="1"/>
          <w:bCs w:val="1"/>
          <w:color w:val="auto"/>
        </w:rPr>
      </w:pPr>
      <w:r>
        <w:rPr>
          <w:rFonts w:ascii="Arial" w:cs="Arial" w:eastAsia="Arial" w:hAnsi="Arial"/>
          <w:sz w:val="16"/>
          <w:szCs w:val="16"/>
          <w:b w:val="1"/>
          <w:bCs w:val="1"/>
          <w:u w:val="single" w:color="auto"/>
          <w:color w:val="auto"/>
        </w:rPr>
        <w:t>Changes Affecting Deposited Securities</w:t>
      </w:r>
      <w:r>
        <w:rPr>
          <w:rFonts w:ascii="Arial" w:cs="Arial" w:eastAsia="Arial" w:hAnsi="Arial"/>
          <w:sz w:val="16"/>
          <w:szCs w:val="16"/>
          <w:b w:val="1"/>
          <w:bCs w:val="1"/>
          <w:color w:val="auto"/>
        </w:rPr>
        <w:t xml:space="preserve">. </w:t>
      </w:r>
      <w:r>
        <w:rPr>
          <w:rFonts w:ascii="Arial" w:cs="Arial" w:eastAsia="Arial" w:hAnsi="Arial"/>
          <w:sz w:val="16"/>
          <w:szCs w:val="16"/>
          <w:color w:val="auto"/>
        </w:rPr>
        <w:t>Upon any change in nominal or par value, split-up, cancellation, consolidation or any other</w:t>
      </w:r>
      <w:r>
        <w:rPr>
          <w:rFonts w:ascii="Arial" w:cs="Arial" w:eastAsia="Arial" w:hAnsi="Arial"/>
          <w:sz w:val="16"/>
          <w:szCs w:val="16"/>
          <w:b w:val="1"/>
          <w:bCs w:val="1"/>
          <w:color w:val="auto"/>
        </w:rPr>
        <w:t xml:space="preserve"> </w:t>
      </w:r>
      <w:r>
        <w:rPr>
          <w:rFonts w:ascii="Arial" w:cs="Arial" w:eastAsia="Arial" w:hAnsi="Arial"/>
          <w:sz w:val="16"/>
          <w:szCs w:val="16"/>
          <w:color w:val="auto"/>
        </w:rPr>
        <w:t>reclassification of Deposited Securities, or upon any recapitalization, reorganization, merger, consolidation or sale of assets affecting the Company or to which it is a party, any property which shall be received by the Depositary or the Custodian in exchange for, or in conversion of, or replacement of, or otherwise in respect of, such Deposited Securities shall, to the extent permitted by law, be treated as new Deposited Property under the Deposit Agreement, and the ADSs shall, subject to the provisions of the Deposit Agreement, any ADR(s) evidencing such ADSs and applicable law, represent the right to receive such additional or replacement Deposited Property. In giving effect to such change, split-up, cancellation, consolidation or other reclassification of Deposited Securities, recapitalization, reorganization, merger, consolidation or sale of assets, the Depositary may, with the Company’s approval, and shall, if the Company shall so request, subject to the terms of the Deposit Agreement (including, without limitation, (a) the applicable fees and charges of, and expenses incurred by, the Depositary, and (b) applicable taxes) and receipt of an opinion of counsel to the Company satisfactory to the Depositary that such actions are not in violation of any applicable laws or regulations, (i) issue and deliver additional ADSs as in the case of a stock dividend on the Shares, (ii) amend the Deposit Agreement and the applicable ADRs, (iii) amend the applicable Registration Statement(s) on Form F-6 as filed with the Commission in respect of the ADSs, (iv) call for the surrender of outstanding ADRs to be exchanged for new ADRs, and (v) take such other actions as are appropriate to reflect the transaction with respect to the ADSs. The Company agrees to, jointly with the Depositary, amend the Registration Statement on Form F-6 as filed with the Commission to permit the issuance of such new form of ADRs. Notwithstanding the foregoing, in the event that any Deposited Property so received may not be lawfully distributed to some or all Holders, the Depositary may, with the Company’s approval, and shall, if the Company requests, subject to receipt of an opinion of Company’s counsel satisfactory to the Depositary that such action is not in violation of any applicable laws or regulations, sell such Deposited Property at public or private sale, at such place or places and upon such terms as it may deem proper and may allocate the net proceeds of such sales (net of applicable (a) fees and charges of, and expenses incurred by, the Depositary and (b) taxes) for the account of the Holders otherwise entitled to such Deposited Property upon an averaged or other practicable basis without regard to any distinctions among such Holders and distribute the net proceeds so allocated to the extent practicable as in the case of a distribution received in cash pursuant to Section 4.1 of the Deposit Agreement. The Depositary shall not be responsible for (i) any failure to determine that it may be lawful or practicable to make such Deposited Property available to Holders in general or to any Holder in particular, (ii) any foreign exchange exposure or loss incurred in connection with such sale, or (iii) any liability to the purchaser of such Deposited Property.</w:t>
      </w:r>
    </w:p>
    <w:p>
      <w:pPr>
        <w:spacing w:after="0" w:line="268" w:lineRule="exact"/>
        <w:rPr>
          <w:sz w:val="20"/>
          <w:szCs w:val="20"/>
          <w:color w:val="auto"/>
        </w:rPr>
      </w:pPr>
    </w:p>
    <w:p>
      <w:pPr>
        <w:jc w:val="center"/>
        <w:ind w:right="-39"/>
        <w:spacing w:after="0"/>
        <w:rPr>
          <w:sz w:val="20"/>
          <w:szCs w:val="20"/>
          <w:color w:val="auto"/>
        </w:rPr>
      </w:pPr>
      <w:r>
        <w:rPr>
          <w:rFonts w:ascii="Arial" w:cs="Arial" w:eastAsia="Arial" w:hAnsi="Arial"/>
          <w:sz w:val="22"/>
          <w:szCs w:val="22"/>
          <w:color w:val="auto"/>
        </w:rPr>
        <w:t>A-22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7620</wp:posOffset>
            </wp:positionV>
            <wp:extent cx="7246620" cy="17145"/>
            <wp:wrapNone/>
            <wp:docPr id="96" name="Picture 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6"/>
                    <pic:cNvPicPr>
                      <a:picLocks noChangeAspect="1" noChangeArrowheads="1"/>
                    </pic:cNvPicPr>
                  </pic:nvPicPr>
                  <pic:blipFill>
                    <a:blip r:embed="rId103">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380"/>
          </w:cols>
          <w:pgMar w:left="240" w:top="341" w:right="279" w:bottom="1440" w:gutter="0" w:footer="0" w:header="0"/>
        </w:sectPr>
      </w:pPr>
    </w:p>
    <w:bookmarkStart w:id="85" w:name="page86"/>
    <w:bookmarkEnd w:id="85"/>
    <w:p>
      <w:pPr>
        <w:ind w:firstLine="656"/>
        <w:spacing w:after="0" w:line="286" w:lineRule="auto"/>
        <w:tabs>
          <w:tab w:leader="none" w:pos="1218" w:val="left"/>
        </w:tabs>
        <w:numPr>
          <w:ilvl w:val="0"/>
          <w:numId w:val="51"/>
        </w:numPr>
        <w:rPr>
          <w:rFonts w:ascii="Arial" w:cs="Arial" w:eastAsia="Arial" w:hAnsi="Arial"/>
          <w:sz w:val="16"/>
          <w:szCs w:val="16"/>
          <w:b w:val="1"/>
          <w:bCs w:val="1"/>
          <w:color w:val="auto"/>
        </w:rPr>
      </w:pPr>
      <w:r>
        <w:rPr>
          <w:rFonts w:ascii="Arial" w:cs="Arial" w:eastAsia="Arial" w:hAnsi="Arial"/>
          <w:sz w:val="16"/>
          <w:szCs w:val="16"/>
          <w:b w:val="1"/>
          <w:bCs w:val="1"/>
          <w:u w:val="single" w:color="auto"/>
          <w:color w:val="auto"/>
        </w:rPr>
        <w:t>Exoneration</w:t>
      </w:r>
      <w:r>
        <w:rPr>
          <w:rFonts w:ascii="Arial" w:cs="Arial" w:eastAsia="Arial" w:hAnsi="Arial"/>
          <w:sz w:val="16"/>
          <w:szCs w:val="16"/>
          <w:b w:val="1"/>
          <w:bCs w:val="1"/>
          <w:color w:val="auto"/>
        </w:rPr>
        <w:t xml:space="preserve">. </w:t>
      </w:r>
      <w:r>
        <w:rPr>
          <w:rFonts w:ascii="Arial" w:cs="Arial" w:eastAsia="Arial" w:hAnsi="Arial"/>
          <w:sz w:val="16"/>
          <w:szCs w:val="16"/>
          <w:color w:val="auto"/>
        </w:rPr>
        <w:t>Notwithstanding anything contained in the Deposit Agreement or any ADR, neither the Depositary nor the Company shall be</w:t>
      </w:r>
      <w:r>
        <w:rPr>
          <w:rFonts w:ascii="Arial" w:cs="Arial" w:eastAsia="Arial" w:hAnsi="Arial"/>
          <w:sz w:val="16"/>
          <w:szCs w:val="16"/>
          <w:b w:val="1"/>
          <w:bCs w:val="1"/>
          <w:color w:val="auto"/>
        </w:rPr>
        <w:t xml:space="preserve"> </w:t>
      </w:r>
      <w:r>
        <w:rPr>
          <w:rFonts w:ascii="Arial" w:cs="Arial" w:eastAsia="Arial" w:hAnsi="Arial"/>
          <w:sz w:val="16"/>
          <w:szCs w:val="16"/>
          <w:color w:val="auto"/>
        </w:rPr>
        <w:t>obligated to do or perform any act which is inconsistent with the provisions of the Deposit Agreement or incur any liability (to the extent not limited by paragraph (25) hereof) (i) if the Depositary or the Company shall be prevented or forbidden from, or delayed in, doing or performing any act or thing required by the terms of the Deposit Agreement, by reason of any provision of any present or future law or regulation of the United States, England and Wales or any other country, or of any other governmental authority or regulatory authority or stock exchange, or on account of potential criminal or civil penalties or restraint, or by reason of any provision, present or future, of the Articles of Association of the Company or any provision of or governing any Deposited Securities, or by reason of any act of God or war or other circumstances beyond its control (including, without limitation, nationalization, expropriation, currency restrictions, work stoppage, strikes, civil unrest, acts of terrorism, revolutions, rebellions, explosions and computer failure), (ii) by reason of any exercise of, or failure to exercise, any discretion provided for in the Deposit Agreement or in the Articles of Association of the Company or provisions of or governing Deposited Securities, (iii) for any action or inaction in reliance upon the advice of or information from legal counsel, accountants, any person presenting Shares for deposit, any Holder, any Beneficial Owner or authorized representative thereof, or any other person believed by it in good faith to be competent to give such advice or information, (iv) for the inability by a Holder or Beneficial Owner to benefit from any distribution, offering, right or other benefit which is made available to holders of Deposited Securities but is not, under the terms of the Deposit Agreement, made available to Holders of ADSs, or (v) for any consequential or punitive damages (including lost profits) for any breach of the terms of the Deposit Agreement.</w:t>
      </w:r>
    </w:p>
    <w:p>
      <w:pPr>
        <w:spacing w:after="0" w:line="176" w:lineRule="exact"/>
        <w:rPr>
          <w:sz w:val="20"/>
          <w:szCs w:val="20"/>
          <w:color w:val="auto"/>
        </w:rPr>
      </w:pPr>
    </w:p>
    <w:p>
      <w:pPr>
        <w:ind w:right="160" w:firstLine="648"/>
        <w:spacing w:after="0" w:line="264" w:lineRule="auto"/>
        <w:rPr>
          <w:sz w:val="20"/>
          <w:szCs w:val="20"/>
          <w:color w:val="auto"/>
        </w:rPr>
      </w:pPr>
      <w:r>
        <w:rPr>
          <w:rFonts w:ascii="Arial" w:cs="Arial" w:eastAsia="Arial" w:hAnsi="Arial"/>
          <w:sz w:val="18"/>
          <w:szCs w:val="18"/>
          <w:color w:val="auto"/>
        </w:rPr>
        <w:t>The Depositary, its controlling persons, its agents, any Custodian and the Company, its controlling persons and its agents may rely and shall be protected in acting upon any written notice, request or other document believed by it to be genuine and to have been signed or presented by the proper party or parties.</w:t>
      </w:r>
    </w:p>
    <w:p>
      <w:pPr>
        <w:spacing w:after="0" w:line="177" w:lineRule="exact"/>
        <w:rPr>
          <w:sz w:val="20"/>
          <w:szCs w:val="20"/>
          <w:color w:val="auto"/>
        </w:rPr>
      </w:pPr>
    </w:p>
    <w:p>
      <w:pPr>
        <w:ind w:right="140" w:firstLine="656"/>
        <w:spacing w:after="0" w:line="266" w:lineRule="auto"/>
        <w:tabs>
          <w:tab w:leader="none" w:pos="1218" w:val="left"/>
        </w:tabs>
        <w:numPr>
          <w:ilvl w:val="0"/>
          <w:numId w:val="52"/>
        </w:numPr>
        <w:rPr>
          <w:rFonts w:ascii="Arial" w:cs="Arial" w:eastAsia="Arial" w:hAnsi="Arial"/>
          <w:sz w:val="18"/>
          <w:szCs w:val="18"/>
          <w:b w:val="1"/>
          <w:bCs w:val="1"/>
          <w:color w:val="auto"/>
        </w:rPr>
      </w:pPr>
      <w:r>
        <w:rPr>
          <w:rFonts w:ascii="Arial" w:cs="Arial" w:eastAsia="Arial" w:hAnsi="Arial"/>
          <w:sz w:val="18"/>
          <w:szCs w:val="18"/>
          <w:b w:val="1"/>
          <w:bCs w:val="1"/>
          <w:u w:val="single" w:color="auto"/>
          <w:color w:val="auto"/>
        </w:rPr>
        <w:t>Standard of Care</w:t>
      </w:r>
      <w:r>
        <w:rPr>
          <w:rFonts w:ascii="Arial" w:cs="Arial" w:eastAsia="Arial" w:hAnsi="Arial"/>
          <w:sz w:val="18"/>
          <w:szCs w:val="18"/>
          <w:b w:val="1"/>
          <w:bCs w:val="1"/>
          <w:color w:val="auto"/>
        </w:rPr>
        <w:t xml:space="preserve">. </w:t>
      </w:r>
      <w:r>
        <w:rPr>
          <w:rFonts w:ascii="Arial" w:cs="Arial" w:eastAsia="Arial" w:hAnsi="Arial"/>
          <w:sz w:val="18"/>
          <w:szCs w:val="18"/>
          <w:color w:val="auto"/>
        </w:rPr>
        <w:t>The Company and the Depositary assume no obligation and shall not be subject to any liability under the Deposit</w:t>
      </w:r>
      <w:r>
        <w:rPr>
          <w:rFonts w:ascii="Arial" w:cs="Arial" w:eastAsia="Arial" w:hAnsi="Arial"/>
          <w:sz w:val="18"/>
          <w:szCs w:val="18"/>
          <w:b w:val="1"/>
          <w:bCs w:val="1"/>
          <w:color w:val="auto"/>
        </w:rPr>
        <w:t xml:space="preserve"> </w:t>
      </w:r>
      <w:r>
        <w:rPr>
          <w:rFonts w:ascii="Arial" w:cs="Arial" w:eastAsia="Arial" w:hAnsi="Arial"/>
          <w:sz w:val="18"/>
          <w:szCs w:val="18"/>
          <w:color w:val="auto"/>
        </w:rPr>
        <w:t>Agreement or any ADRs to any Holder(s) or Beneficial Owner(s), except that the Company and the Depositary agree to perform their respective obligations specifically set forth in the Deposit Agreement or the applicable ADRs without negligence or bad faith.</w:t>
      </w:r>
    </w:p>
    <w:p>
      <w:pPr>
        <w:spacing w:after="0" w:line="281" w:lineRule="exact"/>
        <w:rPr>
          <w:sz w:val="20"/>
          <w:szCs w:val="20"/>
          <w:color w:val="auto"/>
        </w:rPr>
      </w:pPr>
    </w:p>
    <w:p>
      <w:pPr>
        <w:jc w:val="center"/>
        <w:ind w:right="-39"/>
        <w:spacing w:after="0"/>
        <w:rPr>
          <w:sz w:val="20"/>
          <w:szCs w:val="20"/>
          <w:color w:val="auto"/>
        </w:rPr>
      </w:pPr>
      <w:r>
        <w:rPr>
          <w:rFonts w:ascii="Arial" w:cs="Arial" w:eastAsia="Arial" w:hAnsi="Arial"/>
          <w:sz w:val="22"/>
          <w:szCs w:val="22"/>
          <w:color w:val="auto"/>
        </w:rPr>
        <w:t>A-23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7620</wp:posOffset>
            </wp:positionV>
            <wp:extent cx="7246620" cy="17145"/>
            <wp:wrapNone/>
            <wp:docPr id="97" name="Picture 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7"/>
                    <pic:cNvPicPr>
                      <a:picLocks noChangeAspect="1" noChangeArrowheads="1"/>
                    </pic:cNvPicPr>
                  </pic:nvPicPr>
                  <pic:blipFill>
                    <a:blip r:embed="rId104">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00"/>
          </w:cols>
          <w:pgMar w:left="240" w:top="337" w:right="259" w:bottom="1440" w:gutter="0" w:footer="0" w:header="0"/>
        </w:sectPr>
      </w:pPr>
    </w:p>
    <w:bookmarkStart w:id="86" w:name="page87"/>
    <w:bookmarkEnd w:id="86"/>
    <w:p>
      <w:pPr>
        <w:ind w:right="20" w:firstLine="648"/>
        <w:spacing w:after="0" w:line="257" w:lineRule="auto"/>
        <w:rPr>
          <w:sz w:val="20"/>
          <w:szCs w:val="20"/>
          <w:color w:val="auto"/>
        </w:rPr>
      </w:pPr>
      <w:r>
        <w:rPr>
          <w:rFonts w:ascii="Arial" w:cs="Arial" w:eastAsia="Arial" w:hAnsi="Arial"/>
          <w:sz w:val="18"/>
          <w:szCs w:val="18"/>
          <w:color w:val="auto"/>
        </w:rPr>
        <w:t>Without limitation of the foregoing, neither the Depositary, nor the Company, nor any of their respective controlling persons, or agents, shall be under any obligation to appear in, prosecute or defend any action, suit or other proceeding in respect of any Deposited Property or in respect of the ADSs, which in its opinion may involve it in expense or liability, unless indemnity satisfactory to it against all expense (including fees and disbursements of counsel) and liability be furnished as often as may be required (and no Custodian shall be under any obligation whatsoever with respect to such proceedings, the responsibility of the Custodian being solely to the Depositary).</w:t>
      </w:r>
    </w:p>
    <w:p>
      <w:pPr>
        <w:spacing w:after="0" w:line="188" w:lineRule="exact"/>
        <w:rPr>
          <w:sz w:val="20"/>
          <w:szCs w:val="20"/>
          <w:color w:val="auto"/>
        </w:rPr>
      </w:pPr>
    </w:p>
    <w:p>
      <w:pPr>
        <w:ind w:right="40" w:firstLine="648"/>
        <w:spacing w:after="0" w:line="290" w:lineRule="auto"/>
        <w:rPr>
          <w:sz w:val="20"/>
          <w:szCs w:val="20"/>
          <w:color w:val="auto"/>
        </w:rPr>
      </w:pPr>
      <w:r>
        <w:rPr>
          <w:rFonts w:ascii="Arial" w:cs="Arial" w:eastAsia="Arial" w:hAnsi="Arial"/>
          <w:sz w:val="16"/>
          <w:szCs w:val="16"/>
          <w:color w:val="auto"/>
        </w:rPr>
        <w:t>The Depositary and its agents shall not be liable for any failure to carry out any instructions to vote any of the Deposited Securities, or for the manner in which any vote is cast or the effect of any vote, provided that any such action or omission is in good faith and without negligence and in accordance with the terms of the Deposit Agreement. The Depositary shall not incur any liability for any failure to accurately determine that any distribution or action may be lawful or reasonably practicable, for the content of any information submitted to it by the Company for distribution to the Holders or for any inaccuracy of any translation thereof, for any investment risk associated with acquiring an interest in the Deposited Property, for the validity or worth of the Deposited Property or for any tax consequences that may result from the ownership of ADSs, Shares or other Deposited Property, for the credit-worthiness of any third party, for allowing any rights to lapse upon the terms of the Deposit Agreement, for the failure or timeliness of any notice from the Company, or for any action of or failure to act by, or any information provided or not provided by, DTC or any DTC Participant.</w:t>
      </w:r>
    </w:p>
    <w:p>
      <w:pPr>
        <w:spacing w:after="0" w:line="166" w:lineRule="exact"/>
        <w:rPr>
          <w:sz w:val="20"/>
          <w:szCs w:val="20"/>
          <w:color w:val="auto"/>
        </w:rPr>
      </w:pPr>
    </w:p>
    <w:p>
      <w:pPr>
        <w:ind w:right="40" w:firstLine="648"/>
        <w:spacing w:after="0" w:line="312" w:lineRule="auto"/>
        <w:rPr>
          <w:sz w:val="20"/>
          <w:szCs w:val="20"/>
          <w:color w:val="auto"/>
        </w:rPr>
      </w:pPr>
      <w:r>
        <w:rPr>
          <w:rFonts w:ascii="Arial" w:cs="Arial" w:eastAsia="Arial" w:hAnsi="Arial"/>
          <w:sz w:val="16"/>
          <w:szCs w:val="16"/>
          <w:color w:val="auto"/>
        </w:rPr>
        <w:t>The Depositary shall not be liable for any acts or omissions made by a successor depositary whether in connection with a previous act or omission of the Depositary or in connection with any matter arising wholly after the removal or resignation of the Depositary, provided that in connection with the issue out of which such potential liability arises the Depositary performed its obligations without negligence or bad faith while it acted as Depositary.</w:t>
      </w:r>
    </w:p>
    <w:p>
      <w:pPr>
        <w:spacing w:after="0" w:line="147" w:lineRule="exact"/>
        <w:rPr>
          <w:sz w:val="20"/>
          <w:szCs w:val="20"/>
          <w:color w:val="auto"/>
        </w:rPr>
      </w:pPr>
    </w:p>
    <w:p>
      <w:pPr>
        <w:ind w:right="80" w:firstLine="648"/>
        <w:spacing w:after="0" w:line="259" w:lineRule="auto"/>
        <w:rPr>
          <w:sz w:val="20"/>
          <w:szCs w:val="20"/>
          <w:color w:val="auto"/>
        </w:rPr>
      </w:pPr>
      <w:r>
        <w:rPr>
          <w:rFonts w:ascii="Arial" w:cs="Arial" w:eastAsia="Arial" w:hAnsi="Arial"/>
          <w:sz w:val="18"/>
          <w:szCs w:val="18"/>
          <w:color w:val="auto"/>
        </w:rPr>
        <w:t>The Depositary shall not be liable for any acts or omissions made by a predecessor depositary whether in connection with an act or omission of the Depositary or in connection with any matter arising wholly prior to the appointment of the Depositary or after the removal or resignation of the Depositary, provided that in connection with the issue out of which such potential liability arises the Depositary performed its obligations without negligence or bad faith while it acted as Depositary.</w:t>
      </w:r>
    </w:p>
    <w:p>
      <w:pPr>
        <w:spacing w:after="0" w:line="183" w:lineRule="exact"/>
        <w:rPr>
          <w:sz w:val="20"/>
          <w:szCs w:val="20"/>
          <w:color w:val="auto"/>
        </w:rPr>
      </w:pPr>
    </w:p>
    <w:p>
      <w:pPr>
        <w:ind w:firstLine="656"/>
        <w:spacing w:after="0" w:line="281" w:lineRule="auto"/>
        <w:tabs>
          <w:tab w:leader="none" w:pos="1218" w:val="left"/>
        </w:tabs>
        <w:numPr>
          <w:ilvl w:val="0"/>
          <w:numId w:val="53"/>
        </w:numPr>
        <w:rPr>
          <w:rFonts w:ascii="Arial" w:cs="Arial" w:eastAsia="Arial" w:hAnsi="Arial"/>
          <w:sz w:val="17"/>
          <w:szCs w:val="17"/>
          <w:b w:val="1"/>
          <w:bCs w:val="1"/>
          <w:color w:val="auto"/>
        </w:rPr>
      </w:pPr>
      <w:r>
        <w:rPr>
          <w:rFonts w:ascii="Arial" w:cs="Arial" w:eastAsia="Arial" w:hAnsi="Arial"/>
          <w:sz w:val="17"/>
          <w:szCs w:val="17"/>
          <w:b w:val="1"/>
          <w:bCs w:val="1"/>
          <w:u w:val="single" w:color="auto"/>
          <w:color w:val="auto"/>
        </w:rPr>
        <w:t>Resignation and Removal of the Depositary; Appointment of Successor Depositary</w:t>
      </w:r>
      <w:r>
        <w:rPr>
          <w:rFonts w:ascii="Arial" w:cs="Arial" w:eastAsia="Arial" w:hAnsi="Arial"/>
          <w:sz w:val="17"/>
          <w:szCs w:val="17"/>
          <w:b w:val="1"/>
          <w:bCs w:val="1"/>
          <w:color w:val="auto"/>
        </w:rPr>
        <w:t xml:space="preserve">. </w:t>
      </w:r>
      <w:r>
        <w:rPr>
          <w:rFonts w:ascii="Arial" w:cs="Arial" w:eastAsia="Arial" w:hAnsi="Arial"/>
          <w:sz w:val="17"/>
          <w:szCs w:val="17"/>
          <w:color w:val="auto"/>
        </w:rPr>
        <w:t>The Depositary may at any time resign as</w:t>
      </w:r>
      <w:r>
        <w:rPr>
          <w:rFonts w:ascii="Arial" w:cs="Arial" w:eastAsia="Arial" w:hAnsi="Arial"/>
          <w:sz w:val="17"/>
          <w:szCs w:val="17"/>
          <w:b w:val="1"/>
          <w:bCs w:val="1"/>
          <w:color w:val="auto"/>
        </w:rPr>
        <w:t xml:space="preserve"> </w:t>
      </w:r>
      <w:r>
        <w:rPr>
          <w:rFonts w:ascii="Arial" w:cs="Arial" w:eastAsia="Arial" w:hAnsi="Arial"/>
          <w:sz w:val="17"/>
          <w:szCs w:val="17"/>
          <w:color w:val="auto"/>
        </w:rPr>
        <w:t>Depositary hereunder by written notice of resignation delivered to the Company, such resignation to be effective on the earlier of (i) the 90th day after delivery thereof to the Company (whereupon the Depositary shall be entitled to take the actions contemplated in Section 6.2 of the Deposit Agreement), or (ii) the appointment by the Company of a successor depositary and its acceptance of such appointment as hereinafter provided.</w:t>
      </w:r>
    </w:p>
    <w:p>
      <w:pPr>
        <w:spacing w:after="0" w:line="270" w:lineRule="exact"/>
        <w:rPr>
          <w:sz w:val="20"/>
          <w:szCs w:val="20"/>
          <w:color w:val="auto"/>
        </w:rPr>
      </w:pPr>
    </w:p>
    <w:p>
      <w:pPr>
        <w:jc w:val="center"/>
        <w:ind w:right="-19"/>
        <w:spacing w:after="0"/>
        <w:rPr>
          <w:sz w:val="20"/>
          <w:szCs w:val="20"/>
          <w:color w:val="auto"/>
        </w:rPr>
      </w:pPr>
      <w:r>
        <w:rPr>
          <w:rFonts w:ascii="Arial" w:cs="Arial" w:eastAsia="Arial" w:hAnsi="Arial"/>
          <w:sz w:val="22"/>
          <w:szCs w:val="22"/>
          <w:color w:val="auto"/>
        </w:rPr>
        <w:t>A-24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7620</wp:posOffset>
            </wp:positionV>
            <wp:extent cx="7246620" cy="17145"/>
            <wp:wrapNone/>
            <wp:docPr id="98" name="Picture 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8"/>
                    <pic:cNvPicPr>
                      <a:picLocks noChangeAspect="1" noChangeArrowheads="1"/>
                    </pic:cNvPicPr>
                  </pic:nvPicPr>
                  <pic:blipFill>
                    <a:blip r:embed="rId105">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341" w:right="239" w:bottom="1440" w:gutter="0" w:footer="0" w:header="0"/>
        </w:sectPr>
      </w:pPr>
    </w:p>
    <w:bookmarkStart w:id="87" w:name="page88"/>
    <w:bookmarkEnd w:id="87"/>
    <w:p>
      <w:pPr>
        <w:ind w:right="20" w:firstLine="648"/>
        <w:spacing w:after="0" w:line="312" w:lineRule="auto"/>
        <w:rPr>
          <w:sz w:val="20"/>
          <w:szCs w:val="20"/>
          <w:color w:val="auto"/>
        </w:rPr>
      </w:pPr>
      <w:r>
        <w:rPr>
          <w:rFonts w:ascii="Arial" w:cs="Arial" w:eastAsia="Arial" w:hAnsi="Arial"/>
          <w:sz w:val="16"/>
          <w:szCs w:val="16"/>
          <w:color w:val="auto"/>
        </w:rPr>
        <w:t>The Depositary may at any time be removed by the Company by written notice of such removal, which removal shall be effective on the later of (i) the 90th day after delivery thereof to the Depositary (whereupon the Depositary shall be entitled to take the actions contemplated in Section 6.2 of the Deposit Agreement), or (ii) upon the appointment by the Company of a successor depositary and its acceptance of such appointment as hereinafter provided.</w:t>
      </w:r>
    </w:p>
    <w:p>
      <w:pPr>
        <w:spacing w:after="0" w:line="147" w:lineRule="exact"/>
        <w:rPr>
          <w:sz w:val="20"/>
          <w:szCs w:val="20"/>
          <w:color w:val="auto"/>
        </w:rPr>
      </w:pPr>
    </w:p>
    <w:p>
      <w:pPr>
        <w:ind w:right="80" w:firstLine="648"/>
        <w:spacing w:after="0" w:line="270" w:lineRule="auto"/>
        <w:rPr>
          <w:sz w:val="20"/>
          <w:szCs w:val="20"/>
          <w:color w:val="auto"/>
        </w:rPr>
      </w:pPr>
      <w:r>
        <w:rPr>
          <w:rFonts w:ascii="Arial" w:cs="Arial" w:eastAsia="Arial" w:hAnsi="Arial"/>
          <w:sz w:val="17"/>
          <w:szCs w:val="17"/>
          <w:color w:val="auto"/>
        </w:rPr>
        <w:t>In case at any time the Depositary acting hereunder shall resign or be removed, the Company shall use its best efforts to appoint a successor depositary, which shall be a bank or trust company having an office in the Borough of Manhattan, the City of New York. Every successor depositary shall be required by the Company to execute and deliver to its predecessor and to the Company an instrument in writing accepting its appointment hereunder, and thereupon such successor depositary, without any further act or deed (except as required by applicable law), shall become fully vested with all the rights, powers, duties and obligations of its predecessor (other than as contemplated in Sections 5.8 and 5.9 of the Deposit Agreement). The predecessor depositary, upon payment of all sums due it and on the written request of the Company, shall, (i) execute and deliver an instrument transferring to such successor all rights and powers of such predecessor hereunder (other than as contemplated in Sections 5.8 and 5.9 of the Deposit Agreement), (ii) duly assign, transfer and deliver all of the Depositary’s right, title and interest to the Deposited Property to such successor, and (iii) deliver to such successor a list of the Holders of all outstanding ADSs and such other information relating to ADSs and Holders thereof as the successor may reasonably request. Any such successor depositary shall promptly provide notice of its appointment to such Holders.</w:t>
      </w:r>
    </w:p>
    <w:p>
      <w:pPr>
        <w:spacing w:after="0" w:line="178" w:lineRule="exact"/>
        <w:rPr>
          <w:sz w:val="20"/>
          <w:szCs w:val="20"/>
          <w:color w:val="auto"/>
        </w:rPr>
      </w:pPr>
    </w:p>
    <w:p>
      <w:pPr>
        <w:ind w:right="100" w:firstLine="648"/>
        <w:spacing w:after="0" w:line="277" w:lineRule="auto"/>
        <w:rPr>
          <w:sz w:val="20"/>
          <w:szCs w:val="20"/>
          <w:color w:val="auto"/>
        </w:rPr>
      </w:pPr>
      <w:r>
        <w:rPr>
          <w:rFonts w:ascii="Arial" w:cs="Arial" w:eastAsia="Arial" w:hAnsi="Arial"/>
          <w:sz w:val="18"/>
          <w:szCs w:val="18"/>
          <w:color w:val="auto"/>
        </w:rPr>
        <w:t>Any entity into or with which the Depositary may be merged or consolidated shall be the successor of the Depositary without the execution or filing of any document or any further act.</w:t>
      </w:r>
    </w:p>
    <w:p>
      <w:pPr>
        <w:spacing w:after="0" w:line="166" w:lineRule="exact"/>
        <w:rPr>
          <w:sz w:val="20"/>
          <w:szCs w:val="20"/>
          <w:color w:val="auto"/>
        </w:rPr>
      </w:pPr>
    </w:p>
    <w:p>
      <w:pPr>
        <w:ind w:firstLine="656"/>
        <w:spacing w:after="0" w:line="285" w:lineRule="auto"/>
        <w:tabs>
          <w:tab w:leader="none" w:pos="1218" w:val="left"/>
        </w:tabs>
        <w:numPr>
          <w:ilvl w:val="0"/>
          <w:numId w:val="54"/>
        </w:numPr>
        <w:rPr>
          <w:rFonts w:ascii="Arial" w:cs="Arial" w:eastAsia="Arial" w:hAnsi="Arial"/>
          <w:sz w:val="16"/>
          <w:szCs w:val="16"/>
          <w:b w:val="1"/>
          <w:bCs w:val="1"/>
          <w:color w:val="auto"/>
        </w:rPr>
      </w:pPr>
      <w:r>
        <w:rPr>
          <w:rFonts w:ascii="Arial" w:cs="Arial" w:eastAsia="Arial" w:hAnsi="Arial"/>
          <w:sz w:val="16"/>
          <w:szCs w:val="16"/>
          <w:b w:val="1"/>
          <w:bCs w:val="1"/>
          <w:u w:val="single" w:color="auto"/>
          <w:color w:val="auto"/>
        </w:rPr>
        <w:t>Amendment/Supplement</w:t>
      </w:r>
      <w:r>
        <w:rPr>
          <w:rFonts w:ascii="Arial" w:cs="Arial" w:eastAsia="Arial" w:hAnsi="Arial"/>
          <w:sz w:val="16"/>
          <w:szCs w:val="16"/>
          <w:b w:val="1"/>
          <w:bCs w:val="1"/>
          <w:color w:val="auto"/>
        </w:rPr>
        <w:t xml:space="preserve">. </w:t>
      </w:r>
      <w:r>
        <w:rPr>
          <w:rFonts w:ascii="Arial" w:cs="Arial" w:eastAsia="Arial" w:hAnsi="Arial"/>
          <w:sz w:val="16"/>
          <w:szCs w:val="16"/>
          <w:color w:val="auto"/>
        </w:rPr>
        <w:t>Subject to the terms and conditions of Section 6.1 of the Deposit Agreement and applicable law, the ADRs</w:t>
      </w:r>
      <w:r>
        <w:rPr>
          <w:rFonts w:ascii="Arial" w:cs="Arial" w:eastAsia="Arial" w:hAnsi="Arial"/>
          <w:sz w:val="16"/>
          <w:szCs w:val="16"/>
          <w:b w:val="1"/>
          <w:bCs w:val="1"/>
          <w:color w:val="auto"/>
        </w:rPr>
        <w:t xml:space="preserve"> </w:t>
      </w:r>
      <w:r>
        <w:rPr>
          <w:rFonts w:ascii="Arial" w:cs="Arial" w:eastAsia="Arial" w:hAnsi="Arial"/>
          <w:sz w:val="16"/>
          <w:szCs w:val="16"/>
          <w:color w:val="auto"/>
        </w:rPr>
        <w:t xml:space="preserve">outstanding at any time, the provisions of the Deposit Agreement and the form of ADR attached hereto and to be issued under the terms hereof may at any time and from time to time be amended or supplemented by written agreement between the Company and the Depositary in any respect which they may deem necessary or desirable without the prior written consent of the Holders or Beneficial Owners. Any amendment or supplement which shall impose or increase any fees or charges (other than charges in connection with foreign exchange control regulations, and taxes and other governmental charges, delivery and other such expenses), or which shall otherwise materially prejudice any substantial existing right of Holders or Beneficial Owners, shall not, however, become effective as to outstanding ADSs until the expiration of thirty (30) days after notice of such amendment or supplement shall have been given to the Holders of outstanding ADSs. Notice of any amendment to the Deposit Agreement or any ADR shall not need to describe in detail the specific amendments effectuated thereby, and failure to describe the specific amendments in any such notice shall not render such notice invalid, </w:t>
      </w:r>
      <w:r>
        <w:rPr>
          <w:rFonts w:ascii="Arial" w:cs="Arial" w:eastAsia="Arial" w:hAnsi="Arial"/>
          <w:sz w:val="16"/>
          <w:szCs w:val="16"/>
          <w:u w:val="single" w:color="auto"/>
          <w:color w:val="auto"/>
        </w:rPr>
        <w:t>provided</w:t>
      </w:r>
      <w:r>
        <w:rPr>
          <w:rFonts w:ascii="Arial" w:cs="Arial" w:eastAsia="Arial" w:hAnsi="Arial"/>
          <w:sz w:val="16"/>
          <w:szCs w:val="16"/>
          <w:color w:val="auto"/>
        </w:rPr>
        <w:t xml:space="preserve">, </w:t>
      </w:r>
      <w:r>
        <w:rPr>
          <w:rFonts w:ascii="Arial" w:cs="Arial" w:eastAsia="Arial" w:hAnsi="Arial"/>
          <w:sz w:val="16"/>
          <w:szCs w:val="16"/>
          <w:u w:val="single" w:color="auto"/>
          <w:color w:val="auto"/>
        </w:rPr>
        <w:t>however</w:t>
      </w:r>
      <w:r>
        <w:rPr>
          <w:rFonts w:ascii="Arial" w:cs="Arial" w:eastAsia="Arial" w:hAnsi="Arial"/>
          <w:sz w:val="16"/>
          <w:szCs w:val="16"/>
          <w:color w:val="auto"/>
        </w:rPr>
        <w:t>, that, in each such case, the notice given to the Holders identifies a means for Holders and Beneficial Owners to retrieve or receive the text of such amendment (</w:t>
      </w:r>
      <w:r>
        <w:rPr>
          <w:rFonts w:ascii="Arial" w:cs="Arial" w:eastAsia="Arial" w:hAnsi="Arial"/>
          <w:sz w:val="16"/>
          <w:szCs w:val="16"/>
          <w:i w:val="1"/>
          <w:iCs w:val="1"/>
          <w:color w:val="auto"/>
        </w:rPr>
        <w:t>e.g.</w:t>
      </w:r>
      <w:r>
        <w:rPr>
          <w:rFonts w:ascii="Arial" w:cs="Arial" w:eastAsia="Arial" w:hAnsi="Arial"/>
          <w:sz w:val="16"/>
          <w:szCs w:val="16"/>
          <w:color w:val="auto"/>
        </w:rPr>
        <w:t>, upon retrieval from the Commission’s, the Depositary’s or the Company’s website or upon request from the Depositary). The parties hereto agree that any amendments or supplements which (i) are reasonably necessary (as agreed by the Company and the Depositary) in order for (a) the ADSs to be registered on Form F-6 under the Securities Act or (b) the ADSs to be settled solely in electronic book-entry form and (ii) do not in either such case impose or increase any fees or charges to be borne by Holders, shall be deemed not to materially prejudice any substantial existing rights of Holders or Beneficial Owners. Every Holder and Beneficial Owner at the time any amendment or supplement so becomes effective shall be deemed, by continuing to hold such ADSs, to consent and agree to such amendment or supplement and to be bound by the Deposit Agreement and the ADR, if applicable, as amended or supplemented thereby. In no event shall any amendment or supplement impair the right of the Holder to surrender such ADS and receive therefor the Deposited Securities represented thereby, except in order to comply with mandatory provisions of applicable law. Notwithstanding the foregoing, if any governmental body should adopt new laws, rules or regulations which would require an amendment of, or supplement to, the Deposit Agreement to ensure compliance therewith, the Company and the Depositary may amend or supplement the Deposit Agreement and any ADRs at any time in accordance with such changed laws, rules or regulations. Such amendment or supplement to the Deposit Agreement and any ADRs in such circumstances may become effective before a notice of such amendment or supplement is given to Holders or within any other period of time as required for compliance with such laws, rules or regulations.</w:t>
      </w:r>
    </w:p>
    <w:p>
      <w:pPr>
        <w:spacing w:after="0" w:line="268" w:lineRule="exact"/>
        <w:rPr>
          <w:sz w:val="20"/>
          <w:szCs w:val="20"/>
          <w:color w:val="auto"/>
        </w:rPr>
      </w:pPr>
    </w:p>
    <w:p>
      <w:pPr>
        <w:jc w:val="center"/>
        <w:ind w:right="-19"/>
        <w:spacing w:after="0"/>
        <w:rPr>
          <w:sz w:val="20"/>
          <w:szCs w:val="20"/>
          <w:color w:val="auto"/>
        </w:rPr>
      </w:pPr>
      <w:r>
        <w:rPr>
          <w:rFonts w:ascii="Arial" w:cs="Arial" w:eastAsia="Arial" w:hAnsi="Arial"/>
          <w:sz w:val="22"/>
          <w:szCs w:val="22"/>
          <w:color w:val="auto"/>
        </w:rPr>
        <w:t>A-25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7620</wp:posOffset>
            </wp:positionV>
            <wp:extent cx="7246620" cy="17145"/>
            <wp:wrapNone/>
            <wp:docPr id="99" name="Picture 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9"/>
                    <pic:cNvPicPr>
                      <a:picLocks noChangeAspect="1" noChangeArrowheads="1"/>
                    </pic:cNvPicPr>
                  </pic:nvPicPr>
                  <pic:blipFill>
                    <a:blip r:embed="rId106">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341" w:right="239" w:bottom="1440" w:gutter="0" w:footer="0" w:header="0"/>
        </w:sectPr>
      </w:pPr>
    </w:p>
    <w:bookmarkStart w:id="88" w:name="page89"/>
    <w:bookmarkEnd w:id="88"/>
    <w:p>
      <w:pPr>
        <w:ind w:right="20" w:firstLine="656"/>
        <w:spacing w:after="0" w:line="290" w:lineRule="auto"/>
        <w:tabs>
          <w:tab w:leader="none" w:pos="1218" w:val="left"/>
        </w:tabs>
        <w:numPr>
          <w:ilvl w:val="0"/>
          <w:numId w:val="55"/>
        </w:numPr>
        <w:rPr>
          <w:rFonts w:ascii="Arial" w:cs="Arial" w:eastAsia="Arial" w:hAnsi="Arial"/>
          <w:sz w:val="16"/>
          <w:szCs w:val="16"/>
          <w:b w:val="1"/>
          <w:bCs w:val="1"/>
          <w:color w:val="auto"/>
        </w:rPr>
      </w:pPr>
      <w:r>
        <w:rPr>
          <w:rFonts w:ascii="Arial" w:cs="Arial" w:eastAsia="Arial" w:hAnsi="Arial"/>
          <w:sz w:val="16"/>
          <w:szCs w:val="16"/>
          <w:b w:val="1"/>
          <w:bCs w:val="1"/>
          <w:u w:val="single" w:color="auto"/>
          <w:color w:val="auto"/>
        </w:rPr>
        <w:t>Termination</w:t>
      </w:r>
      <w:r>
        <w:rPr>
          <w:rFonts w:ascii="Arial" w:cs="Arial" w:eastAsia="Arial" w:hAnsi="Arial"/>
          <w:sz w:val="16"/>
          <w:szCs w:val="16"/>
          <w:b w:val="1"/>
          <w:bCs w:val="1"/>
          <w:color w:val="auto"/>
        </w:rPr>
        <w:t xml:space="preserve">. </w:t>
      </w:r>
      <w:r>
        <w:rPr>
          <w:rFonts w:ascii="Arial" w:cs="Arial" w:eastAsia="Arial" w:hAnsi="Arial"/>
          <w:sz w:val="16"/>
          <w:szCs w:val="16"/>
          <w:color w:val="auto"/>
        </w:rPr>
        <w:t>The Depositary shall, at any time at the written direction of the Company, terminate the Deposit Agreement by distributing</w:t>
      </w:r>
      <w:r>
        <w:rPr>
          <w:rFonts w:ascii="Arial" w:cs="Arial" w:eastAsia="Arial" w:hAnsi="Arial"/>
          <w:sz w:val="16"/>
          <w:szCs w:val="16"/>
          <w:b w:val="1"/>
          <w:bCs w:val="1"/>
          <w:color w:val="auto"/>
        </w:rPr>
        <w:t xml:space="preserve"> </w:t>
      </w:r>
      <w:r>
        <w:rPr>
          <w:rFonts w:ascii="Arial" w:cs="Arial" w:eastAsia="Arial" w:hAnsi="Arial"/>
          <w:sz w:val="16"/>
          <w:szCs w:val="16"/>
          <w:color w:val="auto"/>
        </w:rPr>
        <w:t>notice of such termination to the Holders of all ADSs then outstanding at least thirty (30) days prior to the date fixed in such notice for such termination. If ninety (90) days shall have expired after (i) the Depositary shall have delivered to the Company a written notice of its election to resign, or (ii) the Company shall have delivered to the Depositary a written notice of the removal of the Depositary, and, in either case, a successor depositary shall not have been appointed and accepted its appointment as provided in Section 5.4 of the Deposit Agreement of the Deposit Agreement, the Depositary may terminate the Deposit Agreement by distributing notice of such termination to the Holders of all ADSs then outstanding at least thirty (30) days prior to the date fixed in such notice for such termination. The date so fixed for termination of the Deposit Agreement in any termination notice so distributed by the Depositary to the Holders of ADSs is referred to as the “</w:t>
      </w:r>
      <w:r>
        <w:rPr>
          <w:rFonts w:ascii="Arial" w:cs="Arial" w:eastAsia="Arial" w:hAnsi="Arial"/>
          <w:sz w:val="16"/>
          <w:szCs w:val="16"/>
          <w:u w:val="single" w:color="auto"/>
          <w:color w:val="auto"/>
        </w:rPr>
        <w:t>Termination Date</w:t>
      </w:r>
      <w:r>
        <w:rPr>
          <w:rFonts w:ascii="Arial" w:cs="Arial" w:eastAsia="Arial" w:hAnsi="Arial"/>
          <w:sz w:val="16"/>
          <w:szCs w:val="16"/>
          <w:color w:val="auto"/>
        </w:rPr>
        <w:t>”. Until the Termination Date, the Depositary shall continue to perform all of its obligations under the Deposit Agreement, and the Holders and Beneficial Owners will be entitled to all of their rights under the Deposit Agreement.</w:t>
      </w:r>
    </w:p>
    <w:p>
      <w:pPr>
        <w:spacing w:after="0" w:line="164" w:lineRule="exact"/>
        <w:rPr>
          <w:sz w:val="20"/>
          <w:szCs w:val="20"/>
          <w:color w:val="auto"/>
        </w:rPr>
      </w:pPr>
    </w:p>
    <w:p>
      <w:pPr>
        <w:ind w:firstLine="648"/>
        <w:spacing w:after="0" w:line="271" w:lineRule="auto"/>
        <w:rPr>
          <w:sz w:val="20"/>
          <w:szCs w:val="20"/>
          <w:color w:val="auto"/>
        </w:rPr>
      </w:pPr>
      <w:r>
        <w:rPr>
          <w:rFonts w:ascii="Arial" w:cs="Arial" w:eastAsia="Arial" w:hAnsi="Arial"/>
          <w:sz w:val="17"/>
          <w:szCs w:val="17"/>
          <w:color w:val="auto"/>
        </w:rPr>
        <w:t>If any ADSs shall remain outstanding after the Termination Date, the Registrar and the Depositary shall not, after the Termination Date, have any obligation to perform any further acts under the Deposit Agreement, except that the Depositary shall, subject, in each case, to the terms and conditions of the Deposit Agreement, continue to (i) collect dividends and other distributions pertaining to Deposited Securities, (ii) sell Deposited Property received in respect of Deposited Securities, (iii) deliver Deposited Securities, together with any dividends or other distributions received with respect thereto and the net proceeds of the sale of any other Deposited Property, in exchange for ADSs surrendered to the Depositary (after deducting, or charging, as the case may be, in each case, the fees and charges of, and expenses incurred by, the Depositary, and all applicable taxes or governmental charges for the account of the Holders and Beneficial Owners, in each case upon the terms set forth in Section 5.9 of the Deposit Agreement), and (iv) take such actions as may be required under applicable law in connection with its role as Depositary under the Deposit Agreement.</w:t>
      </w:r>
    </w:p>
    <w:p>
      <w:pPr>
        <w:spacing w:after="0" w:line="280" w:lineRule="exact"/>
        <w:rPr>
          <w:sz w:val="20"/>
          <w:szCs w:val="20"/>
          <w:color w:val="auto"/>
        </w:rPr>
      </w:pPr>
    </w:p>
    <w:p>
      <w:pPr>
        <w:jc w:val="center"/>
        <w:ind w:right="-19"/>
        <w:spacing w:after="0"/>
        <w:rPr>
          <w:sz w:val="20"/>
          <w:szCs w:val="20"/>
          <w:color w:val="auto"/>
        </w:rPr>
      </w:pPr>
      <w:r>
        <w:rPr>
          <w:rFonts w:ascii="Arial" w:cs="Arial" w:eastAsia="Arial" w:hAnsi="Arial"/>
          <w:sz w:val="22"/>
          <w:szCs w:val="22"/>
          <w:color w:val="auto"/>
        </w:rPr>
        <w:t>A-26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7620</wp:posOffset>
            </wp:positionV>
            <wp:extent cx="7246620" cy="17145"/>
            <wp:wrapNone/>
            <wp:docPr id="100" name="Picture 1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0"/>
                    <pic:cNvPicPr>
                      <a:picLocks noChangeAspect="1" noChangeArrowheads="1"/>
                    </pic:cNvPicPr>
                  </pic:nvPicPr>
                  <pic:blipFill>
                    <a:blip r:embed="rId107">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00"/>
          </w:cols>
          <w:pgMar w:left="240" w:top="337" w:right="259" w:bottom="1440" w:gutter="0" w:footer="0" w:header="0"/>
        </w:sectPr>
      </w:pPr>
    </w:p>
    <w:bookmarkStart w:id="89" w:name="page90"/>
    <w:bookmarkEnd w:id="89"/>
    <w:p>
      <w:pPr>
        <w:ind w:right="60" w:firstLine="648"/>
        <w:spacing w:after="0" w:line="269" w:lineRule="auto"/>
        <w:rPr>
          <w:sz w:val="20"/>
          <w:szCs w:val="20"/>
          <w:color w:val="auto"/>
        </w:rPr>
      </w:pPr>
      <w:r>
        <w:rPr>
          <w:rFonts w:ascii="Arial" w:cs="Arial" w:eastAsia="Arial" w:hAnsi="Arial"/>
          <w:sz w:val="17"/>
          <w:szCs w:val="17"/>
          <w:color w:val="auto"/>
        </w:rPr>
        <w:t>At any time after the Termination Date, the Depositary may sell the Deposited Property then held under the Deposit Agreement and shall after such sale hold un-invested the net proceeds of such sale, together with any other cash then held by it under the Deposit Agreement, in an un-segregated account and without liability for interest, for the pro rata benefit of the Holders whose ADSs have not theretofore been surrendered. After making such sale, the Depositary shall be discharged from all obligations under the Deposit Agreement except (i) to account for such net proceeds and other cash (after deducting, or charging, as the case may be, in each case, the fees and charges of, and expenses incurred by, the Depositary, and all applicable taxes or governmental charges for the account of the Holders and Beneficial Owners, in each case upon the terms set forth in Section 5.9 of the Deposit Agreement), and (ii) as may be required at law in connection with the termination of the Deposit Agreement. After the Termination Date, the Company shall be discharged from all obligations under the Deposit Agreement, except for its obligations to the Depositary under Sections 5.8, 5.9 and 7.6 of the Deposit Agreement. The obligations under the terms of the Deposit Agreement of Holders and Beneficial Owners of ADSs outstanding as of the Termination Date shall survive the Termination Date and shall be discharged only when the applicable ADSs are presented by their Holders to the Depositary for cancellation under the terms of the Deposit Agreement (except as specifically provided in the Deposit Agreement).</w:t>
      </w:r>
    </w:p>
    <w:p>
      <w:pPr>
        <w:spacing w:after="0" w:line="183" w:lineRule="exact"/>
        <w:rPr>
          <w:sz w:val="20"/>
          <w:szCs w:val="20"/>
          <w:color w:val="auto"/>
        </w:rPr>
      </w:pPr>
    </w:p>
    <w:p>
      <w:pPr>
        <w:ind w:firstLine="648"/>
        <w:spacing w:after="0" w:line="293" w:lineRule="auto"/>
        <w:rPr>
          <w:sz w:val="20"/>
          <w:szCs w:val="20"/>
          <w:color w:val="auto"/>
        </w:rPr>
      </w:pPr>
      <w:r>
        <w:rPr>
          <w:rFonts w:ascii="Arial" w:cs="Arial" w:eastAsia="Arial" w:hAnsi="Arial"/>
          <w:sz w:val="16"/>
          <w:szCs w:val="16"/>
          <w:color w:val="auto"/>
        </w:rPr>
        <w:t>Notwithstanding anything contained in the Deposit Agreement or in this ADR, in connection with the termination of the Deposit Agreement, the Depositary may, independently and without the need for any action by the Company, make available to Holders of ADSs a means to withdraw the Deposited Securities represented by their ADSs and to direct the deposit of such Deposited Securities into an unsponsored American depositary shares program established by the Depositary, upon such terms and conditions as the Depositary may deem reasonably appropriate, subject however, in each case, to satisfaction of the applicable registration requirements by the unsponsored American depositary shares program under the Securities Act, and to receipt by the Depositary of payment of the applicable fees and charges of, and reimbursement of the applicable expenses incurred by, the Depositary.</w:t>
      </w:r>
    </w:p>
    <w:p>
      <w:pPr>
        <w:spacing w:after="0" w:line="161" w:lineRule="exact"/>
        <w:rPr>
          <w:sz w:val="20"/>
          <w:szCs w:val="20"/>
          <w:color w:val="auto"/>
        </w:rPr>
      </w:pPr>
    </w:p>
    <w:p>
      <w:pPr>
        <w:ind w:left="1220" w:hanging="564"/>
        <w:spacing w:after="0"/>
        <w:tabs>
          <w:tab w:leader="none" w:pos="1220" w:val="left"/>
        </w:tabs>
        <w:numPr>
          <w:ilvl w:val="0"/>
          <w:numId w:val="56"/>
        </w:numPr>
        <w:rPr>
          <w:rFonts w:ascii="Arial" w:cs="Arial" w:eastAsia="Arial" w:hAnsi="Arial"/>
          <w:sz w:val="18"/>
          <w:szCs w:val="18"/>
          <w:b w:val="1"/>
          <w:bCs w:val="1"/>
          <w:color w:val="auto"/>
        </w:rPr>
      </w:pPr>
      <w:r>
        <w:rPr>
          <w:rFonts w:ascii="Arial" w:cs="Arial" w:eastAsia="Arial" w:hAnsi="Arial"/>
          <w:sz w:val="18"/>
          <w:szCs w:val="18"/>
          <w:b w:val="1"/>
          <w:bCs w:val="1"/>
          <w:u w:val="single" w:color="auto"/>
          <w:color w:val="auto"/>
        </w:rPr>
        <w:t>Compliance with, and No Disclaimer under, U.S. Securities Laws</w:t>
      </w:r>
      <w:r>
        <w:rPr>
          <w:rFonts w:ascii="Arial" w:cs="Arial" w:eastAsia="Arial" w:hAnsi="Arial"/>
          <w:sz w:val="18"/>
          <w:szCs w:val="18"/>
          <w:b w:val="1"/>
          <w:bCs w:val="1"/>
          <w:color w:val="auto"/>
        </w:rPr>
        <w:t>.</w:t>
      </w:r>
    </w:p>
    <w:p>
      <w:pPr>
        <w:spacing w:after="0" w:line="229" w:lineRule="exact"/>
        <w:rPr>
          <w:sz w:val="20"/>
          <w:szCs w:val="20"/>
          <w:color w:val="auto"/>
        </w:rPr>
      </w:pPr>
    </w:p>
    <w:p>
      <w:pPr>
        <w:ind w:firstLine="656"/>
        <w:spacing w:after="0" w:line="264" w:lineRule="auto"/>
        <w:tabs>
          <w:tab w:leader="none" w:pos="1208" w:val="left"/>
        </w:tabs>
        <w:numPr>
          <w:ilvl w:val="0"/>
          <w:numId w:val="57"/>
        </w:numPr>
        <w:rPr>
          <w:rFonts w:ascii="Arial" w:cs="Arial" w:eastAsia="Arial" w:hAnsi="Arial"/>
          <w:sz w:val="18"/>
          <w:szCs w:val="18"/>
          <w:color w:val="auto"/>
        </w:rPr>
      </w:pPr>
      <w:r>
        <w:rPr>
          <w:rFonts w:ascii="Arial" w:cs="Arial" w:eastAsia="Arial" w:hAnsi="Arial"/>
          <w:sz w:val="18"/>
          <w:szCs w:val="18"/>
          <w:color w:val="auto"/>
        </w:rPr>
        <w:t>Notwithstanding anything in the Deposit Agreement to the contrary, the withdrawal or delivery of Deposited Securities will not be suspended by the Company or the Depositary except as would be permitted by Instruction I.A.(1) of the General Instructions to Form F-6 Registration Statement, as amended from time to time, under the Securities Act.</w:t>
      </w:r>
    </w:p>
    <w:p>
      <w:pPr>
        <w:spacing w:after="0" w:line="181" w:lineRule="exact"/>
        <w:rPr>
          <w:rFonts w:ascii="Arial" w:cs="Arial" w:eastAsia="Arial" w:hAnsi="Arial"/>
          <w:sz w:val="18"/>
          <w:szCs w:val="18"/>
          <w:color w:val="auto"/>
        </w:rPr>
      </w:pPr>
    </w:p>
    <w:p>
      <w:pPr>
        <w:ind w:right="200" w:firstLine="656"/>
        <w:spacing w:after="0" w:line="264" w:lineRule="auto"/>
        <w:tabs>
          <w:tab w:leader="none" w:pos="1173" w:val="left"/>
        </w:tabs>
        <w:numPr>
          <w:ilvl w:val="0"/>
          <w:numId w:val="57"/>
        </w:numPr>
        <w:rPr>
          <w:rFonts w:ascii="Arial" w:cs="Arial" w:eastAsia="Arial" w:hAnsi="Arial"/>
          <w:sz w:val="18"/>
          <w:szCs w:val="18"/>
          <w:color w:val="auto"/>
        </w:rPr>
      </w:pPr>
      <w:r>
        <w:rPr>
          <w:rFonts w:ascii="Arial" w:cs="Arial" w:eastAsia="Arial" w:hAnsi="Arial"/>
          <w:sz w:val="18"/>
          <w:szCs w:val="18"/>
          <w:color w:val="auto"/>
        </w:rPr>
        <w:t>Each of the parties to the Deposit Agreement (including, without limitation, each Holder and Beneficial Owner) acknowledges and agrees that no provision of the Deposit Agreement or any ADR shall, or shall be deemed to, disclaim any liability under the Securities Act or the Exchange Act, in each case to the extent established under applicable U.S. laws.</w:t>
      </w:r>
    </w:p>
    <w:p>
      <w:pPr>
        <w:spacing w:after="0" w:line="282" w:lineRule="exact"/>
        <w:rPr>
          <w:sz w:val="20"/>
          <w:szCs w:val="20"/>
          <w:color w:val="auto"/>
        </w:rPr>
      </w:pPr>
    </w:p>
    <w:p>
      <w:pPr>
        <w:jc w:val="center"/>
        <w:ind w:right="-19"/>
        <w:spacing w:after="0"/>
        <w:rPr>
          <w:sz w:val="20"/>
          <w:szCs w:val="20"/>
          <w:color w:val="auto"/>
        </w:rPr>
      </w:pPr>
      <w:r>
        <w:rPr>
          <w:rFonts w:ascii="Arial" w:cs="Arial" w:eastAsia="Arial" w:hAnsi="Arial"/>
          <w:sz w:val="22"/>
          <w:szCs w:val="22"/>
          <w:color w:val="auto"/>
        </w:rPr>
        <w:t>A-27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7620</wp:posOffset>
            </wp:positionV>
            <wp:extent cx="7246620" cy="17145"/>
            <wp:wrapNone/>
            <wp:docPr id="101" name="Picture 1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1"/>
                    <pic:cNvPicPr>
                      <a:picLocks noChangeAspect="1" noChangeArrowheads="1"/>
                    </pic:cNvPicPr>
                  </pic:nvPicPr>
                  <pic:blipFill>
                    <a:blip r:embed="rId108">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00"/>
          </w:cols>
          <w:pgMar w:left="240" w:top="341" w:right="259" w:bottom="1440" w:gutter="0" w:footer="0" w:header="0"/>
        </w:sectPr>
      </w:pPr>
    </w:p>
    <w:bookmarkStart w:id="90" w:name="page91"/>
    <w:bookmarkEnd w:id="90"/>
    <w:p>
      <w:pPr>
        <w:ind w:firstLine="656"/>
        <w:spacing w:after="0" w:line="268" w:lineRule="auto"/>
        <w:tabs>
          <w:tab w:leader="none" w:pos="1218" w:val="left"/>
        </w:tabs>
        <w:numPr>
          <w:ilvl w:val="0"/>
          <w:numId w:val="58"/>
        </w:numPr>
        <w:rPr>
          <w:rFonts w:ascii="Arial" w:cs="Arial" w:eastAsia="Arial" w:hAnsi="Arial"/>
          <w:sz w:val="17"/>
          <w:szCs w:val="17"/>
          <w:b w:val="1"/>
          <w:bCs w:val="1"/>
          <w:color w:val="auto"/>
        </w:rPr>
      </w:pPr>
      <w:r>
        <w:rPr>
          <w:rFonts w:ascii="Arial" w:cs="Arial" w:eastAsia="Arial" w:hAnsi="Arial"/>
          <w:sz w:val="17"/>
          <w:szCs w:val="17"/>
          <w:b w:val="1"/>
          <w:bCs w:val="1"/>
          <w:u w:val="single" w:color="auto"/>
          <w:color w:val="auto"/>
        </w:rPr>
        <w:t>No Third Party Beneficiaries/Acknowledgements</w:t>
      </w:r>
      <w:r>
        <w:rPr>
          <w:rFonts w:ascii="Arial" w:cs="Arial" w:eastAsia="Arial" w:hAnsi="Arial"/>
          <w:sz w:val="17"/>
          <w:szCs w:val="17"/>
          <w:b w:val="1"/>
          <w:bCs w:val="1"/>
          <w:color w:val="auto"/>
        </w:rPr>
        <w:t xml:space="preserve">. </w:t>
      </w:r>
      <w:r>
        <w:rPr>
          <w:rFonts w:ascii="Arial" w:cs="Arial" w:eastAsia="Arial" w:hAnsi="Arial"/>
          <w:sz w:val="17"/>
          <w:szCs w:val="17"/>
          <w:color w:val="auto"/>
        </w:rPr>
        <w:t>The Deposit Agreement is for the exclusive benefit of the parties hereto (and their</w:t>
      </w:r>
      <w:r>
        <w:rPr>
          <w:rFonts w:ascii="Arial" w:cs="Arial" w:eastAsia="Arial" w:hAnsi="Arial"/>
          <w:sz w:val="17"/>
          <w:szCs w:val="17"/>
          <w:b w:val="1"/>
          <w:bCs w:val="1"/>
          <w:color w:val="auto"/>
        </w:rPr>
        <w:t xml:space="preserve"> </w:t>
      </w:r>
      <w:r>
        <w:rPr>
          <w:rFonts w:ascii="Arial" w:cs="Arial" w:eastAsia="Arial" w:hAnsi="Arial"/>
          <w:sz w:val="17"/>
          <w:szCs w:val="17"/>
          <w:color w:val="auto"/>
        </w:rPr>
        <w:t>successors) and shall not be deemed to give any legal or equitable right, remedy or claim whatsoever to any other person, except to the extent specifically set forth in the Deposit Agreement. Nothing in the Deposit Agreement shall be deemed to give rise to a partnership or joint venture among the parties nor establish a fiduciary or similar relationship among the parties. The parties hereto acknowledge and agree that (i) Citibank and its Affiliates may at any time have multiple banking relationships with the Company, the Holders, the Beneficial Owners, and their respective Affiliates, (ii) Citibank and its Affiliates may own and deal in any class of securities of the Company and its Affiliates and in ADSs, and may be engaged at any time in transactions in which parties adverse to the Company, the Holders, the Beneficial Owners or their respective Affiliates may have interests, (iii) the Depositary and its Affiliates may from time to time have in their possession non-public information about the Company, the Holders, the Beneficial Owners, and their respective Affiliates, (iv) nothing contained in the Deposit Agreement shall (a) preclude Citibank or any of its Affiliates from engaging in such transactions or establishing or maintaining such relationships, or (b) obligate Citibank or any of its Affiliates to disclose such information, transactions or relationships, or to account for any profit made or payment received in such transactions or relationships, (v) the Depositary shall not be deemed to have knowledge of any information any other division of Citibank or any of its Affiliates may have about the Company, the Holders, the Beneficial Owners, or any of their respective Affiliates, and (vi) the Company, the Depositary, the Custodian and their respective agents and controlling persons may be subject to the laws and regulations of jurisdictions other than the U.S. and the United Kingdom, and the authority of courts and regulatory authorities of such other jurisdictions, and, consequently, the requirements and the limitations of such other laws and regulations, and the decisions and orders of such other courts and regulatory authorities, may affect the rights and obligations of the parties to the Deposit Agreement.</w:t>
      </w:r>
    </w:p>
    <w:p>
      <w:pPr>
        <w:spacing w:after="0" w:line="180" w:lineRule="exact"/>
        <w:rPr>
          <w:rFonts w:ascii="Arial" w:cs="Arial" w:eastAsia="Arial" w:hAnsi="Arial"/>
          <w:sz w:val="17"/>
          <w:szCs w:val="17"/>
          <w:b w:val="1"/>
          <w:bCs w:val="1"/>
          <w:color w:val="auto"/>
        </w:rPr>
      </w:pPr>
    </w:p>
    <w:p>
      <w:pPr>
        <w:ind w:right="40" w:firstLine="656"/>
        <w:spacing w:after="0" w:line="256" w:lineRule="auto"/>
        <w:tabs>
          <w:tab w:leader="none" w:pos="1218" w:val="left"/>
        </w:tabs>
        <w:numPr>
          <w:ilvl w:val="0"/>
          <w:numId w:val="58"/>
        </w:numPr>
        <w:rPr>
          <w:rFonts w:ascii="Arial" w:cs="Arial" w:eastAsia="Arial" w:hAnsi="Arial"/>
          <w:sz w:val="18"/>
          <w:szCs w:val="18"/>
          <w:b w:val="1"/>
          <w:bCs w:val="1"/>
          <w:color w:val="auto"/>
        </w:rPr>
      </w:pPr>
      <w:r>
        <w:rPr>
          <w:rFonts w:ascii="Arial" w:cs="Arial" w:eastAsia="Arial" w:hAnsi="Arial"/>
          <w:sz w:val="18"/>
          <w:szCs w:val="18"/>
          <w:b w:val="1"/>
          <w:bCs w:val="1"/>
          <w:u w:val="single" w:color="auto"/>
          <w:color w:val="auto"/>
        </w:rPr>
        <w:t>Governing Law and Jurisdiction</w:t>
      </w:r>
      <w:r>
        <w:rPr>
          <w:rFonts w:ascii="Arial" w:cs="Arial" w:eastAsia="Arial" w:hAnsi="Arial"/>
          <w:sz w:val="18"/>
          <w:szCs w:val="18"/>
          <w:b w:val="1"/>
          <w:bCs w:val="1"/>
          <w:color w:val="auto"/>
        </w:rPr>
        <w:t xml:space="preserve">. </w:t>
      </w:r>
      <w:r>
        <w:rPr>
          <w:rFonts w:ascii="Arial" w:cs="Arial" w:eastAsia="Arial" w:hAnsi="Arial"/>
          <w:sz w:val="18"/>
          <w:szCs w:val="18"/>
          <w:color w:val="auto"/>
        </w:rPr>
        <w:t>The Deposit Agreement, the ADRs and the ADSs shall be interpreted in accordance with, and all rights</w:t>
      </w:r>
      <w:r>
        <w:rPr>
          <w:rFonts w:ascii="Arial" w:cs="Arial" w:eastAsia="Arial" w:hAnsi="Arial"/>
          <w:sz w:val="18"/>
          <w:szCs w:val="18"/>
          <w:b w:val="1"/>
          <w:bCs w:val="1"/>
          <w:color w:val="auto"/>
        </w:rPr>
        <w:t xml:space="preserve"> </w:t>
      </w:r>
      <w:r>
        <w:rPr>
          <w:rFonts w:ascii="Arial" w:cs="Arial" w:eastAsia="Arial" w:hAnsi="Arial"/>
          <w:sz w:val="18"/>
          <w:szCs w:val="18"/>
          <w:color w:val="auto"/>
        </w:rPr>
        <w:t>hereunder and thereunder and provisions hereof and thereof shall be governed by, the laws of the State of New York applicable to contracts made and to be wholly performed in that State. Notwithstanding anything contained in the Deposit Agreement to the contrary, any ADR or any present or future provisions of the laws of the State of New York, the rights of holders of Shares and of any other Deposited Securities and the obligations and duties of the Company in respect of the holders of Shares and other Deposited Securities, as such, shall be governed by the laws of England and Wales (or, if applicable, such other laws as may govern the Deposited Securities).</w:t>
      </w:r>
    </w:p>
    <w:p>
      <w:pPr>
        <w:spacing w:after="0" w:line="188" w:lineRule="exact"/>
        <w:rPr>
          <w:sz w:val="20"/>
          <w:szCs w:val="20"/>
          <w:color w:val="auto"/>
        </w:rPr>
      </w:pPr>
    </w:p>
    <w:p>
      <w:pPr>
        <w:jc w:val="both"/>
        <w:spacing w:after="0" w:line="258" w:lineRule="auto"/>
        <w:rPr>
          <w:sz w:val="20"/>
          <w:szCs w:val="20"/>
          <w:color w:val="auto"/>
        </w:rPr>
      </w:pPr>
      <w:r>
        <w:rPr>
          <w:rFonts w:ascii="Arial" w:cs="Arial" w:eastAsia="Arial" w:hAnsi="Arial"/>
          <w:sz w:val="18"/>
          <w:szCs w:val="18"/>
          <w:b w:val="1"/>
          <w:bCs w:val="1"/>
          <w:color w:val="auto"/>
        </w:rPr>
        <w:t>EACH OF THE PARTIES TO THE DEPOSIT AGREEMENT (INCLUDING, WITHOUT LIMITATION, EACH HOLDER AND BENEFICIAL OWNER) IRREVOCABLY WAIVES, TO THE FULLEST EXTENT PERMITTED BY APPLICABLE LAW, ANY AND ALL RIGHT TO TRIAL BY JURY IN ANY LEGAL PROCEEDING AGAINST THE COMPANY AND/OR THE DEPOSITARY ARISING OUT OF, OR RELATING TO, THE DEPOSIT AGREEMENT, ANY ADR AND ANY TRANSACTIONS CONTEMPLATED THEREIN (WHETHER BASED ON CONTRACT, TORT, COMMON LAW OR OTHERWISE).</w:t>
      </w:r>
    </w:p>
    <w:p>
      <w:pPr>
        <w:spacing w:after="0" w:line="289" w:lineRule="exact"/>
        <w:rPr>
          <w:sz w:val="20"/>
          <w:szCs w:val="20"/>
          <w:color w:val="auto"/>
        </w:rPr>
      </w:pPr>
    </w:p>
    <w:p>
      <w:pPr>
        <w:jc w:val="center"/>
        <w:ind w:right="-19"/>
        <w:spacing w:after="0"/>
        <w:rPr>
          <w:sz w:val="20"/>
          <w:szCs w:val="20"/>
          <w:color w:val="auto"/>
        </w:rPr>
      </w:pPr>
      <w:r>
        <w:rPr>
          <w:rFonts w:ascii="Arial" w:cs="Arial" w:eastAsia="Arial" w:hAnsi="Arial"/>
          <w:sz w:val="22"/>
          <w:szCs w:val="22"/>
          <w:color w:val="auto"/>
        </w:rPr>
        <w:t>A-28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7620</wp:posOffset>
            </wp:positionV>
            <wp:extent cx="7246620" cy="17145"/>
            <wp:wrapNone/>
            <wp:docPr id="102" name="Picture 1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2"/>
                    <pic:cNvPicPr>
                      <a:picLocks noChangeAspect="1" noChangeArrowheads="1"/>
                    </pic:cNvPicPr>
                  </pic:nvPicPr>
                  <pic:blipFill>
                    <a:blip r:embed="rId109">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337" w:right="239" w:bottom="1440" w:gutter="0" w:footer="0" w:header="0"/>
        </w:sectPr>
      </w:pPr>
    </w:p>
    <w:bookmarkStart w:id="91" w:name="page92"/>
    <w:bookmarkEnd w:id="91"/>
    <w:p>
      <w:pPr>
        <w:jc w:val="center"/>
        <w:spacing w:after="0"/>
        <w:rPr>
          <w:sz w:val="20"/>
          <w:szCs w:val="20"/>
          <w:color w:val="auto"/>
        </w:rPr>
      </w:pPr>
      <w:r>
        <w:rPr>
          <w:rFonts w:ascii="Arial" w:cs="Arial" w:eastAsia="Arial" w:hAnsi="Arial"/>
          <w:sz w:val="18"/>
          <w:szCs w:val="18"/>
          <w:b w:val="1"/>
          <w:bCs w:val="1"/>
          <w:color w:val="auto"/>
        </w:rPr>
        <w:t>(ASSIGNMENT AND TRANSFER SIGNATURE LINES)</w:t>
      </w:r>
    </w:p>
    <w:p>
      <w:pPr>
        <w:spacing w:after="0" w:line="229" w:lineRule="exact"/>
        <w:rPr>
          <w:sz w:val="20"/>
          <w:szCs w:val="20"/>
          <w:color w:val="auto"/>
        </w:rPr>
      </w:pPr>
    </w:p>
    <w:p>
      <w:pPr>
        <w:spacing w:after="0"/>
        <w:rPr>
          <w:sz w:val="20"/>
          <w:szCs w:val="20"/>
          <w:color w:val="auto"/>
        </w:rPr>
      </w:pPr>
      <w:r>
        <w:rPr>
          <w:rFonts w:ascii="Arial" w:cs="Arial" w:eastAsia="Arial" w:hAnsi="Arial"/>
          <w:sz w:val="17"/>
          <w:szCs w:val="17"/>
          <w:color w:val="auto"/>
        </w:rPr>
        <w:t>FOR VALUE RECEIVED, the undersigned Holder hereby sell(s), assign(s) and transfer(s) unto ______________________________ whose taxpayer</w:t>
      </w:r>
    </w:p>
    <w:p>
      <w:pPr>
        <w:spacing w:after="0" w:line="35" w:lineRule="exact"/>
        <w:rPr>
          <w:sz w:val="20"/>
          <w:szCs w:val="20"/>
          <w:color w:val="auto"/>
        </w:rPr>
      </w:pPr>
    </w:p>
    <w:p>
      <w:pPr>
        <w:spacing w:after="0"/>
        <w:rPr>
          <w:sz w:val="20"/>
          <w:szCs w:val="20"/>
          <w:color w:val="auto"/>
        </w:rPr>
      </w:pPr>
      <w:r>
        <w:rPr>
          <w:rFonts w:ascii="Arial" w:cs="Arial" w:eastAsia="Arial" w:hAnsi="Arial"/>
          <w:sz w:val="17"/>
          <w:szCs w:val="17"/>
          <w:color w:val="auto"/>
        </w:rPr>
        <w:t>identification number is _______________________ and whose address including postal zip code is ________________, the within ADR and all rights</w:t>
      </w:r>
    </w:p>
    <w:p>
      <w:pPr>
        <w:spacing w:after="0" w:line="21" w:lineRule="exact"/>
        <w:rPr>
          <w:sz w:val="20"/>
          <w:szCs w:val="20"/>
          <w:color w:val="auto"/>
        </w:rPr>
      </w:pPr>
    </w:p>
    <w:p>
      <w:pPr>
        <w:spacing w:after="0"/>
        <w:rPr>
          <w:sz w:val="20"/>
          <w:szCs w:val="20"/>
          <w:color w:val="auto"/>
        </w:rPr>
      </w:pPr>
      <w:r>
        <w:rPr>
          <w:rFonts w:ascii="Arial" w:cs="Arial" w:eastAsia="Arial" w:hAnsi="Arial"/>
          <w:sz w:val="16"/>
          <w:szCs w:val="16"/>
          <w:color w:val="auto"/>
        </w:rPr>
        <w:t>thereunder, hereby irrevocably constituting and appointing ________________________ attorney-in-fact to transfer said ADR on the books of the Depositary</w:t>
      </w:r>
    </w:p>
    <w:p>
      <w:pPr>
        <w:spacing w:after="0" w:line="32" w:lineRule="exact"/>
        <w:rPr>
          <w:sz w:val="20"/>
          <w:szCs w:val="20"/>
          <w:color w:val="auto"/>
        </w:rPr>
      </w:pPr>
    </w:p>
    <w:p>
      <w:pPr>
        <w:spacing w:after="0"/>
        <w:rPr>
          <w:sz w:val="20"/>
          <w:szCs w:val="20"/>
          <w:color w:val="auto"/>
        </w:rPr>
      </w:pPr>
      <w:r>
        <w:rPr>
          <w:rFonts w:ascii="Arial" w:cs="Arial" w:eastAsia="Arial" w:hAnsi="Arial"/>
          <w:sz w:val="18"/>
          <w:szCs w:val="18"/>
          <w:color w:val="auto"/>
        </w:rPr>
        <w:t>with full power of substitution in the premises.</w:t>
      </w:r>
    </w:p>
    <w:p>
      <w:pPr>
        <w:spacing w:after="0" w:line="211"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3880" w:type="dxa"/>
            <w:vAlign w:val="bottom"/>
          </w:tcPr>
          <w:p>
            <w:pPr>
              <w:spacing w:after="0"/>
              <w:rPr>
                <w:sz w:val="20"/>
                <w:szCs w:val="20"/>
                <w:color w:val="auto"/>
              </w:rPr>
            </w:pPr>
            <w:r>
              <w:rPr>
                <w:rFonts w:ascii="Arial" w:cs="Arial" w:eastAsia="Arial" w:hAnsi="Arial"/>
                <w:sz w:val="18"/>
                <w:szCs w:val="18"/>
                <w:color w:val="auto"/>
              </w:rPr>
              <w:t>Dated:</w:t>
            </w:r>
          </w:p>
        </w:tc>
        <w:tc>
          <w:tcPr>
            <w:tcW w:w="7540" w:type="dxa"/>
            <w:vAlign w:val="bottom"/>
          </w:tcPr>
          <w:p>
            <w:pPr>
              <w:ind w:left="1840"/>
              <w:spacing w:after="0"/>
              <w:rPr>
                <w:sz w:val="20"/>
                <w:szCs w:val="20"/>
                <w:color w:val="auto"/>
              </w:rPr>
            </w:pPr>
            <w:r>
              <w:rPr>
                <w:rFonts w:ascii="Arial" w:cs="Arial" w:eastAsia="Arial" w:hAnsi="Arial"/>
                <w:sz w:val="18"/>
                <w:szCs w:val="18"/>
                <w:color w:val="auto"/>
              </w:rPr>
              <w:t>Name: ________________________________</w:t>
            </w:r>
          </w:p>
        </w:tc>
        <w:tc>
          <w:tcPr>
            <w:tcW w:w="0" w:type="dxa"/>
            <w:vAlign w:val="bottom"/>
          </w:tcPr>
          <w:p>
            <w:pPr>
              <w:spacing w:after="0"/>
              <w:rPr>
                <w:sz w:val="1"/>
                <w:szCs w:val="1"/>
                <w:color w:val="auto"/>
              </w:rPr>
            </w:pPr>
          </w:p>
        </w:tc>
      </w:tr>
      <w:tr>
        <w:trPr>
          <w:trHeight w:val="216"/>
        </w:trPr>
        <w:tc>
          <w:tcPr>
            <w:tcW w:w="3880" w:type="dxa"/>
            <w:vAlign w:val="bottom"/>
          </w:tcPr>
          <w:p>
            <w:pPr>
              <w:spacing w:after="0"/>
              <w:rPr>
                <w:sz w:val="18"/>
                <w:szCs w:val="18"/>
                <w:color w:val="auto"/>
              </w:rPr>
            </w:pPr>
          </w:p>
        </w:tc>
        <w:tc>
          <w:tcPr>
            <w:tcW w:w="7540" w:type="dxa"/>
            <w:vAlign w:val="bottom"/>
          </w:tcPr>
          <w:p>
            <w:pPr>
              <w:ind w:left="2340"/>
              <w:spacing w:after="0"/>
              <w:rPr>
                <w:sz w:val="20"/>
                <w:szCs w:val="20"/>
                <w:color w:val="auto"/>
              </w:rPr>
            </w:pPr>
            <w:r>
              <w:rPr>
                <w:rFonts w:ascii="Arial" w:cs="Arial" w:eastAsia="Arial" w:hAnsi="Arial"/>
                <w:sz w:val="18"/>
                <w:szCs w:val="18"/>
                <w:color w:val="auto"/>
              </w:rPr>
              <w:t>By:</w:t>
            </w:r>
          </w:p>
        </w:tc>
        <w:tc>
          <w:tcPr>
            <w:tcW w:w="0" w:type="dxa"/>
            <w:vAlign w:val="bottom"/>
          </w:tcPr>
          <w:p>
            <w:pPr>
              <w:spacing w:after="0"/>
              <w:rPr>
                <w:sz w:val="1"/>
                <w:szCs w:val="1"/>
                <w:color w:val="auto"/>
              </w:rPr>
            </w:pPr>
          </w:p>
        </w:tc>
      </w:tr>
      <w:tr>
        <w:trPr>
          <w:trHeight w:val="230"/>
        </w:trPr>
        <w:tc>
          <w:tcPr>
            <w:tcW w:w="3880" w:type="dxa"/>
            <w:vAlign w:val="bottom"/>
          </w:tcPr>
          <w:p>
            <w:pPr>
              <w:spacing w:after="0"/>
              <w:rPr>
                <w:sz w:val="20"/>
                <w:szCs w:val="20"/>
                <w:color w:val="auto"/>
              </w:rPr>
            </w:pPr>
          </w:p>
        </w:tc>
        <w:tc>
          <w:tcPr>
            <w:tcW w:w="7540" w:type="dxa"/>
            <w:vAlign w:val="bottom"/>
          </w:tcPr>
          <w:p>
            <w:pPr>
              <w:ind w:left="2340"/>
              <w:spacing w:after="0"/>
              <w:rPr>
                <w:sz w:val="20"/>
                <w:szCs w:val="20"/>
                <w:color w:val="auto"/>
              </w:rPr>
            </w:pPr>
            <w:r>
              <w:rPr>
                <w:rFonts w:ascii="Arial" w:cs="Arial" w:eastAsia="Arial" w:hAnsi="Arial"/>
                <w:sz w:val="18"/>
                <w:szCs w:val="18"/>
                <w:color w:val="auto"/>
              </w:rPr>
              <w:t>Title:</w:t>
            </w:r>
          </w:p>
        </w:tc>
        <w:tc>
          <w:tcPr>
            <w:tcW w:w="0" w:type="dxa"/>
            <w:vAlign w:val="bottom"/>
          </w:tcPr>
          <w:p>
            <w:pPr>
              <w:spacing w:after="0"/>
              <w:rPr>
                <w:sz w:val="1"/>
                <w:szCs w:val="1"/>
                <w:color w:val="auto"/>
              </w:rPr>
            </w:pPr>
          </w:p>
        </w:tc>
      </w:tr>
      <w:tr>
        <w:trPr>
          <w:trHeight w:val="418"/>
        </w:trPr>
        <w:tc>
          <w:tcPr>
            <w:tcW w:w="3880" w:type="dxa"/>
            <w:vAlign w:val="bottom"/>
          </w:tcPr>
          <w:p>
            <w:pPr>
              <w:spacing w:after="0"/>
              <w:rPr>
                <w:sz w:val="24"/>
                <w:szCs w:val="24"/>
                <w:color w:val="auto"/>
              </w:rPr>
            </w:pPr>
          </w:p>
        </w:tc>
        <w:tc>
          <w:tcPr>
            <w:tcW w:w="7540" w:type="dxa"/>
            <w:vAlign w:val="bottom"/>
          </w:tcPr>
          <w:p>
            <w:pPr>
              <w:ind w:left="1840"/>
              <w:spacing w:after="0"/>
              <w:rPr>
                <w:sz w:val="20"/>
                <w:szCs w:val="20"/>
                <w:color w:val="auto"/>
              </w:rPr>
            </w:pPr>
            <w:r>
              <w:rPr>
                <w:rFonts w:ascii="Arial" w:cs="Arial" w:eastAsia="Arial" w:hAnsi="Arial"/>
                <w:sz w:val="18"/>
                <w:szCs w:val="18"/>
                <w:color w:val="auto"/>
                <w:w w:val="91"/>
              </w:rPr>
              <w:t>NOTICE: The signature of the Holder to this assignment must correspond with</w:t>
            </w:r>
          </w:p>
        </w:tc>
        <w:tc>
          <w:tcPr>
            <w:tcW w:w="0" w:type="dxa"/>
            <w:vAlign w:val="bottom"/>
          </w:tcPr>
          <w:p>
            <w:pPr>
              <w:spacing w:after="0"/>
              <w:rPr>
                <w:sz w:val="1"/>
                <w:szCs w:val="1"/>
                <w:color w:val="auto"/>
              </w:rPr>
            </w:pPr>
          </w:p>
        </w:tc>
      </w:tr>
      <w:tr>
        <w:trPr>
          <w:trHeight w:val="216"/>
        </w:trPr>
        <w:tc>
          <w:tcPr>
            <w:tcW w:w="3880" w:type="dxa"/>
            <w:vAlign w:val="bottom"/>
          </w:tcPr>
          <w:p>
            <w:pPr>
              <w:spacing w:after="0"/>
              <w:rPr>
                <w:sz w:val="18"/>
                <w:szCs w:val="18"/>
                <w:color w:val="auto"/>
              </w:rPr>
            </w:pPr>
          </w:p>
        </w:tc>
        <w:tc>
          <w:tcPr>
            <w:tcW w:w="7540" w:type="dxa"/>
            <w:vAlign w:val="bottom"/>
          </w:tcPr>
          <w:p>
            <w:pPr>
              <w:ind w:left="1840"/>
              <w:spacing w:after="0"/>
              <w:rPr>
                <w:sz w:val="20"/>
                <w:szCs w:val="20"/>
                <w:color w:val="auto"/>
              </w:rPr>
            </w:pPr>
            <w:r>
              <w:rPr>
                <w:rFonts w:ascii="Arial" w:cs="Arial" w:eastAsia="Arial" w:hAnsi="Arial"/>
                <w:sz w:val="18"/>
                <w:szCs w:val="18"/>
                <w:color w:val="auto"/>
                <w:w w:val="92"/>
              </w:rPr>
              <w:t>the name as written upon the face of the within instrument in every particular,</w:t>
            </w:r>
          </w:p>
        </w:tc>
        <w:tc>
          <w:tcPr>
            <w:tcW w:w="0" w:type="dxa"/>
            <w:vAlign w:val="bottom"/>
          </w:tcPr>
          <w:p>
            <w:pPr>
              <w:spacing w:after="0"/>
              <w:rPr>
                <w:sz w:val="1"/>
                <w:szCs w:val="1"/>
                <w:color w:val="auto"/>
              </w:rPr>
            </w:pPr>
          </w:p>
        </w:tc>
      </w:tr>
      <w:tr>
        <w:trPr>
          <w:trHeight w:val="230"/>
        </w:trPr>
        <w:tc>
          <w:tcPr>
            <w:tcW w:w="3880" w:type="dxa"/>
            <w:vAlign w:val="bottom"/>
          </w:tcPr>
          <w:p>
            <w:pPr>
              <w:spacing w:after="0"/>
              <w:rPr>
                <w:sz w:val="20"/>
                <w:szCs w:val="20"/>
                <w:color w:val="auto"/>
              </w:rPr>
            </w:pPr>
          </w:p>
        </w:tc>
        <w:tc>
          <w:tcPr>
            <w:tcW w:w="7540" w:type="dxa"/>
            <w:vAlign w:val="bottom"/>
          </w:tcPr>
          <w:p>
            <w:pPr>
              <w:ind w:left="1840"/>
              <w:spacing w:after="0"/>
              <w:rPr>
                <w:sz w:val="20"/>
                <w:szCs w:val="20"/>
                <w:color w:val="auto"/>
              </w:rPr>
            </w:pPr>
            <w:r>
              <w:rPr>
                <w:rFonts w:ascii="Arial" w:cs="Arial" w:eastAsia="Arial" w:hAnsi="Arial"/>
                <w:sz w:val="18"/>
                <w:szCs w:val="18"/>
                <w:color w:val="auto"/>
              </w:rPr>
              <w:t>without alteration or enlargement or any change whatsoever.</w:t>
            </w:r>
          </w:p>
        </w:tc>
        <w:tc>
          <w:tcPr>
            <w:tcW w:w="0" w:type="dxa"/>
            <w:vAlign w:val="bottom"/>
          </w:tcPr>
          <w:p>
            <w:pPr>
              <w:spacing w:after="0"/>
              <w:rPr>
                <w:sz w:val="1"/>
                <w:szCs w:val="1"/>
                <w:color w:val="auto"/>
              </w:rPr>
            </w:pPr>
          </w:p>
        </w:tc>
      </w:tr>
      <w:tr>
        <w:trPr>
          <w:trHeight w:val="418"/>
        </w:trPr>
        <w:tc>
          <w:tcPr>
            <w:tcW w:w="3880" w:type="dxa"/>
            <w:vAlign w:val="bottom"/>
          </w:tcPr>
          <w:p>
            <w:pPr>
              <w:spacing w:after="0"/>
              <w:rPr>
                <w:sz w:val="24"/>
                <w:szCs w:val="24"/>
                <w:color w:val="auto"/>
              </w:rPr>
            </w:pPr>
          </w:p>
        </w:tc>
        <w:tc>
          <w:tcPr>
            <w:tcW w:w="7540" w:type="dxa"/>
            <w:vAlign w:val="bottom"/>
          </w:tcPr>
          <w:p>
            <w:pPr>
              <w:ind w:left="1840"/>
              <w:spacing w:after="0"/>
              <w:rPr>
                <w:sz w:val="20"/>
                <w:szCs w:val="20"/>
                <w:color w:val="auto"/>
              </w:rPr>
            </w:pPr>
            <w:r>
              <w:rPr>
                <w:rFonts w:ascii="Arial" w:cs="Arial" w:eastAsia="Arial" w:hAnsi="Arial"/>
                <w:sz w:val="18"/>
                <w:szCs w:val="18"/>
                <w:color w:val="auto"/>
                <w:w w:val="90"/>
              </w:rPr>
              <w:t>If the endorsement be executed by an attorney, executor, administrator, trustee</w:t>
            </w:r>
          </w:p>
        </w:tc>
        <w:tc>
          <w:tcPr>
            <w:tcW w:w="0" w:type="dxa"/>
            <w:vAlign w:val="bottom"/>
          </w:tcPr>
          <w:p>
            <w:pPr>
              <w:spacing w:after="0"/>
              <w:rPr>
                <w:sz w:val="1"/>
                <w:szCs w:val="1"/>
                <w:color w:val="auto"/>
              </w:rPr>
            </w:pPr>
          </w:p>
        </w:tc>
      </w:tr>
      <w:tr>
        <w:trPr>
          <w:trHeight w:val="216"/>
        </w:trPr>
        <w:tc>
          <w:tcPr>
            <w:tcW w:w="3880" w:type="dxa"/>
            <w:vAlign w:val="bottom"/>
          </w:tcPr>
          <w:p>
            <w:pPr>
              <w:spacing w:after="0"/>
              <w:rPr>
                <w:sz w:val="18"/>
                <w:szCs w:val="18"/>
                <w:color w:val="auto"/>
              </w:rPr>
            </w:pPr>
          </w:p>
        </w:tc>
        <w:tc>
          <w:tcPr>
            <w:tcW w:w="7540" w:type="dxa"/>
            <w:vAlign w:val="bottom"/>
          </w:tcPr>
          <w:p>
            <w:pPr>
              <w:ind w:left="1840"/>
              <w:spacing w:after="0"/>
              <w:rPr>
                <w:sz w:val="20"/>
                <w:szCs w:val="20"/>
                <w:color w:val="auto"/>
              </w:rPr>
            </w:pPr>
            <w:r>
              <w:rPr>
                <w:rFonts w:ascii="Arial" w:cs="Arial" w:eastAsia="Arial" w:hAnsi="Arial"/>
                <w:sz w:val="18"/>
                <w:szCs w:val="18"/>
                <w:color w:val="auto"/>
                <w:w w:val="93"/>
              </w:rPr>
              <w:t>or guardian, the person executing the endorsement must give his/her full title</w:t>
            </w:r>
          </w:p>
        </w:tc>
        <w:tc>
          <w:tcPr>
            <w:tcW w:w="0" w:type="dxa"/>
            <w:vAlign w:val="bottom"/>
          </w:tcPr>
          <w:p>
            <w:pPr>
              <w:spacing w:after="0"/>
              <w:rPr>
                <w:sz w:val="1"/>
                <w:szCs w:val="1"/>
                <w:color w:val="auto"/>
              </w:rPr>
            </w:pPr>
          </w:p>
        </w:tc>
      </w:tr>
      <w:tr>
        <w:trPr>
          <w:trHeight w:val="216"/>
        </w:trPr>
        <w:tc>
          <w:tcPr>
            <w:tcW w:w="3880" w:type="dxa"/>
            <w:vAlign w:val="bottom"/>
          </w:tcPr>
          <w:p>
            <w:pPr>
              <w:spacing w:after="0"/>
              <w:rPr>
                <w:sz w:val="18"/>
                <w:szCs w:val="18"/>
                <w:color w:val="auto"/>
              </w:rPr>
            </w:pPr>
          </w:p>
        </w:tc>
        <w:tc>
          <w:tcPr>
            <w:tcW w:w="7540" w:type="dxa"/>
            <w:vAlign w:val="bottom"/>
          </w:tcPr>
          <w:p>
            <w:pPr>
              <w:ind w:left="1840"/>
              <w:spacing w:after="0"/>
              <w:rPr>
                <w:sz w:val="20"/>
                <w:szCs w:val="20"/>
                <w:color w:val="auto"/>
              </w:rPr>
            </w:pPr>
            <w:r>
              <w:rPr>
                <w:rFonts w:ascii="Arial" w:cs="Arial" w:eastAsia="Arial" w:hAnsi="Arial"/>
                <w:sz w:val="18"/>
                <w:szCs w:val="18"/>
                <w:color w:val="auto"/>
                <w:w w:val="91"/>
              </w:rPr>
              <w:t>in such capacity and proper evidence of authority to act in such capacity, if not</w:t>
            </w:r>
          </w:p>
        </w:tc>
        <w:tc>
          <w:tcPr>
            <w:tcW w:w="0" w:type="dxa"/>
            <w:vAlign w:val="bottom"/>
          </w:tcPr>
          <w:p>
            <w:pPr>
              <w:spacing w:after="0"/>
              <w:rPr>
                <w:sz w:val="1"/>
                <w:szCs w:val="1"/>
                <w:color w:val="auto"/>
              </w:rPr>
            </w:pPr>
          </w:p>
        </w:tc>
      </w:tr>
      <w:tr>
        <w:trPr>
          <w:trHeight w:val="230"/>
        </w:trPr>
        <w:tc>
          <w:tcPr>
            <w:tcW w:w="3880" w:type="dxa"/>
            <w:vAlign w:val="bottom"/>
            <w:vMerge w:val="restart"/>
          </w:tcPr>
          <w:p>
            <w:pPr>
              <w:spacing w:after="0"/>
              <w:rPr>
                <w:sz w:val="20"/>
                <w:szCs w:val="20"/>
                <w:color w:val="auto"/>
              </w:rPr>
            </w:pPr>
            <w:r>
              <w:rPr>
                <w:rFonts w:ascii="Arial" w:cs="Arial" w:eastAsia="Arial" w:hAnsi="Arial"/>
                <w:sz w:val="18"/>
                <w:szCs w:val="18"/>
                <w:color w:val="auto"/>
              </w:rPr>
              <w:t>__________________________</w:t>
            </w:r>
          </w:p>
        </w:tc>
        <w:tc>
          <w:tcPr>
            <w:tcW w:w="7540" w:type="dxa"/>
            <w:vAlign w:val="bottom"/>
          </w:tcPr>
          <w:p>
            <w:pPr>
              <w:ind w:left="1840"/>
              <w:spacing w:after="0"/>
              <w:rPr>
                <w:sz w:val="20"/>
                <w:szCs w:val="20"/>
                <w:color w:val="auto"/>
              </w:rPr>
            </w:pPr>
            <w:r>
              <w:rPr>
                <w:rFonts w:ascii="Arial" w:cs="Arial" w:eastAsia="Arial" w:hAnsi="Arial"/>
                <w:sz w:val="18"/>
                <w:szCs w:val="18"/>
                <w:color w:val="auto"/>
              </w:rPr>
              <w:t>on file with the Depositary, must be forwarded with this ADR.</w:t>
            </w:r>
          </w:p>
        </w:tc>
        <w:tc>
          <w:tcPr>
            <w:tcW w:w="0" w:type="dxa"/>
            <w:vAlign w:val="bottom"/>
          </w:tcPr>
          <w:p>
            <w:pPr>
              <w:spacing w:after="0"/>
              <w:rPr>
                <w:sz w:val="1"/>
                <w:szCs w:val="1"/>
                <w:color w:val="auto"/>
              </w:rPr>
            </w:pPr>
          </w:p>
        </w:tc>
      </w:tr>
      <w:tr>
        <w:trPr>
          <w:trHeight w:val="202"/>
        </w:trPr>
        <w:tc>
          <w:tcPr>
            <w:tcW w:w="3880" w:type="dxa"/>
            <w:vAlign w:val="bottom"/>
            <w:vMerge w:val="continue"/>
          </w:tcPr>
          <w:p>
            <w:pPr>
              <w:spacing w:after="0"/>
              <w:rPr>
                <w:sz w:val="17"/>
                <w:szCs w:val="17"/>
                <w:color w:val="auto"/>
              </w:rPr>
            </w:pPr>
          </w:p>
        </w:tc>
        <w:tc>
          <w:tcPr>
            <w:tcW w:w="75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3880" w:type="dxa"/>
            <w:vAlign w:val="bottom"/>
          </w:tcPr>
          <w:p>
            <w:pPr>
              <w:spacing w:after="0"/>
              <w:rPr>
                <w:sz w:val="20"/>
                <w:szCs w:val="20"/>
                <w:color w:val="auto"/>
              </w:rPr>
            </w:pPr>
            <w:r>
              <w:rPr>
                <w:rFonts w:ascii="Arial" w:cs="Arial" w:eastAsia="Arial" w:hAnsi="Arial"/>
                <w:sz w:val="18"/>
                <w:szCs w:val="18"/>
                <w:color w:val="auto"/>
              </w:rPr>
              <w:t>SIGNATURE GUARANTEED</w:t>
            </w:r>
          </w:p>
        </w:tc>
        <w:tc>
          <w:tcPr>
            <w:tcW w:w="7540" w:type="dxa"/>
            <w:vAlign w:val="bottom"/>
            <w:vMerge w:val="restart"/>
          </w:tcPr>
          <w:p>
            <w:pPr>
              <w:ind w:left="1840"/>
              <w:spacing w:after="0"/>
              <w:rPr>
                <w:sz w:val="20"/>
                <w:szCs w:val="20"/>
                <w:color w:val="auto"/>
              </w:rPr>
            </w:pPr>
            <w:r>
              <w:rPr>
                <w:rFonts w:ascii="Arial" w:cs="Arial" w:eastAsia="Arial" w:hAnsi="Arial"/>
                <w:sz w:val="18"/>
                <w:szCs w:val="18"/>
                <w:color w:val="auto"/>
                <w:w w:val="89"/>
              </w:rPr>
              <w:t>All endorsements or assignments of ADRs must be guaranteed by a member of</w:t>
            </w:r>
          </w:p>
        </w:tc>
        <w:tc>
          <w:tcPr>
            <w:tcW w:w="0" w:type="dxa"/>
            <w:vAlign w:val="bottom"/>
          </w:tcPr>
          <w:p>
            <w:pPr>
              <w:spacing w:after="0"/>
              <w:rPr>
                <w:sz w:val="1"/>
                <w:szCs w:val="1"/>
                <w:color w:val="auto"/>
              </w:rPr>
            </w:pPr>
          </w:p>
        </w:tc>
      </w:tr>
      <w:tr>
        <w:trPr>
          <w:trHeight w:val="202"/>
        </w:trPr>
        <w:tc>
          <w:tcPr>
            <w:tcW w:w="3880" w:type="dxa"/>
            <w:vAlign w:val="bottom"/>
          </w:tcPr>
          <w:p>
            <w:pPr>
              <w:spacing w:after="0"/>
              <w:rPr>
                <w:sz w:val="17"/>
                <w:szCs w:val="17"/>
                <w:color w:val="auto"/>
              </w:rPr>
            </w:pPr>
          </w:p>
        </w:tc>
        <w:tc>
          <w:tcPr>
            <w:tcW w:w="7540" w:type="dxa"/>
            <w:vAlign w:val="bottom"/>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3880" w:type="dxa"/>
            <w:vAlign w:val="bottom"/>
          </w:tcPr>
          <w:p>
            <w:pPr>
              <w:spacing w:after="0"/>
              <w:rPr>
                <w:sz w:val="18"/>
                <w:szCs w:val="18"/>
                <w:color w:val="auto"/>
              </w:rPr>
            </w:pPr>
          </w:p>
        </w:tc>
        <w:tc>
          <w:tcPr>
            <w:tcW w:w="7540" w:type="dxa"/>
            <w:vAlign w:val="bottom"/>
          </w:tcPr>
          <w:p>
            <w:pPr>
              <w:ind w:left="1840"/>
              <w:spacing w:after="0"/>
              <w:rPr>
                <w:sz w:val="20"/>
                <w:szCs w:val="20"/>
                <w:color w:val="auto"/>
              </w:rPr>
            </w:pPr>
            <w:r>
              <w:rPr>
                <w:rFonts w:ascii="Arial" w:cs="Arial" w:eastAsia="Arial" w:hAnsi="Arial"/>
                <w:sz w:val="18"/>
                <w:szCs w:val="18"/>
                <w:color w:val="auto"/>
              </w:rPr>
              <w:t>a Medallion Signature Program approved by the Securities Transfer</w:t>
            </w:r>
          </w:p>
        </w:tc>
        <w:tc>
          <w:tcPr>
            <w:tcW w:w="0" w:type="dxa"/>
            <w:vAlign w:val="bottom"/>
          </w:tcPr>
          <w:p>
            <w:pPr>
              <w:spacing w:after="0"/>
              <w:rPr>
                <w:sz w:val="1"/>
                <w:szCs w:val="1"/>
                <w:color w:val="auto"/>
              </w:rPr>
            </w:pPr>
          </w:p>
        </w:tc>
      </w:tr>
      <w:tr>
        <w:trPr>
          <w:trHeight w:val="230"/>
        </w:trPr>
        <w:tc>
          <w:tcPr>
            <w:tcW w:w="3880" w:type="dxa"/>
            <w:vAlign w:val="bottom"/>
          </w:tcPr>
          <w:p>
            <w:pPr>
              <w:spacing w:after="0"/>
              <w:rPr>
                <w:sz w:val="20"/>
                <w:szCs w:val="20"/>
                <w:color w:val="auto"/>
              </w:rPr>
            </w:pPr>
          </w:p>
        </w:tc>
        <w:tc>
          <w:tcPr>
            <w:tcW w:w="7540" w:type="dxa"/>
            <w:vAlign w:val="bottom"/>
          </w:tcPr>
          <w:p>
            <w:pPr>
              <w:ind w:left="1840"/>
              <w:spacing w:after="0"/>
              <w:rPr>
                <w:sz w:val="20"/>
                <w:szCs w:val="20"/>
                <w:color w:val="auto"/>
              </w:rPr>
            </w:pPr>
            <w:r>
              <w:rPr>
                <w:rFonts w:ascii="Arial" w:cs="Arial" w:eastAsia="Arial" w:hAnsi="Arial"/>
                <w:sz w:val="18"/>
                <w:szCs w:val="18"/>
                <w:color w:val="auto"/>
              </w:rPr>
              <w:t>Association, Inc.</w:t>
            </w:r>
          </w:p>
        </w:tc>
        <w:tc>
          <w:tcPr>
            <w:tcW w:w="0" w:type="dxa"/>
            <w:vAlign w:val="bottom"/>
          </w:tcPr>
          <w:p>
            <w:pPr>
              <w:spacing w:after="0"/>
              <w:rPr>
                <w:sz w:val="1"/>
                <w:szCs w:val="1"/>
                <w:color w:val="auto"/>
              </w:rPr>
            </w:pPr>
          </w:p>
        </w:tc>
      </w:tr>
      <w:tr>
        <w:trPr>
          <w:trHeight w:val="432"/>
        </w:trPr>
        <w:tc>
          <w:tcPr>
            <w:tcW w:w="3880" w:type="dxa"/>
            <w:vAlign w:val="bottom"/>
          </w:tcPr>
          <w:p>
            <w:pPr>
              <w:spacing w:after="0"/>
              <w:rPr>
                <w:sz w:val="24"/>
                <w:szCs w:val="24"/>
                <w:color w:val="auto"/>
              </w:rPr>
            </w:pPr>
          </w:p>
        </w:tc>
        <w:tc>
          <w:tcPr>
            <w:tcW w:w="7540" w:type="dxa"/>
            <w:vAlign w:val="bottom"/>
          </w:tcPr>
          <w:p>
            <w:pPr>
              <w:ind w:left="1520"/>
              <w:spacing w:after="0"/>
              <w:rPr>
                <w:sz w:val="20"/>
                <w:szCs w:val="20"/>
                <w:color w:val="auto"/>
              </w:rPr>
            </w:pPr>
            <w:r>
              <w:rPr>
                <w:rFonts w:ascii="Arial" w:cs="Arial" w:eastAsia="Arial" w:hAnsi="Arial"/>
                <w:sz w:val="18"/>
                <w:szCs w:val="18"/>
                <w:b w:val="1"/>
                <w:bCs w:val="1"/>
                <w:color w:val="auto"/>
              </w:rPr>
              <w:t>Legends</w:t>
            </w:r>
          </w:p>
        </w:tc>
        <w:tc>
          <w:tcPr>
            <w:tcW w:w="0" w:type="dxa"/>
            <w:vAlign w:val="bottom"/>
          </w:tcPr>
          <w:p>
            <w:pPr>
              <w:spacing w:after="0"/>
              <w:rPr>
                <w:sz w:val="1"/>
                <w:szCs w:val="1"/>
                <w:color w:val="auto"/>
              </w:rPr>
            </w:pPr>
          </w:p>
        </w:tc>
      </w:tr>
    </w:tbl>
    <w:p>
      <w:pPr>
        <w:spacing w:after="0" w:line="198" w:lineRule="exact"/>
        <w:rPr>
          <w:sz w:val="20"/>
          <w:szCs w:val="20"/>
          <w:color w:val="auto"/>
        </w:rPr>
      </w:pPr>
    </w:p>
    <w:p>
      <w:pPr>
        <w:ind w:right="120"/>
        <w:spacing w:after="0" w:line="258" w:lineRule="auto"/>
        <w:rPr>
          <w:sz w:val="20"/>
          <w:szCs w:val="20"/>
          <w:color w:val="auto"/>
        </w:rPr>
      </w:pPr>
      <w:r>
        <w:rPr>
          <w:rFonts w:ascii="Arial" w:cs="Arial" w:eastAsia="Arial" w:hAnsi="Arial"/>
          <w:sz w:val="18"/>
          <w:szCs w:val="18"/>
          <w:b w:val="1"/>
          <w:bCs w:val="1"/>
          <w:color w:val="auto"/>
        </w:rPr>
        <w:t>[The ADRs issued in respect of Partial Entitlement American Depositary Shares shall bear the following legend on the face of the ADR: “This ADR evidences ADSs representing 'partial entitlement' Shares of Mereo BioPharma Group plc and as such do not entitle the holders thereof to the same per-share entitlement as other Shares (which are 'full entitlement' Shares) issued and outstanding at such time. The ADSs represented by this ADR shall entitle holders to distributions and entitlements identical to other ADSs when the Shares represented by such ADSs become ‘full entitlement’ Shares.”]</w:t>
      </w:r>
    </w:p>
    <w:p>
      <w:pPr>
        <w:spacing w:after="0" w:line="289"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A-29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7620</wp:posOffset>
            </wp:positionV>
            <wp:extent cx="7246620" cy="17145"/>
            <wp:wrapNone/>
            <wp:docPr id="103" name="Picture 1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3"/>
                    <pic:cNvPicPr>
                      <a:picLocks noChangeAspect="1" noChangeArrowheads="1"/>
                    </pic:cNvPicPr>
                  </pic:nvPicPr>
                  <pic:blipFill>
                    <a:blip r:embed="rId110">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337" w:right="239" w:bottom="1440" w:gutter="0" w:footer="0" w:header="0"/>
        </w:sectPr>
      </w:pPr>
    </w:p>
    <w:bookmarkStart w:id="92" w:name="page93"/>
    <w:bookmarkEnd w:id="92"/>
    <w:p>
      <w:pPr>
        <w:jc w:val="center"/>
        <w:spacing w:after="0"/>
        <w:rPr>
          <w:sz w:val="20"/>
          <w:szCs w:val="20"/>
          <w:color w:val="auto"/>
        </w:rPr>
      </w:pPr>
      <w:r>
        <w:rPr>
          <w:rFonts w:ascii="Arial" w:cs="Arial" w:eastAsia="Arial" w:hAnsi="Arial"/>
          <w:sz w:val="18"/>
          <w:szCs w:val="18"/>
          <w:b w:val="1"/>
          <w:bCs w:val="1"/>
          <w:color w:val="auto"/>
        </w:rPr>
        <w:t>EXHIBIT B</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FEE SCHEDULE</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ADS FEES AND RELATED CHARGES</w:t>
      </w:r>
    </w:p>
    <w:p>
      <w:pPr>
        <w:spacing w:after="0" w:line="229" w:lineRule="exact"/>
        <w:rPr>
          <w:sz w:val="20"/>
          <w:szCs w:val="20"/>
          <w:color w:val="auto"/>
        </w:rPr>
      </w:pPr>
    </w:p>
    <w:p>
      <w:pPr>
        <w:ind w:right="420"/>
        <w:spacing w:after="0" w:line="264" w:lineRule="auto"/>
        <w:rPr>
          <w:sz w:val="20"/>
          <w:szCs w:val="20"/>
          <w:color w:val="auto"/>
        </w:rPr>
      </w:pPr>
      <w:r>
        <w:rPr>
          <w:rFonts w:ascii="Arial" w:cs="Arial" w:eastAsia="Arial" w:hAnsi="Arial"/>
          <w:sz w:val="18"/>
          <w:szCs w:val="18"/>
          <w:color w:val="auto"/>
        </w:rPr>
        <w:t>All capitalized terms used but not otherwise defined herein shall have the meaning given to such terms in the Deposit Agreement. Except as otherwise specified herein, any reference to ADSs herein includes Partial Entitlement ADSs, Full Entitlement ADSs, Certificated ADSs, Uncertificated ADSs, and Restricted ADSs</w:t>
      </w:r>
    </w:p>
    <w:p>
      <w:pPr>
        <w:spacing w:after="0" w:line="177" w:lineRule="exact"/>
        <w:rPr>
          <w:sz w:val="20"/>
          <w:szCs w:val="20"/>
          <w:color w:val="auto"/>
        </w:rPr>
      </w:pPr>
    </w:p>
    <w:p>
      <w:pPr>
        <w:ind w:left="660" w:hanging="652"/>
        <w:spacing w:after="0"/>
        <w:tabs>
          <w:tab w:leader="none" w:pos="660" w:val="left"/>
        </w:tabs>
        <w:numPr>
          <w:ilvl w:val="0"/>
          <w:numId w:val="59"/>
        </w:numPr>
        <w:rPr>
          <w:rFonts w:ascii="Arial" w:cs="Arial" w:eastAsia="Arial" w:hAnsi="Arial"/>
          <w:sz w:val="18"/>
          <w:szCs w:val="18"/>
          <w:b w:val="1"/>
          <w:bCs w:val="1"/>
          <w:color w:val="auto"/>
        </w:rPr>
      </w:pPr>
      <w:r>
        <w:rPr>
          <w:rFonts w:ascii="Arial" w:cs="Arial" w:eastAsia="Arial" w:hAnsi="Arial"/>
          <w:sz w:val="18"/>
          <w:szCs w:val="18"/>
          <w:b w:val="1"/>
          <w:bCs w:val="1"/>
          <w:u w:val="single" w:color="auto"/>
          <w:color w:val="auto"/>
        </w:rPr>
        <w:t>ADS Fees</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The following ADS fees are payable under the terms of the Deposit Agreement:</w:t>
      </w:r>
    </w:p>
    <w:p>
      <w:pPr>
        <w:spacing w:after="0" w:line="220" w:lineRule="exact"/>
        <w:rPr>
          <w:sz w:val="20"/>
          <w:szCs w:val="20"/>
          <w:color w:val="auto"/>
        </w:rPr>
      </w:pPr>
    </w:p>
    <w:tbl>
      <w:tblPr>
        <w:tblLayout w:type="fixed"/>
        <w:tblInd w:w="10" w:type="dxa"/>
        <w:tblCellMar>
          <w:top w:w="0" w:type="dxa"/>
          <w:left w:w="0" w:type="dxa"/>
          <w:bottom w:w="0" w:type="dxa"/>
          <w:right w:w="0" w:type="dxa"/>
        </w:tblCellMar>
      </w:tblPr>
      <w:tr>
        <w:trPr>
          <w:trHeight w:val="257"/>
        </w:trPr>
        <w:tc>
          <w:tcPr>
            <w:tcW w:w="3900" w:type="dxa"/>
            <w:vAlign w:val="bottom"/>
            <w:tcBorders>
              <w:top w:val="single" w:sz="8" w:color="auto"/>
              <w:left w:val="single" w:sz="8" w:color="auto"/>
              <w:right w:val="single" w:sz="8" w:color="auto"/>
            </w:tcBorders>
          </w:tcPr>
          <w:p>
            <w:pPr>
              <w:ind w:left="40"/>
              <w:spacing w:after="0"/>
              <w:rPr>
                <w:sz w:val="20"/>
                <w:szCs w:val="20"/>
                <w:color w:val="auto"/>
              </w:rPr>
            </w:pPr>
            <w:r>
              <w:rPr>
                <w:rFonts w:ascii="Arial" w:cs="Arial" w:eastAsia="Arial" w:hAnsi="Arial"/>
                <w:sz w:val="18"/>
                <w:szCs w:val="18"/>
                <w:b w:val="1"/>
                <w:bCs w:val="1"/>
                <w:color w:val="auto"/>
              </w:rPr>
              <w:t>Service</w:t>
            </w:r>
          </w:p>
        </w:tc>
        <w:tc>
          <w:tcPr>
            <w:tcW w:w="3780" w:type="dxa"/>
            <w:vAlign w:val="bottom"/>
            <w:tcBorders>
              <w:top w:val="single" w:sz="8" w:color="auto"/>
              <w:right w:val="single" w:sz="8" w:color="auto"/>
            </w:tcBorders>
          </w:tcPr>
          <w:p>
            <w:pPr>
              <w:ind w:left="20"/>
              <w:spacing w:after="0"/>
              <w:rPr>
                <w:sz w:val="20"/>
                <w:szCs w:val="20"/>
                <w:color w:val="auto"/>
              </w:rPr>
            </w:pPr>
            <w:r>
              <w:rPr>
                <w:rFonts w:ascii="Arial" w:cs="Arial" w:eastAsia="Arial" w:hAnsi="Arial"/>
                <w:sz w:val="18"/>
                <w:szCs w:val="18"/>
                <w:b w:val="1"/>
                <w:bCs w:val="1"/>
                <w:color w:val="auto"/>
              </w:rPr>
              <w:t>Rate</w:t>
            </w:r>
          </w:p>
        </w:tc>
        <w:tc>
          <w:tcPr>
            <w:tcW w:w="3740" w:type="dxa"/>
            <w:vAlign w:val="bottom"/>
            <w:tcBorders>
              <w:top w:val="single" w:sz="8" w:color="auto"/>
              <w:right w:val="single" w:sz="8" w:color="auto"/>
            </w:tcBorders>
          </w:tcPr>
          <w:p>
            <w:pPr>
              <w:ind w:left="20"/>
              <w:spacing w:after="0"/>
              <w:rPr>
                <w:sz w:val="20"/>
                <w:szCs w:val="20"/>
                <w:color w:val="auto"/>
              </w:rPr>
            </w:pPr>
            <w:r>
              <w:rPr>
                <w:rFonts w:ascii="Arial" w:cs="Arial" w:eastAsia="Arial" w:hAnsi="Arial"/>
                <w:sz w:val="18"/>
                <w:szCs w:val="18"/>
                <w:b w:val="1"/>
                <w:bCs w:val="1"/>
                <w:color w:val="auto"/>
              </w:rPr>
              <w:t>By Whom Paid</w:t>
            </w:r>
          </w:p>
        </w:tc>
      </w:tr>
      <w:tr>
        <w:trPr>
          <w:trHeight w:val="27"/>
        </w:trPr>
        <w:tc>
          <w:tcPr>
            <w:tcW w:w="3900" w:type="dxa"/>
            <w:vAlign w:val="bottom"/>
            <w:tcBorders>
              <w:left w:val="single" w:sz="8" w:color="auto"/>
              <w:bottom w:val="single" w:sz="8" w:color="auto"/>
              <w:right w:val="single" w:sz="8" w:color="auto"/>
            </w:tcBorders>
          </w:tcPr>
          <w:p>
            <w:pPr>
              <w:spacing w:after="0"/>
              <w:rPr>
                <w:sz w:val="2"/>
                <w:szCs w:val="2"/>
                <w:color w:val="auto"/>
              </w:rPr>
            </w:pPr>
          </w:p>
        </w:tc>
        <w:tc>
          <w:tcPr>
            <w:tcW w:w="3780" w:type="dxa"/>
            <w:vAlign w:val="bottom"/>
            <w:tcBorders>
              <w:bottom w:val="single" w:sz="8" w:color="auto"/>
              <w:right w:val="single" w:sz="8" w:color="auto"/>
            </w:tcBorders>
          </w:tcPr>
          <w:p>
            <w:pPr>
              <w:spacing w:after="0"/>
              <w:rPr>
                <w:sz w:val="2"/>
                <w:szCs w:val="2"/>
                <w:color w:val="auto"/>
              </w:rPr>
            </w:pPr>
          </w:p>
        </w:tc>
        <w:tc>
          <w:tcPr>
            <w:tcW w:w="3740" w:type="dxa"/>
            <w:vAlign w:val="bottom"/>
            <w:tcBorders>
              <w:bottom w:val="single" w:sz="8" w:color="auto"/>
              <w:right w:val="single" w:sz="8" w:color="auto"/>
            </w:tcBorders>
          </w:tcPr>
          <w:p>
            <w:pPr>
              <w:spacing w:after="0"/>
              <w:rPr>
                <w:sz w:val="2"/>
                <w:szCs w:val="2"/>
                <w:color w:val="auto"/>
              </w:rPr>
            </w:pPr>
          </w:p>
        </w:tc>
      </w:tr>
      <w:tr>
        <w:trPr>
          <w:trHeight w:val="222"/>
        </w:trPr>
        <w:tc>
          <w:tcPr>
            <w:tcW w:w="3900" w:type="dxa"/>
            <w:vAlign w:val="bottom"/>
            <w:tcBorders>
              <w:left w:val="single" w:sz="8" w:color="auto"/>
              <w:right w:val="single" w:sz="8" w:color="auto"/>
            </w:tcBorders>
          </w:tcPr>
          <w:p>
            <w:pPr>
              <w:ind w:left="40"/>
              <w:spacing w:after="0"/>
              <w:rPr>
                <w:sz w:val="20"/>
                <w:szCs w:val="20"/>
                <w:color w:val="auto"/>
              </w:rPr>
            </w:pPr>
            <w:r>
              <w:rPr>
                <w:rFonts w:ascii="Arial" w:cs="Arial" w:eastAsia="Arial" w:hAnsi="Arial"/>
                <w:sz w:val="18"/>
                <w:szCs w:val="18"/>
                <w:color w:val="auto"/>
              </w:rPr>
              <w:t>(1) Issuance of ADSs (</w:t>
            </w:r>
            <w:r>
              <w:rPr>
                <w:rFonts w:ascii="Arial" w:cs="Arial" w:eastAsia="Arial" w:hAnsi="Arial"/>
                <w:sz w:val="18"/>
                <w:szCs w:val="18"/>
                <w:i w:val="1"/>
                <w:iCs w:val="1"/>
                <w:color w:val="auto"/>
              </w:rPr>
              <w:t>e.g.</w:t>
            </w:r>
            <w:r>
              <w:rPr>
                <w:rFonts w:ascii="Arial" w:cs="Arial" w:eastAsia="Arial" w:hAnsi="Arial"/>
                <w:sz w:val="18"/>
                <w:szCs w:val="18"/>
                <w:color w:val="auto"/>
              </w:rPr>
              <w:t>, an issuance upon a</w:t>
            </w:r>
          </w:p>
        </w:tc>
        <w:tc>
          <w:tcPr>
            <w:tcW w:w="3780" w:type="dxa"/>
            <w:vAlign w:val="bottom"/>
            <w:tcBorders>
              <w:right w:val="single" w:sz="8" w:color="auto"/>
            </w:tcBorders>
          </w:tcPr>
          <w:p>
            <w:pPr>
              <w:ind w:left="20"/>
              <w:spacing w:after="0"/>
              <w:rPr>
                <w:sz w:val="20"/>
                <w:szCs w:val="20"/>
                <w:color w:val="auto"/>
              </w:rPr>
            </w:pPr>
            <w:r>
              <w:rPr>
                <w:rFonts w:ascii="Arial" w:cs="Arial" w:eastAsia="Arial" w:hAnsi="Arial"/>
                <w:sz w:val="18"/>
                <w:szCs w:val="18"/>
                <w:color w:val="auto"/>
              </w:rPr>
              <w:t>Up to U.S. $5.00 per 100 ADSs (or fraction</w:t>
            </w:r>
          </w:p>
        </w:tc>
        <w:tc>
          <w:tcPr>
            <w:tcW w:w="3740" w:type="dxa"/>
            <w:vAlign w:val="bottom"/>
            <w:tcBorders>
              <w:right w:val="single" w:sz="8" w:color="auto"/>
            </w:tcBorders>
          </w:tcPr>
          <w:p>
            <w:pPr>
              <w:ind w:left="20"/>
              <w:spacing w:after="0"/>
              <w:rPr>
                <w:sz w:val="20"/>
                <w:szCs w:val="20"/>
                <w:color w:val="auto"/>
              </w:rPr>
            </w:pPr>
            <w:r>
              <w:rPr>
                <w:rFonts w:ascii="Arial" w:cs="Arial" w:eastAsia="Arial" w:hAnsi="Arial"/>
                <w:sz w:val="18"/>
                <w:szCs w:val="18"/>
                <w:color w:val="auto"/>
              </w:rPr>
              <w:t>Person for whom ADSs are issued.</w:t>
            </w:r>
          </w:p>
        </w:tc>
      </w:tr>
      <w:tr>
        <w:trPr>
          <w:trHeight w:val="216"/>
        </w:trPr>
        <w:tc>
          <w:tcPr>
            <w:tcW w:w="3900" w:type="dxa"/>
            <w:vAlign w:val="bottom"/>
            <w:tcBorders>
              <w:left w:val="single" w:sz="8" w:color="auto"/>
              <w:right w:val="single" w:sz="8" w:color="auto"/>
            </w:tcBorders>
          </w:tcPr>
          <w:p>
            <w:pPr>
              <w:ind w:left="40"/>
              <w:spacing w:after="0"/>
              <w:rPr>
                <w:sz w:val="20"/>
                <w:szCs w:val="20"/>
                <w:color w:val="auto"/>
              </w:rPr>
            </w:pPr>
            <w:r>
              <w:rPr>
                <w:rFonts w:ascii="Arial" w:cs="Arial" w:eastAsia="Arial" w:hAnsi="Arial"/>
                <w:sz w:val="18"/>
                <w:szCs w:val="18"/>
                <w:color w:val="auto"/>
                <w:w w:val="93"/>
              </w:rPr>
              <w:t>deposit of Shares, upon a change in the ADS(s)-to-</w:t>
            </w:r>
          </w:p>
        </w:tc>
        <w:tc>
          <w:tcPr>
            <w:tcW w:w="3780" w:type="dxa"/>
            <w:vAlign w:val="bottom"/>
            <w:tcBorders>
              <w:right w:val="single" w:sz="8" w:color="auto"/>
            </w:tcBorders>
          </w:tcPr>
          <w:p>
            <w:pPr>
              <w:ind w:left="20"/>
              <w:spacing w:after="0"/>
              <w:rPr>
                <w:sz w:val="20"/>
                <w:szCs w:val="20"/>
                <w:color w:val="auto"/>
              </w:rPr>
            </w:pPr>
            <w:r>
              <w:rPr>
                <w:rFonts w:ascii="Arial" w:cs="Arial" w:eastAsia="Arial" w:hAnsi="Arial"/>
                <w:sz w:val="18"/>
                <w:szCs w:val="18"/>
                <w:color w:val="auto"/>
              </w:rPr>
              <w:t>thereof) issued.</w:t>
            </w:r>
          </w:p>
        </w:tc>
        <w:tc>
          <w:tcPr>
            <w:tcW w:w="3740" w:type="dxa"/>
            <w:vAlign w:val="bottom"/>
            <w:tcBorders>
              <w:right w:val="single" w:sz="8" w:color="auto"/>
            </w:tcBorders>
          </w:tcPr>
          <w:p>
            <w:pPr>
              <w:spacing w:after="0"/>
              <w:rPr>
                <w:sz w:val="18"/>
                <w:szCs w:val="18"/>
                <w:color w:val="auto"/>
              </w:rPr>
            </w:pPr>
          </w:p>
        </w:tc>
      </w:tr>
      <w:tr>
        <w:trPr>
          <w:trHeight w:val="216"/>
        </w:trPr>
        <w:tc>
          <w:tcPr>
            <w:tcW w:w="3900" w:type="dxa"/>
            <w:vAlign w:val="bottom"/>
            <w:tcBorders>
              <w:left w:val="single" w:sz="8" w:color="auto"/>
              <w:right w:val="single" w:sz="8" w:color="auto"/>
            </w:tcBorders>
          </w:tcPr>
          <w:p>
            <w:pPr>
              <w:ind w:left="40"/>
              <w:spacing w:after="0"/>
              <w:rPr>
                <w:sz w:val="20"/>
                <w:szCs w:val="20"/>
                <w:color w:val="auto"/>
              </w:rPr>
            </w:pPr>
            <w:r>
              <w:rPr>
                <w:rFonts w:ascii="Arial" w:cs="Arial" w:eastAsia="Arial" w:hAnsi="Arial"/>
                <w:sz w:val="18"/>
                <w:szCs w:val="18"/>
                <w:color w:val="auto"/>
                <w:w w:val="97"/>
              </w:rPr>
              <w:t>Share(s) ratio, or for any other reason), excluding</w:t>
            </w:r>
          </w:p>
        </w:tc>
        <w:tc>
          <w:tcPr>
            <w:tcW w:w="3780" w:type="dxa"/>
            <w:vAlign w:val="bottom"/>
            <w:tcBorders>
              <w:right w:val="single" w:sz="8" w:color="auto"/>
            </w:tcBorders>
          </w:tcPr>
          <w:p>
            <w:pPr>
              <w:spacing w:after="0"/>
              <w:rPr>
                <w:sz w:val="18"/>
                <w:szCs w:val="18"/>
                <w:color w:val="auto"/>
              </w:rPr>
            </w:pPr>
          </w:p>
        </w:tc>
        <w:tc>
          <w:tcPr>
            <w:tcW w:w="3740" w:type="dxa"/>
            <w:vAlign w:val="bottom"/>
            <w:tcBorders>
              <w:right w:val="single" w:sz="8" w:color="auto"/>
            </w:tcBorders>
          </w:tcPr>
          <w:p>
            <w:pPr>
              <w:spacing w:after="0"/>
              <w:rPr>
                <w:sz w:val="18"/>
                <w:szCs w:val="18"/>
                <w:color w:val="auto"/>
              </w:rPr>
            </w:pPr>
          </w:p>
        </w:tc>
      </w:tr>
      <w:tr>
        <w:trPr>
          <w:trHeight w:val="216"/>
        </w:trPr>
        <w:tc>
          <w:tcPr>
            <w:tcW w:w="3900" w:type="dxa"/>
            <w:vAlign w:val="bottom"/>
            <w:tcBorders>
              <w:left w:val="single" w:sz="8" w:color="auto"/>
              <w:right w:val="single" w:sz="8" w:color="auto"/>
            </w:tcBorders>
          </w:tcPr>
          <w:p>
            <w:pPr>
              <w:ind w:left="40"/>
              <w:spacing w:after="0"/>
              <w:rPr>
                <w:sz w:val="20"/>
                <w:szCs w:val="20"/>
                <w:color w:val="auto"/>
              </w:rPr>
            </w:pPr>
            <w:r>
              <w:rPr>
                <w:rFonts w:ascii="Arial" w:cs="Arial" w:eastAsia="Arial" w:hAnsi="Arial"/>
                <w:sz w:val="18"/>
                <w:szCs w:val="18"/>
                <w:color w:val="auto"/>
                <w:w w:val="97"/>
              </w:rPr>
              <w:t>issuances as a result of distributions described in</w:t>
            </w:r>
          </w:p>
        </w:tc>
        <w:tc>
          <w:tcPr>
            <w:tcW w:w="3780" w:type="dxa"/>
            <w:vAlign w:val="bottom"/>
            <w:tcBorders>
              <w:right w:val="single" w:sz="8" w:color="auto"/>
            </w:tcBorders>
          </w:tcPr>
          <w:p>
            <w:pPr>
              <w:spacing w:after="0"/>
              <w:rPr>
                <w:sz w:val="18"/>
                <w:szCs w:val="18"/>
                <w:color w:val="auto"/>
              </w:rPr>
            </w:pPr>
          </w:p>
        </w:tc>
        <w:tc>
          <w:tcPr>
            <w:tcW w:w="3740" w:type="dxa"/>
            <w:vAlign w:val="bottom"/>
            <w:tcBorders>
              <w:right w:val="single" w:sz="8" w:color="auto"/>
            </w:tcBorders>
          </w:tcPr>
          <w:p>
            <w:pPr>
              <w:spacing w:after="0"/>
              <w:rPr>
                <w:sz w:val="18"/>
                <w:szCs w:val="18"/>
                <w:color w:val="auto"/>
              </w:rPr>
            </w:pPr>
          </w:p>
        </w:tc>
      </w:tr>
      <w:tr>
        <w:trPr>
          <w:trHeight w:val="230"/>
        </w:trPr>
        <w:tc>
          <w:tcPr>
            <w:tcW w:w="3900" w:type="dxa"/>
            <w:vAlign w:val="bottom"/>
            <w:tcBorders>
              <w:left w:val="single" w:sz="8" w:color="auto"/>
              <w:right w:val="single" w:sz="8" w:color="auto"/>
            </w:tcBorders>
          </w:tcPr>
          <w:p>
            <w:pPr>
              <w:ind w:left="40"/>
              <w:spacing w:after="0"/>
              <w:rPr>
                <w:sz w:val="20"/>
                <w:szCs w:val="20"/>
                <w:color w:val="auto"/>
              </w:rPr>
            </w:pPr>
            <w:r>
              <w:rPr>
                <w:rFonts w:ascii="Arial" w:cs="Arial" w:eastAsia="Arial" w:hAnsi="Arial"/>
                <w:sz w:val="18"/>
                <w:szCs w:val="18"/>
                <w:color w:val="auto"/>
              </w:rPr>
              <w:t>paragraph (4) below.</w:t>
            </w:r>
          </w:p>
        </w:tc>
        <w:tc>
          <w:tcPr>
            <w:tcW w:w="3780" w:type="dxa"/>
            <w:vAlign w:val="bottom"/>
            <w:tcBorders>
              <w:right w:val="single" w:sz="8" w:color="auto"/>
            </w:tcBorders>
          </w:tcPr>
          <w:p>
            <w:pPr>
              <w:spacing w:after="0"/>
              <w:rPr>
                <w:sz w:val="20"/>
                <w:szCs w:val="20"/>
                <w:color w:val="auto"/>
              </w:rPr>
            </w:pPr>
          </w:p>
        </w:tc>
        <w:tc>
          <w:tcPr>
            <w:tcW w:w="3740" w:type="dxa"/>
            <w:vAlign w:val="bottom"/>
            <w:tcBorders>
              <w:right w:val="single" w:sz="8" w:color="auto"/>
            </w:tcBorders>
          </w:tcPr>
          <w:p>
            <w:pPr>
              <w:spacing w:after="0"/>
              <w:rPr>
                <w:sz w:val="20"/>
                <w:szCs w:val="20"/>
                <w:color w:val="auto"/>
              </w:rPr>
            </w:pPr>
          </w:p>
        </w:tc>
      </w:tr>
      <w:tr>
        <w:trPr>
          <w:trHeight w:val="27"/>
        </w:trPr>
        <w:tc>
          <w:tcPr>
            <w:tcW w:w="3900" w:type="dxa"/>
            <w:vAlign w:val="bottom"/>
            <w:tcBorders>
              <w:left w:val="single" w:sz="8" w:color="auto"/>
              <w:bottom w:val="single" w:sz="8" w:color="auto"/>
              <w:right w:val="single" w:sz="8" w:color="auto"/>
            </w:tcBorders>
          </w:tcPr>
          <w:p>
            <w:pPr>
              <w:spacing w:after="0"/>
              <w:rPr>
                <w:sz w:val="2"/>
                <w:szCs w:val="2"/>
                <w:color w:val="auto"/>
              </w:rPr>
            </w:pPr>
          </w:p>
        </w:tc>
        <w:tc>
          <w:tcPr>
            <w:tcW w:w="3780" w:type="dxa"/>
            <w:vAlign w:val="bottom"/>
            <w:tcBorders>
              <w:bottom w:val="single" w:sz="8" w:color="auto"/>
              <w:right w:val="single" w:sz="8" w:color="auto"/>
            </w:tcBorders>
          </w:tcPr>
          <w:p>
            <w:pPr>
              <w:spacing w:after="0"/>
              <w:rPr>
                <w:sz w:val="2"/>
                <w:szCs w:val="2"/>
                <w:color w:val="auto"/>
              </w:rPr>
            </w:pPr>
          </w:p>
        </w:tc>
        <w:tc>
          <w:tcPr>
            <w:tcW w:w="3740" w:type="dxa"/>
            <w:vAlign w:val="bottom"/>
            <w:tcBorders>
              <w:bottom w:val="single" w:sz="8" w:color="auto"/>
              <w:right w:val="single" w:sz="8" w:color="auto"/>
            </w:tcBorders>
          </w:tcPr>
          <w:p>
            <w:pPr>
              <w:spacing w:after="0"/>
              <w:rPr>
                <w:sz w:val="2"/>
                <w:szCs w:val="2"/>
                <w:color w:val="auto"/>
              </w:rPr>
            </w:pPr>
          </w:p>
        </w:tc>
      </w:tr>
      <w:tr>
        <w:trPr>
          <w:trHeight w:val="222"/>
        </w:trPr>
        <w:tc>
          <w:tcPr>
            <w:tcW w:w="3900" w:type="dxa"/>
            <w:vAlign w:val="bottom"/>
            <w:tcBorders>
              <w:left w:val="single" w:sz="8" w:color="auto"/>
              <w:right w:val="single" w:sz="8" w:color="auto"/>
            </w:tcBorders>
          </w:tcPr>
          <w:p>
            <w:pPr>
              <w:ind w:left="40"/>
              <w:spacing w:after="0"/>
              <w:rPr>
                <w:sz w:val="20"/>
                <w:szCs w:val="20"/>
                <w:color w:val="auto"/>
              </w:rPr>
            </w:pPr>
            <w:r>
              <w:rPr>
                <w:rFonts w:ascii="Arial" w:cs="Arial" w:eastAsia="Arial" w:hAnsi="Arial"/>
                <w:sz w:val="18"/>
                <w:szCs w:val="18"/>
                <w:color w:val="auto"/>
              </w:rPr>
              <w:t>(2) Cancellation of ADSs (</w:t>
            </w:r>
            <w:r>
              <w:rPr>
                <w:rFonts w:ascii="Arial" w:cs="Arial" w:eastAsia="Arial" w:hAnsi="Arial"/>
                <w:sz w:val="18"/>
                <w:szCs w:val="18"/>
                <w:i w:val="1"/>
                <w:iCs w:val="1"/>
                <w:color w:val="auto"/>
              </w:rPr>
              <w:t>e.g.</w:t>
            </w:r>
            <w:r>
              <w:rPr>
                <w:rFonts w:ascii="Arial" w:cs="Arial" w:eastAsia="Arial" w:hAnsi="Arial"/>
                <w:sz w:val="18"/>
                <w:szCs w:val="18"/>
                <w:color w:val="auto"/>
              </w:rPr>
              <w:t>, a cancellation of</w:t>
            </w:r>
          </w:p>
        </w:tc>
        <w:tc>
          <w:tcPr>
            <w:tcW w:w="3780" w:type="dxa"/>
            <w:vAlign w:val="bottom"/>
            <w:tcBorders>
              <w:right w:val="single" w:sz="8" w:color="auto"/>
            </w:tcBorders>
          </w:tcPr>
          <w:p>
            <w:pPr>
              <w:ind w:left="20"/>
              <w:spacing w:after="0"/>
              <w:rPr>
                <w:sz w:val="20"/>
                <w:szCs w:val="20"/>
                <w:color w:val="auto"/>
              </w:rPr>
            </w:pPr>
            <w:r>
              <w:rPr>
                <w:rFonts w:ascii="Arial" w:cs="Arial" w:eastAsia="Arial" w:hAnsi="Arial"/>
                <w:sz w:val="18"/>
                <w:szCs w:val="18"/>
                <w:color w:val="auto"/>
              </w:rPr>
              <w:t>Up to U.S. $5.00 per 100 ADSs (or fraction</w:t>
            </w:r>
          </w:p>
        </w:tc>
        <w:tc>
          <w:tcPr>
            <w:tcW w:w="3740" w:type="dxa"/>
            <w:vAlign w:val="bottom"/>
            <w:tcBorders>
              <w:right w:val="single" w:sz="8" w:color="auto"/>
            </w:tcBorders>
          </w:tcPr>
          <w:p>
            <w:pPr>
              <w:ind w:left="20"/>
              <w:spacing w:after="0"/>
              <w:rPr>
                <w:sz w:val="20"/>
                <w:szCs w:val="20"/>
                <w:color w:val="auto"/>
              </w:rPr>
            </w:pPr>
            <w:r>
              <w:rPr>
                <w:rFonts w:ascii="Arial" w:cs="Arial" w:eastAsia="Arial" w:hAnsi="Arial"/>
                <w:sz w:val="18"/>
                <w:szCs w:val="18"/>
                <w:color w:val="auto"/>
              </w:rPr>
              <w:t>Person for whom ADSs are being cancelled.</w:t>
            </w:r>
          </w:p>
        </w:tc>
      </w:tr>
      <w:tr>
        <w:trPr>
          <w:trHeight w:val="216"/>
        </w:trPr>
        <w:tc>
          <w:tcPr>
            <w:tcW w:w="3900" w:type="dxa"/>
            <w:vAlign w:val="bottom"/>
            <w:tcBorders>
              <w:left w:val="single" w:sz="8" w:color="auto"/>
              <w:right w:val="single" w:sz="8" w:color="auto"/>
            </w:tcBorders>
          </w:tcPr>
          <w:p>
            <w:pPr>
              <w:ind w:left="40"/>
              <w:spacing w:after="0"/>
              <w:rPr>
                <w:sz w:val="20"/>
                <w:szCs w:val="20"/>
                <w:color w:val="auto"/>
              </w:rPr>
            </w:pPr>
            <w:r>
              <w:rPr>
                <w:rFonts w:ascii="Arial" w:cs="Arial" w:eastAsia="Arial" w:hAnsi="Arial"/>
                <w:sz w:val="18"/>
                <w:szCs w:val="18"/>
                <w:color w:val="auto"/>
              </w:rPr>
              <w:t>ADSs for Delivery of deposited Shares, upon a</w:t>
            </w:r>
          </w:p>
        </w:tc>
        <w:tc>
          <w:tcPr>
            <w:tcW w:w="3780" w:type="dxa"/>
            <w:vAlign w:val="bottom"/>
            <w:tcBorders>
              <w:right w:val="single" w:sz="8" w:color="auto"/>
            </w:tcBorders>
          </w:tcPr>
          <w:p>
            <w:pPr>
              <w:ind w:left="20"/>
              <w:spacing w:after="0"/>
              <w:rPr>
                <w:sz w:val="20"/>
                <w:szCs w:val="20"/>
                <w:color w:val="auto"/>
              </w:rPr>
            </w:pPr>
            <w:r>
              <w:rPr>
                <w:rFonts w:ascii="Arial" w:cs="Arial" w:eastAsia="Arial" w:hAnsi="Arial"/>
                <w:sz w:val="18"/>
                <w:szCs w:val="18"/>
                <w:color w:val="auto"/>
              </w:rPr>
              <w:t>thereof) cancelled.</w:t>
            </w:r>
          </w:p>
        </w:tc>
        <w:tc>
          <w:tcPr>
            <w:tcW w:w="3740" w:type="dxa"/>
            <w:vAlign w:val="bottom"/>
            <w:tcBorders>
              <w:right w:val="single" w:sz="8" w:color="auto"/>
            </w:tcBorders>
          </w:tcPr>
          <w:p>
            <w:pPr>
              <w:spacing w:after="0"/>
              <w:rPr>
                <w:sz w:val="18"/>
                <w:szCs w:val="18"/>
                <w:color w:val="auto"/>
              </w:rPr>
            </w:pPr>
          </w:p>
        </w:tc>
      </w:tr>
      <w:tr>
        <w:trPr>
          <w:trHeight w:val="216"/>
        </w:trPr>
        <w:tc>
          <w:tcPr>
            <w:tcW w:w="3900" w:type="dxa"/>
            <w:vAlign w:val="bottom"/>
            <w:tcBorders>
              <w:left w:val="single" w:sz="8" w:color="auto"/>
              <w:right w:val="single" w:sz="8" w:color="auto"/>
            </w:tcBorders>
          </w:tcPr>
          <w:p>
            <w:pPr>
              <w:ind w:left="40"/>
              <w:spacing w:after="0"/>
              <w:rPr>
                <w:sz w:val="20"/>
                <w:szCs w:val="20"/>
                <w:color w:val="auto"/>
              </w:rPr>
            </w:pPr>
            <w:r>
              <w:rPr>
                <w:rFonts w:ascii="Arial" w:cs="Arial" w:eastAsia="Arial" w:hAnsi="Arial"/>
                <w:sz w:val="18"/>
                <w:szCs w:val="18"/>
                <w:color w:val="auto"/>
                <w:w w:val="97"/>
              </w:rPr>
              <w:t>change in the ADS(s)-to-Share(s) ratio, or for any</w:t>
            </w:r>
          </w:p>
        </w:tc>
        <w:tc>
          <w:tcPr>
            <w:tcW w:w="3780" w:type="dxa"/>
            <w:vAlign w:val="bottom"/>
            <w:tcBorders>
              <w:right w:val="single" w:sz="8" w:color="auto"/>
            </w:tcBorders>
          </w:tcPr>
          <w:p>
            <w:pPr>
              <w:spacing w:after="0"/>
              <w:rPr>
                <w:sz w:val="18"/>
                <w:szCs w:val="18"/>
                <w:color w:val="auto"/>
              </w:rPr>
            </w:pPr>
          </w:p>
        </w:tc>
        <w:tc>
          <w:tcPr>
            <w:tcW w:w="3740" w:type="dxa"/>
            <w:vAlign w:val="bottom"/>
            <w:tcBorders>
              <w:right w:val="single" w:sz="8" w:color="auto"/>
            </w:tcBorders>
          </w:tcPr>
          <w:p>
            <w:pPr>
              <w:spacing w:after="0"/>
              <w:rPr>
                <w:sz w:val="18"/>
                <w:szCs w:val="18"/>
                <w:color w:val="auto"/>
              </w:rPr>
            </w:pPr>
          </w:p>
        </w:tc>
      </w:tr>
      <w:tr>
        <w:trPr>
          <w:trHeight w:val="230"/>
        </w:trPr>
        <w:tc>
          <w:tcPr>
            <w:tcW w:w="3900" w:type="dxa"/>
            <w:vAlign w:val="bottom"/>
            <w:tcBorders>
              <w:left w:val="single" w:sz="8" w:color="auto"/>
              <w:right w:val="single" w:sz="8" w:color="auto"/>
            </w:tcBorders>
          </w:tcPr>
          <w:p>
            <w:pPr>
              <w:ind w:left="40"/>
              <w:spacing w:after="0"/>
              <w:rPr>
                <w:sz w:val="20"/>
                <w:szCs w:val="20"/>
                <w:color w:val="auto"/>
              </w:rPr>
            </w:pPr>
            <w:r>
              <w:rPr>
                <w:rFonts w:ascii="Arial" w:cs="Arial" w:eastAsia="Arial" w:hAnsi="Arial"/>
                <w:sz w:val="18"/>
                <w:szCs w:val="18"/>
                <w:color w:val="auto"/>
              </w:rPr>
              <w:t>other reason).</w:t>
            </w:r>
          </w:p>
        </w:tc>
        <w:tc>
          <w:tcPr>
            <w:tcW w:w="3780" w:type="dxa"/>
            <w:vAlign w:val="bottom"/>
            <w:tcBorders>
              <w:right w:val="single" w:sz="8" w:color="auto"/>
            </w:tcBorders>
          </w:tcPr>
          <w:p>
            <w:pPr>
              <w:spacing w:after="0"/>
              <w:rPr>
                <w:sz w:val="20"/>
                <w:szCs w:val="20"/>
                <w:color w:val="auto"/>
              </w:rPr>
            </w:pPr>
          </w:p>
        </w:tc>
        <w:tc>
          <w:tcPr>
            <w:tcW w:w="3740" w:type="dxa"/>
            <w:vAlign w:val="bottom"/>
            <w:tcBorders>
              <w:right w:val="single" w:sz="8" w:color="auto"/>
            </w:tcBorders>
          </w:tcPr>
          <w:p>
            <w:pPr>
              <w:spacing w:after="0"/>
              <w:rPr>
                <w:sz w:val="20"/>
                <w:szCs w:val="20"/>
                <w:color w:val="auto"/>
              </w:rPr>
            </w:pPr>
          </w:p>
        </w:tc>
      </w:tr>
      <w:tr>
        <w:trPr>
          <w:trHeight w:val="27"/>
        </w:trPr>
        <w:tc>
          <w:tcPr>
            <w:tcW w:w="3900" w:type="dxa"/>
            <w:vAlign w:val="bottom"/>
            <w:tcBorders>
              <w:left w:val="single" w:sz="8" w:color="auto"/>
              <w:bottom w:val="single" w:sz="8" w:color="auto"/>
              <w:right w:val="single" w:sz="8" w:color="auto"/>
            </w:tcBorders>
          </w:tcPr>
          <w:p>
            <w:pPr>
              <w:spacing w:after="0"/>
              <w:rPr>
                <w:sz w:val="2"/>
                <w:szCs w:val="2"/>
                <w:color w:val="auto"/>
              </w:rPr>
            </w:pPr>
          </w:p>
        </w:tc>
        <w:tc>
          <w:tcPr>
            <w:tcW w:w="3780" w:type="dxa"/>
            <w:vAlign w:val="bottom"/>
            <w:tcBorders>
              <w:bottom w:val="single" w:sz="8" w:color="auto"/>
              <w:right w:val="single" w:sz="8" w:color="auto"/>
            </w:tcBorders>
          </w:tcPr>
          <w:p>
            <w:pPr>
              <w:spacing w:after="0"/>
              <w:rPr>
                <w:sz w:val="2"/>
                <w:szCs w:val="2"/>
                <w:color w:val="auto"/>
              </w:rPr>
            </w:pPr>
          </w:p>
        </w:tc>
        <w:tc>
          <w:tcPr>
            <w:tcW w:w="3740" w:type="dxa"/>
            <w:vAlign w:val="bottom"/>
            <w:tcBorders>
              <w:bottom w:val="single" w:sz="8" w:color="auto"/>
              <w:right w:val="single" w:sz="8" w:color="auto"/>
            </w:tcBorders>
          </w:tcPr>
          <w:p>
            <w:pPr>
              <w:spacing w:after="0"/>
              <w:rPr>
                <w:sz w:val="2"/>
                <w:szCs w:val="2"/>
                <w:color w:val="auto"/>
              </w:rPr>
            </w:pPr>
          </w:p>
        </w:tc>
      </w:tr>
      <w:tr>
        <w:trPr>
          <w:trHeight w:val="222"/>
        </w:trPr>
        <w:tc>
          <w:tcPr>
            <w:tcW w:w="3900" w:type="dxa"/>
            <w:vAlign w:val="bottom"/>
            <w:tcBorders>
              <w:left w:val="single" w:sz="8" w:color="auto"/>
              <w:right w:val="single" w:sz="8" w:color="auto"/>
            </w:tcBorders>
          </w:tcPr>
          <w:p>
            <w:pPr>
              <w:ind w:left="40"/>
              <w:spacing w:after="0"/>
              <w:rPr>
                <w:sz w:val="20"/>
                <w:szCs w:val="20"/>
                <w:color w:val="auto"/>
              </w:rPr>
            </w:pPr>
            <w:r>
              <w:rPr>
                <w:rFonts w:ascii="Arial" w:cs="Arial" w:eastAsia="Arial" w:hAnsi="Arial"/>
                <w:sz w:val="18"/>
                <w:szCs w:val="18"/>
                <w:color w:val="auto"/>
              </w:rPr>
              <w:t>(3) Distribution of cash dividends or other cash</w:t>
            </w:r>
          </w:p>
        </w:tc>
        <w:tc>
          <w:tcPr>
            <w:tcW w:w="3780" w:type="dxa"/>
            <w:vAlign w:val="bottom"/>
            <w:tcBorders>
              <w:right w:val="single" w:sz="8" w:color="auto"/>
            </w:tcBorders>
          </w:tcPr>
          <w:p>
            <w:pPr>
              <w:ind w:left="20"/>
              <w:spacing w:after="0"/>
              <w:rPr>
                <w:sz w:val="20"/>
                <w:szCs w:val="20"/>
                <w:color w:val="auto"/>
              </w:rPr>
            </w:pPr>
            <w:r>
              <w:rPr>
                <w:rFonts w:ascii="Arial" w:cs="Arial" w:eastAsia="Arial" w:hAnsi="Arial"/>
                <w:sz w:val="18"/>
                <w:szCs w:val="18"/>
                <w:color w:val="auto"/>
              </w:rPr>
              <w:t>Up to U.S. $5.00 per 100 ADSs (or fraction</w:t>
            </w:r>
          </w:p>
        </w:tc>
        <w:tc>
          <w:tcPr>
            <w:tcW w:w="3740" w:type="dxa"/>
            <w:vAlign w:val="bottom"/>
            <w:tcBorders>
              <w:right w:val="single" w:sz="8" w:color="auto"/>
            </w:tcBorders>
          </w:tcPr>
          <w:p>
            <w:pPr>
              <w:ind w:left="20"/>
              <w:spacing w:after="0"/>
              <w:rPr>
                <w:sz w:val="20"/>
                <w:szCs w:val="20"/>
                <w:color w:val="auto"/>
              </w:rPr>
            </w:pPr>
            <w:r>
              <w:rPr>
                <w:rFonts w:ascii="Arial" w:cs="Arial" w:eastAsia="Arial" w:hAnsi="Arial"/>
                <w:sz w:val="18"/>
                <w:szCs w:val="18"/>
                <w:color w:val="auto"/>
              </w:rPr>
              <w:t>Person to whom the distribution is made.</w:t>
            </w:r>
          </w:p>
        </w:tc>
      </w:tr>
      <w:tr>
        <w:trPr>
          <w:trHeight w:val="216"/>
        </w:trPr>
        <w:tc>
          <w:tcPr>
            <w:tcW w:w="3900" w:type="dxa"/>
            <w:vAlign w:val="bottom"/>
            <w:tcBorders>
              <w:left w:val="single" w:sz="8" w:color="auto"/>
              <w:right w:val="single" w:sz="8" w:color="auto"/>
            </w:tcBorders>
          </w:tcPr>
          <w:p>
            <w:pPr>
              <w:ind w:left="40"/>
              <w:spacing w:after="0"/>
              <w:rPr>
                <w:sz w:val="20"/>
                <w:szCs w:val="20"/>
                <w:color w:val="auto"/>
              </w:rPr>
            </w:pPr>
            <w:r>
              <w:rPr>
                <w:rFonts w:ascii="Arial" w:cs="Arial" w:eastAsia="Arial" w:hAnsi="Arial"/>
                <w:sz w:val="18"/>
                <w:szCs w:val="18"/>
                <w:color w:val="auto"/>
                <w:w w:val="97"/>
              </w:rPr>
              <w:t>distributions (</w:t>
            </w:r>
            <w:r>
              <w:rPr>
                <w:rFonts w:ascii="Arial" w:cs="Arial" w:eastAsia="Arial" w:hAnsi="Arial"/>
                <w:sz w:val="18"/>
                <w:szCs w:val="18"/>
                <w:i w:val="1"/>
                <w:iCs w:val="1"/>
                <w:color w:val="auto"/>
                <w:w w:val="97"/>
              </w:rPr>
              <w:t>e.g.</w:t>
            </w:r>
            <w:r>
              <w:rPr>
                <w:rFonts w:ascii="Arial" w:cs="Arial" w:eastAsia="Arial" w:hAnsi="Arial"/>
                <w:sz w:val="18"/>
                <w:szCs w:val="18"/>
                <w:color w:val="auto"/>
                <w:w w:val="97"/>
              </w:rPr>
              <w:t>, upon a sale of rights and other</w:t>
            </w:r>
          </w:p>
        </w:tc>
        <w:tc>
          <w:tcPr>
            <w:tcW w:w="3780" w:type="dxa"/>
            <w:vAlign w:val="bottom"/>
            <w:tcBorders>
              <w:right w:val="single" w:sz="8" w:color="auto"/>
            </w:tcBorders>
          </w:tcPr>
          <w:p>
            <w:pPr>
              <w:ind w:left="20"/>
              <w:spacing w:after="0"/>
              <w:rPr>
                <w:sz w:val="20"/>
                <w:szCs w:val="20"/>
                <w:color w:val="auto"/>
              </w:rPr>
            </w:pPr>
            <w:r>
              <w:rPr>
                <w:rFonts w:ascii="Arial" w:cs="Arial" w:eastAsia="Arial" w:hAnsi="Arial"/>
                <w:sz w:val="18"/>
                <w:szCs w:val="18"/>
                <w:color w:val="auto"/>
              </w:rPr>
              <w:t>thereof) held.</w:t>
            </w:r>
          </w:p>
        </w:tc>
        <w:tc>
          <w:tcPr>
            <w:tcW w:w="3740" w:type="dxa"/>
            <w:vAlign w:val="bottom"/>
            <w:tcBorders>
              <w:right w:val="single" w:sz="8" w:color="auto"/>
            </w:tcBorders>
          </w:tcPr>
          <w:p>
            <w:pPr>
              <w:spacing w:after="0"/>
              <w:rPr>
                <w:sz w:val="18"/>
                <w:szCs w:val="18"/>
                <w:color w:val="auto"/>
              </w:rPr>
            </w:pPr>
          </w:p>
        </w:tc>
      </w:tr>
      <w:tr>
        <w:trPr>
          <w:trHeight w:val="230"/>
        </w:trPr>
        <w:tc>
          <w:tcPr>
            <w:tcW w:w="3900" w:type="dxa"/>
            <w:vAlign w:val="bottom"/>
            <w:tcBorders>
              <w:left w:val="single" w:sz="8" w:color="auto"/>
              <w:right w:val="single" w:sz="8" w:color="auto"/>
            </w:tcBorders>
          </w:tcPr>
          <w:p>
            <w:pPr>
              <w:ind w:left="40"/>
              <w:spacing w:after="0"/>
              <w:rPr>
                <w:sz w:val="20"/>
                <w:szCs w:val="20"/>
                <w:color w:val="auto"/>
              </w:rPr>
            </w:pPr>
            <w:r>
              <w:rPr>
                <w:rFonts w:ascii="Arial" w:cs="Arial" w:eastAsia="Arial" w:hAnsi="Arial"/>
                <w:sz w:val="18"/>
                <w:szCs w:val="18"/>
                <w:color w:val="auto"/>
              </w:rPr>
              <w:t>entitlements).</w:t>
            </w:r>
          </w:p>
        </w:tc>
        <w:tc>
          <w:tcPr>
            <w:tcW w:w="3780" w:type="dxa"/>
            <w:vAlign w:val="bottom"/>
            <w:tcBorders>
              <w:right w:val="single" w:sz="8" w:color="auto"/>
            </w:tcBorders>
          </w:tcPr>
          <w:p>
            <w:pPr>
              <w:spacing w:after="0"/>
              <w:rPr>
                <w:sz w:val="20"/>
                <w:szCs w:val="20"/>
                <w:color w:val="auto"/>
              </w:rPr>
            </w:pPr>
          </w:p>
        </w:tc>
        <w:tc>
          <w:tcPr>
            <w:tcW w:w="3740" w:type="dxa"/>
            <w:vAlign w:val="bottom"/>
            <w:tcBorders>
              <w:right w:val="single" w:sz="8" w:color="auto"/>
            </w:tcBorders>
          </w:tcPr>
          <w:p>
            <w:pPr>
              <w:spacing w:after="0"/>
              <w:rPr>
                <w:sz w:val="20"/>
                <w:szCs w:val="20"/>
                <w:color w:val="auto"/>
              </w:rPr>
            </w:pPr>
          </w:p>
        </w:tc>
      </w:tr>
      <w:tr>
        <w:trPr>
          <w:trHeight w:val="27"/>
        </w:trPr>
        <w:tc>
          <w:tcPr>
            <w:tcW w:w="3900" w:type="dxa"/>
            <w:vAlign w:val="bottom"/>
            <w:tcBorders>
              <w:left w:val="single" w:sz="8" w:color="auto"/>
              <w:bottom w:val="single" w:sz="8" w:color="auto"/>
              <w:right w:val="single" w:sz="8" w:color="auto"/>
            </w:tcBorders>
          </w:tcPr>
          <w:p>
            <w:pPr>
              <w:spacing w:after="0"/>
              <w:rPr>
                <w:sz w:val="2"/>
                <w:szCs w:val="2"/>
                <w:color w:val="auto"/>
              </w:rPr>
            </w:pPr>
          </w:p>
        </w:tc>
        <w:tc>
          <w:tcPr>
            <w:tcW w:w="3780" w:type="dxa"/>
            <w:vAlign w:val="bottom"/>
            <w:tcBorders>
              <w:bottom w:val="single" w:sz="8" w:color="auto"/>
              <w:right w:val="single" w:sz="8" w:color="auto"/>
            </w:tcBorders>
          </w:tcPr>
          <w:p>
            <w:pPr>
              <w:spacing w:after="0"/>
              <w:rPr>
                <w:sz w:val="2"/>
                <w:szCs w:val="2"/>
                <w:color w:val="auto"/>
              </w:rPr>
            </w:pPr>
          </w:p>
        </w:tc>
        <w:tc>
          <w:tcPr>
            <w:tcW w:w="3740" w:type="dxa"/>
            <w:vAlign w:val="bottom"/>
            <w:tcBorders>
              <w:bottom w:val="single" w:sz="8" w:color="auto"/>
              <w:right w:val="single" w:sz="8" w:color="auto"/>
            </w:tcBorders>
          </w:tcPr>
          <w:p>
            <w:pPr>
              <w:spacing w:after="0"/>
              <w:rPr>
                <w:sz w:val="2"/>
                <w:szCs w:val="2"/>
                <w:color w:val="auto"/>
              </w:rPr>
            </w:pPr>
          </w:p>
        </w:tc>
      </w:tr>
      <w:tr>
        <w:trPr>
          <w:trHeight w:val="222"/>
        </w:trPr>
        <w:tc>
          <w:tcPr>
            <w:tcW w:w="3900" w:type="dxa"/>
            <w:vAlign w:val="bottom"/>
            <w:tcBorders>
              <w:left w:val="single" w:sz="8" w:color="auto"/>
              <w:right w:val="single" w:sz="8" w:color="auto"/>
            </w:tcBorders>
          </w:tcPr>
          <w:p>
            <w:pPr>
              <w:ind w:left="40"/>
              <w:spacing w:after="0"/>
              <w:rPr>
                <w:sz w:val="20"/>
                <w:szCs w:val="20"/>
                <w:color w:val="auto"/>
              </w:rPr>
            </w:pPr>
            <w:r>
              <w:rPr>
                <w:rFonts w:ascii="Arial" w:cs="Arial" w:eastAsia="Arial" w:hAnsi="Arial"/>
                <w:sz w:val="18"/>
                <w:szCs w:val="18"/>
                <w:color w:val="auto"/>
              </w:rPr>
              <w:t>(4) Distribution of ADSs pursuant to (i) stock</w:t>
            </w:r>
          </w:p>
        </w:tc>
        <w:tc>
          <w:tcPr>
            <w:tcW w:w="3780" w:type="dxa"/>
            <w:vAlign w:val="bottom"/>
            <w:tcBorders>
              <w:right w:val="single" w:sz="8" w:color="auto"/>
            </w:tcBorders>
          </w:tcPr>
          <w:p>
            <w:pPr>
              <w:ind w:left="20"/>
              <w:spacing w:after="0"/>
              <w:rPr>
                <w:sz w:val="20"/>
                <w:szCs w:val="20"/>
                <w:color w:val="auto"/>
              </w:rPr>
            </w:pPr>
            <w:r>
              <w:rPr>
                <w:rFonts w:ascii="Arial" w:cs="Arial" w:eastAsia="Arial" w:hAnsi="Arial"/>
                <w:sz w:val="18"/>
                <w:szCs w:val="18"/>
                <w:color w:val="auto"/>
              </w:rPr>
              <w:t>Up to U.S. $5.00 per 100 ADSs (or fraction</w:t>
            </w:r>
          </w:p>
        </w:tc>
        <w:tc>
          <w:tcPr>
            <w:tcW w:w="3740" w:type="dxa"/>
            <w:vAlign w:val="bottom"/>
            <w:tcBorders>
              <w:right w:val="single" w:sz="8" w:color="auto"/>
            </w:tcBorders>
          </w:tcPr>
          <w:p>
            <w:pPr>
              <w:ind w:left="20"/>
              <w:spacing w:after="0"/>
              <w:rPr>
                <w:sz w:val="20"/>
                <w:szCs w:val="20"/>
                <w:color w:val="auto"/>
              </w:rPr>
            </w:pPr>
            <w:r>
              <w:rPr>
                <w:rFonts w:ascii="Arial" w:cs="Arial" w:eastAsia="Arial" w:hAnsi="Arial"/>
                <w:sz w:val="18"/>
                <w:szCs w:val="18"/>
                <w:color w:val="auto"/>
              </w:rPr>
              <w:t>Person to whom the distribution is made.</w:t>
            </w:r>
          </w:p>
        </w:tc>
      </w:tr>
      <w:tr>
        <w:trPr>
          <w:trHeight w:val="216"/>
        </w:trPr>
        <w:tc>
          <w:tcPr>
            <w:tcW w:w="3900" w:type="dxa"/>
            <w:vAlign w:val="bottom"/>
            <w:tcBorders>
              <w:left w:val="single" w:sz="8" w:color="auto"/>
              <w:right w:val="single" w:sz="8" w:color="auto"/>
            </w:tcBorders>
          </w:tcPr>
          <w:p>
            <w:pPr>
              <w:ind w:left="40"/>
              <w:spacing w:after="0"/>
              <w:rPr>
                <w:sz w:val="20"/>
                <w:szCs w:val="20"/>
                <w:color w:val="auto"/>
              </w:rPr>
            </w:pPr>
            <w:r>
              <w:rPr>
                <w:rFonts w:ascii="Arial" w:cs="Arial" w:eastAsia="Arial" w:hAnsi="Arial"/>
                <w:sz w:val="18"/>
                <w:szCs w:val="18"/>
                <w:color w:val="auto"/>
                <w:w w:val="94"/>
              </w:rPr>
              <w:t>dividends or other free stock distributions, or (ii) an</w:t>
            </w:r>
          </w:p>
        </w:tc>
        <w:tc>
          <w:tcPr>
            <w:tcW w:w="3780" w:type="dxa"/>
            <w:vAlign w:val="bottom"/>
            <w:tcBorders>
              <w:right w:val="single" w:sz="8" w:color="auto"/>
            </w:tcBorders>
          </w:tcPr>
          <w:p>
            <w:pPr>
              <w:ind w:left="20"/>
              <w:spacing w:after="0"/>
              <w:rPr>
                <w:sz w:val="20"/>
                <w:szCs w:val="20"/>
                <w:color w:val="auto"/>
              </w:rPr>
            </w:pPr>
            <w:r>
              <w:rPr>
                <w:rFonts w:ascii="Arial" w:cs="Arial" w:eastAsia="Arial" w:hAnsi="Arial"/>
                <w:sz w:val="18"/>
                <w:szCs w:val="18"/>
                <w:color w:val="auto"/>
              </w:rPr>
              <w:t>thereof) held.</w:t>
            </w:r>
          </w:p>
        </w:tc>
        <w:tc>
          <w:tcPr>
            <w:tcW w:w="3740" w:type="dxa"/>
            <w:vAlign w:val="bottom"/>
            <w:tcBorders>
              <w:right w:val="single" w:sz="8" w:color="auto"/>
            </w:tcBorders>
          </w:tcPr>
          <w:p>
            <w:pPr>
              <w:spacing w:after="0"/>
              <w:rPr>
                <w:sz w:val="18"/>
                <w:szCs w:val="18"/>
                <w:color w:val="auto"/>
              </w:rPr>
            </w:pPr>
          </w:p>
        </w:tc>
      </w:tr>
      <w:tr>
        <w:trPr>
          <w:trHeight w:val="230"/>
        </w:trPr>
        <w:tc>
          <w:tcPr>
            <w:tcW w:w="3900" w:type="dxa"/>
            <w:vAlign w:val="bottom"/>
            <w:tcBorders>
              <w:left w:val="single" w:sz="8" w:color="auto"/>
              <w:right w:val="single" w:sz="8" w:color="auto"/>
            </w:tcBorders>
          </w:tcPr>
          <w:p>
            <w:pPr>
              <w:ind w:left="40"/>
              <w:spacing w:after="0"/>
              <w:rPr>
                <w:sz w:val="20"/>
                <w:szCs w:val="20"/>
                <w:color w:val="auto"/>
              </w:rPr>
            </w:pPr>
            <w:r>
              <w:rPr>
                <w:rFonts w:ascii="Arial" w:cs="Arial" w:eastAsia="Arial" w:hAnsi="Arial"/>
                <w:sz w:val="18"/>
                <w:szCs w:val="18"/>
                <w:color w:val="auto"/>
              </w:rPr>
              <w:t>exercise of rights to purchase additional ADSs.</w:t>
            </w:r>
          </w:p>
        </w:tc>
        <w:tc>
          <w:tcPr>
            <w:tcW w:w="3780" w:type="dxa"/>
            <w:vAlign w:val="bottom"/>
            <w:tcBorders>
              <w:right w:val="single" w:sz="8" w:color="auto"/>
            </w:tcBorders>
          </w:tcPr>
          <w:p>
            <w:pPr>
              <w:spacing w:after="0"/>
              <w:rPr>
                <w:sz w:val="20"/>
                <w:szCs w:val="20"/>
                <w:color w:val="auto"/>
              </w:rPr>
            </w:pPr>
          </w:p>
        </w:tc>
        <w:tc>
          <w:tcPr>
            <w:tcW w:w="3740" w:type="dxa"/>
            <w:vAlign w:val="bottom"/>
            <w:tcBorders>
              <w:right w:val="single" w:sz="8" w:color="auto"/>
            </w:tcBorders>
          </w:tcPr>
          <w:p>
            <w:pPr>
              <w:spacing w:after="0"/>
              <w:rPr>
                <w:sz w:val="20"/>
                <w:szCs w:val="20"/>
                <w:color w:val="auto"/>
              </w:rPr>
            </w:pPr>
          </w:p>
        </w:tc>
      </w:tr>
      <w:tr>
        <w:trPr>
          <w:trHeight w:val="27"/>
        </w:trPr>
        <w:tc>
          <w:tcPr>
            <w:tcW w:w="3900" w:type="dxa"/>
            <w:vAlign w:val="bottom"/>
            <w:tcBorders>
              <w:left w:val="single" w:sz="8" w:color="auto"/>
              <w:bottom w:val="single" w:sz="8" w:color="auto"/>
              <w:right w:val="single" w:sz="8" w:color="auto"/>
            </w:tcBorders>
          </w:tcPr>
          <w:p>
            <w:pPr>
              <w:spacing w:after="0"/>
              <w:rPr>
                <w:sz w:val="2"/>
                <w:szCs w:val="2"/>
                <w:color w:val="auto"/>
              </w:rPr>
            </w:pPr>
          </w:p>
        </w:tc>
        <w:tc>
          <w:tcPr>
            <w:tcW w:w="3780" w:type="dxa"/>
            <w:vAlign w:val="bottom"/>
            <w:tcBorders>
              <w:bottom w:val="single" w:sz="8" w:color="auto"/>
              <w:right w:val="single" w:sz="8" w:color="auto"/>
            </w:tcBorders>
          </w:tcPr>
          <w:p>
            <w:pPr>
              <w:spacing w:after="0"/>
              <w:rPr>
                <w:sz w:val="2"/>
                <w:szCs w:val="2"/>
                <w:color w:val="auto"/>
              </w:rPr>
            </w:pPr>
          </w:p>
        </w:tc>
        <w:tc>
          <w:tcPr>
            <w:tcW w:w="3740" w:type="dxa"/>
            <w:vAlign w:val="bottom"/>
            <w:tcBorders>
              <w:bottom w:val="single" w:sz="8" w:color="auto"/>
              <w:right w:val="single" w:sz="8" w:color="auto"/>
            </w:tcBorders>
          </w:tcPr>
          <w:p>
            <w:pPr>
              <w:spacing w:after="0"/>
              <w:rPr>
                <w:sz w:val="2"/>
                <w:szCs w:val="2"/>
                <w:color w:val="auto"/>
              </w:rPr>
            </w:pPr>
          </w:p>
        </w:tc>
      </w:tr>
      <w:tr>
        <w:trPr>
          <w:trHeight w:val="222"/>
        </w:trPr>
        <w:tc>
          <w:tcPr>
            <w:tcW w:w="3900" w:type="dxa"/>
            <w:vAlign w:val="bottom"/>
            <w:tcBorders>
              <w:left w:val="single" w:sz="8" w:color="auto"/>
              <w:right w:val="single" w:sz="8" w:color="auto"/>
            </w:tcBorders>
          </w:tcPr>
          <w:p>
            <w:pPr>
              <w:ind w:left="40"/>
              <w:spacing w:after="0"/>
              <w:rPr>
                <w:sz w:val="20"/>
                <w:szCs w:val="20"/>
                <w:color w:val="auto"/>
              </w:rPr>
            </w:pPr>
            <w:r>
              <w:rPr>
                <w:rFonts w:ascii="Arial" w:cs="Arial" w:eastAsia="Arial" w:hAnsi="Arial"/>
                <w:sz w:val="18"/>
                <w:szCs w:val="18"/>
                <w:color w:val="auto"/>
              </w:rPr>
              <w:t>(5) Distribution of securities other than ADSs or</w:t>
            </w:r>
          </w:p>
        </w:tc>
        <w:tc>
          <w:tcPr>
            <w:tcW w:w="3780" w:type="dxa"/>
            <w:vAlign w:val="bottom"/>
            <w:tcBorders>
              <w:right w:val="single" w:sz="8" w:color="auto"/>
            </w:tcBorders>
          </w:tcPr>
          <w:p>
            <w:pPr>
              <w:ind w:left="20"/>
              <w:spacing w:after="0"/>
              <w:rPr>
                <w:sz w:val="20"/>
                <w:szCs w:val="20"/>
                <w:color w:val="auto"/>
              </w:rPr>
            </w:pPr>
            <w:r>
              <w:rPr>
                <w:rFonts w:ascii="Arial" w:cs="Arial" w:eastAsia="Arial" w:hAnsi="Arial"/>
                <w:sz w:val="18"/>
                <w:szCs w:val="18"/>
                <w:color w:val="auto"/>
              </w:rPr>
              <w:t>Up to U.S. $5.00 per 100 ADSs (or fraction</w:t>
            </w:r>
          </w:p>
        </w:tc>
        <w:tc>
          <w:tcPr>
            <w:tcW w:w="3740" w:type="dxa"/>
            <w:vAlign w:val="bottom"/>
            <w:tcBorders>
              <w:right w:val="single" w:sz="8" w:color="auto"/>
            </w:tcBorders>
          </w:tcPr>
          <w:p>
            <w:pPr>
              <w:ind w:left="20"/>
              <w:spacing w:after="0"/>
              <w:rPr>
                <w:sz w:val="20"/>
                <w:szCs w:val="20"/>
                <w:color w:val="auto"/>
              </w:rPr>
            </w:pPr>
            <w:r>
              <w:rPr>
                <w:rFonts w:ascii="Arial" w:cs="Arial" w:eastAsia="Arial" w:hAnsi="Arial"/>
                <w:sz w:val="18"/>
                <w:szCs w:val="18"/>
                <w:color w:val="auto"/>
              </w:rPr>
              <w:t>Person to whom the distribution is made.</w:t>
            </w:r>
          </w:p>
        </w:tc>
      </w:tr>
      <w:tr>
        <w:trPr>
          <w:trHeight w:val="216"/>
        </w:trPr>
        <w:tc>
          <w:tcPr>
            <w:tcW w:w="3900" w:type="dxa"/>
            <w:vAlign w:val="bottom"/>
            <w:tcBorders>
              <w:left w:val="single" w:sz="8" w:color="auto"/>
              <w:right w:val="single" w:sz="8" w:color="auto"/>
            </w:tcBorders>
          </w:tcPr>
          <w:p>
            <w:pPr>
              <w:ind w:left="40"/>
              <w:spacing w:after="0"/>
              <w:rPr>
                <w:sz w:val="20"/>
                <w:szCs w:val="20"/>
                <w:color w:val="auto"/>
              </w:rPr>
            </w:pPr>
            <w:r>
              <w:rPr>
                <w:rFonts w:ascii="Arial" w:cs="Arial" w:eastAsia="Arial" w:hAnsi="Arial"/>
                <w:sz w:val="18"/>
                <w:szCs w:val="18"/>
                <w:color w:val="auto"/>
                <w:w w:val="98"/>
              </w:rPr>
              <w:t>rights to purchase additional ADSs (</w:t>
            </w:r>
            <w:r>
              <w:rPr>
                <w:rFonts w:ascii="Arial" w:cs="Arial" w:eastAsia="Arial" w:hAnsi="Arial"/>
                <w:sz w:val="18"/>
                <w:szCs w:val="18"/>
                <w:i w:val="1"/>
                <w:iCs w:val="1"/>
                <w:color w:val="auto"/>
                <w:w w:val="98"/>
              </w:rPr>
              <w:t>e.g.</w:t>
            </w:r>
            <w:r>
              <w:rPr>
                <w:rFonts w:ascii="Arial" w:cs="Arial" w:eastAsia="Arial" w:hAnsi="Arial"/>
                <w:sz w:val="18"/>
                <w:szCs w:val="18"/>
                <w:color w:val="auto"/>
                <w:w w:val="98"/>
              </w:rPr>
              <w:t>, spin-off</w:t>
            </w:r>
          </w:p>
        </w:tc>
        <w:tc>
          <w:tcPr>
            <w:tcW w:w="3780" w:type="dxa"/>
            <w:vAlign w:val="bottom"/>
            <w:tcBorders>
              <w:right w:val="single" w:sz="8" w:color="auto"/>
            </w:tcBorders>
          </w:tcPr>
          <w:p>
            <w:pPr>
              <w:ind w:left="20"/>
              <w:spacing w:after="0"/>
              <w:rPr>
                <w:sz w:val="20"/>
                <w:szCs w:val="20"/>
                <w:color w:val="auto"/>
              </w:rPr>
            </w:pPr>
            <w:r>
              <w:rPr>
                <w:rFonts w:ascii="Arial" w:cs="Arial" w:eastAsia="Arial" w:hAnsi="Arial"/>
                <w:sz w:val="18"/>
                <w:szCs w:val="18"/>
                <w:color w:val="auto"/>
              </w:rPr>
              <w:t>thereof) held.</w:t>
            </w:r>
          </w:p>
        </w:tc>
        <w:tc>
          <w:tcPr>
            <w:tcW w:w="3740" w:type="dxa"/>
            <w:vAlign w:val="bottom"/>
            <w:tcBorders>
              <w:right w:val="single" w:sz="8" w:color="auto"/>
            </w:tcBorders>
          </w:tcPr>
          <w:p>
            <w:pPr>
              <w:spacing w:after="0"/>
              <w:rPr>
                <w:sz w:val="18"/>
                <w:szCs w:val="18"/>
                <w:color w:val="auto"/>
              </w:rPr>
            </w:pPr>
          </w:p>
        </w:tc>
      </w:tr>
      <w:tr>
        <w:trPr>
          <w:trHeight w:val="230"/>
        </w:trPr>
        <w:tc>
          <w:tcPr>
            <w:tcW w:w="3900" w:type="dxa"/>
            <w:vAlign w:val="bottom"/>
            <w:tcBorders>
              <w:left w:val="single" w:sz="8" w:color="auto"/>
              <w:right w:val="single" w:sz="8" w:color="auto"/>
            </w:tcBorders>
          </w:tcPr>
          <w:p>
            <w:pPr>
              <w:ind w:left="40"/>
              <w:spacing w:after="0"/>
              <w:rPr>
                <w:sz w:val="20"/>
                <w:szCs w:val="20"/>
                <w:color w:val="auto"/>
              </w:rPr>
            </w:pPr>
            <w:r>
              <w:rPr>
                <w:rFonts w:ascii="Arial" w:cs="Arial" w:eastAsia="Arial" w:hAnsi="Arial"/>
                <w:sz w:val="18"/>
                <w:szCs w:val="18"/>
                <w:color w:val="auto"/>
              </w:rPr>
              <w:t>shares).</w:t>
            </w:r>
          </w:p>
        </w:tc>
        <w:tc>
          <w:tcPr>
            <w:tcW w:w="3780" w:type="dxa"/>
            <w:vAlign w:val="bottom"/>
            <w:tcBorders>
              <w:right w:val="single" w:sz="8" w:color="auto"/>
            </w:tcBorders>
          </w:tcPr>
          <w:p>
            <w:pPr>
              <w:spacing w:after="0"/>
              <w:rPr>
                <w:sz w:val="20"/>
                <w:szCs w:val="20"/>
                <w:color w:val="auto"/>
              </w:rPr>
            </w:pPr>
          </w:p>
        </w:tc>
        <w:tc>
          <w:tcPr>
            <w:tcW w:w="3740" w:type="dxa"/>
            <w:vAlign w:val="bottom"/>
            <w:tcBorders>
              <w:right w:val="single" w:sz="8" w:color="auto"/>
            </w:tcBorders>
          </w:tcPr>
          <w:p>
            <w:pPr>
              <w:spacing w:after="0"/>
              <w:rPr>
                <w:sz w:val="20"/>
                <w:szCs w:val="20"/>
                <w:color w:val="auto"/>
              </w:rPr>
            </w:pPr>
          </w:p>
        </w:tc>
      </w:tr>
      <w:tr>
        <w:trPr>
          <w:trHeight w:val="27"/>
        </w:trPr>
        <w:tc>
          <w:tcPr>
            <w:tcW w:w="3900" w:type="dxa"/>
            <w:vAlign w:val="bottom"/>
            <w:tcBorders>
              <w:left w:val="single" w:sz="8" w:color="auto"/>
              <w:bottom w:val="single" w:sz="8" w:color="auto"/>
              <w:right w:val="single" w:sz="8" w:color="auto"/>
            </w:tcBorders>
          </w:tcPr>
          <w:p>
            <w:pPr>
              <w:spacing w:after="0"/>
              <w:rPr>
                <w:sz w:val="2"/>
                <w:szCs w:val="2"/>
                <w:color w:val="auto"/>
              </w:rPr>
            </w:pPr>
          </w:p>
        </w:tc>
        <w:tc>
          <w:tcPr>
            <w:tcW w:w="3780" w:type="dxa"/>
            <w:vAlign w:val="bottom"/>
            <w:tcBorders>
              <w:bottom w:val="single" w:sz="8" w:color="auto"/>
              <w:right w:val="single" w:sz="8" w:color="auto"/>
            </w:tcBorders>
          </w:tcPr>
          <w:p>
            <w:pPr>
              <w:spacing w:after="0"/>
              <w:rPr>
                <w:sz w:val="2"/>
                <w:szCs w:val="2"/>
                <w:color w:val="auto"/>
              </w:rPr>
            </w:pPr>
          </w:p>
        </w:tc>
        <w:tc>
          <w:tcPr>
            <w:tcW w:w="3740" w:type="dxa"/>
            <w:vAlign w:val="bottom"/>
            <w:tcBorders>
              <w:bottom w:val="single" w:sz="8" w:color="auto"/>
              <w:right w:val="single" w:sz="8" w:color="auto"/>
            </w:tcBorders>
          </w:tcPr>
          <w:p>
            <w:pPr>
              <w:spacing w:after="0"/>
              <w:rPr>
                <w:sz w:val="2"/>
                <w:szCs w:val="2"/>
                <w:color w:val="auto"/>
              </w:rPr>
            </w:pPr>
          </w:p>
        </w:tc>
      </w:tr>
    </w:tbl>
    <w:p>
      <w:pPr>
        <w:spacing w:after="0" w:line="330"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B-1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7620</wp:posOffset>
            </wp:positionV>
            <wp:extent cx="7246620" cy="17145"/>
            <wp:wrapNone/>
            <wp:docPr id="104" name="Picture 1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4"/>
                    <pic:cNvPicPr>
                      <a:picLocks noChangeAspect="1" noChangeArrowheads="1"/>
                    </pic:cNvPicPr>
                  </pic:nvPicPr>
                  <pic:blipFill>
                    <a:blip r:embed="rId111">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337" w:right="239" w:bottom="1440" w:gutter="0" w:footer="0" w:header="0"/>
        </w:sectPr>
      </w:pPr>
    </w:p>
    <w:bookmarkStart w:id="93" w:name="page94"/>
    <w:bookmarkEnd w:id="93"/>
    <w:tbl>
      <w:tblPr>
        <w:tblLayout w:type="fixed"/>
        <w:tblInd w:w="10" w:type="dxa"/>
        <w:tblCellMar>
          <w:top w:w="0" w:type="dxa"/>
          <w:left w:w="0" w:type="dxa"/>
          <w:bottom w:w="0" w:type="dxa"/>
          <w:right w:w="0" w:type="dxa"/>
        </w:tblCellMar>
      </w:tblPr>
      <w:tr>
        <w:trPr>
          <w:trHeight w:val="242"/>
        </w:trPr>
        <w:tc>
          <w:tcPr>
            <w:tcW w:w="280" w:type="dxa"/>
            <w:vAlign w:val="bottom"/>
            <w:tcBorders>
              <w:top w:val="single" w:sz="8" w:color="auto"/>
              <w:left w:val="single" w:sz="8" w:color="auto"/>
            </w:tcBorders>
          </w:tcPr>
          <w:p>
            <w:pPr>
              <w:ind w:left="40"/>
              <w:spacing w:after="0"/>
              <w:rPr>
                <w:sz w:val="20"/>
                <w:szCs w:val="20"/>
                <w:color w:val="auto"/>
              </w:rPr>
            </w:pPr>
            <w:r>
              <w:rPr>
                <w:rFonts w:ascii="Arial" w:cs="Arial" w:eastAsia="Arial" w:hAnsi="Arial"/>
                <w:sz w:val="18"/>
                <w:szCs w:val="18"/>
                <w:color w:val="auto"/>
                <w:w w:val="99"/>
              </w:rPr>
              <w:t>(6)</w:t>
            </w:r>
          </w:p>
        </w:tc>
        <w:tc>
          <w:tcPr>
            <w:tcW w:w="3620" w:type="dxa"/>
            <w:vAlign w:val="bottom"/>
            <w:tcBorders>
              <w:top w:val="single" w:sz="8" w:color="auto"/>
              <w:right w:val="single" w:sz="8" w:color="auto"/>
            </w:tcBorders>
          </w:tcPr>
          <w:p>
            <w:pPr>
              <w:ind w:left="20"/>
              <w:spacing w:after="0"/>
              <w:rPr>
                <w:sz w:val="20"/>
                <w:szCs w:val="20"/>
                <w:color w:val="auto"/>
              </w:rPr>
            </w:pPr>
            <w:r>
              <w:rPr>
                <w:rFonts w:ascii="Arial" w:cs="Arial" w:eastAsia="Arial" w:hAnsi="Arial"/>
                <w:sz w:val="18"/>
                <w:szCs w:val="18"/>
                <w:color w:val="auto"/>
              </w:rPr>
              <w:t>ADS Services.</w:t>
            </w:r>
          </w:p>
        </w:tc>
        <w:tc>
          <w:tcPr>
            <w:tcW w:w="3780" w:type="dxa"/>
            <w:vAlign w:val="bottom"/>
            <w:tcBorders>
              <w:top w:val="single" w:sz="8" w:color="auto"/>
              <w:right w:val="single" w:sz="8" w:color="auto"/>
            </w:tcBorders>
          </w:tcPr>
          <w:p>
            <w:pPr>
              <w:ind w:left="20"/>
              <w:spacing w:after="0"/>
              <w:rPr>
                <w:sz w:val="20"/>
                <w:szCs w:val="20"/>
                <w:color w:val="auto"/>
              </w:rPr>
            </w:pPr>
            <w:r>
              <w:rPr>
                <w:rFonts w:ascii="Arial" w:cs="Arial" w:eastAsia="Arial" w:hAnsi="Arial"/>
                <w:sz w:val="18"/>
                <w:szCs w:val="18"/>
                <w:color w:val="auto"/>
              </w:rPr>
              <w:t>Up to U.S. $5.00 per 100 ADSs (or fraction</w:t>
            </w:r>
          </w:p>
        </w:tc>
        <w:tc>
          <w:tcPr>
            <w:tcW w:w="3740" w:type="dxa"/>
            <w:vAlign w:val="bottom"/>
            <w:tcBorders>
              <w:top w:val="single" w:sz="8" w:color="auto"/>
              <w:right w:val="single" w:sz="8" w:color="auto"/>
            </w:tcBorders>
          </w:tcPr>
          <w:p>
            <w:pPr>
              <w:ind w:left="20"/>
              <w:spacing w:after="0"/>
              <w:rPr>
                <w:sz w:val="20"/>
                <w:szCs w:val="20"/>
                <w:color w:val="auto"/>
              </w:rPr>
            </w:pPr>
            <w:r>
              <w:rPr>
                <w:rFonts w:ascii="Arial" w:cs="Arial" w:eastAsia="Arial" w:hAnsi="Arial"/>
                <w:sz w:val="18"/>
                <w:szCs w:val="18"/>
                <w:color w:val="auto"/>
                <w:w w:val="99"/>
              </w:rPr>
              <w:t>Person holding ADSs on the applicable record</w:t>
            </w:r>
          </w:p>
        </w:tc>
      </w:tr>
      <w:tr>
        <w:trPr>
          <w:trHeight w:val="216"/>
        </w:trPr>
        <w:tc>
          <w:tcPr>
            <w:tcW w:w="280" w:type="dxa"/>
            <w:vAlign w:val="bottom"/>
            <w:tcBorders>
              <w:left w:val="single" w:sz="8" w:color="auto"/>
            </w:tcBorders>
          </w:tcPr>
          <w:p>
            <w:pPr>
              <w:spacing w:after="0"/>
              <w:rPr>
                <w:sz w:val="18"/>
                <w:szCs w:val="18"/>
                <w:color w:val="auto"/>
              </w:rPr>
            </w:pPr>
          </w:p>
        </w:tc>
        <w:tc>
          <w:tcPr>
            <w:tcW w:w="3620" w:type="dxa"/>
            <w:vAlign w:val="bottom"/>
            <w:tcBorders>
              <w:right w:val="single" w:sz="8" w:color="auto"/>
            </w:tcBorders>
          </w:tcPr>
          <w:p>
            <w:pPr>
              <w:spacing w:after="0"/>
              <w:rPr>
                <w:sz w:val="18"/>
                <w:szCs w:val="18"/>
                <w:color w:val="auto"/>
              </w:rPr>
            </w:pPr>
          </w:p>
        </w:tc>
        <w:tc>
          <w:tcPr>
            <w:tcW w:w="3780" w:type="dxa"/>
            <w:vAlign w:val="bottom"/>
            <w:tcBorders>
              <w:right w:val="single" w:sz="8" w:color="auto"/>
            </w:tcBorders>
          </w:tcPr>
          <w:p>
            <w:pPr>
              <w:ind w:left="20"/>
              <w:spacing w:after="0"/>
              <w:rPr>
                <w:sz w:val="20"/>
                <w:szCs w:val="20"/>
                <w:color w:val="auto"/>
              </w:rPr>
            </w:pPr>
            <w:r>
              <w:rPr>
                <w:rFonts w:ascii="Arial" w:cs="Arial" w:eastAsia="Arial" w:hAnsi="Arial"/>
                <w:sz w:val="18"/>
                <w:szCs w:val="18"/>
                <w:color w:val="auto"/>
              </w:rPr>
              <w:t>thereof) held on the applicable record date(s)</w:t>
            </w:r>
          </w:p>
        </w:tc>
        <w:tc>
          <w:tcPr>
            <w:tcW w:w="3740" w:type="dxa"/>
            <w:vAlign w:val="bottom"/>
            <w:tcBorders>
              <w:right w:val="single" w:sz="8" w:color="auto"/>
            </w:tcBorders>
          </w:tcPr>
          <w:p>
            <w:pPr>
              <w:ind w:left="20"/>
              <w:spacing w:after="0"/>
              <w:rPr>
                <w:sz w:val="20"/>
                <w:szCs w:val="20"/>
                <w:color w:val="auto"/>
              </w:rPr>
            </w:pPr>
            <w:r>
              <w:rPr>
                <w:rFonts w:ascii="Arial" w:cs="Arial" w:eastAsia="Arial" w:hAnsi="Arial"/>
                <w:sz w:val="18"/>
                <w:szCs w:val="18"/>
                <w:color w:val="auto"/>
              </w:rPr>
              <w:t>date(s) established by the Depositary.</w:t>
            </w:r>
          </w:p>
        </w:tc>
      </w:tr>
      <w:tr>
        <w:trPr>
          <w:trHeight w:val="230"/>
        </w:trPr>
        <w:tc>
          <w:tcPr>
            <w:tcW w:w="280" w:type="dxa"/>
            <w:vAlign w:val="bottom"/>
            <w:tcBorders>
              <w:left w:val="single" w:sz="8" w:color="auto"/>
            </w:tcBorders>
          </w:tcPr>
          <w:p>
            <w:pPr>
              <w:spacing w:after="0"/>
              <w:rPr>
                <w:sz w:val="20"/>
                <w:szCs w:val="20"/>
                <w:color w:val="auto"/>
              </w:rPr>
            </w:pPr>
          </w:p>
        </w:tc>
        <w:tc>
          <w:tcPr>
            <w:tcW w:w="3620" w:type="dxa"/>
            <w:vAlign w:val="bottom"/>
            <w:tcBorders>
              <w:right w:val="single" w:sz="8" w:color="auto"/>
            </w:tcBorders>
          </w:tcPr>
          <w:p>
            <w:pPr>
              <w:spacing w:after="0"/>
              <w:rPr>
                <w:sz w:val="20"/>
                <w:szCs w:val="20"/>
                <w:color w:val="auto"/>
              </w:rPr>
            </w:pPr>
          </w:p>
        </w:tc>
        <w:tc>
          <w:tcPr>
            <w:tcW w:w="3780" w:type="dxa"/>
            <w:vAlign w:val="bottom"/>
            <w:tcBorders>
              <w:right w:val="single" w:sz="8" w:color="auto"/>
            </w:tcBorders>
          </w:tcPr>
          <w:p>
            <w:pPr>
              <w:ind w:left="20"/>
              <w:spacing w:after="0"/>
              <w:rPr>
                <w:sz w:val="20"/>
                <w:szCs w:val="20"/>
                <w:color w:val="auto"/>
              </w:rPr>
            </w:pPr>
            <w:r>
              <w:rPr>
                <w:rFonts w:ascii="Arial" w:cs="Arial" w:eastAsia="Arial" w:hAnsi="Arial"/>
                <w:sz w:val="18"/>
                <w:szCs w:val="18"/>
                <w:color w:val="auto"/>
              </w:rPr>
              <w:t>established by the Depositary.</w:t>
            </w:r>
          </w:p>
        </w:tc>
        <w:tc>
          <w:tcPr>
            <w:tcW w:w="3740" w:type="dxa"/>
            <w:vAlign w:val="bottom"/>
            <w:tcBorders>
              <w:right w:val="single" w:sz="8" w:color="auto"/>
            </w:tcBorders>
          </w:tcPr>
          <w:p>
            <w:pPr>
              <w:spacing w:after="0"/>
              <w:rPr>
                <w:sz w:val="20"/>
                <w:szCs w:val="20"/>
                <w:color w:val="auto"/>
              </w:rPr>
            </w:pPr>
          </w:p>
        </w:tc>
      </w:tr>
      <w:tr>
        <w:trPr>
          <w:trHeight w:val="27"/>
        </w:trPr>
        <w:tc>
          <w:tcPr>
            <w:tcW w:w="280" w:type="dxa"/>
            <w:vAlign w:val="bottom"/>
            <w:tcBorders>
              <w:left w:val="single" w:sz="8" w:color="auto"/>
              <w:bottom w:val="single" w:sz="8" w:color="auto"/>
            </w:tcBorders>
          </w:tcPr>
          <w:p>
            <w:pPr>
              <w:spacing w:after="0"/>
              <w:rPr>
                <w:sz w:val="2"/>
                <w:szCs w:val="2"/>
                <w:color w:val="auto"/>
              </w:rPr>
            </w:pPr>
          </w:p>
        </w:tc>
        <w:tc>
          <w:tcPr>
            <w:tcW w:w="3620" w:type="dxa"/>
            <w:vAlign w:val="bottom"/>
            <w:tcBorders>
              <w:bottom w:val="single" w:sz="8" w:color="auto"/>
              <w:right w:val="single" w:sz="8" w:color="auto"/>
            </w:tcBorders>
          </w:tcPr>
          <w:p>
            <w:pPr>
              <w:spacing w:after="0"/>
              <w:rPr>
                <w:sz w:val="2"/>
                <w:szCs w:val="2"/>
                <w:color w:val="auto"/>
              </w:rPr>
            </w:pPr>
          </w:p>
        </w:tc>
        <w:tc>
          <w:tcPr>
            <w:tcW w:w="3780" w:type="dxa"/>
            <w:vAlign w:val="bottom"/>
            <w:tcBorders>
              <w:bottom w:val="single" w:sz="8" w:color="auto"/>
              <w:right w:val="single" w:sz="8" w:color="auto"/>
            </w:tcBorders>
          </w:tcPr>
          <w:p>
            <w:pPr>
              <w:spacing w:after="0"/>
              <w:rPr>
                <w:sz w:val="2"/>
                <w:szCs w:val="2"/>
                <w:color w:val="auto"/>
              </w:rPr>
            </w:pPr>
          </w:p>
        </w:tc>
        <w:tc>
          <w:tcPr>
            <w:tcW w:w="3740" w:type="dxa"/>
            <w:vAlign w:val="bottom"/>
            <w:tcBorders>
              <w:bottom w:val="single" w:sz="8" w:color="auto"/>
              <w:right w:val="single" w:sz="8" w:color="auto"/>
            </w:tcBorders>
          </w:tcPr>
          <w:p>
            <w:pPr>
              <w:spacing w:after="0"/>
              <w:rPr>
                <w:sz w:val="2"/>
                <w:szCs w:val="2"/>
                <w:color w:val="auto"/>
              </w:rPr>
            </w:pPr>
          </w:p>
        </w:tc>
      </w:tr>
      <w:tr>
        <w:trPr>
          <w:trHeight w:val="222"/>
        </w:trPr>
        <w:tc>
          <w:tcPr>
            <w:tcW w:w="280" w:type="dxa"/>
            <w:vAlign w:val="bottom"/>
            <w:tcBorders>
              <w:left w:val="single" w:sz="8" w:color="auto"/>
            </w:tcBorders>
          </w:tcPr>
          <w:p>
            <w:pPr>
              <w:ind w:left="40"/>
              <w:spacing w:after="0"/>
              <w:rPr>
                <w:sz w:val="20"/>
                <w:szCs w:val="20"/>
                <w:color w:val="auto"/>
              </w:rPr>
            </w:pPr>
            <w:r>
              <w:rPr>
                <w:rFonts w:ascii="Arial" w:cs="Arial" w:eastAsia="Arial" w:hAnsi="Arial"/>
                <w:sz w:val="18"/>
                <w:szCs w:val="18"/>
                <w:color w:val="auto"/>
                <w:w w:val="99"/>
              </w:rPr>
              <w:t>(7)</w:t>
            </w:r>
          </w:p>
        </w:tc>
        <w:tc>
          <w:tcPr>
            <w:tcW w:w="3620" w:type="dxa"/>
            <w:vAlign w:val="bottom"/>
            <w:tcBorders>
              <w:right w:val="single" w:sz="8" w:color="auto"/>
            </w:tcBorders>
          </w:tcPr>
          <w:p>
            <w:pPr>
              <w:ind w:left="20"/>
              <w:spacing w:after="0"/>
              <w:rPr>
                <w:sz w:val="20"/>
                <w:szCs w:val="20"/>
                <w:color w:val="auto"/>
              </w:rPr>
            </w:pPr>
            <w:r>
              <w:rPr>
                <w:rFonts w:ascii="Arial" w:cs="Arial" w:eastAsia="Arial" w:hAnsi="Arial"/>
                <w:sz w:val="18"/>
                <w:szCs w:val="18"/>
                <w:color w:val="auto"/>
              </w:rPr>
              <w:t>Registration of ADS Transfers (</w:t>
            </w:r>
            <w:r>
              <w:rPr>
                <w:rFonts w:ascii="Arial" w:cs="Arial" w:eastAsia="Arial" w:hAnsi="Arial"/>
                <w:sz w:val="18"/>
                <w:szCs w:val="18"/>
                <w:i w:val="1"/>
                <w:iCs w:val="1"/>
                <w:color w:val="auto"/>
              </w:rPr>
              <w:t>e.g.</w:t>
            </w:r>
            <w:r>
              <w:rPr>
                <w:rFonts w:ascii="Arial" w:cs="Arial" w:eastAsia="Arial" w:hAnsi="Arial"/>
                <w:sz w:val="18"/>
                <w:szCs w:val="18"/>
                <w:color w:val="auto"/>
              </w:rPr>
              <w:t>, upon a</w:t>
            </w:r>
          </w:p>
        </w:tc>
        <w:tc>
          <w:tcPr>
            <w:tcW w:w="3780" w:type="dxa"/>
            <w:vAlign w:val="bottom"/>
            <w:tcBorders>
              <w:right w:val="single" w:sz="8" w:color="auto"/>
            </w:tcBorders>
          </w:tcPr>
          <w:p>
            <w:pPr>
              <w:ind w:left="20"/>
              <w:spacing w:after="0"/>
              <w:rPr>
                <w:sz w:val="20"/>
                <w:szCs w:val="20"/>
                <w:color w:val="auto"/>
              </w:rPr>
            </w:pPr>
            <w:r>
              <w:rPr>
                <w:rFonts w:ascii="Arial" w:cs="Arial" w:eastAsia="Arial" w:hAnsi="Arial"/>
                <w:sz w:val="18"/>
                <w:szCs w:val="18"/>
                <w:color w:val="auto"/>
              </w:rPr>
              <w:t>Up to U.S. $5.00 per 100 ADSs (or fraction</w:t>
            </w:r>
          </w:p>
        </w:tc>
        <w:tc>
          <w:tcPr>
            <w:tcW w:w="3740" w:type="dxa"/>
            <w:vAlign w:val="bottom"/>
            <w:tcBorders>
              <w:right w:val="single" w:sz="8" w:color="auto"/>
            </w:tcBorders>
          </w:tcPr>
          <w:p>
            <w:pPr>
              <w:ind w:left="20"/>
              <w:spacing w:after="0"/>
              <w:rPr>
                <w:sz w:val="20"/>
                <w:szCs w:val="20"/>
                <w:color w:val="auto"/>
              </w:rPr>
            </w:pPr>
            <w:r>
              <w:rPr>
                <w:rFonts w:ascii="Arial" w:cs="Arial" w:eastAsia="Arial" w:hAnsi="Arial"/>
                <w:sz w:val="18"/>
                <w:szCs w:val="18"/>
                <w:color w:val="auto"/>
              </w:rPr>
              <w:t>Person for whom or to whom ADSs are</w:t>
            </w:r>
          </w:p>
        </w:tc>
      </w:tr>
      <w:tr>
        <w:trPr>
          <w:trHeight w:val="216"/>
        </w:trPr>
        <w:tc>
          <w:tcPr>
            <w:tcW w:w="3900" w:type="dxa"/>
            <w:vAlign w:val="bottom"/>
            <w:tcBorders>
              <w:left w:val="single" w:sz="8" w:color="auto"/>
              <w:right w:val="single" w:sz="8" w:color="auto"/>
            </w:tcBorders>
            <w:gridSpan w:val="2"/>
          </w:tcPr>
          <w:p>
            <w:pPr>
              <w:ind w:left="40"/>
              <w:spacing w:after="0"/>
              <w:rPr>
                <w:sz w:val="20"/>
                <w:szCs w:val="20"/>
                <w:color w:val="auto"/>
              </w:rPr>
            </w:pPr>
            <w:r>
              <w:rPr>
                <w:rFonts w:ascii="Arial" w:cs="Arial" w:eastAsia="Arial" w:hAnsi="Arial"/>
                <w:sz w:val="18"/>
                <w:szCs w:val="18"/>
                <w:color w:val="auto"/>
                <w:w w:val="96"/>
              </w:rPr>
              <w:t>registration of the transfer of registered ownership</w:t>
            </w:r>
          </w:p>
        </w:tc>
        <w:tc>
          <w:tcPr>
            <w:tcW w:w="3780" w:type="dxa"/>
            <w:vAlign w:val="bottom"/>
            <w:tcBorders>
              <w:right w:val="single" w:sz="8" w:color="auto"/>
            </w:tcBorders>
          </w:tcPr>
          <w:p>
            <w:pPr>
              <w:ind w:left="20"/>
              <w:spacing w:after="0"/>
              <w:rPr>
                <w:sz w:val="20"/>
                <w:szCs w:val="20"/>
                <w:color w:val="auto"/>
              </w:rPr>
            </w:pPr>
            <w:r>
              <w:rPr>
                <w:rFonts w:ascii="Arial" w:cs="Arial" w:eastAsia="Arial" w:hAnsi="Arial"/>
                <w:sz w:val="18"/>
                <w:szCs w:val="18"/>
                <w:color w:val="auto"/>
              </w:rPr>
              <w:t>thereof) transferred.</w:t>
            </w:r>
          </w:p>
        </w:tc>
        <w:tc>
          <w:tcPr>
            <w:tcW w:w="3740" w:type="dxa"/>
            <w:vAlign w:val="bottom"/>
            <w:tcBorders>
              <w:right w:val="single" w:sz="8" w:color="auto"/>
            </w:tcBorders>
          </w:tcPr>
          <w:p>
            <w:pPr>
              <w:ind w:left="20"/>
              <w:spacing w:after="0"/>
              <w:rPr>
                <w:sz w:val="20"/>
                <w:szCs w:val="20"/>
                <w:color w:val="auto"/>
              </w:rPr>
            </w:pPr>
            <w:r>
              <w:rPr>
                <w:rFonts w:ascii="Arial" w:cs="Arial" w:eastAsia="Arial" w:hAnsi="Arial"/>
                <w:sz w:val="18"/>
                <w:szCs w:val="18"/>
                <w:color w:val="auto"/>
              </w:rPr>
              <w:t>transferred.</w:t>
            </w:r>
          </w:p>
        </w:tc>
      </w:tr>
      <w:tr>
        <w:trPr>
          <w:trHeight w:val="216"/>
        </w:trPr>
        <w:tc>
          <w:tcPr>
            <w:tcW w:w="3900" w:type="dxa"/>
            <w:vAlign w:val="bottom"/>
            <w:tcBorders>
              <w:left w:val="single" w:sz="8" w:color="auto"/>
              <w:right w:val="single" w:sz="8" w:color="auto"/>
            </w:tcBorders>
            <w:gridSpan w:val="2"/>
          </w:tcPr>
          <w:p>
            <w:pPr>
              <w:ind w:left="40"/>
              <w:spacing w:after="0"/>
              <w:rPr>
                <w:sz w:val="20"/>
                <w:szCs w:val="20"/>
                <w:color w:val="auto"/>
              </w:rPr>
            </w:pPr>
            <w:r>
              <w:rPr>
                <w:rFonts w:ascii="Arial" w:cs="Arial" w:eastAsia="Arial" w:hAnsi="Arial"/>
                <w:sz w:val="18"/>
                <w:szCs w:val="18"/>
                <w:color w:val="auto"/>
              </w:rPr>
              <w:t>of ADSs, upon a transfer of ADSs into DTC and</w:t>
            </w:r>
          </w:p>
        </w:tc>
        <w:tc>
          <w:tcPr>
            <w:tcW w:w="3780" w:type="dxa"/>
            <w:vAlign w:val="bottom"/>
            <w:tcBorders>
              <w:right w:val="single" w:sz="8" w:color="auto"/>
            </w:tcBorders>
          </w:tcPr>
          <w:p>
            <w:pPr>
              <w:spacing w:after="0"/>
              <w:rPr>
                <w:sz w:val="18"/>
                <w:szCs w:val="18"/>
                <w:color w:val="auto"/>
              </w:rPr>
            </w:pPr>
          </w:p>
        </w:tc>
        <w:tc>
          <w:tcPr>
            <w:tcW w:w="3740" w:type="dxa"/>
            <w:vAlign w:val="bottom"/>
            <w:tcBorders>
              <w:right w:val="single" w:sz="8" w:color="auto"/>
            </w:tcBorders>
          </w:tcPr>
          <w:p>
            <w:pPr>
              <w:spacing w:after="0"/>
              <w:rPr>
                <w:sz w:val="18"/>
                <w:szCs w:val="18"/>
                <w:color w:val="auto"/>
              </w:rPr>
            </w:pPr>
          </w:p>
        </w:tc>
      </w:tr>
      <w:tr>
        <w:trPr>
          <w:trHeight w:val="230"/>
        </w:trPr>
        <w:tc>
          <w:tcPr>
            <w:tcW w:w="3900" w:type="dxa"/>
            <w:vAlign w:val="bottom"/>
            <w:tcBorders>
              <w:left w:val="single" w:sz="8" w:color="auto"/>
              <w:right w:val="single" w:sz="8" w:color="auto"/>
            </w:tcBorders>
            <w:gridSpan w:val="2"/>
          </w:tcPr>
          <w:p>
            <w:pPr>
              <w:ind w:left="40"/>
              <w:spacing w:after="0"/>
              <w:rPr>
                <w:sz w:val="20"/>
                <w:szCs w:val="20"/>
                <w:color w:val="auto"/>
              </w:rPr>
            </w:pPr>
            <w:r>
              <w:rPr>
                <w:rFonts w:ascii="Arial" w:cs="Arial" w:eastAsia="Arial" w:hAnsi="Arial"/>
                <w:sz w:val="18"/>
                <w:szCs w:val="18"/>
                <w:i w:val="1"/>
                <w:iCs w:val="1"/>
                <w:color w:val="auto"/>
              </w:rPr>
              <w:t>vice versa</w:t>
            </w:r>
            <w:r>
              <w:rPr>
                <w:rFonts w:ascii="Arial" w:cs="Arial" w:eastAsia="Arial" w:hAnsi="Arial"/>
                <w:sz w:val="18"/>
                <w:szCs w:val="18"/>
                <w:color w:val="auto"/>
              </w:rPr>
              <w:t>, or for any other reason).</w:t>
            </w:r>
          </w:p>
        </w:tc>
        <w:tc>
          <w:tcPr>
            <w:tcW w:w="3780" w:type="dxa"/>
            <w:vAlign w:val="bottom"/>
            <w:tcBorders>
              <w:right w:val="single" w:sz="8" w:color="auto"/>
            </w:tcBorders>
          </w:tcPr>
          <w:p>
            <w:pPr>
              <w:spacing w:after="0"/>
              <w:rPr>
                <w:sz w:val="20"/>
                <w:szCs w:val="20"/>
                <w:color w:val="auto"/>
              </w:rPr>
            </w:pPr>
          </w:p>
        </w:tc>
        <w:tc>
          <w:tcPr>
            <w:tcW w:w="3740" w:type="dxa"/>
            <w:vAlign w:val="bottom"/>
            <w:tcBorders>
              <w:right w:val="single" w:sz="8" w:color="auto"/>
            </w:tcBorders>
          </w:tcPr>
          <w:p>
            <w:pPr>
              <w:spacing w:after="0"/>
              <w:rPr>
                <w:sz w:val="20"/>
                <w:szCs w:val="20"/>
                <w:color w:val="auto"/>
              </w:rPr>
            </w:pPr>
          </w:p>
        </w:tc>
      </w:tr>
      <w:tr>
        <w:trPr>
          <w:trHeight w:val="27"/>
        </w:trPr>
        <w:tc>
          <w:tcPr>
            <w:tcW w:w="280" w:type="dxa"/>
            <w:vAlign w:val="bottom"/>
            <w:tcBorders>
              <w:left w:val="single" w:sz="8" w:color="auto"/>
              <w:bottom w:val="single" w:sz="8" w:color="auto"/>
            </w:tcBorders>
          </w:tcPr>
          <w:p>
            <w:pPr>
              <w:spacing w:after="0"/>
              <w:rPr>
                <w:sz w:val="2"/>
                <w:szCs w:val="2"/>
                <w:color w:val="auto"/>
              </w:rPr>
            </w:pPr>
          </w:p>
        </w:tc>
        <w:tc>
          <w:tcPr>
            <w:tcW w:w="3620" w:type="dxa"/>
            <w:vAlign w:val="bottom"/>
            <w:tcBorders>
              <w:bottom w:val="single" w:sz="8" w:color="auto"/>
              <w:right w:val="single" w:sz="8" w:color="auto"/>
            </w:tcBorders>
          </w:tcPr>
          <w:p>
            <w:pPr>
              <w:spacing w:after="0"/>
              <w:rPr>
                <w:sz w:val="2"/>
                <w:szCs w:val="2"/>
                <w:color w:val="auto"/>
              </w:rPr>
            </w:pPr>
          </w:p>
        </w:tc>
        <w:tc>
          <w:tcPr>
            <w:tcW w:w="3780" w:type="dxa"/>
            <w:vAlign w:val="bottom"/>
            <w:tcBorders>
              <w:bottom w:val="single" w:sz="8" w:color="auto"/>
              <w:right w:val="single" w:sz="8" w:color="auto"/>
            </w:tcBorders>
          </w:tcPr>
          <w:p>
            <w:pPr>
              <w:spacing w:after="0"/>
              <w:rPr>
                <w:sz w:val="2"/>
                <w:szCs w:val="2"/>
                <w:color w:val="auto"/>
              </w:rPr>
            </w:pPr>
          </w:p>
        </w:tc>
        <w:tc>
          <w:tcPr>
            <w:tcW w:w="3740" w:type="dxa"/>
            <w:vAlign w:val="bottom"/>
            <w:tcBorders>
              <w:bottom w:val="single" w:sz="8" w:color="auto"/>
              <w:right w:val="single" w:sz="8" w:color="auto"/>
            </w:tcBorders>
          </w:tcPr>
          <w:p>
            <w:pPr>
              <w:spacing w:after="0"/>
              <w:rPr>
                <w:sz w:val="2"/>
                <w:szCs w:val="2"/>
                <w:color w:val="auto"/>
              </w:rPr>
            </w:pPr>
          </w:p>
        </w:tc>
      </w:tr>
      <w:tr>
        <w:trPr>
          <w:trHeight w:val="222"/>
        </w:trPr>
        <w:tc>
          <w:tcPr>
            <w:tcW w:w="280" w:type="dxa"/>
            <w:vAlign w:val="bottom"/>
            <w:tcBorders>
              <w:left w:val="single" w:sz="8" w:color="auto"/>
            </w:tcBorders>
          </w:tcPr>
          <w:p>
            <w:pPr>
              <w:ind w:left="40"/>
              <w:spacing w:after="0"/>
              <w:rPr>
                <w:sz w:val="20"/>
                <w:szCs w:val="20"/>
                <w:color w:val="auto"/>
              </w:rPr>
            </w:pPr>
            <w:r>
              <w:rPr>
                <w:rFonts w:ascii="Arial" w:cs="Arial" w:eastAsia="Arial" w:hAnsi="Arial"/>
                <w:sz w:val="18"/>
                <w:szCs w:val="18"/>
                <w:color w:val="auto"/>
                <w:w w:val="99"/>
              </w:rPr>
              <w:t>(8)</w:t>
            </w:r>
          </w:p>
        </w:tc>
        <w:tc>
          <w:tcPr>
            <w:tcW w:w="3620" w:type="dxa"/>
            <w:vAlign w:val="bottom"/>
            <w:tcBorders>
              <w:right w:val="single" w:sz="8" w:color="auto"/>
            </w:tcBorders>
          </w:tcPr>
          <w:p>
            <w:pPr>
              <w:ind w:left="20"/>
              <w:spacing w:after="0"/>
              <w:rPr>
                <w:sz w:val="20"/>
                <w:szCs w:val="20"/>
                <w:color w:val="auto"/>
              </w:rPr>
            </w:pPr>
            <w:r>
              <w:rPr>
                <w:rFonts w:ascii="Arial" w:cs="Arial" w:eastAsia="Arial" w:hAnsi="Arial"/>
                <w:sz w:val="18"/>
                <w:szCs w:val="18"/>
                <w:color w:val="auto"/>
                <w:w w:val="96"/>
              </w:rPr>
              <w:t>Conversion of ADSs of one series for ADSs of</w:t>
            </w:r>
          </w:p>
        </w:tc>
        <w:tc>
          <w:tcPr>
            <w:tcW w:w="3780" w:type="dxa"/>
            <w:vAlign w:val="bottom"/>
            <w:tcBorders>
              <w:right w:val="single" w:sz="8" w:color="auto"/>
            </w:tcBorders>
          </w:tcPr>
          <w:p>
            <w:pPr>
              <w:ind w:left="20"/>
              <w:spacing w:after="0"/>
              <w:rPr>
                <w:sz w:val="20"/>
                <w:szCs w:val="20"/>
                <w:color w:val="auto"/>
              </w:rPr>
            </w:pPr>
            <w:r>
              <w:rPr>
                <w:rFonts w:ascii="Arial" w:cs="Arial" w:eastAsia="Arial" w:hAnsi="Arial"/>
                <w:sz w:val="18"/>
                <w:szCs w:val="18"/>
                <w:color w:val="auto"/>
              </w:rPr>
              <w:t>Up to U.S. $5.00 per 100</w:t>
            </w:r>
          </w:p>
        </w:tc>
        <w:tc>
          <w:tcPr>
            <w:tcW w:w="3740" w:type="dxa"/>
            <w:vAlign w:val="bottom"/>
            <w:tcBorders>
              <w:right w:val="single" w:sz="8" w:color="auto"/>
            </w:tcBorders>
          </w:tcPr>
          <w:p>
            <w:pPr>
              <w:ind w:left="20"/>
              <w:spacing w:after="0"/>
              <w:rPr>
                <w:sz w:val="20"/>
                <w:szCs w:val="20"/>
                <w:color w:val="auto"/>
              </w:rPr>
            </w:pPr>
            <w:r>
              <w:rPr>
                <w:rFonts w:ascii="Arial" w:cs="Arial" w:eastAsia="Arial" w:hAnsi="Arial"/>
                <w:sz w:val="18"/>
                <w:szCs w:val="18"/>
                <w:color w:val="auto"/>
                <w:w w:val="92"/>
              </w:rPr>
              <w:t>Person for whom ADSs are converted or to whom</w:t>
            </w:r>
          </w:p>
        </w:tc>
      </w:tr>
      <w:tr>
        <w:trPr>
          <w:trHeight w:val="216"/>
        </w:trPr>
        <w:tc>
          <w:tcPr>
            <w:tcW w:w="3900" w:type="dxa"/>
            <w:vAlign w:val="bottom"/>
            <w:tcBorders>
              <w:left w:val="single" w:sz="8" w:color="auto"/>
              <w:right w:val="single" w:sz="8" w:color="auto"/>
            </w:tcBorders>
            <w:gridSpan w:val="2"/>
          </w:tcPr>
          <w:p>
            <w:pPr>
              <w:ind w:left="40"/>
              <w:spacing w:after="0"/>
              <w:rPr>
                <w:sz w:val="20"/>
                <w:szCs w:val="20"/>
                <w:color w:val="auto"/>
              </w:rPr>
            </w:pPr>
            <w:r>
              <w:rPr>
                <w:rFonts w:ascii="Arial" w:cs="Arial" w:eastAsia="Arial" w:hAnsi="Arial"/>
                <w:sz w:val="18"/>
                <w:szCs w:val="18"/>
                <w:color w:val="auto"/>
              </w:rPr>
              <w:t>another series (</w:t>
            </w:r>
            <w:r>
              <w:rPr>
                <w:rFonts w:ascii="Arial" w:cs="Arial" w:eastAsia="Arial" w:hAnsi="Arial"/>
                <w:sz w:val="18"/>
                <w:szCs w:val="18"/>
                <w:i w:val="1"/>
                <w:iCs w:val="1"/>
                <w:color w:val="auto"/>
              </w:rPr>
              <w:t>e.g.</w:t>
            </w:r>
            <w:r>
              <w:rPr>
                <w:rFonts w:ascii="Arial" w:cs="Arial" w:eastAsia="Arial" w:hAnsi="Arial"/>
                <w:sz w:val="18"/>
                <w:szCs w:val="18"/>
                <w:color w:val="auto"/>
              </w:rPr>
              <w:t>, upon conversion of Partial</w:t>
            </w:r>
          </w:p>
        </w:tc>
        <w:tc>
          <w:tcPr>
            <w:tcW w:w="3780" w:type="dxa"/>
            <w:vAlign w:val="bottom"/>
            <w:tcBorders>
              <w:right w:val="single" w:sz="8" w:color="auto"/>
            </w:tcBorders>
          </w:tcPr>
          <w:p>
            <w:pPr>
              <w:ind w:left="20"/>
              <w:spacing w:after="0"/>
              <w:rPr>
                <w:sz w:val="20"/>
                <w:szCs w:val="20"/>
                <w:color w:val="auto"/>
              </w:rPr>
            </w:pPr>
            <w:r>
              <w:rPr>
                <w:rFonts w:ascii="Arial" w:cs="Arial" w:eastAsia="Arial" w:hAnsi="Arial"/>
                <w:sz w:val="18"/>
                <w:szCs w:val="18"/>
                <w:color w:val="auto"/>
              </w:rPr>
              <w:t>ADSs (or fraction thereof) converted.</w:t>
            </w:r>
          </w:p>
        </w:tc>
        <w:tc>
          <w:tcPr>
            <w:tcW w:w="3740" w:type="dxa"/>
            <w:vAlign w:val="bottom"/>
            <w:tcBorders>
              <w:right w:val="single" w:sz="8" w:color="auto"/>
            </w:tcBorders>
          </w:tcPr>
          <w:p>
            <w:pPr>
              <w:ind w:left="20"/>
              <w:spacing w:after="0"/>
              <w:rPr>
                <w:sz w:val="20"/>
                <w:szCs w:val="20"/>
                <w:color w:val="auto"/>
              </w:rPr>
            </w:pPr>
            <w:r>
              <w:rPr>
                <w:rFonts w:ascii="Arial" w:cs="Arial" w:eastAsia="Arial" w:hAnsi="Arial"/>
                <w:sz w:val="18"/>
                <w:szCs w:val="18"/>
                <w:color w:val="auto"/>
              </w:rPr>
              <w:t>the converted ADSs are delivered.</w:t>
            </w:r>
          </w:p>
        </w:tc>
      </w:tr>
      <w:tr>
        <w:trPr>
          <w:trHeight w:val="216"/>
        </w:trPr>
        <w:tc>
          <w:tcPr>
            <w:tcW w:w="3900" w:type="dxa"/>
            <w:vAlign w:val="bottom"/>
            <w:tcBorders>
              <w:left w:val="single" w:sz="8" w:color="auto"/>
              <w:right w:val="single" w:sz="8" w:color="auto"/>
            </w:tcBorders>
            <w:gridSpan w:val="2"/>
          </w:tcPr>
          <w:p>
            <w:pPr>
              <w:ind w:left="40"/>
              <w:spacing w:after="0"/>
              <w:rPr>
                <w:sz w:val="20"/>
                <w:szCs w:val="20"/>
                <w:color w:val="auto"/>
              </w:rPr>
            </w:pPr>
            <w:r>
              <w:rPr>
                <w:rFonts w:ascii="Arial" w:cs="Arial" w:eastAsia="Arial" w:hAnsi="Arial"/>
                <w:sz w:val="18"/>
                <w:szCs w:val="18"/>
                <w:color w:val="auto"/>
              </w:rPr>
              <w:t>Entitlement ADSs for Full Entitlement ADSs, or</w:t>
            </w:r>
          </w:p>
        </w:tc>
        <w:tc>
          <w:tcPr>
            <w:tcW w:w="3780" w:type="dxa"/>
            <w:vAlign w:val="bottom"/>
            <w:tcBorders>
              <w:right w:val="single" w:sz="8" w:color="auto"/>
            </w:tcBorders>
          </w:tcPr>
          <w:p>
            <w:pPr>
              <w:spacing w:after="0"/>
              <w:rPr>
                <w:sz w:val="18"/>
                <w:szCs w:val="18"/>
                <w:color w:val="auto"/>
              </w:rPr>
            </w:pPr>
          </w:p>
        </w:tc>
        <w:tc>
          <w:tcPr>
            <w:tcW w:w="3740" w:type="dxa"/>
            <w:vAlign w:val="bottom"/>
            <w:tcBorders>
              <w:right w:val="single" w:sz="8" w:color="auto"/>
            </w:tcBorders>
          </w:tcPr>
          <w:p>
            <w:pPr>
              <w:spacing w:after="0"/>
              <w:rPr>
                <w:sz w:val="18"/>
                <w:szCs w:val="18"/>
                <w:color w:val="auto"/>
              </w:rPr>
            </w:pPr>
          </w:p>
        </w:tc>
      </w:tr>
      <w:tr>
        <w:trPr>
          <w:trHeight w:val="216"/>
        </w:trPr>
        <w:tc>
          <w:tcPr>
            <w:tcW w:w="3900" w:type="dxa"/>
            <w:vAlign w:val="bottom"/>
            <w:tcBorders>
              <w:left w:val="single" w:sz="8" w:color="auto"/>
              <w:right w:val="single" w:sz="8" w:color="auto"/>
            </w:tcBorders>
            <w:gridSpan w:val="2"/>
          </w:tcPr>
          <w:p>
            <w:pPr>
              <w:ind w:left="40"/>
              <w:spacing w:after="0"/>
              <w:rPr>
                <w:sz w:val="20"/>
                <w:szCs w:val="20"/>
                <w:color w:val="auto"/>
              </w:rPr>
            </w:pPr>
            <w:r>
              <w:rPr>
                <w:rFonts w:ascii="Arial" w:cs="Arial" w:eastAsia="Arial" w:hAnsi="Arial"/>
                <w:sz w:val="18"/>
                <w:szCs w:val="18"/>
                <w:color w:val="auto"/>
              </w:rPr>
              <w:t>upon conversion of Restricted ADSs into freely</w:t>
            </w:r>
          </w:p>
        </w:tc>
        <w:tc>
          <w:tcPr>
            <w:tcW w:w="3780" w:type="dxa"/>
            <w:vAlign w:val="bottom"/>
            <w:tcBorders>
              <w:right w:val="single" w:sz="8" w:color="auto"/>
            </w:tcBorders>
          </w:tcPr>
          <w:p>
            <w:pPr>
              <w:spacing w:after="0"/>
              <w:rPr>
                <w:sz w:val="18"/>
                <w:szCs w:val="18"/>
                <w:color w:val="auto"/>
              </w:rPr>
            </w:pPr>
          </w:p>
        </w:tc>
        <w:tc>
          <w:tcPr>
            <w:tcW w:w="3740" w:type="dxa"/>
            <w:vAlign w:val="bottom"/>
            <w:tcBorders>
              <w:right w:val="single" w:sz="8" w:color="auto"/>
            </w:tcBorders>
          </w:tcPr>
          <w:p>
            <w:pPr>
              <w:spacing w:after="0"/>
              <w:rPr>
                <w:sz w:val="18"/>
                <w:szCs w:val="18"/>
                <w:color w:val="auto"/>
              </w:rPr>
            </w:pPr>
          </w:p>
        </w:tc>
      </w:tr>
      <w:tr>
        <w:trPr>
          <w:trHeight w:val="230"/>
        </w:trPr>
        <w:tc>
          <w:tcPr>
            <w:tcW w:w="3900" w:type="dxa"/>
            <w:vAlign w:val="bottom"/>
            <w:tcBorders>
              <w:left w:val="single" w:sz="8" w:color="auto"/>
              <w:right w:val="single" w:sz="8" w:color="auto"/>
            </w:tcBorders>
            <w:gridSpan w:val="2"/>
          </w:tcPr>
          <w:p>
            <w:pPr>
              <w:ind w:left="40"/>
              <w:spacing w:after="0"/>
              <w:rPr>
                <w:sz w:val="20"/>
                <w:szCs w:val="20"/>
                <w:color w:val="auto"/>
              </w:rPr>
            </w:pPr>
            <w:r>
              <w:rPr>
                <w:rFonts w:ascii="Arial" w:cs="Arial" w:eastAsia="Arial" w:hAnsi="Arial"/>
                <w:sz w:val="18"/>
                <w:szCs w:val="18"/>
                <w:color w:val="auto"/>
              </w:rPr>
              <w:t xml:space="preserve">transferable ADSs, and </w:t>
            </w:r>
            <w:r>
              <w:rPr>
                <w:rFonts w:ascii="Arial" w:cs="Arial" w:eastAsia="Arial" w:hAnsi="Arial"/>
                <w:sz w:val="18"/>
                <w:szCs w:val="18"/>
                <w:i w:val="1"/>
                <w:iCs w:val="1"/>
                <w:color w:val="auto"/>
              </w:rPr>
              <w:t>vice versa</w:t>
            </w:r>
            <w:r>
              <w:rPr>
                <w:rFonts w:ascii="Arial" w:cs="Arial" w:eastAsia="Arial" w:hAnsi="Arial"/>
                <w:sz w:val="18"/>
                <w:szCs w:val="18"/>
                <w:color w:val="auto"/>
              </w:rPr>
              <w:t>).</w:t>
            </w:r>
          </w:p>
        </w:tc>
        <w:tc>
          <w:tcPr>
            <w:tcW w:w="3780" w:type="dxa"/>
            <w:vAlign w:val="bottom"/>
            <w:tcBorders>
              <w:right w:val="single" w:sz="8" w:color="auto"/>
            </w:tcBorders>
          </w:tcPr>
          <w:p>
            <w:pPr>
              <w:spacing w:after="0"/>
              <w:rPr>
                <w:sz w:val="20"/>
                <w:szCs w:val="20"/>
                <w:color w:val="auto"/>
              </w:rPr>
            </w:pPr>
          </w:p>
        </w:tc>
        <w:tc>
          <w:tcPr>
            <w:tcW w:w="3740" w:type="dxa"/>
            <w:vAlign w:val="bottom"/>
            <w:tcBorders>
              <w:right w:val="single" w:sz="8" w:color="auto"/>
            </w:tcBorders>
          </w:tcPr>
          <w:p>
            <w:pPr>
              <w:spacing w:after="0"/>
              <w:rPr>
                <w:sz w:val="20"/>
                <w:szCs w:val="20"/>
                <w:color w:val="auto"/>
              </w:rPr>
            </w:pPr>
          </w:p>
        </w:tc>
      </w:tr>
      <w:tr>
        <w:trPr>
          <w:trHeight w:val="243"/>
        </w:trPr>
        <w:tc>
          <w:tcPr>
            <w:tcW w:w="280" w:type="dxa"/>
            <w:vAlign w:val="bottom"/>
            <w:tcBorders>
              <w:left w:val="single" w:sz="8" w:color="auto"/>
              <w:bottom w:val="single" w:sz="8" w:color="auto"/>
            </w:tcBorders>
          </w:tcPr>
          <w:p>
            <w:pPr>
              <w:spacing w:after="0"/>
              <w:rPr>
                <w:sz w:val="21"/>
                <w:szCs w:val="21"/>
                <w:color w:val="auto"/>
              </w:rPr>
            </w:pPr>
          </w:p>
        </w:tc>
        <w:tc>
          <w:tcPr>
            <w:tcW w:w="3620" w:type="dxa"/>
            <w:vAlign w:val="bottom"/>
            <w:tcBorders>
              <w:bottom w:val="single" w:sz="8" w:color="auto"/>
              <w:right w:val="single" w:sz="8" w:color="auto"/>
            </w:tcBorders>
          </w:tcPr>
          <w:p>
            <w:pPr>
              <w:spacing w:after="0"/>
              <w:rPr>
                <w:sz w:val="21"/>
                <w:szCs w:val="21"/>
                <w:color w:val="auto"/>
              </w:rPr>
            </w:pPr>
          </w:p>
        </w:tc>
        <w:tc>
          <w:tcPr>
            <w:tcW w:w="3780" w:type="dxa"/>
            <w:vAlign w:val="bottom"/>
            <w:tcBorders>
              <w:bottom w:val="single" w:sz="8" w:color="auto"/>
              <w:right w:val="single" w:sz="8" w:color="auto"/>
            </w:tcBorders>
          </w:tcPr>
          <w:p>
            <w:pPr>
              <w:spacing w:after="0"/>
              <w:rPr>
                <w:sz w:val="21"/>
                <w:szCs w:val="21"/>
                <w:color w:val="auto"/>
              </w:rPr>
            </w:pPr>
          </w:p>
        </w:tc>
        <w:tc>
          <w:tcPr>
            <w:tcW w:w="3740" w:type="dxa"/>
            <w:vAlign w:val="bottom"/>
            <w:tcBorders>
              <w:bottom w:val="single" w:sz="8" w:color="auto"/>
              <w:right w:val="single" w:sz="8" w:color="auto"/>
            </w:tcBorders>
          </w:tcPr>
          <w:p>
            <w:pPr>
              <w:spacing w:after="0"/>
              <w:rPr>
                <w:sz w:val="21"/>
                <w:szCs w:val="21"/>
                <w:color w:val="auto"/>
              </w:rPr>
            </w:pPr>
          </w:p>
        </w:tc>
      </w:tr>
    </w:tbl>
    <w:p>
      <w:pPr>
        <w:spacing w:after="0" w:line="225" w:lineRule="exact"/>
        <w:rPr>
          <w:sz w:val="20"/>
          <w:szCs w:val="20"/>
          <w:color w:val="auto"/>
        </w:rPr>
      </w:pPr>
    </w:p>
    <w:p>
      <w:pPr>
        <w:ind w:left="660" w:hanging="652"/>
        <w:spacing w:after="0"/>
        <w:tabs>
          <w:tab w:leader="none" w:pos="660" w:val="left"/>
        </w:tabs>
        <w:numPr>
          <w:ilvl w:val="0"/>
          <w:numId w:val="60"/>
        </w:numPr>
        <w:rPr>
          <w:rFonts w:ascii="Arial" w:cs="Arial" w:eastAsia="Arial" w:hAnsi="Arial"/>
          <w:sz w:val="18"/>
          <w:szCs w:val="18"/>
          <w:b w:val="1"/>
          <w:bCs w:val="1"/>
          <w:color w:val="auto"/>
        </w:rPr>
      </w:pPr>
      <w:r>
        <w:rPr>
          <w:rFonts w:ascii="Arial" w:cs="Arial" w:eastAsia="Arial" w:hAnsi="Arial"/>
          <w:sz w:val="18"/>
          <w:szCs w:val="18"/>
          <w:b w:val="1"/>
          <w:bCs w:val="1"/>
          <w:u w:val="single" w:color="auto"/>
          <w:color w:val="auto"/>
        </w:rPr>
        <w:t>Charges</w:t>
      </w:r>
    </w:p>
    <w:p>
      <w:pPr>
        <w:spacing w:after="0" w:line="229" w:lineRule="exact"/>
        <w:rPr>
          <w:sz w:val="20"/>
          <w:szCs w:val="20"/>
          <w:color w:val="auto"/>
        </w:rPr>
      </w:pPr>
    </w:p>
    <w:p>
      <w:pPr>
        <w:ind w:right="660"/>
        <w:spacing w:after="0" w:line="264" w:lineRule="auto"/>
        <w:rPr>
          <w:sz w:val="20"/>
          <w:szCs w:val="20"/>
          <w:color w:val="auto"/>
        </w:rPr>
      </w:pPr>
      <w:r>
        <w:rPr>
          <w:rFonts w:ascii="Arial" w:cs="Arial" w:eastAsia="Arial" w:hAnsi="Arial"/>
          <w:sz w:val="18"/>
          <w:szCs w:val="18"/>
          <w:color w:val="auto"/>
        </w:rPr>
        <w:t>The Company, Holders, Beneficial Owners, persons depositing Shares or withdrawing Deposited Securities in connection with ADS issuances and cancellations, and persons for whom ADSs are issued or cancelled shall be responsible for the following ADS charges under the terms of the Deposit Agreement:</w:t>
      </w:r>
    </w:p>
    <w:p>
      <w:pPr>
        <w:spacing w:after="0" w:line="181" w:lineRule="exact"/>
        <w:rPr>
          <w:sz w:val="20"/>
          <w:szCs w:val="20"/>
          <w:color w:val="auto"/>
        </w:rPr>
      </w:pPr>
    </w:p>
    <w:p>
      <w:pPr>
        <w:ind w:left="660" w:hanging="652"/>
        <w:spacing w:after="0"/>
        <w:tabs>
          <w:tab w:leader="none" w:pos="660" w:val="left"/>
        </w:tabs>
        <w:numPr>
          <w:ilvl w:val="0"/>
          <w:numId w:val="61"/>
        </w:numPr>
        <w:rPr>
          <w:rFonts w:ascii="Arial" w:cs="Arial" w:eastAsia="Arial" w:hAnsi="Arial"/>
          <w:sz w:val="18"/>
          <w:szCs w:val="18"/>
          <w:color w:val="auto"/>
        </w:rPr>
      </w:pPr>
      <w:r>
        <w:rPr>
          <w:rFonts w:ascii="Arial" w:cs="Arial" w:eastAsia="Arial" w:hAnsi="Arial"/>
          <w:sz w:val="18"/>
          <w:szCs w:val="18"/>
          <w:color w:val="auto"/>
        </w:rPr>
        <w:t>taxes (including applicable interest and penalties) and other governmental charges;</w:t>
      </w:r>
    </w:p>
    <w:p>
      <w:pPr>
        <w:spacing w:after="0" w:line="225" w:lineRule="exact"/>
        <w:rPr>
          <w:rFonts w:ascii="Arial" w:cs="Arial" w:eastAsia="Arial" w:hAnsi="Arial"/>
          <w:sz w:val="18"/>
          <w:szCs w:val="18"/>
          <w:color w:val="auto"/>
        </w:rPr>
      </w:pPr>
    </w:p>
    <w:p>
      <w:pPr>
        <w:ind w:left="660" w:right="480" w:hanging="652"/>
        <w:spacing w:after="0" w:line="264" w:lineRule="auto"/>
        <w:tabs>
          <w:tab w:leader="none" w:pos="660" w:val="left"/>
        </w:tabs>
        <w:numPr>
          <w:ilvl w:val="0"/>
          <w:numId w:val="61"/>
        </w:numPr>
        <w:rPr>
          <w:rFonts w:ascii="Arial" w:cs="Arial" w:eastAsia="Arial" w:hAnsi="Arial"/>
          <w:sz w:val="18"/>
          <w:szCs w:val="18"/>
          <w:color w:val="auto"/>
        </w:rPr>
      </w:pPr>
      <w:r>
        <w:rPr>
          <w:rFonts w:ascii="Arial" w:cs="Arial" w:eastAsia="Arial" w:hAnsi="Arial"/>
          <w:sz w:val="18"/>
          <w:szCs w:val="18"/>
          <w:color w:val="auto"/>
        </w:rPr>
        <w:t>such registration fees as may from time to time be in effect for the registration of Shares or other Deposited Securities on the share register and applicable to transfers of Shares or other Deposited Securities to or from the name of the Custodian, the Depositary or any nominees upon the making of deposits and withdrawals, respectively;</w:t>
      </w:r>
    </w:p>
    <w:p>
      <w:pPr>
        <w:spacing w:after="0" w:line="181" w:lineRule="exact"/>
        <w:rPr>
          <w:rFonts w:ascii="Arial" w:cs="Arial" w:eastAsia="Arial" w:hAnsi="Arial"/>
          <w:sz w:val="18"/>
          <w:szCs w:val="18"/>
          <w:color w:val="auto"/>
        </w:rPr>
      </w:pPr>
    </w:p>
    <w:p>
      <w:pPr>
        <w:ind w:left="660" w:right="280" w:hanging="652"/>
        <w:spacing w:after="0" w:line="277" w:lineRule="auto"/>
        <w:tabs>
          <w:tab w:leader="none" w:pos="660" w:val="left"/>
        </w:tabs>
        <w:numPr>
          <w:ilvl w:val="0"/>
          <w:numId w:val="61"/>
        </w:numPr>
        <w:rPr>
          <w:rFonts w:ascii="Arial" w:cs="Arial" w:eastAsia="Arial" w:hAnsi="Arial"/>
          <w:sz w:val="18"/>
          <w:szCs w:val="18"/>
          <w:color w:val="auto"/>
        </w:rPr>
      </w:pPr>
      <w:r>
        <w:rPr>
          <w:rFonts w:ascii="Arial" w:cs="Arial" w:eastAsia="Arial" w:hAnsi="Arial"/>
          <w:sz w:val="18"/>
          <w:szCs w:val="18"/>
          <w:color w:val="auto"/>
        </w:rPr>
        <w:t>such cable, telex and facsimile transmission and delivery expenses as are expressly provided in the Deposit Agreement to be at the expense of the person depositing Shares or withdrawing Deposited Property or of the Holders and Beneficial Owners of ADSs;</w:t>
      </w:r>
    </w:p>
    <w:p>
      <w:pPr>
        <w:spacing w:after="0" w:line="170" w:lineRule="exact"/>
        <w:rPr>
          <w:rFonts w:ascii="Arial" w:cs="Arial" w:eastAsia="Arial" w:hAnsi="Arial"/>
          <w:sz w:val="18"/>
          <w:szCs w:val="18"/>
          <w:color w:val="auto"/>
        </w:rPr>
      </w:pPr>
    </w:p>
    <w:p>
      <w:pPr>
        <w:ind w:left="660" w:hanging="652"/>
        <w:spacing w:after="0"/>
        <w:tabs>
          <w:tab w:leader="none" w:pos="660" w:val="left"/>
        </w:tabs>
        <w:numPr>
          <w:ilvl w:val="0"/>
          <w:numId w:val="61"/>
        </w:numPr>
        <w:rPr>
          <w:rFonts w:ascii="Arial" w:cs="Arial" w:eastAsia="Arial" w:hAnsi="Arial"/>
          <w:sz w:val="18"/>
          <w:szCs w:val="18"/>
          <w:color w:val="auto"/>
        </w:rPr>
      </w:pPr>
      <w:r>
        <w:rPr>
          <w:rFonts w:ascii="Arial" w:cs="Arial" w:eastAsia="Arial" w:hAnsi="Arial"/>
          <w:sz w:val="18"/>
          <w:szCs w:val="18"/>
          <w:color w:val="auto"/>
        </w:rPr>
        <w:t>the expenses and charges incurred by the Depositary in the conversion of foreign currency;</w:t>
      </w:r>
    </w:p>
    <w:p>
      <w:pPr>
        <w:spacing w:after="0" w:line="326"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B-2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7620</wp:posOffset>
            </wp:positionV>
            <wp:extent cx="7246620" cy="17145"/>
            <wp:wrapNone/>
            <wp:docPr id="105" name="Picture 1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5"/>
                    <pic:cNvPicPr>
                      <a:picLocks noChangeAspect="1" noChangeArrowheads="1"/>
                    </pic:cNvPicPr>
                  </pic:nvPicPr>
                  <pic:blipFill>
                    <a:blip r:embed="rId112">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363" w:right="239" w:bottom="1440" w:gutter="0" w:footer="0" w:header="0"/>
        </w:sectPr>
      </w:pPr>
    </w:p>
    <w:bookmarkStart w:id="94" w:name="page95"/>
    <w:bookmarkEnd w:id="94"/>
    <w:p>
      <w:pPr>
        <w:ind w:left="652" w:hanging="652"/>
        <w:spacing w:after="0" w:line="277" w:lineRule="auto"/>
        <w:tabs>
          <w:tab w:leader="none" w:pos="652" w:val="left"/>
        </w:tabs>
        <w:numPr>
          <w:ilvl w:val="0"/>
          <w:numId w:val="62"/>
        </w:numPr>
        <w:rPr>
          <w:rFonts w:ascii="Arial" w:cs="Arial" w:eastAsia="Arial" w:hAnsi="Arial"/>
          <w:sz w:val="18"/>
          <w:szCs w:val="18"/>
          <w:color w:val="auto"/>
        </w:rPr>
      </w:pPr>
      <w:r>
        <w:rPr>
          <w:rFonts w:ascii="Arial" w:cs="Arial" w:eastAsia="Arial" w:hAnsi="Arial"/>
          <w:sz w:val="18"/>
          <w:szCs w:val="18"/>
          <w:color w:val="auto"/>
        </w:rPr>
        <w:t>such fees and expenses as are incurred by the Depositary in connection with compliance with exchange control regulations and other regulatory requirements applicable to Deposited Property, ADSs and ADRs; and</w:t>
      </w:r>
    </w:p>
    <w:p>
      <w:pPr>
        <w:spacing w:after="0" w:line="170" w:lineRule="exact"/>
        <w:rPr>
          <w:rFonts w:ascii="Arial" w:cs="Arial" w:eastAsia="Arial" w:hAnsi="Arial"/>
          <w:sz w:val="18"/>
          <w:szCs w:val="18"/>
          <w:color w:val="auto"/>
        </w:rPr>
      </w:pPr>
    </w:p>
    <w:p>
      <w:pPr>
        <w:ind w:left="652" w:hanging="652"/>
        <w:spacing w:after="0"/>
        <w:tabs>
          <w:tab w:leader="none" w:pos="652" w:val="left"/>
        </w:tabs>
        <w:numPr>
          <w:ilvl w:val="0"/>
          <w:numId w:val="62"/>
        </w:numPr>
        <w:rPr>
          <w:rFonts w:ascii="Arial" w:cs="Arial" w:eastAsia="Arial" w:hAnsi="Arial"/>
          <w:sz w:val="17"/>
          <w:szCs w:val="17"/>
          <w:color w:val="auto"/>
        </w:rPr>
      </w:pPr>
      <w:r>
        <w:rPr>
          <w:rFonts w:ascii="Arial" w:cs="Arial" w:eastAsia="Arial" w:hAnsi="Arial"/>
          <w:sz w:val="17"/>
          <w:szCs w:val="17"/>
          <w:color w:val="auto"/>
        </w:rPr>
        <w:t>the fees, charges, costs and expenses incurred by the Depositary, the Custodian, or any nominee in connection with the ADR program.</w:t>
      </w:r>
    </w:p>
    <w:p>
      <w:pPr>
        <w:spacing w:after="0" w:line="237" w:lineRule="exact"/>
        <w:rPr>
          <w:sz w:val="20"/>
          <w:szCs w:val="20"/>
          <w:color w:val="auto"/>
        </w:rPr>
      </w:pPr>
    </w:p>
    <w:p>
      <w:pPr>
        <w:jc w:val="center"/>
        <w:ind w:right="-411"/>
        <w:spacing w:after="0"/>
        <w:rPr>
          <w:sz w:val="20"/>
          <w:szCs w:val="20"/>
          <w:color w:val="auto"/>
        </w:rPr>
      </w:pPr>
      <w:r>
        <w:rPr>
          <w:rFonts w:ascii="Arial" w:cs="Arial" w:eastAsia="Arial" w:hAnsi="Arial"/>
          <w:sz w:val="18"/>
          <w:szCs w:val="18"/>
          <w:color w:val="auto"/>
        </w:rPr>
        <w:t>B-3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152400</wp:posOffset>
            </wp:positionV>
            <wp:extent cx="7246620" cy="17145"/>
            <wp:wrapNone/>
            <wp:docPr id="106" name="Picture 1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6"/>
                    <pic:cNvPicPr>
                      <a:picLocks noChangeAspect="1" noChangeArrowheads="1"/>
                    </pic:cNvPicPr>
                  </pic:nvPicPr>
                  <pic:blipFill>
                    <a:blip r:embed="rId113">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sectPr>
      <w:pgSz w:w="11900" w:h="16838" w:orient="portrait"/>
      <w:cols w:equalWidth="0" w:num="1">
        <w:col w:w="10992"/>
      </w:cols>
      <w:pgMar w:left="248" w:top="341" w:right="65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737B8DDC"/>
    <w:multiLevelType w:val="hybridMultilevel"/>
    <w:lvl w:ilvl="0">
      <w:lvlJc w:val="left"/>
      <w:lvlText w:val="*"/>
      <w:numFmt w:val="bullet"/>
      <w:start w:val="1"/>
    </w:lvl>
  </w:abstractNum>
  <w:abstractNum w:abstractNumId="1">
    <w:nsid w:val="6CEAF087"/>
    <w:multiLevelType w:val="hybridMultilevel"/>
    <w:lvl w:ilvl="0">
      <w:lvlJc w:val="left"/>
      <w:lvlText w:val="(%1)"/>
      <w:numFmt w:val="lowerLetter"/>
      <w:start w:val="1"/>
    </w:lvl>
  </w:abstractNum>
  <w:abstractNum w:abstractNumId="2">
    <w:nsid w:val="22221A70"/>
    <w:multiLevelType w:val="hybridMultilevel"/>
    <w:lvl w:ilvl="0">
      <w:lvlJc w:val="left"/>
      <w:lvlText w:val="(%1)"/>
      <w:numFmt w:val="lowerLetter"/>
      <w:start w:val="1"/>
    </w:lvl>
  </w:abstractNum>
  <w:abstractNum w:abstractNumId="3">
    <w:nsid w:val="4516DDE9"/>
    <w:multiLevelType w:val="hybridMultilevel"/>
    <w:lvl w:ilvl="0">
      <w:lvlJc w:val="left"/>
      <w:lvlText w:val="(%1)"/>
      <w:numFmt w:val="lowerLetter"/>
      <w:start w:val="1"/>
    </w:lvl>
  </w:abstractNum>
  <w:abstractNum w:abstractNumId="4">
    <w:nsid w:val="3006C83E"/>
    <w:multiLevelType w:val="hybridMultilevel"/>
    <w:lvl w:ilvl="0">
      <w:lvlJc w:val="left"/>
      <w:lvlText w:val="%1"/>
      <w:numFmt w:val="lowerLetter"/>
      <w:start w:val="1"/>
    </w:lvl>
    <w:lvl w:ilvl="1">
      <w:lvlJc w:val="left"/>
      <w:lvlText w:val="(%2)"/>
      <w:numFmt w:val="lowerLetter"/>
      <w:start w:val="1"/>
    </w:lvl>
  </w:abstractNum>
  <w:abstractNum w:abstractNumId="5">
    <w:nsid w:val="614FD4A1"/>
    <w:multiLevelType w:val="hybridMultilevel"/>
    <w:lvl w:ilvl="0">
      <w:lvlJc w:val="left"/>
      <w:lvlText w:val="(%1)"/>
      <w:numFmt w:val="lowerLetter"/>
      <w:start w:val="35"/>
    </w:lvl>
    <w:lvl w:ilvl="1">
      <w:lvlJc w:val="left"/>
      <w:lvlText w:val="(%2)"/>
      <w:numFmt w:val="lowerLetter"/>
      <w:start w:val="3"/>
    </w:lvl>
  </w:abstractNum>
  <w:abstractNum w:abstractNumId="6">
    <w:nsid w:val="419AC241"/>
    <w:multiLevelType w:val="hybridMultilevel"/>
    <w:lvl w:ilvl="0">
      <w:lvlJc w:val="left"/>
      <w:lvlText w:val="(%1)"/>
      <w:numFmt w:val="lowerLetter"/>
      <w:start w:val="4"/>
    </w:lvl>
  </w:abstractNum>
  <w:abstractNum w:abstractNumId="7">
    <w:nsid w:val="5577F8E1"/>
    <w:multiLevelType w:val="hybridMultilevel"/>
    <w:lvl w:ilvl="0">
      <w:lvlJc w:val="left"/>
      <w:lvlText w:val="(%1)"/>
      <w:numFmt w:val="lowerLetter"/>
      <w:start w:val="1"/>
    </w:lvl>
  </w:abstractNum>
  <w:abstractNum w:abstractNumId="8">
    <w:nsid w:val="440BADFC"/>
    <w:multiLevelType w:val="hybridMultilevel"/>
    <w:lvl w:ilvl="0">
      <w:lvlJc w:val="left"/>
      <w:lvlText w:val="%1"/>
      <w:numFmt w:val="lowerLetter"/>
      <w:start w:val="1"/>
    </w:lvl>
    <w:lvl w:ilvl="1">
      <w:lvlJc w:val="left"/>
      <w:lvlText w:val="(%2)"/>
      <w:numFmt w:val="lowerLetter"/>
      <w:start w:val="2"/>
    </w:lvl>
  </w:abstractNum>
  <w:abstractNum w:abstractNumId="9">
    <w:nsid w:val="5072367"/>
    <w:multiLevelType w:val="hybridMultilevel"/>
    <w:lvl w:ilvl="0">
      <w:lvlJc w:val="left"/>
      <w:lvlText w:val="(%1)"/>
      <w:numFmt w:val="lowerLetter"/>
      <w:start w:val="26"/>
    </w:lvl>
    <w:lvl w:ilvl="1">
      <w:lvlJc w:val="left"/>
      <w:lvlText w:val="%2"/>
      <w:numFmt w:val="lowerLetter"/>
      <w:start w:val="1"/>
    </w:lvl>
  </w:abstractNum>
  <w:abstractNum w:abstractNumId="10">
    <w:nsid w:val="3804823E"/>
    <w:multiLevelType w:val="hybridMultilevel"/>
    <w:lvl w:ilvl="0">
      <w:lvlJc w:val="left"/>
      <w:lvlText w:val="(%1)"/>
      <w:numFmt w:val="lowerLetter"/>
      <w:start w:val="35"/>
    </w:lvl>
  </w:abstractNum>
  <w:abstractNum w:abstractNumId="11">
    <w:nsid w:val="77465F01"/>
    <w:multiLevelType w:val="hybridMultilevel"/>
    <w:lvl w:ilvl="0">
      <w:lvlJc w:val="left"/>
      <w:lvlText w:val="(%1)"/>
      <w:numFmt w:val="lowerLetter"/>
      <w:start w:val="1"/>
    </w:lvl>
  </w:abstractNum>
  <w:abstractNum w:abstractNumId="12">
    <w:nsid w:val="7724C67E"/>
    <w:multiLevelType w:val="hybridMultilevel"/>
    <w:lvl w:ilvl="0">
      <w:lvlJc w:val="left"/>
      <w:lvlText w:val="(%1)"/>
      <w:numFmt w:val="lowerLetter"/>
      <w:start w:val="1"/>
    </w:lvl>
  </w:abstractNum>
  <w:abstractNum w:abstractNumId="13">
    <w:nsid w:val="5C482A97"/>
    <w:multiLevelType w:val="hybridMultilevel"/>
    <w:lvl w:ilvl="0">
      <w:lvlJc w:val="left"/>
      <w:lvlText w:val="%1"/>
      <w:numFmt w:val="lowerLetter"/>
      <w:start w:val="1"/>
    </w:lvl>
    <w:lvl w:ilvl="1">
      <w:lvlJc w:val="left"/>
      <w:lvlText w:val="(%2)"/>
      <w:numFmt w:val="lowerLetter"/>
      <w:start w:val="2"/>
    </w:lvl>
  </w:abstractNum>
  <w:abstractNum w:abstractNumId="14">
    <w:nsid w:val="2463B9EA"/>
    <w:multiLevelType w:val="hybridMultilevel"/>
    <w:lvl w:ilvl="0">
      <w:lvlJc w:val="left"/>
      <w:lvlText w:val="(%1)"/>
      <w:numFmt w:val="lowerLetter"/>
      <w:start w:val="35"/>
    </w:lvl>
    <w:lvl w:ilvl="1">
      <w:lvlJc w:val="left"/>
      <w:lvlText w:val="%2"/>
      <w:numFmt w:val="lowerLetter"/>
      <w:start w:val="1"/>
    </w:lvl>
  </w:abstractNum>
  <w:abstractNum w:abstractNumId="15">
    <w:nsid w:val="5E884ADC"/>
    <w:multiLevelType w:val="hybridMultilevel"/>
    <w:lvl w:ilvl="0">
      <w:lvlJc w:val="left"/>
      <w:lvlText w:val="(%1)"/>
      <w:numFmt w:val="lowerRoman"/>
      <w:start w:val="1"/>
    </w:lvl>
  </w:abstractNum>
  <w:abstractNum w:abstractNumId="16">
    <w:nsid w:val="51EAD36B"/>
    <w:multiLevelType w:val="hybridMultilevel"/>
    <w:lvl w:ilvl="0">
      <w:lvlJc w:val="left"/>
      <w:lvlText w:val="(%1)"/>
      <w:numFmt w:val="lowerLetter"/>
      <w:start w:val="2"/>
    </w:lvl>
  </w:abstractNum>
  <w:abstractNum w:abstractNumId="17">
    <w:nsid w:val="2D517796"/>
    <w:multiLevelType w:val="hybridMultilevel"/>
    <w:lvl w:ilvl="0">
      <w:lvlJc w:val="left"/>
      <w:lvlText w:val="%1"/>
      <w:numFmt w:val="lowerLetter"/>
      <w:start w:val="1"/>
    </w:lvl>
    <w:lvl w:ilvl="1">
      <w:lvlJc w:val="left"/>
      <w:lvlText w:val="(%2)"/>
      <w:numFmt w:val="lowerLetter"/>
      <w:start w:val="1"/>
    </w:lvl>
  </w:abstractNum>
  <w:abstractNum w:abstractNumId="18">
    <w:nsid w:val="580BD78F"/>
    <w:multiLevelType w:val="hybridMultilevel"/>
    <w:lvl w:ilvl="0">
      <w:lvlJc w:val="left"/>
      <w:lvlText w:val="(%1)"/>
      <w:numFmt w:val="lowerLetter"/>
      <w:start w:val="35"/>
    </w:lvl>
    <w:lvl w:ilvl="1">
      <w:lvlJc w:val="left"/>
      <w:lvlText w:val="%2"/>
      <w:numFmt w:val="lowerLetter"/>
      <w:start w:val="1"/>
    </w:lvl>
  </w:abstractNum>
  <w:abstractNum w:abstractNumId="19">
    <w:nsid w:val="153EA438"/>
    <w:multiLevelType w:val="hybridMultilevel"/>
    <w:lvl w:ilvl="0">
      <w:lvlJc w:val="left"/>
      <w:lvlText w:val="(%1)"/>
      <w:numFmt w:val="lowerLetter"/>
      <w:start w:val="2"/>
    </w:lvl>
  </w:abstractNum>
  <w:abstractNum w:abstractNumId="20">
    <w:nsid w:val="3855585C"/>
    <w:multiLevelType w:val="hybridMultilevel"/>
    <w:lvl w:ilvl="0">
      <w:lvlJc w:val="left"/>
      <w:lvlText w:val="%1"/>
      <w:numFmt w:val="lowerLetter"/>
      <w:start w:val="1"/>
    </w:lvl>
    <w:lvl w:ilvl="1">
      <w:lvlJc w:val="left"/>
      <w:lvlText w:val="(%2)"/>
      <w:numFmt w:val="lowerLetter"/>
      <w:start w:val="1"/>
    </w:lvl>
  </w:abstractNum>
  <w:abstractNum w:abstractNumId="21">
    <w:nsid w:val="70A64E2A"/>
    <w:multiLevelType w:val="hybridMultilevel"/>
    <w:lvl w:ilvl="0">
      <w:lvlJc w:val="left"/>
      <w:lvlText w:val="(%1)"/>
      <w:numFmt w:val="lowerLetter"/>
      <w:start w:val="9"/>
    </w:lvl>
    <w:lvl w:ilvl="1">
      <w:lvlJc w:val="left"/>
      <w:lvlText w:val="%2"/>
      <w:numFmt w:val="lowerLetter"/>
      <w:start w:val="1"/>
    </w:lvl>
  </w:abstractNum>
  <w:abstractNum w:abstractNumId="22">
    <w:nsid w:val="6A2342EC"/>
    <w:multiLevelType w:val="hybridMultilevel"/>
    <w:lvl w:ilvl="0">
      <w:lvlJc w:val="left"/>
      <w:lvlText w:val="%1"/>
      <w:numFmt w:val="lowerLetter"/>
      <w:start w:val="1"/>
    </w:lvl>
    <w:lvl w:ilvl="1">
      <w:lvlJc w:val="left"/>
      <w:lvlText w:val="(%2)"/>
      <w:numFmt w:val="lowerLetter"/>
      <w:start w:val="3"/>
    </w:lvl>
  </w:abstractNum>
  <w:abstractNum w:abstractNumId="23">
    <w:nsid w:val="2A487CB0"/>
    <w:multiLevelType w:val="hybridMultilevel"/>
    <w:lvl w:ilvl="0">
      <w:lvlJc w:val="left"/>
      <w:lvlText w:val="(%1)"/>
      <w:numFmt w:val="lowerLetter"/>
      <w:start w:val="2"/>
    </w:lvl>
    <w:lvl w:ilvl="1">
      <w:lvlJc w:val="left"/>
      <w:lvlText w:val="(%2)"/>
      <w:numFmt w:val="lowerLetter"/>
      <w:start w:val="4"/>
    </w:lvl>
  </w:abstractNum>
  <w:abstractNum w:abstractNumId="24">
    <w:nsid w:val="1D4ED43B"/>
    <w:multiLevelType w:val="hybridMultilevel"/>
    <w:lvl w:ilvl="0">
      <w:lvlJc w:val="left"/>
      <w:lvlText w:val="(%1)"/>
      <w:numFmt w:val="lowerLetter"/>
      <w:start w:val="1"/>
    </w:lvl>
  </w:abstractNum>
  <w:abstractNum w:abstractNumId="25">
    <w:nsid w:val="725A06FB"/>
    <w:multiLevelType w:val="hybridMultilevel"/>
    <w:lvl w:ilvl="0">
      <w:lvlJc w:val="left"/>
      <w:lvlText w:val="(%1)"/>
      <w:numFmt w:val="lowerLetter"/>
      <w:start w:val="1"/>
    </w:lvl>
  </w:abstractNum>
  <w:abstractNum w:abstractNumId="26">
    <w:nsid w:val="2CD89A32"/>
    <w:multiLevelType w:val="hybridMultilevel"/>
    <w:lvl w:ilvl="0">
      <w:lvlJc w:val="left"/>
      <w:lvlText w:val="(%1)"/>
      <w:numFmt w:val="lowerLetter"/>
      <w:start w:val="2"/>
    </w:lvl>
  </w:abstractNum>
  <w:abstractNum w:abstractNumId="27">
    <w:nsid w:val="57E4CCAF"/>
    <w:multiLevelType w:val="hybridMultilevel"/>
    <w:lvl w:ilvl="0">
      <w:lvlJc w:val="left"/>
      <w:lvlText w:val="(%1)"/>
      <w:numFmt w:val="lowerLetter"/>
      <w:start w:val="1"/>
    </w:lvl>
  </w:abstractNum>
  <w:abstractNum w:abstractNumId="28">
    <w:nsid w:val="7A6D8D3C"/>
    <w:multiLevelType w:val="hybridMultilevel"/>
    <w:lvl w:ilvl="0">
      <w:lvlJc w:val="left"/>
      <w:lvlText w:val="(%1)"/>
      <w:numFmt w:val="decimal"/>
      <w:start w:val="1"/>
    </w:lvl>
  </w:abstractNum>
  <w:abstractNum w:abstractNumId="29">
    <w:nsid w:val="4B588F54"/>
    <w:multiLevelType w:val="hybridMultilevel"/>
    <w:lvl w:ilvl="0">
      <w:lvlJc w:val="left"/>
      <w:lvlText w:val="(%1)"/>
      <w:numFmt w:val="decimal"/>
      <w:start w:val="2"/>
    </w:lvl>
  </w:abstractNum>
  <w:abstractNum w:abstractNumId="30">
    <w:nsid w:val="542289EC"/>
    <w:multiLevelType w:val="hybridMultilevel"/>
    <w:lvl w:ilvl="0">
      <w:lvlJc w:val="left"/>
      <w:lvlText w:val="(%1)"/>
      <w:numFmt w:val="decimal"/>
      <w:start w:val="3"/>
    </w:lvl>
  </w:abstractNum>
  <w:abstractNum w:abstractNumId="31">
    <w:nsid w:val="6DE91B18"/>
    <w:multiLevelType w:val="hybridMultilevel"/>
    <w:lvl w:ilvl="0">
      <w:lvlJc w:val="left"/>
      <w:lvlText w:val="(%1)"/>
      <w:numFmt w:val="decimal"/>
      <w:start w:val="4"/>
    </w:lvl>
  </w:abstractNum>
  <w:abstractNum w:abstractNumId="32">
    <w:nsid w:val="38437FDB"/>
    <w:multiLevelType w:val="hybridMultilevel"/>
    <w:lvl w:ilvl="0">
      <w:lvlJc w:val="left"/>
      <w:lvlText w:val="(%1)"/>
      <w:numFmt w:val="decimal"/>
      <w:start w:val="5"/>
    </w:lvl>
  </w:abstractNum>
  <w:abstractNum w:abstractNumId="33">
    <w:nsid w:val="7644A45C"/>
    <w:multiLevelType w:val="hybridMultilevel"/>
    <w:lvl w:ilvl="0">
      <w:lvlJc w:val="left"/>
      <w:lvlText w:val="(%1)"/>
      <w:numFmt w:val="decimal"/>
      <w:start w:val="7"/>
    </w:lvl>
  </w:abstractNum>
  <w:abstractNum w:abstractNumId="34">
    <w:nsid w:val="32FFF902"/>
    <w:multiLevelType w:val="hybridMultilevel"/>
    <w:lvl w:ilvl="0">
      <w:lvlJc w:val="left"/>
      <w:lvlText w:val="(%1)"/>
      <w:numFmt w:val="decimal"/>
      <w:start w:val="10"/>
    </w:lvl>
    <w:lvl w:ilvl="1">
      <w:lvlJc w:val="left"/>
      <w:lvlText w:val="(%2)"/>
      <w:numFmt w:val="lowerRoman"/>
      <w:start w:val="1"/>
    </w:lvl>
  </w:abstractNum>
  <w:abstractNum w:abstractNumId="35">
    <w:nsid w:val="684A481A"/>
    <w:multiLevelType w:val="hybridMultilevel"/>
    <w:lvl w:ilvl="0">
      <w:lvlJc w:val="left"/>
      <w:lvlText w:val="(%1)"/>
      <w:numFmt w:val="lowerRoman"/>
      <w:start w:val="2"/>
    </w:lvl>
  </w:abstractNum>
  <w:abstractNum w:abstractNumId="36">
    <w:nsid w:val="579478FE"/>
    <w:multiLevelType w:val="hybridMultilevel"/>
    <w:lvl w:ilvl="0">
      <w:lvlJc w:val="left"/>
      <w:lvlText w:val="(%1)"/>
      <w:numFmt w:val="lowerLetter"/>
      <w:start w:val="1"/>
    </w:lvl>
  </w:abstractNum>
  <w:abstractNum w:abstractNumId="37">
    <w:nsid w:val="749ABB43"/>
    <w:multiLevelType w:val="hybridMultilevel"/>
    <w:lvl w:ilvl="0">
      <w:lvlJc w:val="left"/>
      <w:lvlText w:val="(%1)"/>
      <w:numFmt w:val="decimal"/>
      <w:start w:val="12"/>
    </w:lvl>
  </w:abstractNum>
  <w:abstractNum w:abstractNumId="38">
    <w:nsid w:val="3DC240FB"/>
    <w:multiLevelType w:val="hybridMultilevel"/>
    <w:lvl w:ilvl="0">
      <w:lvlJc w:val="left"/>
      <w:lvlText w:val="(%1)"/>
      <w:numFmt w:val="decimal"/>
      <w:start w:val="13"/>
    </w:lvl>
  </w:abstractNum>
  <w:abstractNum w:abstractNumId="39">
    <w:nsid w:val="1BA026FA"/>
    <w:multiLevelType w:val="hybridMultilevel"/>
    <w:lvl w:ilvl="0">
      <w:lvlJc w:val="left"/>
      <w:lvlText w:val="(%1)"/>
      <w:numFmt w:val="decimal"/>
      <w:start w:val="15"/>
    </w:lvl>
  </w:abstractNum>
  <w:abstractNum w:abstractNumId="40">
    <w:nsid w:val="79A1DEAA"/>
    <w:multiLevelType w:val="hybridMultilevel"/>
    <w:lvl w:ilvl="0">
      <w:lvlJc w:val="left"/>
      <w:lvlText w:val="(%1)"/>
      <w:numFmt w:val="lowerLetter"/>
      <w:start w:val="2"/>
    </w:lvl>
  </w:abstractNum>
  <w:abstractNum w:abstractNumId="41">
    <w:nsid w:val="75C6C33A"/>
    <w:multiLevelType w:val="hybridMultilevel"/>
    <w:lvl w:ilvl="0">
      <w:lvlJc w:val="left"/>
      <w:lvlText w:val="(%1)"/>
      <w:numFmt w:val="lowerLetter"/>
      <w:start w:val="3"/>
    </w:lvl>
  </w:abstractNum>
  <w:abstractNum w:abstractNumId="42">
    <w:nsid w:val="12E685FB"/>
    <w:multiLevelType w:val="hybridMultilevel"/>
    <w:lvl w:ilvl="0">
      <w:lvlJc w:val="left"/>
      <w:lvlText w:val="%1"/>
      <w:numFmt w:val="lowerLetter"/>
      <w:start w:val="1"/>
    </w:lvl>
    <w:lvl w:ilvl="1">
      <w:lvlJc w:val="left"/>
      <w:lvlText w:val="(%2)"/>
      <w:numFmt w:val="lowerLetter"/>
      <w:start w:val="4"/>
    </w:lvl>
  </w:abstractNum>
  <w:abstractNum w:abstractNumId="43">
    <w:nsid w:val="70C6A529"/>
    <w:multiLevelType w:val="hybridMultilevel"/>
    <w:lvl w:ilvl="0">
      <w:lvlJc w:val="left"/>
      <w:lvlText w:val="(%1)"/>
      <w:numFmt w:val="lowerLetter"/>
      <w:start w:val="61"/>
    </w:lvl>
    <w:lvl w:ilvl="1">
      <w:lvlJc w:val="left"/>
      <w:lvlText w:val="%2"/>
      <w:numFmt w:val="lowerLetter"/>
      <w:start w:val="1"/>
    </w:lvl>
  </w:abstractNum>
  <w:abstractNum w:abstractNumId="44">
    <w:nsid w:val="520EEDD1"/>
    <w:multiLevelType w:val="hybridMultilevel"/>
    <w:lvl w:ilvl="0">
      <w:lvlJc w:val="left"/>
      <w:lvlText w:val="(%1)"/>
      <w:numFmt w:val="lowerLetter"/>
      <w:start w:val="5"/>
    </w:lvl>
  </w:abstractNum>
  <w:abstractNum w:abstractNumId="45">
    <w:nsid w:val="374A3FE6"/>
    <w:multiLevelType w:val="hybridMultilevel"/>
    <w:lvl w:ilvl="0">
      <w:lvlJc w:val="left"/>
      <w:lvlText w:val="(%1)"/>
      <w:numFmt w:val="lowerRoman"/>
      <w:start w:val="1"/>
    </w:lvl>
  </w:abstractNum>
  <w:abstractNum w:abstractNumId="46">
    <w:nsid w:val="4F4EF005"/>
    <w:multiLevelType w:val="hybridMultilevel"/>
    <w:lvl w:ilvl="0">
      <w:lvlJc w:val="left"/>
      <w:lvlText w:val="(%1)"/>
      <w:numFmt w:val="decimal"/>
      <w:start w:val="16"/>
    </w:lvl>
  </w:abstractNum>
  <w:abstractNum w:abstractNumId="47">
    <w:nsid w:val="23F9C13C"/>
    <w:multiLevelType w:val="hybridMultilevel"/>
    <w:lvl w:ilvl="0">
      <w:lvlJc w:val="left"/>
      <w:lvlText w:val="(%1)"/>
      <w:numFmt w:val="decimal"/>
      <w:start w:val="17"/>
    </w:lvl>
  </w:abstractNum>
  <w:abstractNum w:abstractNumId="48">
    <w:nsid w:val="649BB77C"/>
    <w:multiLevelType w:val="hybridMultilevel"/>
    <w:lvl w:ilvl="0">
      <w:lvlJc w:val="left"/>
      <w:lvlText w:val="(%1)"/>
      <w:numFmt w:val="decimal"/>
      <w:start w:val="18"/>
    </w:lvl>
  </w:abstractNum>
  <w:abstractNum w:abstractNumId="49">
    <w:nsid w:val="275AC794"/>
    <w:multiLevelType w:val="hybridMultilevel"/>
    <w:lvl w:ilvl="0">
      <w:lvlJc w:val="left"/>
      <w:lvlText w:val="(%1)"/>
      <w:numFmt w:val="decimal"/>
      <w:start w:val="19"/>
    </w:lvl>
  </w:abstractNum>
  <w:abstractNum w:abstractNumId="50">
    <w:nsid w:val="39386575"/>
    <w:multiLevelType w:val="hybridMultilevel"/>
    <w:lvl w:ilvl="0">
      <w:lvlJc w:val="left"/>
      <w:lvlText w:val="(%1)"/>
      <w:numFmt w:val="decimal"/>
      <w:start w:val="20"/>
    </w:lvl>
  </w:abstractNum>
  <w:abstractNum w:abstractNumId="51">
    <w:nsid w:val="1CF10FD8"/>
    <w:multiLevelType w:val="hybridMultilevel"/>
    <w:lvl w:ilvl="0">
      <w:lvlJc w:val="left"/>
      <w:lvlText w:val="(%1)"/>
      <w:numFmt w:val="decimal"/>
      <w:start w:val="21"/>
    </w:lvl>
  </w:abstractNum>
  <w:abstractNum w:abstractNumId="52">
    <w:nsid w:val="180115BE"/>
    <w:multiLevelType w:val="hybridMultilevel"/>
    <w:lvl w:ilvl="0">
      <w:lvlJc w:val="left"/>
      <w:lvlText w:val="(%1)"/>
      <w:numFmt w:val="decimal"/>
      <w:start w:val="22"/>
    </w:lvl>
  </w:abstractNum>
  <w:abstractNum w:abstractNumId="53">
    <w:nsid w:val="235BA861"/>
    <w:multiLevelType w:val="hybridMultilevel"/>
    <w:lvl w:ilvl="0">
      <w:lvlJc w:val="left"/>
      <w:lvlText w:val="(%1)"/>
      <w:numFmt w:val="decimal"/>
      <w:start w:val="23"/>
    </w:lvl>
  </w:abstractNum>
  <w:abstractNum w:abstractNumId="54">
    <w:nsid w:val="47398C89"/>
    <w:multiLevelType w:val="hybridMultilevel"/>
    <w:lvl w:ilvl="0">
      <w:lvlJc w:val="left"/>
      <w:lvlText w:val="(%1)"/>
      <w:numFmt w:val="decimal"/>
      <w:start w:val="24"/>
    </w:lvl>
  </w:abstractNum>
  <w:abstractNum w:abstractNumId="55">
    <w:nsid w:val="354FE9F9"/>
    <w:multiLevelType w:val="hybridMultilevel"/>
    <w:lvl w:ilvl="0">
      <w:lvlJc w:val="left"/>
      <w:lvlText w:val="(%1)"/>
      <w:numFmt w:val="decimal"/>
      <w:start w:val="25"/>
    </w:lvl>
  </w:abstractNum>
  <w:abstractNum w:abstractNumId="56">
    <w:nsid w:val="15B5AF5C"/>
    <w:multiLevelType w:val="hybridMultilevel"/>
    <w:lvl w:ilvl="0">
      <w:lvlJc w:val="left"/>
      <w:lvlText w:val="(%1)"/>
      <w:numFmt w:val="lowerLetter"/>
      <w:start w:val="1"/>
    </w:lvl>
  </w:abstractNum>
  <w:abstractNum w:abstractNumId="57">
    <w:nsid w:val="741226BB"/>
    <w:multiLevelType w:val="hybridMultilevel"/>
    <w:lvl w:ilvl="0">
      <w:lvlJc w:val="left"/>
      <w:lvlText w:val="(%1)"/>
      <w:numFmt w:val="decimal"/>
      <w:start w:val="26"/>
    </w:lvl>
  </w:abstractNum>
  <w:abstractNum w:abstractNumId="58">
    <w:nsid w:val="D34B6A8"/>
    <w:multiLevelType w:val="hybridMultilevel"/>
    <w:lvl w:ilvl="0">
      <w:lvlJc w:val="left"/>
      <w:lvlText w:val="%1."/>
      <w:numFmt w:val="upperLetter"/>
      <w:start w:val="9"/>
    </w:lvl>
  </w:abstractNum>
  <w:abstractNum w:abstractNumId="59">
    <w:nsid w:val="10233C99"/>
    <w:multiLevelType w:val="hybridMultilevel"/>
    <w:lvl w:ilvl="0">
      <w:lvlJc w:val="left"/>
      <w:lvlText w:val="%1."/>
      <w:numFmt w:val="upperLetter"/>
      <w:start w:val="35"/>
    </w:lvl>
  </w:abstractNum>
  <w:abstractNum w:abstractNumId="60">
    <w:nsid w:val="3F6AB60F"/>
    <w:multiLevelType w:val="hybridMultilevel"/>
    <w:lvl w:ilvl="0">
      <w:lvlJc w:val="left"/>
      <w:lvlText w:val="(%1)"/>
      <w:numFmt w:val="lowerRoman"/>
      <w:start w:val="1"/>
    </w:lvl>
  </w:abstractNum>
  <w:abstractNum w:abstractNumId="61">
    <w:nsid w:val="61574095"/>
    <w:multiLevelType w:val="hybridMultilevel"/>
    <w:lvl w:ilvl="0">
      <w:lvlJc w:val="left"/>
      <w:lvlText w:val="(%1)"/>
      <w:numFmt w:val="lowerRoman"/>
      <w:start w:val="5"/>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 w:numId="28">
    <w:abstractNumId w:val="27"/>
  </w:num>
  <w:num w:numId="29">
    <w:abstractNumId w:val="28"/>
  </w:num>
  <w:num w:numId="30">
    <w:abstractNumId w:val="29"/>
  </w:num>
  <w:num w:numId="31">
    <w:abstractNumId w:val="30"/>
  </w:num>
  <w:num w:numId="32">
    <w:abstractNumId w:val="31"/>
  </w:num>
  <w:num w:numId="33">
    <w:abstractNumId w:val="32"/>
  </w:num>
  <w:num w:numId="34">
    <w:abstractNumId w:val="33"/>
  </w:num>
  <w:num w:numId="35">
    <w:abstractNumId w:val="34"/>
  </w:num>
  <w:num w:numId="36">
    <w:abstractNumId w:val="35"/>
  </w:num>
  <w:num w:numId="37">
    <w:abstractNumId w:val="36"/>
  </w:num>
  <w:num w:numId="38">
    <w:abstractNumId w:val="37"/>
  </w:num>
  <w:num w:numId="39">
    <w:abstractNumId w:val="38"/>
  </w:num>
  <w:num w:numId="40">
    <w:abstractNumId w:val="39"/>
  </w:num>
  <w:num w:numId="41">
    <w:abstractNumId w:val="40"/>
  </w:num>
  <w:num w:numId="42">
    <w:abstractNumId w:val="41"/>
  </w:num>
  <w:num w:numId="43">
    <w:abstractNumId w:val="42"/>
  </w:num>
  <w:num w:numId="44">
    <w:abstractNumId w:val="43"/>
  </w:num>
  <w:num w:numId="45">
    <w:abstractNumId w:val="44"/>
  </w:num>
  <w:num w:numId="46">
    <w:abstractNumId w:val="45"/>
  </w:num>
  <w:num w:numId="47">
    <w:abstractNumId w:val="46"/>
  </w:num>
  <w:num w:numId="48">
    <w:abstractNumId w:val="47"/>
  </w:num>
  <w:num w:numId="49">
    <w:abstractNumId w:val="48"/>
  </w:num>
  <w:num w:numId="50">
    <w:abstractNumId w:val="49"/>
  </w:num>
  <w:num w:numId="51">
    <w:abstractNumId w:val="50"/>
  </w:num>
  <w:num w:numId="52">
    <w:abstractNumId w:val="51"/>
  </w:num>
  <w:num w:numId="53">
    <w:abstractNumId w:val="52"/>
  </w:num>
  <w:num w:numId="54">
    <w:abstractNumId w:val="53"/>
  </w:num>
  <w:num w:numId="55">
    <w:abstractNumId w:val="54"/>
  </w:num>
  <w:num w:numId="56">
    <w:abstractNumId w:val="55"/>
  </w:num>
  <w:num w:numId="57">
    <w:abstractNumId w:val="56"/>
  </w:num>
  <w:num w:numId="58">
    <w:abstractNumId w:val="57"/>
  </w:num>
  <w:num w:numId="59">
    <w:abstractNumId w:val="58"/>
  </w:num>
  <w:num w:numId="60">
    <w:abstractNumId w:val="59"/>
  </w:num>
  <w:num w:numId="61">
    <w:abstractNumId w:val="60"/>
  </w:num>
  <w:num w:numId="62">
    <w:abstractNumId w:val="6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png"/><Relationship Id="rId45" Type="http://schemas.openxmlformats.org/officeDocument/2006/relationships/image" Target="media/image38.png"/><Relationship Id="rId46" Type="http://schemas.openxmlformats.org/officeDocument/2006/relationships/image" Target="media/image39.png"/><Relationship Id="rId47" Type="http://schemas.openxmlformats.org/officeDocument/2006/relationships/image" Target="media/image40.png"/><Relationship Id="rId48" Type="http://schemas.openxmlformats.org/officeDocument/2006/relationships/image" Target="media/image41.png"/><Relationship Id="rId49" Type="http://schemas.openxmlformats.org/officeDocument/2006/relationships/image" Target="media/image42.png"/><Relationship Id="rId50" Type="http://schemas.openxmlformats.org/officeDocument/2006/relationships/image" Target="media/image43.png"/><Relationship Id="rId51" Type="http://schemas.openxmlformats.org/officeDocument/2006/relationships/image" Target="media/image44.png"/><Relationship Id="rId52" Type="http://schemas.openxmlformats.org/officeDocument/2006/relationships/image" Target="media/image45.png"/><Relationship Id="rId53" Type="http://schemas.openxmlformats.org/officeDocument/2006/relationships/image" Target="media/image46.png"/><Relationship Id="rId54" Type="http://schemas.openxmlformats.org/officeDocument/2006/relationships/image" Target="media/image47.png"/><Relationship Id="rId55" Type="http://schemas.openxmlformats.org/officeDocument/2006/relationships/image" Target="media/image48.png"/><Relationship Id="rId56" Type="http://schemas.openxmlformats.org/officeDocument/2006/relationships/image" Target="media/image49.png"/><Relationship Id="rId57" Type="http://schemas.openxmlformats.org/officeDocument/2006/relationships/image" Target="media/image50.png"/><Relationship Id="rId58" Type="http://schemas.openxmlformats.org/officeDocument/2006/relationships/image" Target="media/image51.png"/><Relationship Id="rId59" Type="http://schemas.openxmlformats.org/officeDocument/2006/relationships/image" Target="media/image52.png"/><Relationship Id="rId60" Type="http://schemas.openxmlformats.org/officeDocument/2006/relationships/image" Target="media/image53.png"/><Relationship Id="rId61" Type="http://schemas.openxmlformats.org/officeDocument/2006/relationships/image" Target="media/image54.png"/><Relationship Id="rId62" Type="http://schemas.openxmlformats.org/officeDocument/2006/relationships/image" Target="media/image55.png"/><Relationship Id="rId63" Type="http://schemas.openxmlformats.org/officeDocument/2006/relationships/image" Target="media/image56.png"/><Relationship Id="rId64" Type="http://schemas.openxmlformats.org/officeDocument/2006/relationships/image" Target="media/image57.png"/><Relationship Id="rId65" Type="http://schemas.openxmlformats.org/officeDocument/2006/relationships/image" Target="media/image58.png"/><Relationship Id="rId66" Type="http://schemas.openxmlformats.org/officeDocument/2006/relationships/image" Target="media/image59.png"/><Relationship Id="rId67" Type="http://schemas.openxmlformats.org/officeDocument/2006/relationships/image" Target="media/image60.png"/><Relationship Id="rId68" Type="http://schemas.openxmlformats.org/officeDocument/2006/relationships/image" Target="media/image61.png"/><Relationship Id="rId69" Type="http://schemas.openxmlformats.org/officeDocument/2006/relationships/image" Target="media/image62.png"/><Relationship Id="rId70" Type="http://schemas.openxmlformats.org/officeDocument/2006/relationships/image" Target="media/image63.png"/><Relationship Id="rId71" Type="http://schemas.openxmlformats.org/officeDocument/2006/relationships/image" Target="media/image64.png"/><Relationship Id="rId72" Type="http://schemas.openxmlformats.org/officeDocument/2006/relationships/image" Target="media/image65.png"/><Relationship Id="rId73" Type="http://schemas.openxmlformats.org/officeDocument/2006/relationships/image" Target="media/image66.png"/><Relationship Id="rId74" Type="http://schemas.openxmlformats.org/officeDocument/2006/relationships/image" Target="media/image67.png"/><Relationship Id="rId75" Type="http://schemas.openxmlformats.org/officeDocument/2006/relationships/image" Target="media/image68.png"/><Relationship Id="rId76" Type="http://schemas.openxmlformats.org/officeDocument/2006/relationships/image" Target="media/image69.png"/><Relationship Id="rId77" Type="http://schemas.openxmlformats.org/officeDocument/2006/relationships/image" Target="media/image70.png"/><Relationship Id="rId78" Type="http://schemas.openxmlformats.org/officeDocument/2006/relationships/image" Target="media/image71.png"/><Relationship Id="rId79" Type="http://schemas.openxmlformats.org/officeDocument/2006/relationships/image" Target="media/image72.png"/><Relationship Id="rId80" Type="http://schemas.openxmlformats.org/officeDocument/2006/relationships/image" Target="media/image73.png"/><Relationship Id="rId81" Type="http://schemas.openxmlformats.org/officeDocument/2006/relationships/image" Target="media/image74.png"/><Relationship Id="rId82" Type="http://schemas.openxmlformats.org/officeDocument/2006/relationships/image" Target="media/image75.png"/><Relationship Id="rId83" Type="http://schemas.openxmlformats.org/officeDocument/2006/relationships/image" Target="media/image76.png"/><Relationship Id="rId84" Type="http://schemas.openxmlformats.org/officeDocument/2006/relationships/image" Target="media/image77.png"/><Relationship Id="rId85" Type="http://schemas.openxmlformats.org/officeDocument/2006/relationships/image" Target="media/image78.png"/><Relationship Id="rId86" Type="http://schemas.openxmlformats.org/officeDocument/2006/relationships/image" Target="media/image79.png"/><Relationship Id="rId87" Type="http://schemas.openxmlformats.org/officeDocument/2006/relationships/image" Target="media/image80.png"/><Relationship Id="rId88" Type="http://schemas.openxmlformats.org/officeDocument/2006/relationships/image" Target="media/image81.png"/><Relationship Id="rId89" Type="http://schemas.openxmlformats.org/officeDocument/2006/relationships/image" Target="media/image82.png"/><Relationship Id="rId90" Type="http://schemas.openxmlformats.org/officeDocument/2006/relationships/image" Target="media/image83.png"/><Relationship Id="rId91" Type="http://schemas.openxmlformats.org/officeDocument/2006/relationships/image" Target="media/image84.png"/><Relationship Id="rId92" Type="http://schemas.openxmlformats.org/officeDocument/2006/relationships/image" Target="media/image85.png"/><Relationship Id="rId93" Type="http://schemas.openxmlformats.org/officeDocument/2006/relationships/image" Target="media/image86.png"/><Relationship Id="rId94" Type="http://schemas.openxmlformats.org/officeDocument/2006/relationships/image" Target="media/image87.png"/><Relationship Id="rId95" Type="http://schemas.openxmlformats.org/officeDocument/2006/relationships/image" Target="media/image88.png"/><Relationship Id="rId96" Type="http://schemas.openxmlformats.org/officeDocument/2006/relationships/image" Target="media/image89.png"/><Relationship Id="rId97" Type="http://schemas.openxmlformats.org/officeDocument/2006/relationships/image" Target="media/image90.png"/><Relationship Id="rId98" Type="http://schemas.openxmlformats.org/officeDocument/2006/relationships/image" Target="media/image91.png"/><Relationship Id="rId99" Type="http://schemas.openxmlformats.org/officeDocument/2006/relationships/image" Target="media/image92.png"/><Relationship Id="rId100" Type="http://schemas.openxmlformats.org/officeDocument/2006/relationships/image" Target="media/image93.png"/><Relationship Id="rId101" Type="http://schemas.openxmlformats.org/officeDocument/2006/relationships/image" Target="media/image94.png"/><Relationship Id="rId102" Type="http://schemas.openxmlformats.org/officeDocument/2006/relationships/image" Target="media/image95.png"/><Relationship Id="rId103" Type="http://schemas.openxmlformats.org/officeDocument/2006/relationships/image" Target="media/image96.png"/><Relationship Id="rId104" Type="http://schemas.openxmlformats.org/officeDocument/2006/relationships/image" Target="media/image97.png"/><Relationship Id="rId105" Type="http://schemas.openxmlformats.org/officeDocument/2006/relationships/image" Target="media/image98.png"/><Relationship Id="rId106" Type="http://schemas.openxmlformats.org/officeDocument/2006/relationships/image" Target="media/image99.png"/><Relationship Id="rId107" Type="http://schemas.openxmlformats.org/officeDocument/2006/relationships/image" Target="media/image100.png"/><Relationship Id="rId108" Type="http://schemas.openxmlformats.org/officeDocument/2006/relationships/image" Target="media/image101.png"/><Relationship Id="rId109" Type="http://schemas.openxmlformats.org/officeDocument/2006/relationships/image" Target="media/image102.png"/><Relationship Id="rId110" Type="http://schemas.openxmlformats.org/officeDocument/2006/relationships/image" Target="media/image103.png"/><Relationship Id="rId111" Type="http://schemas.openxmlformats.org/officeDocument/2006/relationships/image" Target="media/image104.png"/><Relationship Id="rId112" Type="http://schemas.openxmlformats.org/officeDocument/2006/relationships/image" Target="media/image105.png"/><Relationship Id="rId113" Type="http://schemas.openxmlformats.org/officeDocument/2006/relationships/image" Target="media/image106.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2019-12-21T01:39:20Z</dcterms:created>
  <dcterms:modified xsi:type="dcterms:W3CDTF">2019-12-21T01:39:20Z</dcterms:modified>
</cp:coreProperties>
</file>