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3"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45" w:right="339" w:bottom="1440" w:gutter="0" w:footer="0" w:header="0"/>
        </w:sectPr>
      </w:pPr>
    </w:p>
    <w:p>
      <w:pPr>
        <w:spacing w:after="0" w:line="7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46" w:lineRule="exact"/>
        <w:rPr>
          <w:sz w:val="24"/>
          <w:szCs w:val="24"/>
          <w:color w:val="auto"/>
        </w:rPr>
      </w:pPr>
    </w:p>
    <w:p>
      <w:pPr>
        <w:sectPr>
          <w:pgSz w:w="11900" w:h="16838" w:orient="portrait"/>
          <w:cols w:equalWidth="0" w:num="2">
            <w:col w:w="6960" w:space="180"/>
            <w:col w:w="4100"/>
          </w:cols>
          <w:pgMar w:left="320" w:top="9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8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2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720" w:type="dxa"/>
            <w:vAlign w:val="bottom"/>
            <w:gridSpan w:val="2"/>
          </w:tcPr>
          <w:p>
            <w:pPr>
              <w:jc w:val="right"/>
              <w:ind w:right="208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54"/>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22"/>
                <w:szCs w:val="22"/>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4440" w:type="dxa"/>
            <w:vAlign w:val="bottom"/>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4440" w:type="dxa"/>
            <w:vAlign w:val="bottom"/>
          </w:tcPr>
          <w:p>
            <w:pPr>
              <w:jc w:val="center"/>
              <w:ind w:right="401"/>
              <w:spacing w:after="0"/>
              <w:rPr>
                <w:sz w:val="20"/>
                <w:szCs w:val="20"/>
                <w:color w:val="auto"/>
              </w:rPr>
            </w:pPr>
            <w:r>
              <w:rPr>
                <w:rFonts w:ascii="Times New Roman" w:cs="Times New Roman" w:eastAsia="Times New Roman" w:hAnsi="Times New Roman"/>
                <w:sz w:val="16"/>
                <w:szCs w:val="16"/>
                <w:color w:val="auto"/>
              </w:rPr>
              <w:t>American Depositary Shares, each representing five ordinary</w:t>
            </w:r>
          </w:p>
        </w:tc>
        <w:tc>
          <w:tcPr>
            <w:tcW w:w="2340" w:type="dxa"/>
            <w:vAlign w:val="bottom"/>
          </w:tcPr>
          <w:p>
            <w:pPr>
              <w:jc w:val="center"/>
              <w:ind w:right="204"/>
              <w:spacing w:after="0"/>
              <w:rPr>
                <w:sz w:val="20"/>
                <w:szCs w:val="20"/>
                <w:color w:val="auto"/>
              </w:rPr>
            </w:pPr>
            <w:r>
              <w:rPr>
                <w:rFonts w:ascii="Times New Roman" w:cs="Times New Roman" w:eastAsia="Times New Roman" w:hAnsi="Times New Roman"/>
                <w:sz w:val="16"/>
                <w:szCs w:val="16"/>
                <w:color w:val="auto"/>
                <w:w w:val="99"/>
              </w:rPr>
              <w:t>MREO</w:t>
            </w:r>
          </w:p>
        </w:tc>
        <w:tc>
          <w:tcPr>
            <w:tcW w:w="3420" w:type="dxa"/>
            <w:vAlign w:val="bottom"/>
          </w:tcPr>
          <w:p>
            <w:pPr>
              <w:jc w:val="center"/>
              <w:ind w:left="62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4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rPr>
              <w:t>shares, nominal value of £0.003 per share</w:t>
            </w:r>
          </w:p>
        </w:tc>
        <w:tc>
          <w:tcPr>
            <w:tcW w:w="23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340" w:type="dxa"/>
            <w:vAlign w:val="bottom"/>
          </w:tcPr>
          <w:p>
            <w:pPr>
              <w:spacing w:after="0"/>
              <w:rPr>
                <w:sz w:val="21"/>
                <w:szCs w:val="21"/>
                <w:color w:val="auto"/>
              </w:rPr>
            </w:pPr>
          </w:p>
        </w:tc>
        <w:tc>
          <w:tcPr>
            <w:tcW w:w="3420" w:type="dxa"/>
            <w:vAlign w:val="bottom"/>
          </w:tcPr>
          <w:p>
            <w:pPr>
              <w:jc w:val="center"/>
              <w:ind w:left="66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8" w:lineRule="exact"/>
        <w:rPr>
          <w:sz w:val="24"/>
          <w:szCs w:val="24"/>
          <w:color w:val="auto"/>
        </w:rPr>
      </w:pPr>
    </w:p>
    <w:p>
      <w:pPr>
        <w:ind w:right="20" w:firstLine="8"/>
        <w:spacing w:after="0" w:line="259"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6"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7"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8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96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Smaller reporting company </w:t>
            </w:r>
            <w:r>
              <w:rPr>
                <w:rFonts w:ascii="MS PGothic" w:cs="MS PGothic" w:eastAsia="MS PGothic" w:hAnsi="MS PGothic"/>
                <w:sz w:val="17"/>
                <w:szCs w:val="17"/>
                <w:color w:val="auto"/>
                <w:w w:val="98"/>
              </w:rPr>
              <w:t>☒</w:t>
            </w:r>
          </w:p>
        </w:tc>
      </w:tr>
      <w:tr>
        <w:trPr>
          <w:trHeight w:val="287"/>
        </w:trPr>
        <w:tc>
          <w:tcPr>
            <w:tcW w:w="2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Emerging growth company </w:t>
            </w:r>
            <w:r>
              <w:rPr>
                <w:rFonts w:ascii="MS PGothic" w:cs="MS PGothic" w:eastAsia="MS PGothic" w:hAnsi="MS PGothic"/>
                <w:sz w:val="17"/>
                <w:szCs w:val="17"/>
                <w:color w:val="auto"/>
                <w:w w:val="98"/>
              </w:rPr>
              <w:t>☒</w:t>
            </w:r>
          </w:p>
        </w:tc>
      </w:tr>
    </w:tbl>
    <w:p>
      <w:pPr>
        <w:spacing w:after="0" w:line="8"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November 11, 2024 the number of outstanding ordinary shares, par value £0.003 per share, of the registrant was 775,728,034.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4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3"/>
        </w:trPr>
        <w:tc>
          <w:tcPr>
            <w:tcW w:w="120" w:type="dxa"/>
            <w:vAlign w:val="bottom"/>
          </w:tcPr>
          <w:p>
            <w:pPr>
              <w:spacing w:after="0"/>
              <w:rPr>
                <w:sz w:val="22"/>
                <w:szCs w:val="22"/>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Item1.</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1229"/>
        </w:trPr>
        <w:tc>
          <w:tcPr>
            <w:tcW w:w="1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42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most recent Annual Report on Form 10-K filed with the SEC on March 27, 2024 "2023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80,522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86,723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63,760</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88,746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5,467</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r>
      <w:tr>
        <w:trPr>
          <w:trHeight w:val="24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4,394</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r>
      <w:tr>
        <w:trPr>
          <w:trHeight w:val="27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16,210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15,962</w:t>
            </w:r>
          </w:p>
        </w:tc>
      </w:tr>
      <w:tr>
        <w:trPr>
          <w:trHeight w:val="217"/>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52"/>
        </w:trPr>
        <w:tc>
          <w:tcPr>
            <w:tcW w:w="7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1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par value £0.003 per share; 773,672,299 shares issued at September 30, 2024</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701,217,089).</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r>
        <w:trPr>
          <w:trHeight w:val="25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536,426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486,107</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(455,837 )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(419,630 )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(17,485 )</w:t>
            </w:r>
          </w:p>
        </w:tc>
      </w:tr>
      <w:tr>
        <w:trPr>
          <w:trHeight w:val="23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72,536</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50,537</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88,746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-4739640</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-4114165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-2691130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-1748155</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-1731010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3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(2,847 )</w:t>
            </w: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(12,109 )</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(12,614 )</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(19,980 )</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(14,827 )</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(32,089 )</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(21,288 )</w:t>
            </w:r>
          </w:p>
        </w:tc>
        <w:tc>
          <w:tcPr>
            <w:tcW w:w="0" w:type="dxa"/>
            <w:vAlign w:val="bottom"/>
          </w:tcPr>
          <w:p>
            <w:pPr>
              <w:spacing w:after="0"/>
              <w:rPr>
                <w:sz w:val="1"/>
                <w:szCs w:val="1"/>
                <w:color w:val="auto"/>
              </w:rPr>
            </w:pPr>
          </w:p>
        </w:tc>
      </w:tr>
      <w:tr>
        <w:trPr>
          <w:trHeight w:val="245"/>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(2,528 )</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(5,780 )</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7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36"/>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770,146,589</w:t>
            </w: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684,974,190</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727,808,860</w:t>
            </w:r>
          </w:p>
        </w:tc>
        <w:tc>
          <w:tcPr>
            <w:tcW w:w="14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645,997,203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7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240" w:type="dxa"/>
            <w:vAlign w:val="bottom"/>
          </w:tcPr>
          <w:p>
            <w:pPr>
              <w:spacing w:after="0"/>
              <w:rPr>
                <w:sz w:val="18"/>
                <w:szCs w:val="18"/>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7,174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(3,579 )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6,381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 of tax</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(7,827 )</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(29,826 )</w:t>
            </w:r>
          </w:p>
        </w:tc>
        <w:tc>
          <w:tcPr>
            <w:tcW w:w="14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-3025140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-3025140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-3025140</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-1782445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-1782445</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-1782445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-1464945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-1464945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-1464945</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-967740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-967740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-967740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93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93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52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1"/>
        </w:trPr>
        <w:tc>
          <w:tcPr>
            <w:tcW w:w="77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(36,207 )</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4,109</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1,613</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income</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loss/(gain)</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(23,414 )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(14,343 )</w:t>
            </w:r>
          </w:p>
        </w:tc>
      </w:tr>
      <w:tr>
        <w:trPr>
          <w:trHeight w:val="248"/>
        </w:trPr>
        <w:tc>
          <w:tcPr>
            <w:tcW w:w="7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(699 )</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financing agreement with TAP</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on convertible loan notes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 of convertible loan notes</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(3,188 )</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46,187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7,973</w:t>
            </w:r>
          </w:p>
        </w:tc>
      </w:tr>
      <w:tr>
        <w:trPr>
          <w:trHeight w:val="248"/>
        </w:trPr>
        <w:tc>
          <w:tcPr>
            <w:tcW w:w="7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23,101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68,182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September 30,</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80,522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62,529</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-3294380</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-1425575</wp:posOffset>
            </wp:positionV>
            <wp:extent cx="111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-645160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8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share options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Delivery of shares on vesting of restricted stock units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share options</w:t>
      </w:r>
    </w:p>
    <w:p>
      <w:pPr>
        <w:spacing w:after="0" w:line="13" w:lineRule="exact"/>
        <w:rPr>
          <w:sz w:val="20"/>
          <w:szCs w:val="20"/>
          <w:color w:val="auto"/>
        </w:rPr>
      </w:pPr>
    </w:p>
    <w:p>
      <w:pPr>
        <w:ind w:left="40" w:right="40"/>
        <w:spacing w:after="0" w:line="238" w:lineRule="auto"/>
        <w:rPr>
          <w:sz w:val="20"/>
          <w:szCs w:val="20"/>
          <w:color w:val="auto"/>
        </w:rPr>
      </w:pPr>
      <w:r>
        <w:rPr>
          <w:rFonts w:ascii="Times New Roman" w:cs="Times New Roman" w:eastAsia="Times New Roman" w:hAnsi="Times New Roman"/>
          <w:sz w:val="13"/>
          <w:szCs w:val="13"/>
          <w:color w:val="auto"/>
        </w:rPr>
        <w:t>Delivery of shares on vesting of performance based restricted stock units</w:t>
      </w:r>
    </w:p>
    <w:p>
      <w:pPr>
        <w:spacing w:after="0" w:line="1" w:lineRule="exact"/>
        <w:rPr>
          <w:sz w:val="20"/>
          <w:szCs w:val="20"/>
          <w:color w:val="auto"/>
        </w:rPr>
      </w:pPr>
    </w:p>
    <w:p>
      <w:pPr>
        <w:ind w:left="40" w:right="1180"/>
        <w:spacing w:after="0" w:line="301" w:lineRule="auto"/>
        <w:rPr>
          <w:sz w:val="20"/>
          <w:szCs w:val="20"/>
          <w:color w:val="auto"/>
        </w:rPr>
      </w:pPr>
      <w:r>
        <w:rPr>
          <w:rFonts w:ascii="Times New Roman" w:cs="Times New Roman" w:eastAsia="Times New Roman" w:hAnsi="Times New Roman"/>
          <w:sz w:val="12"/>
          <w:szCs w:val="12"/>
          <w:color w:val="auto"/>
        </w:rPr>
        <w:t>Issuance of shares, net of discount Transaction costs on issuance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share options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Delivery of shares on vesting of restricted stock units</w:t>
      </w:r>
    </w:p>
    <w:p>
      <w:pPr>
        <w:spacing w:after="0" w:line="13" w:lineRule="exact"/>
        <w:rPr>
          <w:sz w:val="20"/>
          <w:szCs w:val="20"/>
          <w:color w:val="auto"/>
        </w:rPr>
      </w:pPr>
    </w:p>
    <w:p>
      <w:pPr>
        <w:ind w:left="40" w:right="40"/>
        <w:spacing w:after="0" w:line="238" w:lineRule="auto"/>
        <w:rPr>
          <w:sz w:val="20"/>
          <w:szCs w:val="20"/>
          <w:color w:val="auto"/>
        </w:rPr>
      </w:pPr>
      <w:r>
        <w:rPr>
          <w:rFonts w:ascii="Times New Roman" w:cs="Times New Roman" w:eastAsia="Times New Roman" w:hAnsi="Times New Roman"/>
          <w:sz w:val="13"/>
          <w:szCs w:val="13"/>
          <w:color w:val="auto"/>
        </w:rPr>
        <w:t>Delivery of shares on vesting of performance based restricted stock units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September 30, 2024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December 31, 2022</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Extinguishment and reissuance of convertible loan note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March 31, 2023</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right="1080"/>
        <w:spacing w:after="0" w:line="260" w:lineRule="auto"/>
        <w:rPr>
          <w:sz w:val="20"/>
          <w:szCs w:val="20"/>
          <w:color w:val="auto"/>
        </w:rPr>
      </w:pPr>
      <w:r>
        <w:rPr>
          <w:rFonts w:ascii="Times New Roman" w:cs="Times New Roman" w:eastAsia="Times New Roman" w:hAnsi="Times New Roman"/>
          <w:sz w:val="13"/>
          <w:szCs w:val="13"/>
          <w:color w:val="auto"/>
        </w:rPr>
        <w:t>Foreign currency translation adjustments Share-based compensation</w:t>
      </w:r>
    </w:p>
    <w:p>
      <w:pPr>
        <w:ind w:left="40"/>
        <w:spacing w:after="0"/>
        <w:rPr>
          <w:sz w:val="20"/>
          <w:szCs w:val="20"/>
          <w:color w:val="auto"/>
        </w:rPr>
      </w:pPr>
      <w:r>
        <w:rPr>
          <w:rFonts w:ascii="Times New Roman" w:cs="Times New Roman" w:eastAsia="Times New Roman" w:hAnsi="Times New Roman"/>
          <w:sz w:val="12"/>
          <w:szCs w:val="12"/>
          <w:color w:val="auto"/>
        </w:rPr>
        <w:t>Delivery of shares on vesting of deferred restricted stock units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Conversion of convertible loan note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June 30, 2023</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Issuance of shares, net of discount</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Conversion of convertible loan note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September 30, 2023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gridSpan w:val="4"/>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15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0"/>
        </w:trPr>
        <w:tc>
          <w:tcPr>
            <w:tcW w:w="16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3"/>
                <w:szCs w:val="13"/>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98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(1,23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2,775</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923,400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 xml:space="preserve">0 </w:t>
            </w:r>
            <w:r>
              <w:rPr>
                <w:rFonts w:ascii="Times New Roman" w:cs="Times New Roman" w:eastAsia="Times New Roman" w:hAnsi="Times New Roman"/>
                <w:sz w:val="20"/>
                <w:szCs w:val="20"/>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(17,485 )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(419,630 )</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51"/>
        </w:trPr>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62"/>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132,345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(210,485 )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(712,915 )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8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701,349,434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2,775</w:t>
            </w: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486,927</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(18,283 )</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(428,581 )</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42,838</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(12,255 )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(12,255 )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2,088</w:t>
            </w:r>
          </w:p>
        </w:tc>
        <w:tc>
          <w:tcPr>
            <w:tcW w:w="0" w:type="dxa"/>
            <w:vAlign w:val="bottom"/>
          </w:tcPr>
          <w:p>
            <w:pPr>
              <w:spacing w:after="0"/>
              <w:rPr>
                <w:sz w:val="1"/>
                <w:szCs w:val="1"/>
                <w:color w:val="auto"/>
              </w:rPr>
            </w:pPr>
          </w:p>
        </w:tc>
      </w:tr>
      <w:tr>
        <w:trPr>
          <w:trHeight w:val="164"/>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800,890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29"/>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4,014,450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227"/>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62,656,500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46,762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47,000</w:t>
            </w:r>
          </w:p>
        </w:tc>
        <w:tc>
          <w:tcPr>
            <w:tcW w:w="0" w:type="dxa"/>
            <w:vAlign w:val="bottom"/>
          </w:tcPr>
          <w:p>
            <w:pPr>
              <w:spacing w:after="0"/>
              <w:rPr>
                <w:sz w:val="1"/>
                <w:szCs w:val="1"/>
                <w:color w:val="auto"/>
              </w:rPr>
            </w:pPr>
          </w:p>
        </w:tc>
      </w:tr>
      <w:tr>
        <w:trPr>
          <w:trHeight w:val="165"/>
        </w:trPr>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(999 )</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(999 )</w:t>
            </w:r>
          </w:p>
        </w:tc>
        <w:tc>
          <w:tcPr>
            <w:tcW w:w="0" w:type="dxa"/>
            <w:vAlign w:val="bottom"/>
          </w:tcPr>
          <w:p>
            <w:pPr>
              <w:spacing w:after="0"/>
              <w:rPr>
                <w:sz w:val="1"/>
                <w:szCs w:val="1"/>
                <w:color w:val="auto"/>
              </w:rPr>
            </w:pPr>
          </w:p>
        </w:tc>
      </w:tr>
      <w:tr>
        <w:trPr>
          <w:trHeight w:val="157"/>
        </w:trPr>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768,821,274</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3,032</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534,732</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(18,278 )</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(440,836 )</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78,650</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(15,001 )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(15,001 )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7,174</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1,737</w:t>
            </w:r>
          </w:p>
        </w:tc>
        <w:tc>
          <w:tcPr>
            <w:tcW w:w="0" w:type="dxa"/>
            <w:vAlign w:val="bottom"/>
          </w:tcPr>
          <w:p>
            <w:pPr>
              <w:spacing w:after="0"/>
              <w:rPr>
                <w:sz w:val="1"/>
                <w:szCs w:val="1"/>
                <w:color w:val="auto"/>
              </w:rPr>
            </w:pPr>
          </w:p>
        </w:tc>
      </w:tr>
      <w:tr>
        <w:trPr>
          <w:trHeight w:val="162"/>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1,740,840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164"/>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433,880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29"/>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2,676,305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773,672,299</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3,051</w:t>
            </w: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536,426</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(11,104 )</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(455,837 )</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72,536</w:t>
            </w:r>
          </w:p>
        </w:tc>
        <w:tc>
          <w:tcPr>
            <w:tcW w:w="0" w:type="dxa"/>
            <w:vAlign w:val="bottom"/>
          </w:tcPr>
          <w:p>
            <w:pPr>
              <w:spacing w:after="0"/>
              <w:rPr>
                <w:sz w:val="1"/>
                <w:szCs w:val="1"/>
                <w:color w:val="auto"/>
              </w:rPr>
            </w:pPr>
          </w:p>
        </w:tc>
      </w:tr>
      <w:tr>
        <w:trPr>
          <w:trHeight w:val="155"/>
        </w:trPr>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2,478</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 xml:space="preserve">5 </w:t>
            </w:r>
            <w:r>
              <w:rPr>
                <w:rFonts w:ascii="Times New Roman" w:cs="Times New Roman" w:eastAsia="Times New Roman" w:hAnsi="Times New Roman"/>
                <w:sz w:val="20"/>
                <w:szCs w:val="20"/>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476,521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(21,687 )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(404,575 )</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51,402</w:t>
            </w:r>
          </w:p>
        </w:tc>
        <w:tc>
          <w:tcPr>
            <w:tcW w:w="0" w:type="dxa"/>
            <w:vAlign w:val="bottom"/>
          </w:tcPr>
          <w:p>
            <w:pPr>
              <w:spacing w:after="0"/>
              <w:rPr>
                <w:sz w:val="1"/>
                <w:szCs w:val="1"/>
                <w:color w:val="auto"/>
              </w:rPr>
            </w:pPr>
          </w:p>
        </w:tc>
      </w:tr>
      <w:tr>
        <w:trPr>
          <w:trHeight w:val="151"/>
        </w:trPr>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1,161</w:t>
            </w:r>
          </w:p>
        </w:tc>
        <w:tc>
          <w:tcPr>
            <w:tcW w:w="0" w:type="dxa"/>
            <w:vAlign w:val="bottom"/>
          </w:tcPr>
          <w:p>
            <w:pPr>
              <w:spacing w:after="0"/>
              <w:rPr>
                <w:sz w:val="1"/>
                <w:szCs w:val="1"/>
                <w:color w:val="auto"/>
              </w:rPr>
            </w:pPr>
          </w:p>
        </w:tc>
      </w:tr>
      <w:tr>
        <w:trPr>
          <w:trHeight w:val="165"/>
        </w:trPr>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1,635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1,635</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0"/>
              <w:spacing w:after="0" w:line="116" w:lineRule="exact"/>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2,478</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 xml:space="preserve">5 </w:t>
            </w:r>
            <w:r>
              <w:rPr>
                <w:rFonts w:ascii="Times New Roman" w:cs="Times New Roman" w:eastAsia="Times New Roman" w:hAnsi="Times New Roman"/>
                <w:sz w:val="20"/>
                <w:szCs w:val="20"/>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479,317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(19,409 )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(416,651 )</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44,400</w:t>
            </w:r>
          </w:p>
        </w:tc>
        <w:tc>
          <w:tcPr>
            <w:tcW w:w="0" w:type="dxa"/>
            <w:vAlign w:val="bottom"/>
          </w:tcPr>
          <w:p>
            <w:pPr>
              <w:spacing w:after="0"/>
              <w:rPr>
                <w:sz w:val="1"/>
                <w:szCs w:val="1"/>
                <w:color w:val="auto"/>
              </w:rPr>
            </w:pPr>
          </w:p>
        </w:tc>
      </w:tr>
      <w:tr>
        <w:trPr>
          <w:trHeight w:val="151"/>
        </w:trPr>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943</w:t>
            </w:r>
          </w:p>
        </w:tc>
        <w:tc>
          <w:tcPr>
            <w:tcW w:w="0" w:type="dxa"/>
            <w:vAlign w:val="bottom"/>
          </w:tcPr>
          <w:p>
            <w:pPr>
              <w:spacing w:after="0"/>
              <w:rPr>
                <w:sz w:val="1"/>
                <w:szCs w:val="1"/>
                <w:color w:val="auto"/>
              </w:rPr>
            </w:pPr>
          </w:p>
        </w:tc>
      </w:tr>
      <w:tr>
        <w:trPr>
          <w:trHeight w:val="162"/>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501,380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17,774,895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4,617</w:t>
            </w:r>
          </w:p>
        </w:tc>
        <w:tc>
          <w:tcPr>
            <w:tcW w:w="0" w:type="dxa"/>
            <w:vAlign w:val="bottom"/>
          </w:tcPr>
          <w:p>
            <w:pPr>
              <w:spacing w:after="0"/>
              <w:rPr>
                <w:sz w:val="1"/>
                <w:szCs w:val="1"/>
                <w:color w:val="auto"/>
              </w:rPr>
            </w:pPr>
          </w:p>
        </w:tc>
      </w:tr>
      <w:tr>
        <w:trPr>
          <w:trHeight w:val="165"/>
        </w:trPr>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0"/>
              <w:spacing w:after="0" w:line="116" w:lineRule="exact"/>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643,204,794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2,547</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 xml:space="preserve">5 </w:t>
            </w:r>
            <w:r>
              <w:rPr>
                <w:rFonts w:ascii="Times New Roman" w:cs="Times New Roman" w:eastAsia="Times New Roman" w:hAnsi="Times New Roman"/>
                <w:sz w:val="20"/>
                <w:szCs w:val="20"/>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479,080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(18,009 )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(412,618 )</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49,665</w:t>
            </w:r>
          </w:p>
        </w:tc>
        <w:tc>
          <w:tcPr>
            <w:tcW w:w="0" w:type="dxa"/>
            <w:vAlign w:val="bottom"/>
          </w:tcPr>
          <w:p>
            <w:pPr>
              <w:spacing w:after="0"/>
              <w:rPr>
                <w:sz w:val="1"/>
                <w:szCs w:val="1"/>
                <w:color w:val="auto"/>
              </w:rPr>
            </w:pPr>
          </w:p>
        </w:tc>
      </w:tr>
      <w:tr>
        <w:trPr>
          <w:trHeight w:val="151"/>
        </w:trPr>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(6,531 )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(6,531 )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(3,579 )</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62"/>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48,367,095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12,005</w:t>
            </w:r>
          </w:p>
        </w:tc>
        <w:tc>
          <w:tcPr>
            <w:tcW w:w="0" w:type="dxa"/>
            <w:vAlign w:val="bottom"/>
          </w:tcPr>
          <w:p>
            <w:pPr>
              <w:spacing w:after="0"/>
              <w:rPr>
                <w:sz w:val="1"/>
                <w:szCs w:val="1"/>
                <w:color w:val="auto"/>
              </w:rPr>
            </w:pPr>
          </w:p>
        </w:tc>
      </w:tr>
      <w:tr>
        <w:trPr>
          <w:trHeight w:val="165"/>
        </w:trPr>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9,645,200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(7,055 )</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8,628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1,615</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0"/>
              <w:spacing w:after="0" w:line="116" w:lineRule="exact"/>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2,775</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 xml:space="preserve">5 </w:t>
            </w:r>
            <w:r>
              <w:rPr>
                <w:rFonts w:ascii="Times New Roman" w:cs="Times New Roman" w:eastAsia="Times New Roman" w:hAnsi="Times New Roman"/>
                <w:sz w:val="20"/>
                <w:szCs w:val="20"/>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485,375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(21,588 )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(410,521 )</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54,706</w:t>
            </w:r>
          </w:p>
        </w:tc>
        <w:tc>
          <w:tcPr>
            <w:tcW w:w="0" w:type="dxa"/>
            <w:vAlign w:val="bottom"/>
          </w:tcPr>
          <w:p>
            <w:pPr>
              <w:spacing w:after="0"/>
              <w:rPr>
                <w:sz w:val="1"/>
                <w:szCs w:val="1"/>
                <w:color w:val="auto"/>
              </w:rPr>
            </w:pP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-4765675</wp:posOffset>
            </wp:positionV>
            <wp:extent cx="71323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-4559935</wp:posOffset>
            </wp:positionV>
            <wp:extent cx="71323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-4131310</wp:posOffset>
            </wp:positionV>
            <wp:extent cx="71323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-3925570</wp:posOffset>
            </wp:positionV>
            <wp:extent cx="71323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-3634105</wp:posOffset>
            </wp:positionV>
            <wp:extent cx="71323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-3205480</wp:posOffset>
            </wp:positionV>
            <wp:extent cx="71323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-2999740</wp:posOffset>
            </wp:positionV>
            <wp:extent cx="71323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-2073910</wp:posOffset>
            </wp:positionV>
            <wp:extent cx="71323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-1559560</wp:posOffset>
            </wp:positionV>
            <wp:extent cx="71323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-1353820</wp:posOffset>
            </wp:positionV>
            <wp:extent cx="71323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-1148080</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-633730</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-427990</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-5065395</wp:posOffset>
            </wp:positionV>
            <wp:extent cx="713232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-4366895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-3441065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-2794000</wp:posOffset>
            </wp:positionV>
            <wp:extent cx="7132320" cy="321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2131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-2373630</wp:posOffset>
            </wp:positionV>
            <wp:extent cx="713232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-1868170</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-933450</wp:posOffset>
            </wp:positionV>
            <wp:extent cx="713232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-213995</wp:posOffset>
            </wp:positionV>
            <wp:extent cx="71323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60"/>
            <w:col w:w="7740"/>
          </w:cols>
          <w:pgMar w:left="380" w:top="981" w:right="339" w:bottom="1440" w:gutter="0" w:footer="0" w:header="0"/>
          <w:type w:val="continuous"/>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accompanying notes form an integral part of these condensed consolidated financial statements.</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81" w:right="339" w:bottom="1440" w:gutter="0" w:footer="0" w:header="0"/>
          <w:type w:val="continuous"/>
        </w:sectPr>
      </w:pPr>
    </w:p>
    <w:bookmarkStart w:id="7" w:name="page8"/>
    <w:bookmarkEnd w:id="7"/>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MEREO BIOPHARMA GROUP PLC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spacing w:after="0" w:line="18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and its subsidiaries and other financial information included in this Quarterly Report are unaudited, have been prepared in accordance with generally accepted accounting principles in the United States of America (“U.S. GAAP”) and are presented in U.S. dollars. All intercompany accounts and transactions between the Company and its subsidiaries have been eliminated on consolidation.</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27, 2024 (the “2023 Annual Report”). The condensed consolidated balance sheet as of December 31, 2023 was derived from audited consolidated financial statements included in the 2023 Annual Report but does not include all disclosures required by U.S. GAAP. The Company’s significant accounting policies are described in Note 2 to those consolidated financial statements.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September 30, 2024, the results of operations for the three and nine months ended September 30, 2024 and 2023 and cash flows for the nine months ended September 30, 2024 and 2023. The interim results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historically been loss making, anticipates that it will continue to incur losses for the foreseeable future, and had an accumulated deficit of $455.8 million as of September 30, 2024.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w:t>
      </w:r>
      <w:r>
        <w:rPr>
          <w:rFonts w:ascii="Times New Roman" w:cs="Times New Roman" w:eastAsia="Times New Roman" w:hAnsi="Times New Roman"/>
          <w:sz w:val="16"/>
          <w:szCs w:val="16"/>
          <w:color w:val="auto"/>
        </w:rPr>
        <w:t>On June 17, 2024,</w:t>
      </w:r>
      <w:r>
        <w:rPr>
          <w:rFonts w:ascii="Times New Roman" w:cs="Times New Roman" w:eastAsia="Times New Roman" w:hAnsi="Times New Roman"/>
          <w:sz w:val="18"/>
          <w:szCs w:val="18"/>
          <w:color w:val="auto"/>
        </w:rPr>
        <w:t xml:space="preserve"> the Company raised net proceeds of $47.0 million before issuance costs through an underwritten registered direct offering of its ADSs, though there is no assurance that it will continue to be successful in obtaining sufficient funding on terms acceptable to the Company to fund continuing operations, if at all.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$80.5 million. T</w:t>
      </w:r>
      <w:r>
        <w:rPr>
          <w:rFonts w:ascii="Times New Roman" w:cs="Times New Roman" w:eastAsia="Times New Roman" w:hAnsi="Times New Roman"/>
          <w:sz w:val="18"/>
          <w:szCs w:val="18"/>
          <w:color w:val="2B333D"/>
        </w:rPr>
        <w:t>he Company expects that its 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as of September 30, 2024 will be sufficient to fund its operations and capital expenditure requirements for at least twelve months from the date of filing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While there are no estimates and assumptions made in the consolidated financial statements that are considered to be critical, the Company's unaudited condensed consolidated financial statements include, among others, estimates about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2023 Annual Report that are of significance or potential significance to the Company. The Company is continuing to evaluate the impact of the recently issued pronouncements that are effective in future periods that were discussed in its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certain accrued expenses, deferred consideration, contingent consideration, warrant liabilities and convertible loan notes. The carrying amounts of cash and cash equivalents, accounts payable and accrued expenses approximate their fair value due to the short-term nature of those financial instruments.</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60" w:type="dxa"/>
            <w:vAlign w:val="bottom"/>
            <w:tcBorders>
              <w:bottom w:val="single" w:sz="8" w:color="auto"/>
            </w:tcBorders>
          </w:tcPr>
          <w:p>
            <w:pPr>
              <w:spacing w:after="0"/>
              <w:rPr>
                <w:sz w:val="21"/>
                <w:szCs w:val="21"/>
                <w:color w:val="auto"/>
              </w:rPr>
            </w:pPr>
          </w:p>
        </w:tc>
      </w:tr>
      <w:tr>
        <w:trPr>
          <w:trHeight w:val="234"/>
        </w:trPr>
        <w:tc>
          <w:tcPr>
            <w:tcW w:w="57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5"/>
        </w:trPr>
        <w:tc>
          <w:tcPr>
            <w:tcW w:w="5760" w:type="dxa"/>
            <w:vAlign w:val="bottom"/>
          </w:tcPr>
          <w:p>
            <w:pPr>
              <w:spacing w:after="0"/>
              <w:rPr>
                <w:sz w:val="21"/>
                <w:szCs w:val="21"/>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1,040</w:t>
            </w:r>
          </w:p>
        </w:tc>
        <w:tc>
          <w:tcPr>
            <w:tcW w:w="14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1,040</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488"/>
        </w:trPr>
        <w:tc>
          <w:tcPr>
            <w:tcW w:w="57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60" w:type="dxa"/>
            <w:vAlign w:val="bottom"/>
            <w:tcBorders>
              <w:bottom w:val="single" w:sz="8" w:color="auto"/>
            </w:tcBorders>
          </w:tcPr>
          <w:p>
            <w:pPr>
              <w:spacing w:after="0"/>
              <w:rPr>
                <w:sz w:val="24"/>
                <w:szCs w:val="24"/>
                <w:color w:val="auto"/>
              </w:rPr>
            </w:pPr>
          </w:p>
        </w:tc>
      </w:tr>
      <w:tr>
        <w:trPr>
          <w:trHeight w:val="234"/>
        </w:trPr>
        <w:tc>
          <w:tcPr>
            <w:tcW w:w="57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5"/>
        </w:trPr>
        <w:tc>
          <w:tcPr>
            <w:tcW w:w="5760" w:type="dxa"/>
            <w:vAlign w:val="bottom"/>
          </w:tcPr>
          <w:p>
            <w:pPr>
              <w:spacing w:after="0"/>
              <w:rPr>
                <w:sz w:val="21"/>
                <w:szCs w:val="21"/>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412</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three and nine months ended September 30,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4"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warrant liabilities solely related to those warrants outstanding to the former lenders of the Company as described in Note 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6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9"/>
        </w:trPr>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39"/>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services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8"/>
              </w:rPr>
              <w:t>1,310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r>
      <w:tr>
        <w:trPr>
          <w:trHeight w:val="247"/>
        </w:trPr>
        <w:tc>
          <w:tcPr>
            <w:tcW w:w="114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r>
      <w:tr>
        <w:trPr>
          <w:trHeight w:val="239"/>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r>
      <w:tr>
        <w:trPr>
          <w:trHeight w:val="247"/>
        </w:trPr>
        <w:tc>
          <w:tcPr>
            <w:tcW w:w="114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40" w:type="dxa"/>
            <w:vAlign w:val="bottom"/>
            <w:tcBorders>
              <w:right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1,147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r>
      <w:tr>
        <w:trPr>
          <w:trHeight w:val="239"/>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r>
      <w:tr>
        <w:trPr>
          <w:trHeight w:val="257"/>
        </w:trPr>
        <w:tc>
          <w:tcPr>
            <w:tcW w:w="1140" w:type="dxa"/>
            <w:vAlign w:val="bottom"/>
          </w:tcPr>
          <w:p>
            <w:pPr>
              <w:spacing w:after="0"/>
              <w:rPr>
                <w:sz w:val="22"/>
                <w:szCs w:val="22"/>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3,830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5,156</w:t>
            </w:r>
          </w:p>
        </w:tc>
      </w:tr>
      <w:tr>
        <w:trPr>
          <w:trHeight w:val="20"/>
        </w:trPr>
        <w:tc>
          <w:tcPr>
            <w:tcW w:w="1140" w:type="dxa"/>
            <w:vAlign w:val="bottom"/>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r>
        <w:trPr>
          <w:trHeight w:val="87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9"/>
        </w:trPr>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1"/>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5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r>
      <w:tr>
        <w:trPr>
          <w:trHeight w:val="239"/>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1140" w:type="dxa"/>
            <w:vAlign w:val="bottom"/>
          </w:tcPr>
          <w:p>
            <w:pPr>
              <w:spacing w:after="0"/>
              <w:rPr>
                <w:sz w:val="21"/>
                <w:szCs w:val="21"/>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37"/>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4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r>
      <w:tr>
        <w:trPr>
          <w:trHeight w:val="243"/>
        </w:trPr>
        <w:tc>
          <w:tcPr>
            <w:tcW w:w="1140" w:type="dxa"/>
            <w:vAlign w:val="bottom"/>
          </w:tcPr>
          <w:p>
            <w:pPr>
              <w:spacing w:after="0"/>
              <w:rPr>
                <w:sz w:val="21"/>
                <w:szCs w:val="21"/>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7"/>
        </w:trPr>
        <w:tc>
          <w:tcPr>
            <w:tcW w:w="11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-2468245</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-2451100</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-504825</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120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less than $0.1 million in the three months ended September 30, 2024 (2023: $0.1 million) and $0.1 million in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(2023: $0.1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coterminous with the fifth floor, ending in June 2026.</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$0.2 million and $0.5 million in the three and nine months ended September 30, 2024, respectively and $0.2 million and $0.5 million in the three and nine months ended September 30, 2023, respectively. There were no material variable lease costs.</w:t>
      </w:r>
    </w:p>
    <w:p>
      <w:pPr>
        <w:spacing w:after="0" w:line="18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tcPr>
          <w:p>
            <w:pPr>
              <w:spacing w:after="0"/>
              <w:rPr>
                <w:sz w:val="21"/>
                <w:szCs w:val="21"/>
                <w:color w:val="auto"/>
              </w:rPr>
            </w:pPr>
          </w:p>
        </w:tc>
      </w:tr>
      <w:tr>
        <w:trPr>
          <w:trHeight w:val="239"/>
        </w:trPr>
        <w:tc>
          <w:tcPr>
            <w:tcW w:w="1420" w:type="dxa"/>
            <w:vAlign w:val="bottom"/>
          </w:tcPr>
          <w:p>
            <w:pPr>
              <w:spacing w:after="0"/>
              <w:rPr>
                <w:sz w:val="20"/>
                <w:szCs w:val="20"/>
                <w:color w:val="auto"/>
              </w:rPr>
            </w:pPr>
          </w:p>
        </w:tc>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14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2.80</w:t>
            </w:r>
          </w:p>
        </w:tc>
        <w:tc>
          <w:tcPr>
            <w:tcW w:w="1400" w:type="dxa"/>
            <w:vAlign w:val="bottom"/>
          </w:tcPr>
          <w:p>
            <w:pPr>
              <w:spacing w:after="0"/>
              <w:rPr>
                <w:sz w:val="20"/>
                <w:szCs w:val="20"/>
                <w:color w:val="auto"/>
              </w:rPr>
            </w:pPr>
          </w:p>
        </w:tc>
      </w:tr>
      <w:tr>
        <w:trPr>
          <w:trHeight w:val="238"/>
        </w:trPr>
        <w:tc>
          <w:tcPr>
            <w:tcW w:w="14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w:t>
            </w:r>
          </w:p>
        </w:tc>
        <w:tc>
          <w:tcPr>
            <w:tcW w:w="27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10.0 %</w:t>
            </w:r>
          </w:p>
        </w:tc>
      </w:tr>
      <w:tr>
        <w:trPr>
          <w:trHeight w:val="661"/>
        </w:trPr>
        <w:tc>
          <w:tcPr>
            <w:tcW w:w="1420" w:type="dxa"/>
            <w:vAlign w:val="bottom"/>
          </w:tcPr>
          <w:p>
            <w:pPr>
              <w:spacing w:after="0"/>
              <w:rPr>
                <w:sz w:val="24"/>
                <w:szCs w:val="24"/>
                <w:color w:val="auto"/>
              </w:rPr>
            </w:pPr>
          </w:p>
        </w:tc>
        <w:tc>
          <w:tcPr>
            <w:tcW w:w="5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-1062355</wp:posOffset>
            </wp:positionV>
            <wp:extent cx="534924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5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5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r>
    </w:tbl>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September 30, 2024:</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w:t>
            </w:r>
          </w:p>
        </w:tc>
      </w:tr>
      <w:tr>
        <w:trPr>
          <w:trHeight w:val="245"/>
        </w:trPr>
        <w:tc>
          <w:tcPr>
            <w:tcW w:w="6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30, 2024</w:t>
            </w:r>
          </w:p>
        </w:tc>
      </w:tr>
      <w:tr>
        <w:trPr>
          <w:trHeight w:val="241"/>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52"/>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9"/>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7"/>
        </w:trPr>
        <w:tc>
          <w:tcPr>
            <w:tcW w:w="6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9"/>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1"/>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7"/>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9"/>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3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 on PSU vesting to be remitted</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93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Employee taxes on Performance Based Restricted Stock Units ("PSU") vesting to be remitted represents the proceeds from the sale of ADSs required to be sold to cover employee tax withholding obligations in connection with the vesting of PSUs in September 2024.</w:t>
      </w:r>
    </w:p>
    <w:p>
      <w:pPr>
        <w:spacing w:after="0" w:line="1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95" w:right="7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9"/>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39"/>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26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47"/>
        </w:trPr>
        <w:tc>
          <w:tcPr>
            <w:tcW w:w="1140" w:type="dxa"/>
            <w:vAlign w:val="bottom"/>
          </w:tcPr>
          <w:p>
            <w:pPr>
              <w:spacing w:after="0"/>
              <w:rPr>
                <w:sz w:val="21"/>
                <w:szCs w:val="21"/>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39"/>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26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r>
      <w:tr>
        <w:trPr>
          <w:trHeight w:val="247"/>
        </w:trPr>
        <w:tc>
          <w:tcPr>
            <w:tcW w:w="1140" w:type="dxa"/>
            <w:vAlign w:val="bottom"/>
          </w:tcPr>
          <w:p>
            <w:pPr>
              <w:spacing w:after="0"/>
              <w:rPr>
                <w:sz w:val="21"/>
                <w:szCs w:val="21"/>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39"/>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26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1140" w:type="dxa"/>
            <w:vAlign w:val="bottom"/>
          </w:tcPr>
          <w:p>
            <w:pPr>
              <w:spacing w:after="0"/>
              <w:rPr>
                <w:sz w:val="21"/>
                <w:szCs w:val="21"/>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37"/>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w:t>
            </w:r>
          </w:p>
        </w:tc>
      </w:tr>
      <w:tr>
        <w:trPr>
          <w:trHeight w:val="20"/>
        </w:trPr>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93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per ordinary share and originally bore interest at 6% per annum with a maturity date of February 10, 2023. In connection with the Novartis Loan Note, the Company also issued 1,449,614 warrants to Novartis which are exercisable until February 2025 at an exercise price of £0.265 per ordinary share. These warrants were recognized separately as equity instruments.</w:t>
      </w:r>
    </w:p>
    <w:p>
      <w:pPr>
        <w:spacing w:after="0" w:line="183"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new warrants were also recognized separately as equity instruments.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amendments to the Novartis Loan Note were an extinguishment of the original instrument and the issuance of a new instrument. Accordingly, on the extinguishment date, the carrying value of $5.5 million was derecognized. At the same time, a new liability of $3.4 million was recognized, which represents the portion of the consideration of the new arrangement allocated to the liability component of the new Novartis Loan Note on the basis of its relative fair value, net of fees. The remaining amount was allocated between the $0.9 million of interest paid in cash and the residual $1.2 million which was recorded in additional paid-in capital to reflect the relative fair value of the warrants and the conversion option embedded in the new Novartis Loan Note. No extinguishment gain or loss was recognized. The Company recognized interest expense of $0.3 million and $0.9 million in relation to the Novartis Loan Note for the three and nine months ended September 30, 2024, respectively, and $0.3 million and $0.8 million in the three and nine months ended September 30, 2023, respectively. The effective interest rate applied to the liability portion of the Novartis Loan Note in the three and nine months ended September 30, 2024 was 27.8% (2023: 27.8% after the amendments and 37.4% prior to the amendments).</w:t>
      </w:r>
    </w:p>
    <w:p>
      <w:pPr>
        <w:spacing w:after="0" w:line="188"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net carrying amount of the liability component of the convertible debt instrument was $5.6 million and $4.4 million, respectively. The fair value as of September 30, 2024 was $5.1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Loan Notes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Private Placement Loan Notes were issued in 2020 as part of a $70.0 million private placement transaction which also included the issuance of ordinary shares and warrants. The Private Placement Loan Notes were originally convertible at a fixed price of £0.174 per ordinary share, bore interest at a rate of 6% per annum and had a maturity date of June 3,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2023, the Company received conversion notices and subsequently issued and allotted 17,774,895 ordinary shares in the three months ended June 30, 2023 and 9,645,200 ordinary shares in the three months ended September 30, 2023, both at a price of £0.174 per share on non-cash conversion of Private Placement Loan Notes with an aggregate principal amount of $4.6 million. In the three months ended September 30, 2023, the Company also paid $3.2 million to fully settle the outstanding principal and accrued interest balance.</w:t>
      </w:r>
    </w:p>
    <w:p>
      <w:pPr>
        <w:spacing w:after="0" w:line="180"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$0.4 million and $1.5 million of interest expense in the three and nine months ended September 30, 2023, respectively. The effective interest rate applied to the liability portion of the Private Placement Loan Notes in 2023 after the amendments was 27.1% while the effective interest rate applied in 2023 before the amendments was 25.1%.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Warrant liabilities</w:t>
            </w:r>
          </w:p>
        </w:tc>
      </w:tr>
      <w:tr>
        <w:trPr>
          <w:trHeight w:val="234"/>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1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3"/>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855</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45"/>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114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925</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37"/>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-1130935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As a part of a private placement transaction on June 3, 2020, the participating investors received conditional warrants entitling them to subscribe for an aggregate of 161,048,366 ordinary shares in the Company at an exercise price of £0.348 per warrant and were exercisable until June 2023 when they expired. The warrants were classified as liabilities as the Company did not have an unconditional right to avoid redeeming the instruments for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bank loan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September 30, 2024,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There were no warrants exercised during either the three and nine months ended September 30, 2024 or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Total outstanding warrants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a total of 2,487,816 warrants over the same number of ordinary shares are outstanding. These warrants outstanding are equivalent to 0.3% of the issued ordinary share capital of the Company as of September 30, 2024 and 0.4% as of December 31, 2023.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warrant is estimated using the Black-Scholes option pricing model using the following weighted average assumptions: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6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3.74 %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47"/>
        </w:trPr>
        <w:tc>
          <w:tcPr>
            <w:tcW w:w="114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0.00 %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7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45"/>
        </w:trPr>
        <w:tc>
          <w:tcPr>
            <w:tcW w:w="11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2023 and March 31, 2023</w:t>
            </w:r>
          </w:p>
        </w:tc>
        <w:tc>
          <w:tcPr>
            <w:tcW w:w="4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624,928,519</w:t>
            </w:r>
          </w:p>
        </w:tc>
        <w:tc>
          <w:tcPr>
            <w:tcW w:w="10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DRSUs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501,380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4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17,774,895</w:t>
            </w: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2023</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643,204,794</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48,367,095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9,645,200</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2023</w:t>
            </w:r>
          </w:p>
        </w:tc>
        <w:tc>
          <w:tcPr>
            <w:tcW w:w="42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701,217,089</w:t>
            </w:r>
          </w:p>
        </w:tc>
        <w:tc>
          <w:tcPr>
            <w:tcW w:w="100" w:type="dxa"/>
            <w:vAlign w:val="bottom"/>
            <w:tcBorders>
              <w:bottom w:val="single" w:sz="8" w:color="auto"/>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24"/>
                <w:szCs w:val="24"/>
                <w:color w:val="auto"/>
              </w:rPr>
            </w:pPr>
          </w:p>
        </w:tc>
      </w:tr>
      <w:tr>
        <w:trPr>
          <w:trHeight w:val="455"/>
        </w:trPr>
        <w:tc>
          <w:tcPr>
            <w:tcW w:w="11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701,217,089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24"/>
                <w:szCs w:val="24"/>
                <w:color w:val="auto"/>
              </w:rPr>
            </w:pPr>
          </w:p>
        </w:tc>
      </w:tr>
      <w:tr>
        <w:trPr>
          <w:trHeight w:val="256"/>
        </w:trPr>
        <w:tc>
          <w:tcPr>
            <w:tcW w:w="1140" w:type="dxa"/>
            <w:vAlign w:val="bottom"/>
          </w:tcPr>
          <w:p>
            <w:pPr>
              <w:spacing w:after="0"/>
              <w:rPr>
                <w:sz w:val="22"/>
                <w:szCs w:val="22"/>
                <w:color w:val="auto"/>
              </w:rPr>
            </w:pPr>
          </w:p>
        </w:tc>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4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132,345</w:t>
            </w:r>
          </w:p>
        </w:tc>
        <w:tc>
          <w:tcPr>
            <w:tcW w:w="100" w:type="dxa"/>
            <w:vAlign w:val="bottom"/>
            <w:tcBorders>
              <w:bottom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2"/>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701,349,434</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800,890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PSUs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4,014,450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62,656,500</w:t>
            </w: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768,821,274</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1,740,840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Vesting of PSUs</w:t>
            </w:r>
          </w:p>
        </w:tc>
        <w:tc>
          <w:tcPr>
            <w:tcW w:w="4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2,676,305</w:t>
            </w: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773,672,299</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-4431030</wp:posOffset>
            </wp:positionV>
            <wp:extent cx="570039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-2639695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-839470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exercise of employee share options and the vesting of restricted stock units ("RSUs") were satisfied by delivering shares from the Employee Benefit Trust until all of the shares in the Employee Benefit Trust were used and it was terminated. Subsequently, 132,345 ordinary shares were issued to satisfy employee share option exercises.</w:t>
      </w:r>
    </w:p>
    <w:p>
      <w:pPr>
        <w:spacing w:after="0" w:line="21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4,815,340 ordinary shares were issued due to the exercise of employee share options and the vesting of PSUs.</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Additionally, on June 17, 2024, the Company issued 12,531,300 ADSs representing 62,656,500 ordinary shares through an underwritten registered direct offering priced at $3.99 per ADS. The Company raised aggregate gross proceeds of $50.0 million, 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$47.0 million after underwriting discounts of $3.0 million. The Company also incurred other issuance costs of $1.0 million related to the offering.</w:t>
      </w:r>
    </w:p>
    <w:p>
      <w:pPr>
        <w:spacing w:after="0" w:line="29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4,851,025 ordinary shares were issued due to the exercise of employee share options and the vesting of RSUs and PSUs.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and cost of revenue</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revenue earned, or cost of revenue recognized in the three and nine months ended September 30, 2024.</w:t>
      </w:r>
    </w:p>
    <w:p>
      <w:pPr>
        <w:spacing w:after="0" w:line="29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June 2023, the Company recognized milestone proceeds of $9.0 million as revenue under the license and collaboration agreement with Ultragenyx for setrusumab following achievement of a development milestone. As a consequence of this milestone received, and in accordance with the terms of the 2015 asset purchase agreement with Novartis which requires payment of a percentage of the proceeds received, subject to certain deductions, the Company also recognized cost of revenue of $(0.2) million for the three months ended September 30, 2023 and $2.8 million for the nine months ended September 30,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based compensation</w:t>
      </w:r>
    </w:p>
    <w:p>
      <w:pPr>
        <w:spacing w:after="0" w:line="22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The Company currently grants equity awards under the Mereo 2019 Equity Incentive Plan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2019 EIP</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the 2019 Non-Employee Equity Incentive Plan (the “2019 NED EIP”). There are also still outstanding awards under two previous plans, the 2015 Plan and the Mereo Share Option Plan (together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Previous Share Option Plans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however no awards have been granted under these plans since 2016 and no further grants are envisioned.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9.0 million as of September 30, 2024.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these two active plans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1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2"/>
        </w:trPr>
        <w:tc>
          <w:tcPr>
            <w:tcW w:w="4600" w:type="dxa"/>
            <w:vAlign w:val="bottom"/>
          </w:tcPr>
          <w:p>
            <w:pPr>
              <w:spacing w:after="0"/>
              <w:rPr>
                <w:sz w:val="23"/>
                <w:szCs w:val="23"/>
                <w:color w:val="auto"/>
              </w:rPr>
            </w:pPr>
          </w:p>
        </w:tc>
        <w:tc>
          <w:tcPr>
            <w:tcW w:w="2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1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4600" w:type="dxa"/>
            <w:vAlign w:val="bottom"/>
          </w:tcPr>
          <w:p>
            <w:pPr>
              <w:spacing w:after="0"/>
              <w:rPr>
                <w:sz w:val="19"/>
                <w:szCs w:val="19"/>
                <w:color w:val="auto"/>
              </w:rPr>
            </w:pP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600" w:type="dxa"/>
            <w:vAlign w:val="bottom"/>
          </w:tcPr>
          <w:p>
            <w:pPr>
              <w:spacing w:after="0"/>
              <w:rPr>
                <w:sz w:val="20"/>
                <w:szCs w:val="20"/>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20"/>
                <w:szCs w:val="20"/>
                <w:color w:val="auto"/>
              </w:rPr>
            </w:pPr>
          </w:p>
        </w:tc>
        <w:tc>
          <w:tcPr>
            <w:tcW w:w="10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4,498</w:t>
            </w: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78"/>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5,875</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-835025</wp:posOffset>
            </wp:positionV>
            <wp:extent cx="85725"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59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cost related to outstanding share awards was $5.6 million, which the Company expects to recognize over a weighted-average period of 1.6 years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nine months ended September 30, 2024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20" w:type="dxa"/>
            <w:vAlign w:val="bottom"/>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9,595,161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8,133</w:t>
            </w:r>
          </w:p>
        </w:tc>
      </w:tr>
      <w:tr>
        <w:trPr>
          <w:trHeight w:val="23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2,498,969</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(47,288 )</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(771,163 )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1,783</w:t>
            </w:r>
          </w:p>
        </w:tc>
      </w:tr>
      <w:tr>
        <w:trPr>
          <w:trHeight w:val="243"/>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11,270,679</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23,873</w:t>
            </w:r>
          </w:p>
        </w:tc>
      </w:tr>
      <w:tr>
        <w:trPr>
          <w:trHeight w:val="20"/>
        </w:trPr>
        <w:tc>
          <w:tcPr>
            <w:tcW w:w="5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5,156,477</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11,499</w:t>
            </w:r>
          </w:p>
        </w:tc>
      </w:tr>
      <w:tr>
        <w:trPr>
          <w:trHeight w:val="234"/>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6,114,202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-490855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-490855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-490855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At December 31, 2023, 6,169,952 Options with a weighted average grant date fair value of $1.13 were unvested. The weighted average fair value per share of options vesting during the nine months ended September 30, 2024 and 2023 was $1.18 and $1.51 respectively.</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at September 30, 2024 and December 31, 2023 was 7.8 years and 8.1 years, respectively. For vested Options at September 30, 2024 and December 31, 2023 it was 7.0 years and 7.1 years, respectively. All outstanding Options are expected to vest.</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98"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56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90.81 %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98.12 %</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RSUs were first awarded in 2023 and each RSU entitles the holder to a conditional right to receive an ADS at no cost upon the completion of the applicable vesting period. RSUs granted under the 2019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withholding tax obligations, and the remaining ADSs are delivered to the holder. RSUs have a maximum contractual life of 3.0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is as follows. As of September 30, 2024 all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are expected to vest:</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489,225</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204,914</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(229,359 )</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39"/>
        </w:trPr>
        <w:tc>
          <w:tcPr>
            <w:tcW w:w="52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(23,533 )</w:t>
            </w:r>
          </w:p>
        </w:tc>
        <w:tc>
          <w:tcPr>
            <w:tcW w:w="8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 September 30, 2024</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441,247</w:t>
            </w:r>
          </w:p>
        </w:tc>
        <w:tc>
          <w:tcPr>
            <w:tcW w:w="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-25400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September 30, 2024, the weighted average remaining period of RSUs outstanding was 2.5 years.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 (“PSUs”)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PSUs were first awarded in 2023 and each PSU entitles the holder to a conditional right to receive an ADS at no cost upon satisfaction of four escalating ADS price performance targets over a two year performance period following the date of grant. A summary of the Company’s PSU activity and related information under the 2019 EIP for the nine months ended September 30, 2024 is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1,338,150</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(1,338,150 )</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5,100</w:t>
            </w:r>
          </w:p>
        </w:tc>
      </w:tr>
      <w:tr>
        <w:trPr>
          <w:trHeight w:val="276"/>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2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 date fair value was recognized over the expected life using the straight-line attribution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2019 NED EIP have a contractual term of 10 years and vest in equal monthly installments over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one year. There are no performance conditions. A summary of the Company’s Option activity and related information under the 2019 NED EIP for the nine months ended September 30, 2024 is as follows; all outstanding Options are expected to vest:</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1,355,087</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360,000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(173,000 )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r>
      <w:tr>
        <w:trPr>
          <w:trHeight w:val="2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1,542,087</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1,392,087</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3,022</w:t>
            </w: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bl>
    <w:p>
      <w:pPr>
        <w:spacing w:after="0" w:line="23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At December 31, 2023, 73,336 Options with a weighted average grant date fair value of $0.84 were unvested.The weighted average fair value per share of options vesting during the nine months ended September 30, 2024 and 2023 was $2.32 and $0.88, respectively.</w:t>
      </w:r>
    </w:p>
    <w:p>
      <w:pPr>
        <w:spacing w:after="0" w:line="16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at September 30, 2024 and December 31, 2023 was 7.7 years and 8.0 years, respectively. For vested Options at September 30, 2024 and December 31, 2023 it was 7.5 years and 7.9 years, respectively.</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9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61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80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8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4.08 %</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8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8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90.67 %</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97.94 %</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8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8"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Non-executive directors may voluntarily elect to convert their annual cash fees for services on the board of directors and DRSUs were granted to those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Payment of DRSUs in ADSs will generally be 180 days following separation of service but have no specified contractual term.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nine months ended September 30, 2024 is as follows; all outstanding DRSUs are expected to vest:</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729,982</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125,393</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2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855,375</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3,520</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803,124</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3,305</w:t>
            </w: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52,251</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-334010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-316865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-496570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-334010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-316865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-496570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DRSU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envisioned.</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All awards made under these plans became fully vested, with all compensation costs fully recognized, before December 31, 2021. A summary of the awards still outstanding under these plans is as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1,572,358</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9.22</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(152,491 )</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1,419,867</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September 30, 2024 and December 31, 2023 was 1.1 years and 1.8 years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15. Loss per share</w:t>
      </w:r>
    </w:p>
    <w:p>
      <w:pPr>
        <w:spacing w:after="0" w:line="229"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ordinary equity holders of the Company for the period by the weighted average number of ordinary shares outstanding.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80" w:type="dxa"/>
            <w:vAlign w:val="bottom"/>
            <w:gridSpan w:val="2"/>
          </w:tcPr>
          <w:p>
            <w:pPr>
              <w:jc w:val="center"/>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40" w:type="dxa"/>
            <w:vAlign w:val="bottom"/>
          </w:tcPr>
          <w:p>
            <w:pPr>
              <w:spacing w:after="0"/>
              <w:rPr>
                <w:sz w:val="17"/>
                <w:szCs w:val="17"/>
                <w:color w:val="auto"/>
              </w:rPr>
            </w:pPr>
          </w:p>
        </w:tc>
        <w:tc>
          <w:tcPr>
            <w:tcW w:w="1240" w:type="dxa"/>
            <w:vAlign w:val="bottom"/>
            <w:gridSpan w:val="2"/>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($'000, except</w:t>
            </w:r>
          </w:p>
        </w:tc>
        <w:tc>
          <w:tcPr>
            <w:tcW w:w="140" w:type="dxa"/>
            <w:vAlign w:val="bottom"/>
          </w:tcPr>
          <w:p>
            <w:pPr>
              <w:spacing w:after="0"/>
              <w:rPr>
                <w:sz w:val="17"/>
                <w:szCs w:val="17"/>
                <w:color w:val="auto"/>
              </w:rPr>
            </w:pPr>
          </w:p>
        </w:tc>
        <w:tc>
          <w:tcPr>
            <w:tcW w:w="1240" w:type="dxa"/>
            <w:vAlign w:val="bottom"/>
            <w:gridSpan w:val="2"/>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($'000, except</w:t>
            </w:r>
          </w:p>
        </w:tc>
        <w:tc>
          <w:tcPr>
            <w:tcW w:w="140" w:type="dxa"/>
            <w:vAlign w:val="bottom"/>
          </w:tcPr>
          <w:p>
            <w:pPr>
              <w:spacing w:after="0"/>
              <w:rPr>
                <w:sz w:val="17"/>
                <w:szCs w:val="17"/>
                <w:color w:val="auto"/>
              </w:rPr>
            </w:pPr>
          </w:p>
        </w:tc>
        <w:tc>
          <w:tcPr>
            <w:tcW w:w="1240" w:type="dxa"/>
            <w:vAlign w:val="bottom"/>
            <w:gridSpan w:val="2"/>
          </w:tcPr>
          <w:p>
            <w:pPr>
              <w:jc w:val="center"/>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3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w:t>
            </w: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770,146,589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684,974,190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727,808,860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645,997,203</w:t>
            </w: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-479425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-479425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-479425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as the effect for the three and nine months ended September 30, 2024 and 2023 would be to reduce the net loss per share. Therefore, the weighted average number of ordinary shares outstanding used to calculate both basic and diluted net loss per share is the same.</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spacing w:after="0" w:line="198"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8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71,163,165</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64,218,120</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2,206,235</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2,846,125</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6,690,750</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DRSUs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4,276,875</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3,649,910</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loan notes – Novartis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16,637,208</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15,328,981</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7,539,129</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7,539,129</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milestones potentially payable in equity</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1,349,692</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1,349,692</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6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in force on September 30, 2024,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agreements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the Company, a merger or consolidation of the Company, or a sale of any assets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agreements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committed to issue 2,044,392 ordinary shares and pay $0.5 million to AstraZeneca in respect of an agreed milestone.</w:t>
      </w:r>
    </w:p>
    <w:p>
      <w:pPr>
        <w:spacing w:after="0" w:line="187" w:lineRule="exact"/>
        <w:rPr>
          <w:sz w:val="20"/>
          <w:szCs w:val="20"/>
          <w:color w:val="auto"/>
        </w:rPr>
      </w:pPr>
    </w:p>
    <w:p>
      <w:pPr>
        <w:ind w:firstLine="794"/>
        <w:spacing w:after="0" w:line="253"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equity milestones is determined by dividing a monetary amount by a defined subscription price (the “Subscription Price”).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94"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$2.4 million as of September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September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and nine months ended September 30, 2024 and 2023, there were no reportable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On November 8, 2024, the Company signed the Amended AstraZeneca Agreements and, on execution, committed to issue 2,044,392 ordinary shares and pay $0.5 million to AstraZeneca in connection with an agreed milestone.</w:t>
      </w:r>
    </w:p>
    <w:p>
      <w:pPr>
        <w:spacing w:after="0" w:line="162" w:lineRule="exact"/>
        <w:rPr>
          <w:sz w:val="20"/>
          <w:szCs w:val="20"/>
          <w:color w:val="auto"/>
        </w:rPr>
      </w:pPr>
    </w:p>
    <w:p>
      <w:pPr>
        <w:ind w:right="100" w:firstLine="794"/>
        <w:spacing w:after="0" w:line="266" w:lineRule="auto"/>
        <w:rPr>
          <w:sz w:val="20"/>
          <w:szCs w:val="20"/>
          <w:color w:val="auto"/>
        </w:rPr>
      </w:pPr>
      <w:r>
        <w:rPr>
          <w:rFonts w:ascii="Times New Roman" w:cs="Times New Roman" w:eastAsia="Times New Roman" w:hAnsi="Times New Roman"/>
          <w:sz w:val="18"/>
          <w:szCs w:val="18"/>
          <w:color w:val="auto"/>
        </w:rPr>
        <w:t>The Amended AstraZeneca Agreements modified the amount of certain existing development milestones and added new development milestones, with the Company agreeing to make potential future payments both in cash and through the issuance of a variable number of additional ADSs to AstraZeneca worth up to $114.3 million in the aggregate for products covered by the Amended AstraZeneca License Agreement.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Amended AstraZeneca Agreements also clarify that the Subscription Price is the price per ordinary share, calculated by dividing the volume weighted average price per ADS during the thirty (30) trading day period immediately preceding the applicable milestone trigger event day by the number of ordinary shares represented by each ADS on the last trading day of such period, rounded to the nearest $0.001.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firstLine="84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2023, included in our 2023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2023 Annual Report,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and breakthrough therapy designation from the FDA. Alvelestat has received U.S. Orphan Drug Designation for the treatment of AATD and Fast Track designation from the FDA for the treatment of AATD-LD.</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three months ended September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(3,594 )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5"/>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(9,373 )</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2,465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4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1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1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(9,164 )</w:t>
            </w:r>
          </w:p>
        </w:tc>
        <w:tc>
          <w:tcPr>
            <w:tcW w:w="1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(15,001 )</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(6,531 )</w:t>
            </w: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vMerge w:val="restart"/>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(3,579 )</w:t>
            </w:r>
          </w:p>
        </w:tc>
        <w:tc>
          <w:tcPr>
            <w:tcW w:w="100" w:type="dxa"/>
            <w:vAlign w:val="bottom"/>
            <w:vMerge w:val="restart"/>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(7,827 )</w:t>
            </w: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(10,110 )</w:t>
            </w:r>
          </w:p>
        </w:tc>
        <w:tc>
          <w:tcPr>
            <w:tcW w:w="1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-2202180</wp:posOffset>
            </wp:positionV>
            <wp:extent cx="641223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-479425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-479425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-479425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September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Leflutrozole (BGS-649)</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Acumapimod (BCT-197)</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decreased by $0.4 million, or 12%, from $3.6 million in the three months ended September 30, 2023 to $3.2 million in the three months ended September 30, 2024.</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decrease was primarily due to reductions in R&amp;D expenses of $0.6 million and $0.4 million for etigilimab and alvelestat, respectively, partially offset by an increase of $0.4 million for setrusumab.</w:t>
      </w: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7" w:right="499" w:bottom="1440" w:gutter="0" w:footer="0" w:header="0"/>
        </w:sectPr>
      </w:pPr>
    </w:p>
    <w:bookmarkStart w:id="24" w:name="page25"/>
    <w:bookmarkEnd w:id="24"/>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reduction in program expenses for etigilimab was primarily due to the winding down and completion during 2023 of the open label Phase 1b/2 basket study in combination with an anti-PD-1 in a range of tumor types.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reduction in the program expenses for alvelestat primarily relates to lower levels of preparatory activity undertaken in respect of the Phase 3 study in the three months ended September 30, 2024 compared to 2023, particularly including manufacturing and drug formulation activities and regulatory interactions.</w:t>
      </w:r>
    </w:p>
    <w:p>
      <w:pPr>
        <w:spacing w:after="0" w:line="176"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was driven by additional activities in Europe and resources for input into development, regulatory and manufacturing plans with our partner, Ultragenyx, as the global development program is funded by Ultragenyx pursuant to our license and collaboration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or 9%, from $5.7 million in the three months ended September 30, 2023 to $6.2 million in the three months ended September 30, 2024. The increase primarily reflects $0.2 million higher pre-commercial activities to lay the foundation for the commercial launch of setrusumab in Europe, including those to support pricing and reimbursement by HTA authorities and payor decision-makers in Europe. The remaining increase represents increases in various corporate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$0.3 million, or 43%, from $0.7 million in the three months ended September 30, 2023 to $1.0 million in the three months ended September 30, 2024. The increase was principally due to a higher cash and cash equivalents balance in the quarter from the proceeds of the underwritten registered direct offering in June 2024.</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$0.3 million, or 49%, from $0.7 million in the three months ended September 30, 2023 to $0.4 million in the three months ended September 30, 2024. The decrease was principally due to the lower balance in the quarter of convertible loan notes as the private placement loan notes were fully converted and redeemed in August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loss for the three months ended September 30, 2024 was $6.4 million, compared to a gain of $2.5 million for the three months ended September 30, 2023. This change primarily reflects (i) the impact of a weakening in the value of U.S. dollars when translating U.S. dollar balances into our functional currency of pound sterling in the three months ended September 30, 2024, compared to a strengthening of U.S. dollars in the three months ended September 30, 2023, and (ii) higher U.S. dollar balances following the underwritten registered direct offering in June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September 30, 2024 was a gain of $7.2 million, compared to a loss of $3.6 million in the three months ended September 30, 2023. The change primarily reflects the impact of the significant weakening of U.S. dollars when translating the net assets of the Company from its functional currency (pound sterling) into its presentational currency (U.S. dollars).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926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nine months ended September 30, 2024 and 2023.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(2,847 )</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(12,614 )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(32,089 )</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(21,288 )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1,368</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(36,207 )</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(15,850 )</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vMerge w:val="restart"/>
            <w:shd w:val="clear" w:color="auto" w:fill="CFF0FC"/>
          </w:tcPr>
          <w:p>
            <w:pPr>
              <w:spacing w:after="0"/>
              <w:rPr>
                <w:sz w:val="18"/>
                <w:szCs w:val="18"/>
                <w:color w:val="auto"/>
              </w:rPr>
            </w:pPr>
          </w:p>
        </w:tc>
        <w:tc>
          <w:tcPr>
            <w:tcW w:w="11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vMerge w:val="restart"/>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(9,568 )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-1731010</wp:posOffset>
            </wp:positionV>
            <wp:extent cx="641223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-2356485</wp:posOffset>
            </wp:positionV>
            <wp:extent cx="641223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-641985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-641985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-641985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No revenue was recognized in the nine months ended September 30, 2024. Revenue of $9.0 million for the nine months ended September 30, 2023 comprised a one-time milestone payment of $9.0 million resulting from the achievement of a clinical milestone on setrusumab by Ultragenyx.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cost of revenue was recognized in the nine months ended September 30, 2024. Cost of revenue of $2.8 million for the nine months ended September 30, 2023 primarily represents amounts payable pursuant to our 2015 agreement with Novartis, under which the Company pays a percentage of proceeds resulting from milestone revenue received, subject to certain deductions and other amounts, on the achievement of clinical milestones.</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7"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nine months ended September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2,246</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4,943</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Leflutrozole (BGS-649)</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Acumapimod (BCT-197)</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12,109</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12,614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decreased by $0.5 million, or 4%, from $12.6 million in the nine months ended September 30, 2023 to $12.1 million in the nine months ended September 30, 2024.</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decrease was primarily due to a $3.9 million reduction in R&amp;D expenses for etigilimab, partially offset by increases of $1.8 million and $1.6 million for alvelestat and setrusumab, respectively.</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decrease in program expenses for etigilimab was primarily due to the winding down and completion during 2023 of the open label Phase 1b/2 basket study in combination with an anti-PD-1 in a range of tumor types.</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increase in program expenses for alvelestat primarily relates to preparatory work for the Phase 3 study, including manufacturing and drug formulation activities, St. Georges Respiratory Questionnaire (SGRQ) validation activities and regulatory interactions.</w:t>
      </w:r>
    </w:p>
    <w:p>
      <w:pPr>
        <w:spacing w:after="0" w:line="16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was driven by additional activities in Europe, and resources for the input into development, regulatory and manufacturing plans with our partner, Ultragenyx, as the global development program is funded by Ultragenyx pursuant to our license and collaboration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35%, from $14.8 million in the nine months ended September 30, 2023 to $20.0 million in the nine months ended September 30, 2024.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increase was primarily due to:</w:t>
      </w:r>
    </w:p>
    <w:p>
      <w:pPr>
        <w:spacing w:after="0" w:line="117" w:lineRule="exact"/>
        <w:rPr>
          <w:sz w:val="20"/>
          <w:szCs w:val="20"/>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pre-commercial activities to lay the foundation for the commercial launch of setrusumab in Europe, including those to support pricing and reimbursement by HTA authorities and payor decision-makers in Europe of $1.4 million;</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increases in other general and administrative expenses of approximately $1.9 million, including employee-related costs, and legal and professional fees in respect of compliance with the U.S. domestic reporting regime;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$1.7 million in the amount received from our depository to reimburse certain expenses incurred by us in respect of our ADR program in the nine months ended September 30, 2024 compared to the nine months ended September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$0.8 million, or 58%, from $1.4 million in the nine months ended September 30, 2023 to $2.2 million in the nine months ended September 30, 2024. The increase was principally due to higher cash and cash equivalents balances from the proceeds of the underwritten registered direct offering in June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27" w:name="page28"/>
    <w:bookmarkEnd w:id="27"/>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$1.5 million, or 61%, from $2.5 million in the nine months ended September 30, 2023 to $1.0 million in the nine months ended September 30, 2024. This decrease was principally due to the lower balance of convertible loan notes in the period as the private placement loan notes were fully converted and redeemed in August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financial instruments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Changes in the fair value of financial instruments were an unrealized loss of $0.6 million in the nine months ended September 30, 2024, compared to an unrealized gain of $0.4 million in the nine months ended September 30, 2023. The unrealized loss in the nine months ended September 30, 2024 was primarily due to the impact of the increase in the price of the Company's ADSs on the value of the warrant liabilities, whereas in the nine months ended September 30, 2023, the unrealized gain was primarily due to the expiry of the Private Placement warrants in June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w:t>
      </w:r>
    </w:p>
    <w:p>
      <w:pPr>
        <w:spacing w:after="0" w:line="227"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The net foreign exchange loss for the nine months ended September 30, 2024 was $5.8 million, compared to a gain of $0.5 million in the nine months ended September 30, 2023. This change primarily reflects (i) the impact of a significant weakening in the value of U.S. dollars when translating U.S. dollar balances into our functional currency of pound sterling in the nine months ended September 30, 2024, compared to a slight strengthening of U.S. dollars in the nine months ended September 30, 2023, and (ii) higher U.S. dollar cash and cash equivalent balances following the underwritten registered direct offering in June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benefit from research and development tax credit decreased by $0.1 million, from $1.2 million in the nine months ended September 30, 2023 to $1.1 million in the nine months ended September 30, 2024. This decrease reflects a combination of a lower level of qualifying expenditure in the nine months ended September 30, 2024 and a reduction in the proportion of qualifying expenditure that can be reclaimed under the scheme rules. The tax credits represent eligible cash rebates paid or receivable from the tax authorities in the jurisdictions within which we operate for eligible types of research and development activities and associated expenditure (the “R&amp;D tax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adjustment for the nine months ended September 30, 2024 was a gain of $6.4 million, compared to a gain of $0.1 million in the nine months ended September 30, 2023. The change primarily reflects the impact of the significant weakening of U.S. dollars when translating the net assets of the Company from its functional currency (pound sterling) into its presentational currency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 or other sources.</w:t>
      </w:r>
    </w:p>
    <w:p>
      <w:pPr>
        <w:spacing w:after="0" w:line="180"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7"/>
          <w:szCs w:val="17"/>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3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July 2023;</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(formerly OncXerna) for navicixizumab in 2020 and a further milestone payment of $2.0 million in 2022;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for leflutrozole in December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further described in our 2023 Annual Report, under “Item 1. Business—Material Agreements—Novartis Agreements” (as updated in note 16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we enter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$2.4 million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nine months ended September 30, 2024 and 2023.</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5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360" w:type="dxa"/>
            <w:vAlign w:val="bottom"/>
          </w:tcPr>
          <w:p>
            <w:pPr>
              <w:spacing w:after="0"/>
              <w:rPr>
                <w:sz w:val="21"/>
                <w:szCs w:val="21"/>
                <w:color w:val="auto"/>
              </w:rPr>
            </w:pPr>
          </w:p>
        </w:tc>
        <w:tc>
          <w:tcPr>
            <w:tcW w:w="25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36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4"/>
        </w:trPr>
        <w:tc>
          <w:tcPr>
            <w:tcW w:w="5360" w:type="dxa"/>
            <w:vAlign w:val="bottom"/>
          </w:tcPr>
          <w:p>
            <w:pPr>
              <w:spacing w:after="0"/>
              <w:rPr>
                <w:sz w:val="20"/>
                <w:szCs w:val="20"/>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8"/>
        </w:trPr>
        <w:tc>
          <w:tcPr>
            <w:tcW w:w="5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(14,343 )</w:t>
            </w:r>
          </w:p>
        </w:tc>
      </w:tr>
      <w:tr>
        <w:trPr>
          <w:trHeight w:val="239"/>
        </w:trPr>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47"/>
        </w:trPr>
        <w:tc>
          <w:tcPr>
            <w:tcW w:w="5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34"/>
        </w:trPr>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52"/>
        </w:trPr>
        <w:tc>
          <w:tcPr>
            <w:tcW w:w="5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nine months ended September 30, 2024 was $23.4 million, an increase of $9.1 million from $14.3 million in the nine months ended September 30, 2023. </w:t>
      </w:r>
      <w:r>
        <w:rPr>
          <w:rFonts w:ascii="Times New Roman" w:cs="Times New Roman" w:eastAsia="Times New Roman" w:hAnsi="Times New Roman"/>
          <w:sz w:val="18"/>
          <w:szCs w:val="18"/>
          <w:color w:val="363435"/>
        </w:rPr>
        <w:t>The most significant items driving this increase were:</w:t>
      </w:r>
    </w:p>
    <w:p>
      <w:pPr>
        <w:spacing w:after="0" w:line="162" w:lineRule="exact"/>
        <w:rPr>
          <w:sz w:val="20"/>
          <w:szCs w:val="20"/>
          <w:color w:val="auto"/>
        </w:rPr>
      </w:pPr>
    </w:p>
    <w:p>
      <w:pPr>
        <w:ind w:firstLine="757"/>
        <w:spacing w:after="0" w:line="282" w:lineRule="auto"/>
        <w:tabs>
          <w:tab w:leader="none" w:pos="964" w:val="left"/>
        </w:tabs>
        <w:numPr>
          <w:ilvl w:val="0"/>
          <w:numId w:val="6"/>
        </w:numPr>
        <w:rPr>
          <w:rFonts w:ascii="Times New Roman" w:cs="Times New Roman" w:eastAsia="Times New Roman" w:hAnsi="Times New Roman"/>
          <w:sz w:val="18"/>
          <w:szCs w:val="18"/>
          <w:color w:val="363435"/>
        </w:rPr>
      </w:pPr>
      <w:r>
        <w:rPr>
          <w:rFonts w:ascii="Times New Roman" w:cs="Times New Roman" w:eastAsia="Times New Roman" w:hAnsi="Times New Roman"/>
          <w:sz w:val="18"/>
          <w:szCs w:val="18"/>
          <w:color w:val="363435"/>
        </w:rPr>
        <w:t xml:space="preserve">a </w:t>
      </w:r>
      <w:r>
        <w:rPr>
          <w:rFonts w:ascii="Times New Roman" w:cs="Times New Roman" w:eastAsia="Times New Roman" w:hAnsi="Times New Roman"/>
          <w:sz w:val="18"/>
          <w:szCs w:val="18"/>
          <w:color w:val="000000"/>
        </w:rPr>
        <w:t>one-time milestone payment of</w:t>
      </w:r>
      <w:r>
        <w:rPr>
          <w:rFonts w:ascii="Times New Roman" w:cs="Times New Roman" w:eastAsia="Times New Roman" w:hAnsi="Times New Roman"/>
          <w:sz w:val="18"/>
          <w:szCs w:val="18"/>
          <w:color w:val="363435"/>
        </w:rPr>
        <w:t xml:space="preserve"> $9.0 million being received in the three months ended September 30, 2023 </w:t>
      </w:r>
      <w:r>
        <w:rPr>
          <w:rFonts w:ascii="Times New Roman" w:cs="Times New Roman" w:eastAsia="Times New Roman" w:hAnsi="Times New Roman"/>
          <w:sz w:val="18"/>
          <w:szCs w:val="18"/>
          <w:color w:val="000000"/>
        </w:rPr>
        <w:t>resulting from the achievement of</w:t>
      </w:r>
      <w:r>
        <w:rPr>
          <w:rFonts w:ascii="Times New Roman" w:cs="Times New Roman" w:eastAsia="Times New Roman" w:hAnsi="Times New Roman"/>
          <w:sz w:val="18"/>
          <w:szCs w:val="18"/>
          <w:color w:val="363435"/>
        </w:rPr>
        <w:t xml:space="preserve"> </w:t>
      </w:r>
      <w:r>
        <w:rPr>
          <w:rFonts w:ascii="Times New Roman" w:cs="Times New Roman" w:eastAsia="Times New Roman" w:hAnsi="Times New Roman"/>
          <w:sz w:val="18"/>
          <w:szCs w:val="18"/>
          <w:color w:val="000000"/>
        </w:rPr>
        <w:t xml:space="preserve">a clinical milestone on setrusumab </w:t>
      </w:r>
      <w:r>
        <w:rPr>
          <w:rFonts w:ascii="Times New Roman" w:cs="Times New Roman" w:eastAsia="Times New Roman" w:hAnsi="Times New Roman"/>
          <w:sz w:val="18"/>
          <w:szCs w:val="18"/>
          <w:color w:val="363435"/>
        </w:rPr>
        <w:t>from Ultragenyx;</w:t>
      </w:r>
    </w:p>
    <w:p>
      <w:pPr>
        <w:spacing w:after="0" w:line="161" w:lineRule="exact"/>
        <w:rPr>
          <w:rFonts w:ascii="Times New Roman" w:cs="Times New Roman" w:eastAsia="Times New Roman" w:hAnsi="Times New Roman"/>
          <w:sz w:val="18"/>
          <w:szCs w:val="18"/>
          <w:color w:val="363435"/>
        </w:rPr>
      </w:pPr>
    </w:p>
    <w:p>
      <w:pPr>
        <w:ind w:right="580" w:firstLine="757"/>
        <w:spacing w:after="0" w:line="282" w:lineRule="auto"/>
        <w:tabs>
          <w:tab w:leader="none" w:pos="10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$1.8 million in research and development tax credits in the nine months ended September 30, 2023 with no similar amounts received in the nine months ended September 30, 2024;</w:t>
      </w:r>
    </w:p>
    <w:p>
      <w:pPr>
        <w:spacing w:after="0" w:line="161" w:lineRule="exact"/>
        <w:rPr>
          <w:rFonts w:ascii="Times New Roman" w:cs="Times New Roman" w:eastAsia="Times New Roman" w:hAnsi="Times New Roman"/>
          <w:sz w:val="18"/>
          <w:szCs w:val="18"/>
          <w:color w:val="auto"/>
        </w:rPr>
      </w:pPr>
    </w:p>
    <w:p>
      <w:pPr>
        <w:ind w:right="400" w:firstLine="757"/>
        <w:spacing w:after="0" w:line="282" w:lineRule="auto"/>
        <w:tabs>
          <w:tab w:leader="none" w:pos="10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$1.7 million less from our depository to reimburse certain expenses incurred by us in respect of our ADR program in the nine months ended September 30, 2024 than the nine months ended September 30, 2023; and</w:t>
      </w:r>
    </w:p>
    <w:p>
      <w:pPr>
        <w:spacing w:after="0" w:line="161"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$0.6 million higher other net cash operating expenses.</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the receipt of $2.0 million from a claim on our Directors and Officers insurance policy to reimburse us for certain legal and professional costs incurred in prior years and $1.8 million higher net interest inflows.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$0.7 million, an increase of $0.3 million from $0.4 million in the nine months ended September 30, 2023. The increase is due to additional payments to acquire intangible assets in the nine months ended September 30, 2024 compared to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$46.2 million, an increase of $38.2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$8.0 million in the nine months ended September 30, 2023. </w:t>
      </w:r>
      <w:r>
        <w:rPr>
          <w:rFonts w:ascii="Times New Roman" w:cs="Times New Roman" w:eastAsia="Times New Roman" w:hAnsi="Times New Roman"/>
          <w:sz w:val="18"/>
          <w:szCs w:val="18"/>
          <w:color w:val="363435"/>
        </w:rPr>
        <w:t>The increase represents</w:t>
      </w:r>
      <w:r>
        <w:rPr>
          <w:rFonts w:ascii="Times New Roman" w:cs="Times New Roman" w:eastAsia="Times New Roman" w:hAnsi="Times New Roman"/>
          <w:sz w:val="18"/>
          <w:szCs w:val="18"/>
          <w:color w:val="auto"/>
        </w:rPr>
        <w:t xml:space="preserve"> the difference between the net proceeds received from the underwritten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direct offering in June 2024 of $46.2 million in the nine months ended September 30, 2024 and the net proceeds of an “at-the-market” offering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million, offset by $3.2 million paid to redeem the Private Placement loan notes in the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we had an accumulated deficit of $455.8 million. We expect to continue to report significant operating losses for the foreseeable future as we continue our research and development efforts and seek to obtain regulatory approval of our product candidates and any future product we develop.</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760" w:right="1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adults and children with OI; and potential future clinical trials for alvelestat in AATD and other potential indications;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supplies of our product candidates;</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0" w:name="page31"/>
    <w:bookmarkEnd w:id="30"/>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license and option agreement with AstraZeneca;</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need to repay the principal and interest on our Convertible Loan Note with Novartis due in February 2025. We currently assume it will be converted or otherwise refinanced with new debt or equity;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critical accounting policies are described under the heading “Management’s Discussion and Analysis of Financial Condition and Results of Operations—Critical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Estimates” in our 2023 Annual Report, which was filed with the SEC on March 27, 2024.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exposure to market risk during the three months ended September 30, 2024. For a discussion of the Company’s exposure to market risk, please refer to the Company’s market risk disclosures set forth in Part II, Item 7A, “Quantitative and Qualitative Disclosures About Market Risk”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September 30, 2024.</w:t>
      </w:r>
    </w:p>
    <w:p>
      <w:pPr>
        <w:spacing w:after="0" w:line="176"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13a-15(e) and 15d – 15(e)) under the Exchange Act) occurred during the quarter ended September 30, 2024 that have materially affected, or are reasonably likely to materially affect, our internal control over financial reporting.</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32" w:name="page33"/>
    <w:bookmarkEnd w:id="32"/>
    <w:p>
      <w:pPr>
        <w:ind w:left="4300"/>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September 30, 2024, we were not a party to any material legal proceedings.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2023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September 30, 2024, none of our directors or officers adopted, modified or terminated a “Rule 10b5-1 trading arrangement” or a “non-Rule 10b5-1 trading arrangement” as such terms are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85" w:right="7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80" w:type="dxa"/>
            <w:vAlign w:val="bottom"/>
            <w:tcBorders>
              <w:bottom w:val="single" w:sz="8" w:color="auto"/>
            </w:tcBorders>
            <w:gridSpan w:val="7"/>
          </w:tcPr>
          <w:p>
            <w:pPr>
              <w:ind w:left="38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3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 adopted</w:t>
            </w:r>
          </w:p>
        </w:tc>
        <w:tc>
          <w:tcPr>
            <w:tcW w:w="24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980" w:type="dxa"/>
            <w:vAlign w:val="bottom"/>
            <w:gridSpan w:val="5"/>
          </w:tcPr>
          <w:p>
            <w:pPr>
              <w:spacing w:after="0"/>
              <w:rPr>
                <w:sz w:val="17"/>
                <w:szCs w:val="17"/>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of 1934, as adopted</w:t>
            </w:r>
          </w:p>
        </w:tc>
        <w:tc>
          <w:tcPr>
            <w:tcW w:w="30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980" w:type="dxa"/>
            <w:vAlign w:val="bottom"/>
            <w:gridSpan w:val="5"/>
          </w:tcPr>
          <w:p>
            <w:pPr>
              <w:spacing w:after="0"/>
              <w:rPr>
                <w:sz w:val="17"/>
                <w:szCs w:val="17"/>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 of</w:t>
            </w:r>
          </w:p>
        </w:tc>
        <w:tc>
          <w:tcPr>
            <w:tcW w:w="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7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 of</w:t>
            </w:r>
          </w:p>
        </w:tc>
        <w:tc>
          <w:tcPr>
            <w:tcW w:w="10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880" w:type="dxa"/>
            <w:vAlign w:val="bottom"/>
            <w:gridSpan w:val="7"/>
          </w:tcPr>
          <w:p>
            <w:pPr>
              <w:spacing w:after="0" w:line="20" w:lineRule="exact"/>
              <w:rPr>
                <w:sz w:val="1"/>
                <w:szCs w:val="1"/>
                <w:color w:val="auto"/>
              </w:rPr>
            </w:pPr>
          </w:p>
        </w:tc>
      </w:tr>
      <w:tr>
        <w:trPr>
          <w:trHeight w:val="47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252" w:lineRule="exact"/>
        <w:rPr>
          <w:sz w:val="20"/>
          <w:szCs w:val="20"/>
          <w:color w:val="auto"/>
        </w:rPr>
      </w:pPr>
    </w:p>
    <w:p>
      <w:pPr>
        <w:ind w:right="780" w:firstLine="21"/>
        <w:spacing w:after="0" w:line="355" w:lineRule="auto"/>
        <w:tabs>
          <w:tab w:leader="none" w:pos="9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 * Filed herewith.</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903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November 12,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7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19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28"/>
        </w:trPr>
        <w:tc>
          <w:tcPr>
            <w:tcW w:w="3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38"/>
        </w:trPr>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7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19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28"/>
        </w:trPr>
        <w:tc>
          <w:tcPr>
            <w:tcW w:w="3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w:t>
            </w:r>
          </w:p>
        </w:tc>
      </w:tr>
      <w:tr>
        <w:trPr>
          <w:trHeight w:val="238"/>
        </w:trPr>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61"/>
        </w:trPr>
        <w:tc>
          <w:tcPr>
            <w:tcW w:w="3720" w:type="dxa"/>
            <w:vAlign w:val="bottom"/>
          </w:tcPr>
          <w:p>
            <w:pPr>
              <w:spacing w:after="0"/>
              <w:rPr>
                <w:sz w:val="24"/>
                <w:szCs w:val="24"/>
                <w:color w:val="auto"/>
              </w:rPr>
            </w:pPr>
          </w:p>
        </w:tc>
        <w:tc>
          <w:tcPr>
            <w:tcW w:w="75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33</w:t>
            </w:r>
          </w:p>
        </w:tc>
      </w:tr>
      <w:tr>
        <w:trPr>
          <w:trHeight w:val="763"/>
        </w:trPr>
        <w:tc>
          <w:tcPr>
            <w:tcW w:w="37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44" w:lineRule="exact"/>
        <w:rPr>
          <w:sz w:val="20"/>
          <w:szCs w:val="20"/>
          <w:color w:val="auto"/>
        </w:rPr>
      </w:pPr>
    </w:p>
    <w:p>
      <w:pPr>
        <w:ind w:left="480" w:hanging="45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57"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80" w:right="280" w:hanging="459"/>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40" w:right="8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240" w:hanging="459"/>
        <w:spacing w:after="0" w:line="312" w:lineRule="auto"/>
        <w:tabs>
          <w:tab w:leader="none" w:pos="4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72"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40" w:right="400" w:hanging="560"/>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3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03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36" w:lineRule="exact"/>
        <w:rPr>
          <w:sz w:val="20"/>
          <w:szCs w:val="20"/>
          <w:color w:val="auto"/>
        </w:rPr>
      </w:pPr>
    </w:p>
    <w:p>
      <w:pPr>
        <w:sectPr>
          <w:pgSz w:w="11900" w:h="16838" w:orient="portrait"/>
          <w:cols w:equalWidth="0" w:num="2">
            <w:col w:w="6800" w:space="560"/>
            <w:col w:w="3880"/>
          </w:cols>
          <w:pgMar w:left="320" w:top="1440" w:right="339" w:bottom="1440" w:gutter="0" w:footer="0" w:header="0"/>
          <w:type w:val="continuous"/>
        </w:sectPr>
      </w:pPr>
    </w:p>
    <w:p>
      <w:pPr>
        <w:ind w:left="63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2">
            <w:col w:w="6700" w:space="660"/>
            <w:col w:w="3880"/>
          </w:cols>
          <w:pgMar w:left="320" w:top="1440" w:right="3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44" w:lineRule="exact"/>
        <w:rPr>
          <w:sz w:val="20"/>
          <w:szCs w:val="20"/>
          <w:color w:val="auto"/>
        </w:rPr>
      </w:pPr>
    </w:p>
    <w:p>
      <w:pPr>
        <w:ind w:left="480" w:hanging="45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57"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80" w:right="280" w:hanging="459"/>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40" w:right="8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240" w:hanging="459"/>
        <w:spacing w:after="0" w:line="312" w:lineRule="auto"/>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72"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40" w:right="400" w:hanging="560"/>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3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Christine Fox</w:t>
            </w:r>
          </w:p>
        </w:tc>
      </w:tr>
      <w:tr>
        <w:trPr>
          <w:trHeight w:val="243"/>
        </w:trPr>
        <w:tc>
          <w:tcPr>
            <w:tcW w:w="692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56"/>
        </w:trPr>
        <w:tc>
          <w:tcPr>
            <w:tcW w:w="6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September 30, 2024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12,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w:t>
            </w:r>
          </w:p>
        </w:tc>
        <w:tc>
          <w:tcPr>
            <w:tcW w:w="4300" w:type="dxa"/>
            <w:vAlign w:val="bottom"/>
          </w:tcPr>
          <w:p>
            <w:pPr>
              <w:spacing w:after="0"/>
              <w:rPr>
                <w:sz w:val="20"/>
                <w:szCs w:val="20"/>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w:t>
            </w:r>
          </w:p>
        </w:tc>
        <w:tc>
          <w:tcPr>
            <w:tcW w:w="4300" w:type="dxa"/>
            <w:vAlign w:val="bottom"/>
          </w:tcPr>
          <w:p>
            <w:pPr>
              <w:spacing w:after="0"/>
              <w:rPr>
                <w:sz w:val="21"/>
                <w:szCs w:val="21"/>
                <w:color w:val="auto"/>
              </w:rPr>
            </w:pPr>
          </w:p>
        </w:tc>
      </w:tr>
      <w:tr>
        <w:trPr>
          <w:trHeight w:val="24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300" w:type="dxa"/>
            <w:vAlign w:val="bottom"/>
          </w:tcPr>
          <w:p>
            <w:pPr>
              <w:spacing w:after="0"/>
              <w:rPr>
                <w:sz w:val="21"/>
                <w:szCs w:val="21"/>
                <w:color w:val="auto"/>
              </w:rPr>
            </w:pPr>
          </w:p>
        </w:tc>
      </w:tr>
      <w:tr>
        <w:trPr>
          <w:trHeight w:val="2315"/>
        </w:trPr>
        <w:tc>
          <w:tcPr>
            <w:tcW w:w="11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September 30, 2024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12,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4500" w:type="dxa"/>
            <w:vAlign w:val="bottom"/>
          </w:tcPr>
          <w:p>
            <w:pPr>
              <w:spacing w:after="0"/>
              <w:rPr>
                <w:sz w:val="20"/>
                <w:szCs w:val="20"/>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4500" w:type="dxa"/>
            <w:vAlign w:val="bottom"/>
          </w:tcPr>
          <w:p>
            <w:pPr>
              <w:spacing w:after="0"/>
              <w:rPr>
                <w:sz w:val="21"/>
                <w:szCs w:val="21"/>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500" w:type="dxa"/>
            <w:vAlign w:val="bottom"/>
          </w:tcPr>
          <w:p>
            <w:pPr>
              <w:spacing w:after="0"/>
              <w:rPr>
                <w:sz w:val="21"/>
                <w:szCs w:val="21"/>
                <w:color w:val="auto"/>
              </w:rPr>
            </w:pPr>
          </w:p>
        </w:tc>
      </w:tr>
      <w:tr>
        <w:trPr>
          <w:trHeight w:val="1856"/>
        </w:trPr>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2024-11-12T08:57:11Z</dcterms:created>
  <dcterms:modified xsi:type="dcterms:W3CDTF">2024-11-12T08:57:11Z</dcterms:modified>
</cp:coreProperties>
</file>