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13G/A</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(Amendment No. 3)*</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8"/>
          <w:szCs w:val="18"/>
          <w:color w:val="auto"/>
        </w:rPr>
        <w:t>(Name of Issuer)</w:t>
      </w:r>
    </w:p>
    <w:p>
      <w:pPr>
        <w:spacing w:after="0" w:line="21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American Depositary Share, each representing five Ordinary Shares, nominal value £0.003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4"/>
          <w:szCs w:val="24"/>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13" w:right="439" w:bottom="1440" w:gutter="0" w:footer="0" w:header="0"/>
        </w:sectPr>
      </w:pPr>
    </w:p>
    <w:bookmarkStart w:id="1" w:name="page2"/>
    <w:bookmarkEnd w:id="1"/>
    <w:p>
      <w:pPr>
        <w:ind w:left="1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48088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808855"/>
                    </a:xfrm>
                    <a:prstGeom prst="rect">
                      <a:avLst/>
                    </a:prstGeom>
                    <a:noFill/>
                  </pic:spPr>
                </pic:pic>
              </a:graphicData>
            </a:graphic>
          </wp:anchor>
        </w:drawing>
        <w:t>CUSIP No. 589492107</w:t>
      </w:r>
    </w:p>
    <w:p>
      <w:pPr>
        <w:sectPr>
          <w:pgSz w:w="11900" w:h="16838" w:orient="portrait"/>
          <w:cols w:equalWidth="0" w:num="1">
            <w:col w:w="11240"/>
          </w:cols>
          <w:pgMar w:left="320" w:top="1043" w:right="339" w:bottom="1440" w:gutter="0" w:footer="0" w:header="0"/>
        </w:sectPr>
      </w:pPr>
    </w:p>
    <w:p>
      <w:pPr>
        <w:spacing w:after="0" w:line="194" w:lineRule="exact"/>
        <w:rPr>
          <w:sz w:val="20"/>
          <w:szCs w:val="20"/>
          <w:color w:val="auto"/>
        </w:rPr>
      </w:pPr>
    </w:p>
    <w:p>
      <w:pPr>
        <w:ind w:left="300"/>
        <w:spacing w:after="0"/>
        <w:rPr>
          <w:sz w:val="20"/>
          <w:szCs w:val="20"/>
          <w:color w:val="auto"/>
        </w:rPr>
      </w:pPr>
      <w:r>
        <w:rPr>
          <w:rFonts w:ascii="Arial" w:cs="Arial" w:eastAsia="Arial" w:hAnsi="Arial"/>
          <w:sz w:val="21"/>
          <w:szCs w:val="21"/>
          <w:b w:val="1"/>
          <w:bCs w:val="1"/>
          <w:color w:val="auto"/>
        </w:rPr>
        <w:t>1</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Vivo Capital IX, LLC</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CHECK THE APPROPRIATE BOX IF A MEMBER OF A GROUP (See Instructions)</w:t>
      </w:r>
    </w:p>
    <w:p>
      <w:pPr>
        <w:spacing w:after="0" w:line="1" w:lineRule="exact"/>
        <w:rPr>
          <w:sz w:val="20"/>
          <w:szCs w:val="20"/>
          <w:color w:val="auto"/>
        </w:rPr>
      </w:pPr>
    </w:p>
    <w:p>
      <w:pPr>
        <w:sectPr>
          <w:pgSz w:w="11900" w:h="16838" w:orient="portrait"/>
          <w:cols w:equalWidth="0" w:num="2">
            <w:col w:w="420" w:space="480"/>
            <w:col w:w="10340"/>
          </w:cols>
          <w:pgMar w:left="320" w:top="1043" w:right="339" w:bottom="1440" w:gutter="0" w:footer="0" w:header="0"/>
          <w:type w:val="continuous"/>
        </w:sectPr>
      </w:pPr>
    </w:p>
    <w:p>
      <w:pPr>
        <w:ind w:left="900" w:hanging="595"/>
        <w:spacing w:after="0" w:line="253" w:lineRule="exact"/>
        <w:tabs>
          <w:tab w:leader="none" w:pos="900" w:val="left"/>
        </w:tabs>
        <w:numPr>
          <w:ilvl w:val="0"/>
          <w:numId w:val="5"/>
        </w:numPr>
        <w:rPr>
          <w:rFonts w:ascii="Arial" w:cs="Arial" w:eastAsia="Arial" w:hAnsi="Arial"/>
          <w:sz w:val="22"/>
          <w:szCs w:val="22"/>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ind w:left="1360" w:hanging="470"/>
        <w:spacing w:after="0" w:line="207" w:lineRule="exact"/>
        <w:tabs>
          <w:tab w:leader="none" w:pos="13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3</w:t>
            </w:r>
          </w:p>
        </w:tc>
        <w:tc>
          <w:tcPr>
            <w:tcW w:w="1840" w:type="dxa"/>
            <w:vAlign w:val="bottom"/>
            <w:gridSpan w:val="3"/>
          </w:tcPr>
          <w:p>
            <w:pPr>
              <w:ind w:left="460"/>
              <w:spacing w:after="0"/>
              <w:rPr>
                <w:sz w:val="20"/>
                <w:szCs w:val="20"/>
                <w:color w:val="auto"/>
              </w:rPr>
            </w:pPr>
            <w:r>
              <w:rPr>
                <w:rFonts w:ascii="Arial" w:cs="Arial" w:eastAsia="Arial" w:hAnsi="Arial"/>
                <w:sz w:val="18"/>
                <w:szCs w:val="18"/>
                <w:color w:val="auto"/>
              </w:rPr>
              <w:t>SEC USE ONLY</w:t>
            </w:r>
          </w:p>
        </w:tc>
        <w:tc>
          <w:tcPr>
            <w:tcW w:w="92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4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4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spacing w:after="0"/>
              <w:rPr>
                <w:sz w:val="13"/>
                <w:szCs w:val="13"/>
                <w:color w:val="auto"/>
              </w:rPr>
            </w:pPr>
          </w:p>
        </w:tc>
        <w:tc>
          <w:tcPr>
            <w:tcW w:w="896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4</w:t>
            </w:r>
          </w:p>
        </w:tc>
        <w:tc>
          <w:tcPr>
            <w:tcW w:w="10800" w:type="dxa"/>
            <w:vAlign w:val="bottom"/>
            <w:gridSpan w:val="5"/>
          </w:tcPr>
          <w:p>
            <w:pPr>
              <w:ind w:left="4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171"/>
        </w:trPr>
        <w:tc>
          <w:tcPr>
            <w:tcW w:w="440" w:type="dxa"/>
            <w:vAlign w:val="bottom"/>
            <w:vMerge w:val="continue"/>
          </w:tcPr>
          <w:p>
            <w:pPr>
              <w:spacing w:after="0"/>
              <w:rPr>
                <w:sz w:val="14"/>
                <w:szCs w:val="14"/>
                <w:color w:val="auto"/>
              </w:rPr>
            </w:pPr>
          </w:p>
        </w:tc>
        <w:tc>
          <w:tcPr>
            <w:tcW w:w="1300" w:type="dxa"/>
            <w:vAlign w:val="bottom"/>
            <w:gridSpan w:val="2"/>
            <w:vMerge w:val="restart"/>
          </w:tcPr>
          <w:p>
            <w:pPr>
              <w:ind w:left="460"/>
              <w:spacing w:after="0"/>
              <w:rPr>
                <w:sz w:val="20"/>
                <w:szCs w:val="20"/>
                <w:color w:val="auto"/>
              </w:rPr>
            </w:pPr>
            <w:r>
              <w:rPr>
                <w:rFonts w:ascii="Arial" w:cs="Arial" w:eastAsia="Arial" w:hAnsi="Arial"/>
                <w:sz w:val="18"/>
                <w:szCs w:val="18"/>
                <w:b w:val="1"/>
                <w:bCs w:val="1"/>
                <w:color w:val="auto"/>
              </w:rPr>
              <w:t>Delaware</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vMerge w:val="continue"/>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right w:val="single" w:sz="8" w:color="auto"/>
            </w:tcBorders>
            <w:vMerge w:val="restart"/>
          </w:tcPr>
          <w:p>
            <w:pPr>
              <w:jc w:val="right"/>
              <w:ind w:right="192"/>
              <w:spacing w:after="0"/>
              <w:rPr>
                <w:sz w:val="20"/>
                <w:szCs w:val="20"/>
                <w:color w:val="auto"/>
              </w:rPr>
            </w:pPr>
            <w:r>
              <w:rPr>
                <w:rFonts w:ascii="Arial" w:cs="Arial" w:eastAsia="Arial" w:hAnsi="Arial"/>
                <w:sz w:val="22"/>
                <w:szCs w:val="22"/>
                <w:b w:val="1"/>
                <w:bCs w:val="1"/>
                <w:color w:val="auto"/>
              </w:rPr>
              <w:t>5</w:t>
            </w:r>
          </w:p>
        </w:tc>
        <w:tc>
          <w:tcPr>
            <w:tcW w:w="8960" w:type="dxa"/>
            <w:vAlign w:val="bottom"/>
            <w:gridSpan w:val="2"/>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98"/>
        </w:trPr>
        <w:tc>
          <w:tcPr>
            <w:tcW w:w="16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120" w:type="dxa"/>
            <w:vAlign w:val="bottom"/>
          </w:tcPr>
          <w:p>
            <w:pPr>
              <w:spacing w:after="0"/>
              <w:rPr>
                <w:sz w:val="17"/>
                <w:szCs w:val="17"/>
                <w:color w:val="auto"/>
              </w:rPr>
            </w:pPr>
          </w:p>
        </w:tc>
        <w:tc>
          <w:tcPr>
            <w:tcW w:w="540" w:type="dxa"/>
            <w:vAlign w:val="bottom"/>
            <w:tcBorders>
              <w:right w:val="single" w:sz="8" w:color="auto"/>
            </w:tcBorders>
            <w:vMerge w:val="continue"/>
          </w:tcPr>
          <w:p>
            <w:pPr>
              <w:spacing w:after="0"/>
              <w:rPr>
                <w:sz w:val="17"/>
                <w:szCs w:val="17"/>
                <w:color w:val="auto"/>
              </w:rPr>
            </w:pPr>
          </w:p>
        </w:tc>
        <w:tc>
          <w:tcPr>
            <w:tcW w:w="920" w:type="dxa"/>
            <w:vAlign w:val="bottom"/>
            <w:vMerge w:val="restart"/>
          </w:tcPr>
          <w:p>
            <w:pPr>
              <w:ind w:left="180"/>
              <w:spacing w:after="0"/>
              <w:rPr>
                <w:sz w:val="20"/>
                <w:szCs w:val="20"/>
                <w:color w:val="auto"/>
              </w:rPr>
            </w:pPr>
            <w:r>
              <w:rPr>
                <w:rFonts w:ascii="Arial" w:cs="Arial" w:eastAsia="Arial" w:hAnsi="Arial"/>
                <w:sz w:val="18"/>
                <w:szCs w:val="18"/>
                <w:b w:val="1"/>
                <w:bCs w:val="1"/>
                <w:color w:val="auto"/>
                <w:w w:val="89"/>
              </w:rPr>
              <w:t>2,099,520</w:t>
            </w:r>
          </w:p>
        </w:tc>
        <w:tc>
          <w:tcPr>
            <w:tcW w:w="8040" w:type="dxa"/>
            <w:vAlign w:val="bottom"/>
            <w:vMerge w:val="restart"/>
          </w:tcPr>
          <w:p>
            <w:pPr>
              <w:jc w:val="right"/>
              <w:ind w:right="7765"/>
              <w:spacing w:after="0"/>
              <w:rPr>
                <w:sz w:val="20"/>
                <w:szCs w:val="20"/>
                <w:color w:val="auto"/>
              </w:rPr>
            </w:pPr>
            <w:r>
              <w:rPr>
                <w:rFonts w:ascii="Arial" w:cs="Arial" w:eastAsia="Arial" w:hAnsi="Arial"/>
                <w:sz w:val="15"/>
                <w:szCs w:val="15"/>
                <w:b w:val="1"/>
                <w:bCs w:val="1"/>
                <w:color w:val="auto"/>
                <w:w w:val="97"/>
              </w:rPr>
              <w:t>(1)</w:t>
            </w:r>
          </w:p>
        </w:tc>
        <w:tc>
          <w:tcPr>
            <w:tcW w:w="0" w:type="dxa"/>
            <w:vAlign w:val="bottom"/>
          </w:tcPr>
          <w:p>
            <w:pPr>
              <w:spacing w:after="0"/>
              <w:rPr>
                <w:sz w:val="1"/>
                <w:szCs w:val="1"/>
                <w:color w:val="auto"/>
              </w:rPr>
            </w:pPr>
          </w:p>
        </w:tc>
      </w:tr>
      <w:tr>
        <w:trPr>
          <w:trHeight w:val="112"/>
        </w:trPr>
        <w:tc>
          <w:tcPr>
            <w:tcW w:w="1620" w:type="dxa"/>
            <w:vAlign w:val="bottom"/>
            <w:tcBorders>
              <w:righ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920" w:type="dxa"/>
            <w:vAlign w:val="bottom"/>
            <w:vMerge w:val="continue"/>
          </w:tcPr>
          <w:p>
            <w:pPr>
              <w:spacing w:after="0"/>
              <w:rPr>
                <w:sz w:val="9"/>
                <w:szCs w:val="9"/>
                <w:color w:val="auto"/>
              </w:rPr>
            </w:pPr>
          </w:p>
        </w:tc>
        <w:tc>
          <w:tcPr>
            <w:tcW w:w="8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0" w:type="dxa"/>
            <w:vAlign w:val="bottom"/>
          </w:tcPr>
          <w:p>
            <w:pPr>
              <w:spacing w:after="0"/>
              <w:rPr>
                <w:sz w:val="5"/>
                <w:szCs w:val="5"/>
                <w:color w:val="auto"/>
              </w:rPr>
            </w:pPr>
          </w:p>
        </w:tc>
        <w:tc>
          <w:tcPr>
            <w:tcW w:w="1180" w:type="dxa"/>
            <w:vAlign w:val="bottom"/>
            <w:tcBorders>
              <w:right w:val="single" w:sz="8" w:color="auto"/>
            </w:tcBorders>
            <w:vMerge w:val="restart"/>
          </w:tcPr>
          <w:p>
            <w:pPr>
              <w:jc w:val="center"/>
              <w:ind w:right="350"/>
              <w:spacing w:after="0" w:line="201" w:lineRule="exact"/>
              <w:rPr>
                <w:sz w:val="20"/>
                <w:szCs w:val="20"/>
                <w:color w:val="auto"/>
              </w:rPr>
            </w:pPr>
            <w:r>
              <w:rPr>
                <w:rFonts w:ascii="Arial" w:cs="Arial" w:eastAsia="Arial" w:hAnsi="Arial"/>
                <w:sz w:val="18"/>
                <w:szCs w:val="18"/>
                <w:color w:val="auto"/>
                <w:w w:val="94"/>
              </w:rPr>
              <w:t>SHARES</w:t>
            </w: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440" w:type="dxa"/>
            <w:vAlign w:val="bottom"/>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8960" w:type="dxa"/>
            <w:vAlign w:val="bottom"/>
            <w:gridSpan w:val="2"/>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10"/>
        </w:trPr>
        <w:tc>
          <w:tcPr>
            <w:tcW w:w="16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9"/>
                <w:szCs w:val="9"/>
                <w:color w:val="auto"/>
              </w:rPr>
            </w:pPr>
          </w:p>
        </w:tc>
        <w:tc>
          <w:tcPr>
            <w:tcW w:w="540" w:type="dxa"/>
            <w:vAlign w:val="bottom"/>
            <w:tcBorders>
              <w:right w:val="single" w:sz="8" w:color="auto"/>
            </w:tcBorders>
            <w:vMerge w:val="restart"/>
          </w:tcPr>
          <w:p>
            <w:pPr>
              <w:jc w:val="right"/>
              <w:ind w:right="192"/>
              <w:spacing w:after="0" w:line="217" w:lineRule="exact"/>
              <w:rPr>
                <w:sz w:val="20"/>
                <w:szCs w:val="20"/>
                <w:color w:val="auto"/>
              </w:rPr>
            </w:pPr>
            <w:r>
              <w:rPr>
                <w:rFonts w:ascii="Arial" w:cs="Arial" w:eastAsia="Arial" w:hAnsi="Arial"/>
                <w:sz w:val="22"/>
                <w:szCs w:val="22"/>
                <w:b w:val="1"/>
                <w:bCs w:val="1"/>
                <w:color w:val="auto"/>
              </w:rPr>
              <w:t>6</w:t>
            </w:r>
          </w:p>
        </w:tc>
        <w:tc>
          <w:tcPr>
            <w:tcW w:w="8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620" w:type="dxa"/>
            <w:vAlign w:val="bottom"/>
            <w:tcBorders>
              <w:righ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right w:val="single" w:sz="8" w:color="auto"/>
            </w:tcBorders>
            <w:vMerge w:val="continue"/>
          </w:tcPr>
          <w:p>
            <w:pPr>
              <w:spacing w:after="0"/>
              <w:rPr>
                <w:sz w:val="9"/>
                <w:szCs w:val="9"/>
                <w:color w:val="auto"/>
              </w:rPr>
            </w:pPr>
          </w:p>
        </w:tc>
        <w:tc>
          <w:tcPr>
            <w:tcW w:w="9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0</w:t>
            </w:r>
          </w:p>
        </w:tc>
        <w:tc>
          <w:tcPr>
            <w:tcW w:w="8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6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OWNED BY</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8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0" w:type="dxa"/>
            <w:vAlign w:val="bottom"/>
          </w:tcPr>
          <w:p>
            <w:pPr>
              <w:spacing w:after="0"/>
              <w:rPr>
                <w:sz w:val="16"/>
                <w:szCs w:val="16"/>
                <w:color w:val="auto"/>
              </w:rPr>
            </w:pPr>
          </w:p>
        </w:tc>
        <w:tc>
          <w:tcPr>
            <w:tcW w:w="1180" w:type="dxa"/>
            <w:vAlign w:val="bottom"/>
            <w:tcBorders>
              <w:right w:val="single" w:sz="8" w:color="auto"/>
            </w:tcBorders>
          </w:tcPr>
          <w:p>
            <w:pPr>
              <w:jc w:val="center"/>
              <w:ind w:right="350"/>
              <w:spacing w:after="0" w:line="189" w:lineRule="exact"/>
              <w:rPr>
                <w:sz w:val="20"/>
                <w:szCs w:val="20"/>
                <w:color w:val="auto"/>
              </w:rPr>
            </w:pPr>
            <w:r>
              <w:rPr>
                <w:rFonts w:ascii="Arial" w:cs="Arial" w:eastAsia="Arial" w:hAnsi="Arial"/>
                <w:sz w:val="18"/>
                <w:szCs w:val="18"/>
                <w:color w:val="auto"/>
                <w:w w:val="99"/>
              </w:rPr>
              <w:t>EACH</w:t>
            </w:r>
          </w:p>
        </w:tc>
        <w:tc>
          <w:tcPr>
            <w:tcW w:w="120" w:type="dxa"/>
            <w:vAlign w:val="bottom"/>
          </w:tcPr>
          <w:p>
            <w:pPr>
              <w:spacing w:after="0"/>
              <w:rPr>
                <w:sz w:val="16"/>
                <w:szCs w:val="16"/>
                <w:color w:val="auto"/>
              </w:rPr>
            </w:pPr>
          </w:p>
        </w:tc>
        <w:tc>
          <w:tcPr>
            <w:tcW w:w="540" w:type="dxa"/>
            <w:vAlign w:val="bottom"/>
            <w:tcBorders>
              <w:right w:val="single" w:sz="8" w:color="auto"/>
            </w:tcBorders>
            <w:vMerge w:val="restart"/>
          </w:tcPr>
          <w:p>
            <w:pPr>
              <w:jc w:val="right"/>
              <w:ind w:right="192"/>
              <w:spacing w:after="0"/>
              <w:rPr>
                <w:sz w:val="20"/>
                <w:szCs w:val="20"/>
                <w:color w:val="auto"/>
              </w:rPr>
            </w:pPr>
            <w:r>
              <w:rPr>
                <w:rFonts w:ascii="Arial" w:cs="Arial" w:eastAsia="Arial" w:hAnsi="Arial"/>
                <w:sz w:val="22"/>
                <w:szCs w:val="22"/>
                <w:b w:val="1"/>
                <w:bCs w:val="1"/>
                <w:color w:val="auto"/>
              </w:rPr>
              <w:t>7</w:t>
            </w:r>
          </w:p>
        </w:tc>
        <w:tc>
          <w:tcPr>
            <w:tcW w:w="896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120" w:type="dxa"/>
            <w:vAlign w:val="bottom"/>
          </w:tcPr>
          <w:p>
            <w:pPr>
              <w:spacing w:after="0"/>
              <w:rPr>
                <w:sz w:val="18"/>
                <w:szCs w:val="18"/>
                <w:color w:val="auto"/>
              </w:rPr>
            </w:pPr>
          </w:p>
        </w:tc>
        <w:tc>
          <w:tcPr>
            <w:tcW w:w="540" w:type="dxa"/>
            <w:vAlign w:val="bottom"/>
            <w:tcBorders>
              <w:right w:val="single" w:sz="8" w:color="auto"/>
            </w:tcBorders>
            <w:vMerge w:val="continue"/>
          </w:tcPr>
          <w:p>
            <w:pPr>
              <w:spacing w:after="0"/>
              <w:rPr>
                <w:sz w:val="18"/>
                <w:szCs w:val="18"/>
                <w:color w:val="auto"/>
              </w:rPr>
            </w:pPr>
          </w:p>
        </w:tc>
        <w:tc>
          <w:tcPr>
            <w:tcW w:w="920" w:type="dxa"/>
            <w:vAlign w:val="bottom"/>
            <w:vMerge w:val="restart"/>
          </w:tcPr>
          <w:p>
            <w:pPr>
              <w:ind w:left="180"/>
              <w:spacing w:after="0"/>
              <w:rPr>
                <w:sz w:val="20"/>
                <w:szCs w:val="20"/>
                <w:color w:val="auto"/>
              </w:rPr>
            </w:pPr>
            <w:r>
              <w:rPr>
                <w:rFonts w:ascii="Arial" w:cs="Arial" w:eastAsia="Arial" w:hAnsi="Arial"/>
                <w:sz w:val="18"/>
                <w:szCs w:val="18"/>
                <w:b w:val="1"/>
                <w:bCs w:val="1"/>
                <w:color w:val="auto"/>
                <w:w w:val="89"/>
              </w:rPr>
              <w:t>2,099,520</w:t>
            </w:r>
          </w:p>
        </w:tc>
        <w:tc>
          <w:tcPr>
            <w:tcW w:w="8040" w:type="dxa"/>
            <w:vAlign w:val="bottom"/>
            <w:vMerge w:val="restart"/>
          </w:tcPr>
          <w:p>
            <w:pPr>
              <w:jc w:val="right"/>
              <w:ind w:right="7765"/>
              <w:spacing w:after="0"/>
              <w:rPr>
                <w:sz w:val="20"/>
                <w:szCs w:val="20"/>
                <w:color w:val="auto"/>
              </w:rPr>
            </w:pPr>
            <w:r>
              <w:rPr>
                <w:rFonts w:ascii="Arial" w:cs="Arial" w:eastAsia="Arial" w:hAnsi="Arial"/>
                <w:sz w:val="15"/>
                <w:szCs w:val="15"/>
                <w:b w:val="1"/>
                <w:bCs w:val="1"/>
                <w:color w:val="auto"/>
                <w:w w:val="97"/>
              </w:rPr>
              <w:t>(1)</w:t>
            </w:r>
          </w:p>
        </w:tc>
        <w:tc>
          <w:tcPr>
            <w:tcW w:w="0" w:type="dxa"/>
            <w:vAlign w:val="bottom"/>
          </w:tcPr>
          <w:p>
            <w:pPr>
              <w:spacing w:after="0"/>
              <w:rPr>
                <w:sz w:val="1"/>
                <w:szCs w:val="1"/>
                <w:color w:val="auto"/>
              </w:rPr>
            </w:pPr>
          </w:p>
        </w:tc>
      </w:tr>
      <w:tr>
        <w:trPr>
          <w:trHeight w:val="197"/>
        </w:trPr>
        <w:tc>
          <w:tcPr>
            <w:tcW w:w="440" w:type="dxa"/>
            <w:vAlign w:val="bottom"/>
          </w:tcPr>
          <w:p>
            <w:pPr>
              <w:spacing w:after="0"/>
              <w:rPr>
                <w:sz w:val="17"/>
                <w:szCs w:val="17"/>
                <w:color w:val="auto"/>
              </w:rPr>
            </w:pPr>
          </w:p>
        </w:tc>
        <w:tc>
          <w:tcPr>
            <w:tcW w:w="1180" w:type="dxa"/>
            <w:vAlign w:val="bottom"/>
            <w:tcBorders>
              <w:right w:val="single" w:sz="8" w:color="auto"/>
            </w:tcBorders>
          </w:tcPr>
          <w:p>
            <w:pPr>
              <w:jc w:val="center"/>
              <w:ind w:right="350"/>
              <w:spacing w:after="0" w:line="190" w:lineRule="exact"/>
              <w:rPr>
                <w:sz w:val="20"/>
                <w:szCs w:val="20"/>
                <w:color w:val="auto"/>
              </w:rPr>
            </w:pPr>
            <w:r>
              <w:rPr>
                <w:rFonts w:ascii="Arial" w:cs="Arial" w:eastAsia="Arial" w:hAnsi="Arial"/>
                <w:sz w:val="18"/>
                <w:szCs w:val="18"/>
                <w:color w:val="auto"/>
                <w:w w:val="92"/>
              </w:rPr>
              <w:t>PERSON</w:t>
            </w: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1180" w:type="dxa"/>
            <w:vAlign w:val="bottom"/>
            <w:tcBorders>
              <w:right w:val="single" w:sz="8" w:color="auto"/>
            </w:tcBorders>
          </w:tcPr>
          <w:p>
            <w:pPr>
              <w:jc w:val="center"/>
              <w:ind w:right="350"/>
              <w:spacing w:after="0"/>
              <w:rPr>
                <w:sz w:val="20"/>
                <w:szCs w:val="20"/>
                <w:color w:val="auto"/>
              </w:rPr>
            </w:pPr>
            <w:r>
              <w:rPr>
                <w:rFonts w:ascii="Arial" w:cs="Arial" w:eastAsia="Arial" w:hAnsi="Arial"/>
                <w:sz w:val="18"/>
                <w:szCs w:val="18"/>
                <w:color w:val="auto"/>
                <w:w w:val="99"/>
              </w:rPr>
              <w:t>WITH</w:t>
            </w:r>
          </w:p>
        </w:tc>
        <w:tc>
          <w:tcPr>
            <w:tcW w:w="120" w:type="dxa"/>
            <w:vAlign w:val="bottom"/>
          </w:tcPr>
          <w:p>
            <w:pPr>
              <w:spacing w:after="0"/>
              <w:rPr>
                <w:sz w:val="20"/>
                <w:szCs w:val="20"/>
                <w:color w:val="auto"/>
              </w:rPr>
            </w:pPr>
          </w:p>
        </w:tc>
        <w:tc>
          <w:tcPr>
            <w:tcW w:w="540" w:type="dxa"/>
            <w:vAlign w:val="bottom"/>
            <w:tcBorders>
              <w:right w:val="single" w:sz="8" w:color="auto"/>
            </w:tcBorders>
            <w:vMerge w:val="restart"/>
          </w:tcPr>
          <w:p>
            <w:pPr>
              <w:jc w:val="right"/>
              <w:ind w:right="192"/>
              <w:spacing w:after="0"/>
              <w:rPr>
                <w:sz w:val="20"/>
                <w:szCs w:val="20"/>
                <w:color w:val="auto"/>
              </w:rPr>
            </w:pPr>
            <w:r>
              <w:rPr>
                <w:rFonts w:ascii="Arial" w:cs="Arial" w:eastAsia="Arial" w:hAnsi="Arial"/>
                <w:sz w:val="22"/>
                <w:szCs w:val="22"/>
                <w:b w:val="1"/>
                <w:bCs w:val="1"/>
                <w:color w:val="auto"/>
              </w:rPr>
              <w:t>8</w:t>
            </w:r>
          </w:p>
        </w:tc>
        <w:tc>
          <w:tcPr>
            <w:tcW w:w="8960" w:type="dxa"/>
            <w:vAlign w:val="bottom"/>
            <w:gridSpan w:val="2"/>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right w:val="single" w:sz="8" w:color="auto"/>
            </w:tcBorders>
            <w:vMerge w:val="continue"/>
          </w:tcPr>
          <w:p>
            <w:pPr>
              <w:spacing w:after="0"/>
              <w:rPr>
                <w:sz w:val="14"/>
                <w:szCs w:val="14"/>
                <w:color w:val="auto"/>
              </w:rPr>
            </w:pPr>
          </w:p>
        </w:tc>
        <w:tc>
          <w:tcPr>
            <w:tcW w:w="9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0</w:t>
            </w:r>
          </w:p>
        </w:tc>
        <w:tc>
          <w:tcPr>
            <w:tcW w:w="8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40" w:type="dxa"/>
            <w:vAlign w:val="bottom"/>
            <w:tcBorders>
              <w:bottom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8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43" w:right="339" w:bottom="1440" w:gutter="0" w:footer="0" w:header="0"/>
          <w:type w:val="continuous"/>
        </w:sectPr>
      </w:pPr>
    </w:p>
    <w:p>
      <w:pPr>
        <w:spacing w:after="0" w:line="147" w:lineRule="exact"/>
        <w:rPr>
          <w:sz w:val="20"/>
          <w:szCs w:val="20"/>
          <w:color w:val="auto"/>
        </w:rPr>
      </w:pPr>
    </w:p>
    <w:p>
      <w:pPr>
        <w:ind w:left="300"/>
        <w:spacing w:after="0"/>
        <w:rPr>
          <w:sz w:val="20"/>
          <w:szCs w:val="20"/>
          <w:color w:val="auto"/>
        </w:rPr>
      </w:pPr>
      <w:r>
        <w:rPr>
          <w:rFonts w:ascii="Arial" w:cs="Arial" w:eastAsia="Arial" w:hAnsi="Arial"/>
          <w:sz w:val="21"/>
          <w:szCs w:val="21"/>
          <w:b w:val="1"/>
          <w:bCs w:val="1"/>
          <w:color w:val="auto"/>
        </w:rPr>
        <w:t>9</w:t>
      </w:r>
    </w:p>
    <w:p>
      <w:pPr>
        <w:spacing w:after="0" w:line="20" w:lineRule="exact"/>
        <w:rPr>
          <w:sz w:val="20"/>
          <w:szCs w:val="20"/>
          <w:color w:val="auto"/>
        </w:rPr>
      </w:pPr>
      <w:r>
        <w:rPr>
          <w:sz w:val="20"/>
          <w:szCs w:val="20"/>
          <w:color w:val="auto"/>
        </w:rPr>
        <w:br w:type="column"/>
      </w:r>
    </w:p>
    <w:p>
      <w:pPr>
        <w:ind w:right="3800"/>
        <w:spacing w:after="0" w:line="276" w:lineRule="auto"/>
        <w:rPr>
          <w:sz w:val="20"/>
          <w:szCs w:val="20"/>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8"/>
          <w:szCs w:val="18"/>
          <w:b w:val="1"/>
          <w:bCs w:val="1"/>
          <w:color w:val="auto"/>
        </w:rPr>
        <w:t xml:space="preserve">2,099,520 </w:t>
      </w:r>
      <w:r>
        <w:rPr>
          <w:rFonts w:ascii="Arial" w:cs="Arial" w:eastAsia="Arial" w:hAnsi="Arial"/>
          <w:sz w:val="29"/>
          <w:szCs w:val="29"/>
          <w:b w:val="1"/>
          <w:bCs w:val="1"/>
          <w:color w:val="auto"/>
          <w:vertAlign w:val="superscript"/>
        </w:rPr>
        <w:t>(1)</w:t>
      </w:r>
    </w:p>
    <w:p>
      <w:pPr>
        <w:spacing w:after="0" w:line="1" w:lineRule="exact"/>
        <w:rPr>
          <w:sz w:val="20"/>
          <w:szCs w:val="20"/>
          <w:color w:val="auto"/>
        </w:rPr>
      </w:pPr>
    </w:p>
    <w:p>
      <w:pPr>
        <w:sectPr>
          <w:pgSz w:w="11900" w:h="16838" w:orient="portrait"/>
          <w:cols w:equalWidth="0" w:num="2">
            <w:col w:w="420" w:space="480"/>
            <w:col w:w="10340"/>
          </w:cols>
          <w:pgMar w:left="320" w:top="1043" w:right="339" w:bottom="1440" w:gutter="0" w:footer="0" w:header="0"/>
          <w:type w:val="continuous"/>
        </w:sectPr>
      </w:pPr>
    </w:p>
    <w:p>
      <w:pPr>
        <w:spacing w:after="0" w:line="120"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CHECK BOX IF THE AGGREGATE AMOUNT IN ROW (9) EXCLUDES CERTAIN SHARES (See Instructions)</w:t>
      </w:r>
    </w:p>
    <w:p>
      <w:pPr>
        <w:spacing w:after="0" w:line="93"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sectPr>
          <w:pgSz w:w="11900" w:h="16838" w:orient="portrait"/>
          <w:cols w:equalWidth="0" w:num="2">
            <w:col w:w="460" w:space="440"/>
            <w:col w:w="10340"/>
          </w:cols>
          <w:pgMar w:left="320" w:top="1043" w:right="339" w:bottom="1440" w:gutter="0" w:footer="0" w:header="0"/>
          <w:type w:val="continuous"/>
        </w:sectPr>
      </w:pPr>
    </w:p>
    <w:p>
      <w:pPr>
        <w:spacing w:after="0" w:line="155"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PERCENT OF CLASS REPRESENTED BY AMOUNT IN ROW (9)</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29"/>
          <w:szCs w:val="29"/>
          <w:b w:val="1"/>
          <w:bCs w:val="1"/>
          <w:color w:val="auto"/>
          <w:vertAlign w:val="superscript"/>
        </w:rPr>
        <w:t>(2)</w:t>
      </w:r>
    </w:p>
    <w:p>
      <w:pPr>
        <w:spacing w:after="0" w:line="1" w:lineRule="exact"/>
        <w:rPr>
          <w:sz w:val="20"/>
          <w:szCs w:val="20"/>
          <w:color w:val="auto"/>
        </w:rPr>
      </w:pPr>
    </w:p>
    <w:p>
      <w:pPr>
        <w:sectPr>
          <w:pgSz w:w="11900" w:h="16838" w:orient="portrait"/>
          <w:cols w:equalWidth="0" w:num="2">
            <w:col w:w="460" w:space="440"/>
            <w:col w:w="10340"/>
          </w:cols>
          <w:pgMar w:left="320" w:top="1043" w:right="339" w:bottom="1440" w:gutter="0" w:footer="0" w:header="0"/>
          <w:type w:val="continuous"/>
        </w:sectPr>
      </w:pPr>
    </w:p>
    <w:p>
      <w:pPr>
        <w:spacing w:after="0" w:line="118"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TYPE OF REPORTING PERSON (See Instructions)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OO</w:t>
      </w:r>
    </w:p>
    <w:p>
      <w:pPr>
        <w:spacing w:after="0" w:line="200" w:lineRule="exact"/>
        <w:rPr>
          <w:sz w:val="20"/>
          <w:szCs w:val="20"/>
          <w:color w:val="auto"/>
        </w:rPr>
      </w:pPr>
    </w:p>
    <w:p>
      <w:pPr>
        <w:sectPr>
          <w:pgSz w:w="11900" w:h="16838" w:orient="portrait"/>
          <w:cols w:equalWidth="0" w:num="2">
            <w:col w:w="460" w:space="440"/>
            <w:col w:w="10340"/>
          </w:cols>
          <w:pgMar w:left="320" w:top="1043" w:right="339" w:bottom="1440" w:gutter="0" w:footer="0" w:header="0"/>
          <w:type w:val="continuous"/>
        </w:sectPr>
      </w:pPr>
    </w:p>
    <w:p>
      <w:pPr>
        <w:spacing w:after="0" w:line="56" w:lineRule="exact"/>
        <w:rPr>
          <w:sz w:val="20"/>
          <w:szCs w:val="20"/>
          <w:color w:val="auto"/>
        </w:rPr>
      </w:pPr>
    </w:p>
    <w:p>
      <w:pPr>
        <w:ind w:left="340" w:hanging="332"/>
        <w:spacing w:after="0" w:line="229" w:lineRule="auto"/>
        <w:tabs>
          <w:tab w:leader="none" w:pos="340" w:val="left"/>
        </w:tabs>
        <w:numPr>
          <w:ilvl w:val="0"/>
          <w:numId w:val="6"/>
        </w:numPr>
        <w:rPr>
          <w:rFonts w:ascii="Arial" w:cs="Arial" w:eastAsia="Arial" w:hAnsi="Arial"/>
          <w:sz w:val="29"/>
          <w:szCs w:val="29"/>
          <w:color w:val="auto"/>
          <w:vertAlign w:val="superscript"/>
        </w:rPr>
      </w:pPr>
      <w:r>
        <w:rPr>
          <w:rFonts w:ascii="Arial" w:cs="Arial" w:eastAsia="Arial" w:hAnsi="Arial"/>
          <w:sz w:val="17"/>
          <w:szCs w:val="17"/>
          <w:color w:val="auto"/>
        </w:rPr>
        <w:t>The number represents (i) 1,260,085 American Depositary Shares (“ADS”) of Mereo BioPharma Group plc (the “Issuer”), with each ADS representing 5 ordinary shares, nominal value £0.003 per share (the “Ordinary Share”) of the Issuer and (ii) 839,435 ADSs, issuable upon exercise of certain warrants, the exercise of which is subject to a beneficial ownership limitation of 9.99% of the Issuer’s outstanding Ordinary Shares. The securities are held of record by Vivo Capital Fund IX, L.P. Vivo Capital IX, LLC is the general partner of Vivo Capital Fund IX, L.P.</w:t>
      </w:r>
    </w:p>
    <w:p>
      <w:pPr>
        <w:ind w:left="340" w:right="20" w:hanging="332"/>
        <w:spacing w:after="0" w:line="204" w:lineRule="auto"/>
        <w:tabs>
          <w:tab w:leader="none" w:pos="34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Based on (i) 116,495,802 ADSs of the Issuer outstanding as of December 31, 2021 and (ii) 839,435 ADSs, issuable upon exercise of certain warrants held of records by Vivo Capital Fund IX, L.P., the exercise of which is subject to a beneficial ownership limitation of 9.99% of the Issuer’s outstanding Ordinary Shares.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2" w:name="page3"/>
    <w:bookmarkEnd w:id="2"/>
    <w:p>
      <w:pPr>
        <w:ind w:left="1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48088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808855"/>
                    </a:xfrm>
                    <a:prstGeom prst="rect">
                      <a:avLst/>
                    </a:prstGeom>
                    <a:noFill/>
                  </pic:spPr>
                </pic:pic>
              </a:graphicData>
            </a:graphic>
          </wp:anchor>
        </w:drawing>
        <w:t>CUSIP No. 589492107</w:t>
      </w:r>
    </w:p>
    <w:p>
      <w:pPr>
        <w:sectPr>
          <w:pgSz w:w="11900" w:h="16838" w:orient="portrait"/>
          <w:cols w:equalWidth="0" w:num="1">
            <w:col w:w="11240"/>
          </w:cols>
          <w:pgMar w:left="320" w:top="1016" w:right="339" w:bottom="1440" w:gutter="0" w:footer="0" w:header="0"/>
        </w:sectPr>
      </w:pPr>
    </w:p>
    <w:p>
      <w:pPr>
        <w:spacing w:after="0" w:line="194" w:lineRule="exact"/>
        <w:rPr>
          <w:sz w:val="20"/>
          <w:szCs w:val="20"/>
          <w:color w:val="auto"/>
        </w:rPr>
      </w:pPr>
    </w:p>
    <w:p>
      <w:pPr>
        <w:ind w:left="300"/>
        <w:spacing w:after="0"/>
        <w:rPr>
          <w:sz w:val="20"/>
          <w:szCs w:val="20"/>
          <w:color w:val="auto"/>
        </w:rPr>
      </w:pPr>
      <w:r>
        <w:rPr>
          <w:rFonts w:ascii="Arial" w:cs="Arial" w:eastAsia="Arial" w:hAnsi="Arial"/>
          <w:sz w:val="21"/>
          <w:szCs w:val="21"/>
          <w:b w:val="1"/>
          <w:bCs w:val="1"/>
          <w:color w:val="auto"/>
        </w:rPr>
        <w:t>1</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NAMES OF REPORTING PERSONS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Vivo Opportunity, LLC</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CHECK THE APPROPRIATE BOX IF A MEMBER OF A GROUP (See Instructions)</w:t>
      </w:r>
    </w:p>
    <w:p>
      <w:pPr>
        <w:spacing w:after="0" w:line="1" w:lineRule="exact"/>
        <w:rPr>
          <w:sz w:val="20"/>
          <w:szCs w:val="20"/>
          <w:color w:val="auto"/>
        </w:rPr>
      </w:pPr>
    </w:p>
    <w:p>
      <w:pPr>
        <w:sectPr>
          <w:pgSz w:w="11900" w:h="16838" w:orient="portrait"/>
          <w:cols w:equalWidth="0" w:num="2">
            <w:col w:w="420" w:space="480"/>
            <w:col w:w="10340"/>
          </w:cols>
          <w:pgMar w:left="320" w:top="1016" w:right="339" w:bottom="1440" w:gutter="0" w:footer="0" w:header="0"/>
          <w:type w:val="continuous"/>
        </w:sectPr>
      </w:pPr>
    </w:p>
    <w:p>
      <w:pPr>
        <w:ind w:left="900" w:hanging="595"/>
        <w:spacing w:after="0" w:line="253" w:lineRule="exact"/>
        <w:tabs>
          <w:tab w:leader="none" w:pos="900" w:val="left"/>
        </w:tabs>
        <w:numPr>
          <w:ilvl w:val="0"/>
          <w:numId w:val="7"/>
        </w:numPr>
        <w:rPr>
          <w:rFonts w:ascii="Arial" w:cs="Arial" w:eastAsia="Arial" w:hAnsi="Arial"/>
          <w:sz w:val="22"/>
          <w:szCs w:val="22"/>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ind w:left="1360" w:hanging="470"/>
        <w:spacing w:after="0" w:line="207" w:lineRule="exact"/>
        <w:tabs>
          <w:tab w:leader="none" w:pos="136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3</w:t>
            </w:r>
          </w:p>
        </w:tc>
        <w:tc>
          <w:tcPr>
            <w:tcW w:w="1840" w:type="dxa"/>
            <w:vAlign w:val="bottom"/>
            <w:gridSpan w:val="3"/>
          </w:tcPr>
          <w:p>
            <w:pPr>
              <w:ind w:left="460"/>
              <w:spacing w:after="0"/>
              <w:rPr>
                <w:sz w:val="20"/>
                <w:szCs w:val="20"/>
                <w:color w:val="auto"/>
              </w:rPr>
            </w:pPr>
            <w:r>
              <w:rPr>
                <w:rFonts w:ascii="Arial" w:cs="Arial" w:eastAsia="Arial" w:hAnsi="Arial"/>
                <w:sz w:val="18"/>
                <w:szCs w:val="18"/>
                <w:color w:val="auto"/>
              </w:rPr>
              <w:t>SEC USE ONLY</w:t>
            </w:r>
          </w:p>
        </w:tc>
        <w:tc>
          <w:tcPr>
            <w:tcW w:w="92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4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4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spacing w:after="0"/>
              <w:rPr>
                <w:sz w:val="13"/>
                <w:szCs w:val="13"/>
                <w:color w:val="auto"/>
              </w:rPr>
            </w:pPr>
          </w:p>
        </w:tc>
        <w:tc>
          <w:tcPr>
            <w:tcW w:w="896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4</w:t>
            </w:r>
          </w:p>
        </w:tc>
        <w:tc>
          <w:tcPr>
            <w:tcW w:w="10800" w:type="dxa"/>
            <w:vAlign w:val="bottom"/>
            <w:gridSpan w:val="5"/>
          </w:tcPr>
          <w:p>
            <w:pPr>
              <w:ind w:left="4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171"/>
        </w:trPr>
        <w:tc>
          <w:tcPr>
            <w:tcW w:w="440" w:type="dxa"/>
            <w:vAlign w:val="bottom"/>
            <w:vMerge w:val="continue"/>
          </w:tcPr>
          <w:p>
            <w:pPr>
              <w:spacing w:after="0"/>
              <w:rPr>
                <w:sz w:val="14"/>
                <w:szCs w:val="14"/>
                <w:color w:val="auto"/>
              </w:rPr>
            </w:pPr>
          </w:p>
        </w:tc>
        <w:tc>
          <w:tcPr>
            <w:tcW w:w="1300" w:type="dxa"/>
            <w:vAlign w:val="bottom"/>
            <w:gridSpan w:val="2"/>
            <w:vMerge w:val="restart"/>
          </w:tcPr>
          <w:p>
            <w:pPr>
              <w:ind w:left="460"/>
              <w:spacing w:after="0"/>
              <w:rPr>
                <w:sz w:val="20"/>
                <w:szCs w:val="20"/>
                <w:color w:val="auto"/>
              </w:rPr>
            </w:pPr>
            <w:r>
              <w:rPr>
                <w:rFonts w:ascii="Arial" w:cs="Arial" w:eastAsia="Arial" w:hAnsi="Arial"/>
                <w:sz w:val="18"/>
                <w:szCs w:val="18"/>
                <w:b w:val="1"/>
                <w:bCs w:val="1"/>
                <w:color w:val="auto"/>
              </w:rPr>
              <w:t>Delaware</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vMerge w:val="continue"/>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right w:val="single" w:sz="8" w:color="auto"/>
            </w:tcBorders>
            <w:vMerge w:val="restart"/>
          </w:tcPr>
          <w:p>
            <w:pPr>
              <w:jc w:val="right"/>
              <w:ind w:right="192"/>
              <w:spacing w:after="0"/>
              <w:rPr>
                <w:sz w:val="20"/>
                <w:szCs w:val="20"/>
                <w:color w:val="auto"/>
              </w:rPr>
            </w:pPr>
            <w:r>
              <w:rPr>
                <w:rFonts w:ascii="Arial" w:cs="Arial" w:eastAsia="Arial" w:hAnsi="Arial"/>
                <w:sz w:val="22"/>
                <w:szCs w:val="22"/>
                <w:b w:val="1"/>
                <w:bCs w:val="1"/>
                <w:color w:val="auto"/>
              </w:rPr>
              <w:t>5</w:t>
            </w:r>
          </w:p>
        </w:tc>
        <w:tc>
          <w:tcPr>
            <w:tcW w:w="8960" w:type="dxa"/>
            <w:vAlign w:val="bottom"/>
            <w:gridSpan w:val="2"/>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198"/>
        </w:trPr>
        <w:tc>
          <w:tcPr>
            <w:tcW w:w="16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120" w:type="dxa"/>
            <w:vAlign w:val="bottom"/>
          </w:tcPr>
          <w:p>
            <w:pPr>
              <w:spacing w:after="0"/>
              <w:rPr>
                <w:sz w:val="17"/>
                <w:szCs w:val="17"/>
                <w:color w:val="auto"/>
              </w:rPr>
            </w:pPr>
          </w:p>
        </w:tc>
        <w:tc>
          <w:tcPr>
            <w:tcW w:w="540" w:type="dxa"/>
            <w:vAlign w:val="bottom"/>
            <w:tcBorders>
              <w:right w:val="single" w:sz="8" w:color="auto"/>
            </w:tcBorders>
            <w:vMerge w:val="continue"/>
          </w:tcPr>
          <w:p>
            <w:pPr>
              <w:spacing w:after="0"/>
              <w:rPr>
                <w:sz w:val="17"/>
                <w:szCs w:val="17"/>
                <w:color w:val="auto"/>
              </w:rPr>
            </w:pPr>
          </w:p>
        </w:tc>
        <w:tc>
          <w:tcPr>
            <w:tcW w:w="920" w:type="dxa"/>
            <w:vAlign w:val="bottom"/>
            <w:vMerge w:val="restart"/>
          </w:tcPr>
          <w:p>
            <w:pPr>
              <w:ind w:left="180"/>
              <w:spacing w:after="0"/>
              <w:rPr>
                <w:sz w:val="20"/>
                <w:szCs w:val="20"/>
                <w:color w:val="auto"/>
              </w:rPr>
            </w:pPr>
            <w:r>
              <w:rPr>
                <w:rFonts w:ascii="Arial" w:cs="Arial" w:eastAsia="Arial" w:hAnsi="Arial"/>
                <w:sz w:val="18"/>
                <w:szCs w:val="18"/>
                <w:b w:val="1"/>
                <w:bCs w:val="1"/>
                <w:color w:val="auto"/>
                <w:w w:val="89"/>
              </w:rPr>
              <w:t>9,409,051</w:t>
            </w:r>
          </w:p>
        </w:tc>
        <w:tc>
          <w:tcPr>
            <w:tcW w:w="8040" w:type="dxa"/>
            <w:vAlign w:val="bottom"/>
            <w:vMerge w:val="restart"/>
          </w:tcPr>
          <w:p>
            <w:pPr>
              <w:jc w:val="right"/>
              <w:ind w:right="7765"/>
              <w:spacing w:after="0"/>
              <w:rPr>
                <w:sz w:val="20"/>
                <w:szCs w:val="20"/>
                <w:color w:val="auto"/>
              </w:rPr>
            </w:pPr>
            <w:r>
              <w:rPr>
                <w:rFonts w:ascii="Arial" w:cs="Arial" w:eastAsia="Arial" w:hAnsi="Arial"/>
                <w:sz w:val="15"/>
                <w:szCs w:val="15"/>
                <w:b w:val="1"/>
                <w:bCs w:val="1"/>
                <w:color w:val="auto"/>
                <w:w w:val="97"/>
              </w:rPr>
              <w:t>(1)</w:t>
            </w:r>
          </w:p>
        </w:tc>
        <w:tc>
          <w:tcPr>
            <w:tcW w:w="0" w:type="dxa"/>
            <w:vAlign w:val="bottom"/>
          </w:tcPr>
          <w:p>
            <w:pPr>
              <w:spacing w:after="0"/>
              <w:rPr>
                <w:sz w:val="1"/>
                <w:szCs w:val="1"/>
                <w:color w:val="auto"/>
              </w:rPr>
            </w:pPr>
          </w:p>
        </w:tc>
      </w:tr>
      <w:tr>
        <w:trPr>
          <w:trHeight w:val="112"/>
        </w:trPr>
        <w:tc>
          <w:tcPr>
            <w:tcW w:w="1620" w:type="dxa"/>
            <w:vAlign w:val="bottom"/>
            <w:tcBorders>
              <w:righ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920" w:type="dxa"/>
            <w:vAlign w:val="bottom"/>
            <w:vMerge w:val="continue"/>
          </w:tcPr>
          <w:p>
            <w:pPr>
              <w:spacing w:after="0"/>
              <w:rPr>
                <w:sz w:val="9"/>
                <w:szCs w:val="9"/>
                <w:color w:val="auto"/>
              </w:rPr>
            </w:pPr>
          </w:p>
        </w:tc>
        <w:tc>
          <w:tcPr>
            <w:tcW w:w="8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0" w:type="dxa"/>
            <w:vAlign w:val="bottom"/>
          </w:tcPr>
          <w:p>
            <w:pPr>
              <w:spacing w:after="0"/>
              <w:rPr>
                <w:sz w:val="5"/>
                <w:szCs w:val="5"/>
                <w:color w:val="auto"/>
              </w:rPr>
            </w:pPr>
          </w:p>
        </w:tc>
        <w:tc>
          <w:tcPr>
            <w:tcW w:w="1180" w:type="dxa"/>
            <w:vAlign w:val="bottom"/>
            <w:tcBorders>
              <w:right w:val="single" w:sz="8" w:color="auto"/>
            </w:tcBorders>
            <w:vMerge w:val="restart"/>
          </w:tcPr>
          <w:p>
            <w:pPr>
              <w:jc w:val="center"/>
              <w:ind w:right="350"/>
              <w:spacing w:after="0" w:line="201" w:lineRule="exact"/>
              <w:rPr>
                <w:sz w:val="20"/>
                <w:szCs w:val="20"/>
                <w:color w:val="auto"/>
              </w:rPr>
            </w:pPr>
            <w:r>
              <w:rPr>
                <w:rFonts w:ascii="Arial" w:cs="Arial" w:eastAsia="Arial" w:hAnsi="Arial"/>
                <w:sz w:val="18"/>
                <w:szCs w:val="18"/>
                <w:color w:val="auto"/>
                <w:w w:val="94"/>
              </w:rPr>
              <w:t>SHARES</w:t>
            </w:r>
          </w:p>
        </w:tc>
        <w:tc>
          <w:tcPr>
            <w:tcW w:w="120" w:type="dxa"/>
            <w:vAlign w:val="bottom"/>
            <w:tcBorders>
              <w:bottom w:val="single" w:sz="8" w:color="auto"/>
            </w:tcBorders>
          </w:tcPr>
          <w:p>
            <w:pPr>
              <w:spacing w:after="0"/>
              <w:rPr>
                <w:sz w:val="5"/>
                <w:szCs w:val="5"/>
                <w:color w:val="auto"/>
              </w:rPr>
            </w:pPr>
          </w:p>
        </w:tc>
        <w:tc>
          <w:tcPr>
            <w:tcW w:w="54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8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440" w:type="dxa"/>
            <w:vAlign w:val="bottom"/>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8960" w:type="dxa"/>
            <w:vAlign w:val="bottom"/>
            <w:gridSpan w:val="2"/>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10"/>
        </w:trPr>
        <w:tc>
          <w:tcPr>
            <w:tcW w:w="16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9"/>
                <w:szCs w:val="9"/>
                <w:color w:val="auto"/>
              </w:rPr>
            </w:pPr>
          </w:p>
        </w:tc>
        <w:tc>
          <w:tcPr>
            <w:tcW w:w="540" w:type="dxa"/>
            <w:vAlign w:val="bottom"/>
            <w:tcBorders>
              <w:right w:val="single" w:sz="8" w:color="auto"/>
            </w:tcBorders>
            <w:vMerge w:val="restart"/>
          </w:tcPr>
          <w:p>
            <w:pPr>
              <w:jc w:val="right"/>
              <w:ind w:right="192"/>
              <w:spacing w:after="0" w:line="217" w:lineRule="exact"/>
              <w:rPr>
                <w:sz w:val="20"/>
                <w:szCs w:val="20"/>
                <w:color w:val="auto"/>
              </w:rPr>
            </w:pPr>
            <w:r>
              <w:rPr>
                <w:rFonts w:ascii="Arial" w:cs="Arial" w:eastAsia="Arial" w:hAnsi="Arial"/>
                <w:sz w:val="22"/>
                <w:szCs w:val="22"/>
                <w:b w:val="1"/>
                <w:bCs w:val="1"/>
                <w:color w:val="auto"/>
              </w:rPr>
              <w:t>6</w:t>
            </w:r>
          </w:p>
        </w:tc>
        <w:tc>
          <w:tcPr>
            <w:tcW w:w="8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620" w:type="dxa"/>
            <w:vAlign w:val="bottom"/>
            <w:tcBorders>
              <w:righ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Borders>
              <w:right w:val="single" w:sz="8" w:color="auto"/>
            </w:tcBorders>
            <w:vMerge w:val="continue"/>
          </w:tcPr>
          <w:p>
            <w:pPr>
              <w:spacing w:after="0"/>
              <w:rPr>
                <w:sz w:val="9"/>
                <w:szCs w:val="9"/>
                <w:color w:val="auto"/>
              </w:rPr>
            </w:pPr>
          </w:p>
        </w:tc>
        <w:tc>
          <w:tcPr>
            <w:tcW w:w="9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0</w:t>
            </w:r>
          </w:p>
        </w:tc>
        <w:tc>
          <w:tcPr>
            <w:tcW w:w="8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6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OWNED BY</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8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0" w:type="dxa"/>
            <w:vAlign w:val="bottom"/>
          </w:tcPr>
          <w:p>
            <w:pPr>
              <w:spacing w:after="0"/>
              <w:rPr>
                <w:sz w:val="16"/>
                <w:szCs w:val="16"/>
                <w:color w:val="auto"/>
              </w:rPr>
            </w:pPr>
          </w:p>
        </w:tc>
        <w:tc>
          <w:tcPr>
            <w:tcW w:w="1180" w:type="dxa"/>
            <w:vAlign w:val="bottom"/>
            <w:tcBorders>
              <w:right w:val="single" w:sz="8" w:color="auto"/>
            </w:tcBorders>
          </w:tcPr>
          <w:p>
            <w:pPr>
              <w:jc w:val="center"/>
              <w:ind w:right="350"/>
              <w:spacing w:after="0" w:line="189" w:lineRule="exact"/>
              <w:rPr>
                <w:sz w:val="20"/>
                <w:szCs w:val="20"/>
                <w:color w:val="auto"/>
              </w:rPr>
            </w:pPr>
            <w:r>
              <w:rPr>
                <w:rFonts w:ascii="Arial" w:cs="Arial" w:eastAsia="Arial" w:hAnsi="Arial"/>
                <w:sz w:val="18"/>
                <w:szCs w:val="18"/>
                <w:color w:val="auto"/>
                <w:w w:val="99"/>
              </w:rPr>
              <w:t>EACH</w:t>
            </w:r>
          </w:p>
        </w:tc>
        <w:tc>
          <w:tcPr>
            <w:tcW w:w="120" w:type="dxa"/>
            <w:vAlign w:val="bottom"/>
          </w:tcPr>
          <w:p>
            <w:pPr>
              <w:spacing w:after="0"/>
              <w:rPr>
                <w:sz w:val="16"/>
                <w:szCs w:val="16"/>
                <w:color w:val="auto"/>
              </w:rPr>
            </w:pPr>
          </w:p>
        </w:tc>
        <w:tc>
          <w:tcPr>
            <w:tcW w:w="540" w:type="dxa"/>
            <w:vAlign w:val="bottom"/>
            <w:tcBorders>
              <w:right w:val="single" w:sz="8" w:color="auto"/>
            </w:tcBorders>
            <w:vMerge w:val="restart"/>
          </w:tcPr>
          <w:p>
            <w:pPr>
              <w:jc w:val="right"/>
              <w:ind w:right="192"/>
              <w:spacing w:after="0"/>
              <w:rPr>
                <w:sz w:val="20"/>
                <w:szCs w:val="20"/>
                <w:color w:val="auto"/>
              </w:rPr>
            </w:pPr>
            <w:r>
              <w:rPr>
                <w:rFonts w:ascii="Arial" w:cs="Arial" w:eastAsia="Arial" w:hAnsi="Arial"/>
                <w:sz w:val="22"/>
                <w:szCs w:val="22"/>
                <w:b w:val="1"/>
                <w:bCs w:val="1"/>
                <w:color w:val="auto"/>
              </w:rPr>
              <w:t>7</w:t>
            </w:r>
          </w:p>
        </w:tc>
        <w:tc>
          <w:tcPr>
            <w:tcW w:w="8960" w:type="dxa"/>
            <w:vAlign w:val="bottom"/>
            <w:gridSpan w:val="2"/>
          </w:tcPr>
          <w:p>
            <w:pPr>
              <w:ind w:left="18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120" w:type="dxa"/>
            <w:vAlign w:val="bottom"/>
          </w:tcPr>
          <w:p>
            <w:pPr>
              <w:spacing w:after="0"/>
              <w:rPr>
                <w:sz w:val="18"/>
                <w:szCs w:val="18"/>
                <w:color w:val="auto"/>
              </w:rPr>
            </w:pPr>
          </w:p>
        </w:tc>
        <w:tc>
          <w:tcPr>
            <w:tcW w:w="540" w:type="dxa"/>
            <w:vAlign w:val="bottom"/>
            <w:tcBorders>
              <w:right w:val="single" w:sz="8" w:color="auto"/>
            </w:tcBorders>
            <w:vMerge w:val="continue"/>
          </w:tcPr>
          <w:p>
            <w:pPr>
              <w:spacing w:after="0"/>
              <w:rPr>
                <w:sz w:val="18"/>
                <w:szCs w:val="18"/>
                <w:color w:val="auto"/>
              </w:rPr>
            </w:pPr>
          </w:p>
        </w:tc>
        <w:tc>
          <w:tcPr>
            <w:tcW w:w="920" w:type="dxa"/>
            <w:vAlign w:val="bottom"/>
            <w:vMerge w:val="restart"/>
          </w:tcPr>
          <w:p>
            <w:pPr>
              <w:ind w:left="180"/>
              <w:spacing w:after="0"/>
              <w:rPr>
                <w:sz w:val="20"/>
                <w:szCs w:val="20"/>
                <w:color w:val="auto"/>
              </w:rPr>
            </w:pPr>
            <w:r>
              <w:rPr>
                <w:rFonts w:ascii="Arial" w:cs="Arial" w:eastAsia="Arial" w:hAnsi="Arial"/>
                <w:sz w:val="18"/>
                <w:szCs w:val="18"/>
                <w:b w:val="1"/>
                <w:bCs w:val="1"/>
                <w:color w:val="auto"/>
                <w:w w:val="89"/>
              </w:rPr>
              <w:t>9,409,051</w:t>
            </w:r>
          </w:p>
        </w:tc>
        <w:tc>
          <w:tcPr>
            <w:tcW w:w="8040" w:type="dxa"/>
            <w:vAlign w:val="bottom"/>
            <w:vMerge w:val="restart"/>
          </w:tcPr>
          <w:p>
            <w:pPr>
              <w:jc w:val="right"/>
              <w:ind w:right="7765"/>
              <w:spacing w:after="0"/>
              <w:rPr>
                <w:sz w:val="20"/>
                <w:szCs w:val="20"/>
                <w:color w:val="auto"/>
              </w:rPr>
            </w:pPr>
            <w:r>
              <w:rPr>
                <w:rFonts w:ascii="Arial" w:cs="Arial" w:eastAsia="Arial" w:hAnsi="Arial"/>
                <w:sz w:val="15"/>
                <w:szCs w:val="15"/>
                <w:b w:val="1"/>
                <w:bCs w:val="1"/>
                <w:color w:val="auto"/>
                <w:w w:val="97"/>
              </w:rPr>
              <w:t>(1)</w:t>
            </w:r>
          </w:p>
        </w:tc>
        <w:tc>
          <w:tcPr>
            <w:tcW w:w="0" w:type="dxa"/>
            <w:vAlign w:val="bottom"/>
          </w:tcPr>
          <w:p>
            <w:pPr>
              <w:spacing w:after="0"/>
              <w:rPr>
                <w:sz w:val="1"/>
                <w:szCs w:val="1"/>
                <w:color w:val="auto"/>
              </w:rPr>
            </w:pPr>
          </w:p>
        </w:tc>
      </w:tr>
      <w:tr>
        <w:trPr>
          <w:trHeight w:val="197"/>
        </w:trPr>
        <w:tc>
          <w:tcPr>
            <w:tcW w:w="440" w:type="dxa"/>
            <w:vAlign w:val="bottom"/>
          </w:tcPr>
          <w:p>
            <w:pPr>
              <w:spacing w:after="0"/>
              <w:rPr>
                <w:sz w:val="17"/>
                <w:szCs w:val="17"/>
                <w:color w:val="auto"/>
              </w:rPr>
            </w:pPr>
          </w:p>
        </w:tc>
        <w:tc>
          <w:tcPr>
            <w:tcW w:w="1180" w:type="dxa"/>
            <w:vAlign w:val="bottom"/>
            <w:tcBorders>
              <w:right w:val="single" w:sz="8" w:color="auto"/>
            </w:tcBorders>
          </w:tcPr>
          <w:p>
            <w:pPr>
              <w:jc w:val="center"/>
              <w:ind w:right="350"/>
              <w:spacing w:after="0" w:line="190" w:lineRule="exact"/>
              <w:rPr>
                <w:sz w:val="20"/>
                <w:szCs w:val="20"/>
                <w:color w:val="auto"/>
              </w:rPr>
            </w:pPr>
            <w:r>
              <w:rPr>
                <w:rFonts w:ascii="Arial" w:cs="Arial" w:eastAsia="Arial" w:hAnsi="Arial"/>
                <w:sz w:val="18"/>
                <w:szCs w:val="18"/>
                <w:color w:val="auto"/>
                <w:w w:val="92"/>
              </w:rPr>
              <w:t>PERSON</w:t>
            </w: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1180" w:type="dxa"/>
            <w:vAlign w:val="bottom"/>
            <w:tcBorders>
              <w:right w:val="single" w:sz="8" w:color="auto"/>
            </w:tcBorders>
          </w:tcPr>
          <w:p>
            <w:pPr>
              <w:jc w:val="center"/>
              <w:ind w:right="350"/>
              <w:spacing w:after="0"/>
              <w:rPr>
                <w:sz w:val="20"/>
                <w:szCs w:val="20"/>
                <w:color w:val="auto"/>
              </w:rPr>
            </w:pPr>
            <w:r>
              <w:rPr>
                <w:rFonts w:ascii="Arial" w:cs="Arial" w:eastAsia="Arial" w:hAnsi="Arial"/>
                <w:sz w:val="18"/>
                <w:szCs w:val="18"/>
                <w:color w:val="auto"/>
                <w:w w:val="99"/>
              </w:rPr>
              <w:t>WITH</w:t>
            </w:r>
          </w:p>
        </w:tc>
        <w:tc>
          <w:tcPr>
            <w:tcW w:w="120" w:type="dxa"/>
            <w:vAlign w:val="bottom"/>
          </w:tcPr>
          <w:p>
            <w:pPr>
              <w:spacing w:after="0"/>
              <w:rPr>
                <w:sz w:val="20"/>
                <w:szCs w:val="20"/>
                <w:color w:val="auto"/>
              </w:rPr>
            </w:pPr>
          </w:p>
        </w:tc>
        <w:tc>
          <w:tcPr>
            <w:tcW w:w="540" w:type="dxa"/>
            <w:vAlign w:val="bottom"/>
            <w:tcBorders>
              <w:right w:val="single" w:sz="8" w:color="auto"/>
            </w:tcBorders>
            <w:vMerge w:val="restart"/>
          </w:tcPr>
          <w:p>
            <w:pPr>
              <w:jc w:val="right"/>
              <w:ind w:right="192"/>
              <w:spacing w:after="0"/>
              <w:rPr>
                <w:sz w:val="20"/>
                <w:szCs w:val="20"/>
                <w:color w:val="auto"/>
              </w:rPr>
            </w:pPr>
            <w:r>
              <w:rPr>
                <w:rFonts w:ascii="Arial" w:cs="Arial" w:eastAsia="Arial" w:hAnsi="Arial"/>
                <w:sz w:val="22"/>
                <w:szCs w:val="22"/>
                <w:b w:val="1"/>
                <w:bCs w:val="1"/>
                <w:color w:val="auto"/>
              </w:rPr>
              <w:t>8</w:t>
            </w:r>
          </w:p>
        </w:tc>
        <w:tc>
          <w:tcPr>
            <w:tcW w:w="8960" w:type="dxa"/>
            <w:vAlign w:val="bottom"/>
            <w:gridSpan w:val="2"/>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right w:val="single" w:sz="8" w:color="auto"/>
            </w:tcBorders>
            <w:vMerge w:val="continue"/>
          </w:tcPr>
          <w:p>
            <w:pPr>
              <w:spacing w:after="0"/>
              <w:rPr>
                <w:sz w:val="14"/>
                <w:szCs w:val="14"/>
                <w:color w:val="auto"/>
              </w:rPr>
            </w:pPr>
          </w:p>
        </w:tc>
        <w:tc>
          <w:tcPr>
            <w:tcW w:w="9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0</w:t>
            </w:r>
          </w:p>
        </w:tc>
        <w:tc>
          <w:tcPr>
            <w:tcW w:w="8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40" w:type="dxa"/>
            <w:vAlign w:val="bottom"/>
            <w:tcBorders>
              <w:bottom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8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16" w:right="339" w:bottom="1440" w:gutter="0" w:footer="0" w:header="0"/>
          <w:type w:val="continuous"/>
        </w:sectPr>
      </w:pPr>
    </w:p>
    <w:p>
      <w:pPr>
        <w:spacing w:after="0" w:line="147" w:lineRule="exact"/>
        <w:rPr>
          <w:sz w:val="20"/>
          <w:szCs w:val="20"/>
          <w:color w:val="auto"/>
        </w:rPr>
      </w:pPr>
    </w:p>
    <w:p>
      <w:pPr>
        <w:ind w:left="300"/>
        <w:spacing w:after="0"/>
        <w:rPr>
          <w:sz w:val="20"/>
          <w:szCs w:val="20"/>
          <w:color w:val="auto"/>
        </w:rPr>
      </w:pPr>
      <w:r>
        <w:rPr>
          <w:rFonts w:ascii="Arial" w:cs="Arial" w:eastAsia="Arial" w:hAnsi="Arial"/>
          <w:sz w:val="21"/>
          <w:szCs w:val="21"/>
          <w:b w:val="1"/>
          <w:bCs w:val="1"/>
          <w:color w:val="auto"/>
        </w:rPr>
        <w:t>9</w:t>
      </w:r>
    </w:p>
    <w:p>
      <w:pPr>
        <w:spacing w:after="0" w:line="20" w:lineRule="exact"/>
        <w:rPr>
          <w:sz w:val="20"/>
          <w:szCs w:val="20"/>
          <w:color w:val="auto"/>
        </w:rPr>
      </w:pPr>
      <w:r>
        <w:rPr>
          <w:sz w:val="20"/>
          <w:szCs w:val="20"/>
          <w:color w:val="auto"/>
        </w:rPr>
        <w:br w:type="column"/>
      </w:r>
    </w:p>
    <w:p>
      <w:pPr>
        <w:ind w:right="3800"/>
        <w:spacing w:after="0" w:line="276" w:lineRule="auto"/>
        <w:rPr>
          <w:sz w:val="20"/>
          <w:szCs w:val="20"/>
          <w:color w:val="auto"/>
        </w:rPr>
      </w:pPr>
      <w:r>
        <w:rPr>
          <w:rFonts w:ascii="Arial" w:cs="Arial" w:eastAsia="Arial" w:hAnsi="Arial"/>
          <w:sz w:val="18"/>
          <w:szCs w:val="18"/>
          <w:color w:val="auto"/>
        </w:rPr>
        <w:t xml:space="preserve">AGGREGATE AMOUNT BENEFICIALLY OWNED BY EACH REPORTING PERSON </w:t>
      </w:r>
      <w:r>
        <w:rPr>
          <w:rFonts w:ascii="Arial" w:cs="Arial" w:eastAsia="Arial" w:hAnsi="Arial"/>
          <w:sz w:val="18"/>
          <w:szCs w:val="18"/>
          <w:b w:val="1"/>
          <w:bCs w:val="1"/>
          <w:color w:val="auto"/>
        </w:rPr>
        <w:t xml:space="preserve">9,409,051 </w:t>
      </w:r>
      <w:r>
        <w:rPr>
          <w:rFonts w:ascii="Arial" w:cs="Arial" w:eastAsia="Arial" w:hAnsi="Arial"/>
          <w:sz w:val="29"/>
          <w:szCs w:val="29"/>
          <w:b w:val="1"/>
          <w:bCs w:val="1"/>
          <w:color w:val="auto"/>
          <w:vertAlign w:val="superscript"/>
        </w:rPr>
        <w:t>(1)</w:t>
      </w:r>
    </w:p>
    <w:p>
      <w:pPr>
        <w:spacing w:after="0" w:line="1" w:lineRule="exact"/>
        <w:rPr>
          <w:sz w:val="20"/>
          <w:szCs w:val="20"/>
          <w:color w:val="auto"/>
        </w:rPr>
      </w:pPr>
    </w:p>
    <w:p>
      <w:pPr>
        <w:sectPr>
          <w:pgSz w:w="11900" w:h="16838" w:orient="portrait"/>
          <w:cols w:equalWidth="0" w:num="2">
            <w:col w:w="420" w:space="480"/>
            <w:col w:w="10340"/>
          </w:cols>
          <w:pgMar w:left="320" w:top="1016" w:right="339" w:bottom="1440" w:gutter="0" w:footer="0" w:header="0"/>
          <w:type w:val="continuous"/>
        </w:sectPr>
      </w:pPr>
    </w:p>
    <w:p>
      <w:pPr>
        <w:spacing w:after="0" w:line="120"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CHECK BOX IF THE AGGREGATE AMOUNT IN ROW (9) EXCLUDES CERTAIN SHARES (See Instructions)</w:t>
      </w:r>
    </w:p>
    <w:p>
      <w:pPr>
        <w:spacing w:after="0" w:line="93"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sectPr>
          <w:pgSz w:w="11900" w:h="16838" w:orient="portrait"/>
          <w:cols w:equalWidth="0" w:num="2">
            <w:col w:w="460" w:space="440"/>
            <w:col w:w="10340"/>
          </w:cols>
          <w:pgMar w:left="320" w:top="1016" w:right="339" w:bottom="1440" w:gutter="0" w:footer="0" w:header="0"/>
          <w:type w:val="continuous"/>
        </w:sectPr>
      </w:pPr>
    </w:p>
    <w:p>
      <w:pPr>
        <w:spacing w:after="0" w:line="155"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PERCENT OF CLASS REPRESENTED BY AMOUNT IN ROW (9)</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7.8% </w:t>
      </w:r>
      <w:r>
        <w:rPr>
          <w:rFonts w:ascii="Arial" w:cs="Arial" w:eastAsia="Arial" w:hAnsi="Arial"/>
          <w:sz w:val="29"/>
          <w:szCs w:val="29"/>
          <w:b w:val="1"/>
          <w:bCs w:val="1"/>
          <w:color w:val="auto"/>
          <w:vertAlign w:val="superscript"/>
        </w:rPr>
        <w:t>(2)</w:t>
      </w:r>
    </w:p>
    <w:p>
      <w:pPr>
        <w:spacing w:after="0" w:line="1" w:lineRule="exact"/>
        <w:rPr>
          <w:sz w:val="20"/>
          <w:szCs w:val="20"/>
          <w:color w:val="auto"/>
        </w:rPr>
      </w:pPr>
    </w:p>
    <w:p>
      <w:pPr>
        <w:sectPr>
          <w:pgSz w:w="11900" w:h="16838" w:orient="portrait"/>
          <w:cols w:equalWidth="0" w:num="2">
            <w:col w:w="460" w:space="440"/>
            <w:col w:w="10340"/>
          </w:cols>
          <w:pgMar w:left="320" w:top="1016" w:right="339" w:bottom="1440" w:gutter="0" w:footer="0" w:header="0"/>
          <w:type w:val="continuous"/>
        </w:sectPr>
      </w:pPr>
    </w:p>
    <w:p>
      <w:pPr>
        <w:spacing w:after="0" w:line="118"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TYPE OF REPORTING PERSON (See Instructions)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OO</w:t>
      </w:r>
    </w:p>
    <w:p>
      <w:pPr>
        <w:spacing w:after="0" w:line="200" w:lineRule="exact"/>
        <w:rPr>
          <w:sz w:val="20"/>
          <w:szCs w:val="20"/>
          <w:color w:val="auto"/>
        </w:rPr>
      </w:pPr>
    </w:p>
    <w:p>
      <w:pPr>
        <w:sectPr>
          <w:pgSz w:w="11900" w:h="16838" w:orient="portrait"/>
          <w:cols w:equalWidth="0" w:num="2">
            <w:col w:w="460" w:space="440"/>
            <w:col w:w="10340"/>
          </w:cols>
          <w:pgMar w:left="320" w:top="1016" w:right="339" w:bottom="1440" w:gutter="0" w:footer="0" w:header="0"/>
          <w:type w:val="continuous"/>
        </w:sectPr>
      </w:pPr>
    </w:p>
    <w:p>
      <w:pPr>
        <w:spacing w:after="0" w:line="56" w:lineRule="exact"/>
        <w:rPr>
          <w:sz w:val="20"/>
          <w:szCs w:val="20"/>
          <w:color w:val="auto"/>
        </w:rPr>
      </w:pPr>
    </w:p>
    <w:p>
      <w:pPr>
        <w:ind w:left="340" w:right="240" w:hanging="332"/>
        <w:spacing w:after="0" w:line="209" w:lineRule="auto"/>
        <w:tabs>
          <w:tab w:leader="none" w:pos="34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The number represents (i) 5,647,104 ADSs and (ii) 3,761,947 ADSs, issuable upon exercise of certain warrants, the exercise of which is subject to a beneficial ownership limitation of 9.99% of the Issuer’s outstanding Ordinary Shares. The securities are held of record by Vivo Opportunity Fund Holdings, L.P. Vivo Opportunity, LLC is the general partner of Vivo Opportunity Fund Holdings, L.P.</w:t>
      </w:r>
    </w:p>
    <w:p>
      <w:pPr>
        <w:spacing w:after="0" w:line="1" w:lineRule="exact"/>
        <w:rPr>
          <w:rFonts w:ascii="Arial" w:cs="Arial" w:eastAsia="Arial" w:hAnsi="Arial"/>
          <w:sz w:val="30"/>
          <w:szCs w:val="30"/>
          <w:color w:val="auto"/>
          <w:vertAlign w:val="superscript"/>
        </w:rPr>
      </w:pPr>
    </w:p>
    <w:p>
      <w:pPr>
        <w:ind w:left="340" w:right="700" w:hanging="332"/>
        <w:spacing w:after="0" w:line="209" w:lineRule="auto"/>
        <w:tabs>
          <w:tab w:leader="none" w:pos="340" w:val="left"/>
        </w:tabs>
        <w:numPr>
          <w:ilvl w:val="0"/>
          <w:numId w:val="8"/>
        </w:numPr>
        <w:rPr>
          <w:rFonts w:ascii="Arial" w:cs="Arial" w:eastAsia="Arial" w:hAnsi="Arial"/>
          <w:sz w:val="27"/>
          <w:szCs w:val="27"/>
          <w:color w:val="auto"/>
          <w:vertAlign w:val="superscript"/>
        </w:rPr>
      </w:pPr>
      <w:r>
        <w:rPr>
          <w:rFonts w:ascii="Arial" w:cs="Arial" w:eastAsia="Arial" w:hAnsi="Arial"/>
          <w:sz w:val="16"/>
          <w:szCs w:val="16"/>
          <w:color w:val="auto"/>
        </w:rPr>
        <w:t>Based on (i) 116,495,802 ADSs of the Issuer outstanding as of December 31, 2021 and (ii) 3,761,947 ADSs, issuable upon exercise of certain warrants, the exercise of which is subject to a beneficial ownership limitation of 9.99% of the Issuer’s outstanding Ordinary Shares.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3" w:name="page4"/>
    <w:bookmarkEnd w:id="3"/>
    <w:p>
      <w:pPr>
        <w:spacing w:after="0"/>
        <w:tabs>
          <w:tab w:leader="none" w:pos="102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 (a)</w:t>
        <w:tab/>
        <w:t>N</w:t>
      </w:r>
      <w:r>
        <w:rPr>
          <w:rFonts w:ascii="Arial" w:cs="Arial" w:eastAsia="Arial" w:hAnsi="Arial"/>
          <w:sz w:val="12"/>
          <w:szCs w:val="12"/>
          <w:b w:val="1"/>
          <w:bCs w:val="1"/>
          <w:color w:val="auto"/>
        </w:rPr>
        <w:t>AME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SSUER</w:t>
      </w:r>
      <w:r>
        <w:rPr>
          <w:rFonts w:ascii="Arial" w:cs="Arial" w:eastAsia="Arial" w:hAnsi="Arial"/>
          <w:sz w:val="18"/>
          <w:szCs w:val="18"/>
          <w:b w:val="1"/>
          <w:bCs w:val="1"/>
          <w:color w:val="auto"/>
        </w:rPr>
        <w:t>:</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Mereo BioPharma Group plc</w:t>
      </w:r>
    </w:p>
    <w:p>
      <w:pPr>
        <w:spacing w:after="0" w:line="221" w:lineRule="exact"/>
        <w:rPr>
          <w:sz w:val="20"/>
          <w:szCs w:val="20"/>
          <w:color w:val="auto"/>
        </w:rPr>
      </w:pPr>
    </w:p>
    <w:p>
      <w:pPr>
        <w:ind w:left="1040" w:hanging="384"/>
        <w:spacing w:after="0"/>
        <w:tabs>
          <w:tab w:leader="none" w:pos="10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DDRESS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SSUER</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FFICES</w:t>
      </w:r>
      <w:r>
        <w:rPr>
          <w:rFonts w:ascii="Arial" w:cs="Arial" w:eastAsia="Arial" w:hAnsi="Arial"/>
          <w:sz w:val="18"/>
          <w:szCs w:val="18"/>
          <w:b w:val="1"/>
          <w:bCs w:val="1"/>
          <w:color w:val="auto"/>
        </w:rPr>
        <w:t>:</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4th Floor, One Cavendish Place,</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London, W1G 0QF, United Kingdom</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2. (a)</w:t>
        <w:tab/>
        <w:t>N</w:t>
      </w:r>
      <w:r>
        <w:rPr>
          <w:rFonts w:ascii="Arial" w:cs="Arial" w:eastAsia="Arial" w:hAnsi="Arial"/>
          <w:sz w:val="12"/>
          <w:szCs w:val="12"/>
          <w:b w:val="1"/>
          <w:bCs w:val="1"/>
          <w:color w:val="auto"/>
        </w:rPr>
        <w:t>AME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ILING</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No. 3 to Schedule 13G is filed jointly by Vivo Capital IX, LLC and Vivo Opportunity, LLC.</w:t>
      </w:r>
    </w:p>
    <w:p>
      <w:pPr>
        <w:spacing w:after="0" w:line="221" w:lineRule="exact"/>
        <w:rPr>
          <w:sz w:val="20"/>
          <w:szCs w:val="20"/>
          <w:color w:val="auto"/>
        </w:rPr>
      </w:pPr>
    </w:p>
    <w:p>
      <w:pPr>
        <w:ind w:left="1040" w:hanging="384"/>
        <w:spacing w:after="0"/>
        <w:tabs>
          <w:tab w:leader="none" w:pos="10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DDRESS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USINESS</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 OR</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IF</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ONE</w:t>
      </w:r>
      <w:r>
        <w:rPr>
          <w:rFonts w:ascii="Arial" w:cs="Arial" w:eastAsia="Arial" w:hAnsi="Arial"/>
          <w:sz w:val="18"/>
          <w:szCs w:val="18"/>
          <w:b w:val="1"/>
          <w:bCs w:val="1"/>
          <w:color w:val="auto"/>
        </w:rPr>
        <w:t>, R</w:t>
      </w:r>
      <w:r>
        <w:rPr>
          <w:rFonts w:ascii="Arial" w:cs="Arial" w:eastAsia="Arial" w:hAnsi="Arial"/>
          <w:sz w:val="12"/>
          <w:szCs w:val="12"/>
          <w:b w:val="1"/>
          <w:bCs w:val="1"/>
          <w:color w:val="auto"/>
        </w:rPr>
        <w:t>ESIDENCE</w:t>
      </w:r>
      <w:r>
        <w:rPr>
          <w:rFonts w:ascii="Arial" w:cs="Arial" w:eastAsia="Arial" w:hAnsi="Arial"/>
          <w:sz w:val="18"/>
          <w:szCs w:val="18"/>
          <w:b w:val="1"/>
          <w:bCs w:val="1"/>
          <w:color w:val="auto"/>
        </w:rPr>
        <w:t>:</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192 Lytton Avenue, Palo Alto, CA 94301</w:t>
      </w:r>
    </w:p>
    <w:p>
      <w:pPr>
        <w:spacing w:after="0" w:line="221" w:lineRule="exact"/>
        <w:rPr>
          <w:sz w:val="20"/>
          <w:szCs w:val="20"/>
          <w:color w:val="auto"/>
        </w:rPr>
      </w:pPr>
    </w:p>
    <w:p>
      <w:pPr>
        <w:ind w:left="1040" w:hanging="384"/>
        <w:spacing w:after="0"/>
        <w:tabs>
          <w:tab w:leader="none" w:pos="10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ITIZENSHIP</w:t>
      </w:r>
      <w:r>
        <w:rPr>
          <w:rFonts w:ascii="Arial" w:cs="Arial" w:eastAsia="Arial" w:hAnsi="Arial"/>
          <w:sz w:val="18"/>
          <w:szCs w:val="18"/>
          <w:b w:val="1"/>
          <w:bCs w:val="1"/>
          <w:color w:val="auto"/>
        </w:rPr>
        <w:t>:</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Vivo Capital IX, LLC is a Delaware limited liability company.</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Vivo Opportunity, LLC is a Delaware limited liability company.</w:t>
      </w:r>
    </w:p>
    <w:p>
      <w:pPr>
        <w:spacing w:after="0" w:line="221" w:lineRule="exact"/>
        <w:rPr>
          <w:sz w:val="20"/>
          <w:szCs w:val="20"/>
          <w:color w:val="auto"/>
        </w:rPr>
      </w:pPr>
    </w:p>
    <w:p>
      <w:pPr>
        <w:ind w:left="1040" w:hanging="384"/>
        <w:spacing w:after="0"/>
        <w:tabs>
          <w:tab w:leader="none" w:pos="10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ITLE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ECURITIES</w:t>
      </w:r>
      <w:r>
        <w:rPr>
          <w:rFonts w:ascii="Arial" w:cs="Arial" w:eastAsia="Arial" w:hAnsi="Arial"/>
          <w:sz w:val="18"/>
          <w:szCs w:val="18"/>
          <w:b w:val="1"/>
          <w:bCs w:val="1"/>
          <w:color w:val="auto"/>
        </w:rPr>
        <w:t>:</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Ordinary Shares, nominal value £0.003, represented by American Depositary Shares, each of which represents five Ordinary Shares.</w:t>
      </w:r>
    </w:p>
    <w:p>
      <w:pPr>
        <w:spacing w:after="0" w:line="244" w:lineRule="exact"/>
        <w:rPr>
          <w:sz w:val="20"/>
          <w:szCs w:val="20"/>
          <w:color w:val="auto"/>
        </w:rPr>
      </w:pPr>
    </w:p>
    <w:p>
      <w:pPr>
        <w:ind w:left="1040" w:right="8720" w:hanging="384"/>
        <w:spacing w:after="0" w:line="500" w:lineRule="auto"/>
        <w:tabs>
          <w:tab w:leader="none" w:pos="1029"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CUSIP N</w:t>
      </w:r>
      <w:r>
        <w:rPr>
          <w:rFonts w:ascii="Arial" w:cs="Arial" w:eastAsia="Arial" w:hAnsi="Arial"/>
          <w:sz w:val="12"/>
          <w:szCs w:val="12"/>
          <w:b w:val="1"/>
          <w:bCs w:val="1"/>
          <w:color w:val="auto"/>
        </w:rPr>
        <w:t>UMBER</w:t>
      </w:r>
      <w:r>
        <w:rPr>
          <w:rFonts w:ascii="Arial" w:cs="Arial" w:eastAsia="Arial" w:hAnsi="Arial"/>
          <w:sz w:val="18"/>
          <w:szCs w:val="18"/>
          <w:b w:val="1"/>
          <w:bCs w:val="1"/>
          <w:color w:val="auto"/>
        </w:rPr>
        <w:t xml:space="preserve">: </w:t>
      </w:r>
      <w:r>
        <w:rPr>
          <w:rFonts w:ascii="Arial" w:cs="Arial" w:eastAsia="Arial" w:hAnsi="Arial"/>
          <w:sz w:val="18"/>
          <w:szCs w:val="18"/>
          <w:color w:val="auto"/>
        </w:rPr>
        <w:t>589492107</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3. I</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HIS</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 IS</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ILED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URSUANT TO</w:t>
      </w:r>
      <w:r>
        <w:rPr>
          <w:rFonts w:ascii="Arial" w:cs="Arial" w:eastAsia="Arial" w:hAnsi="Arial"/>
          <w:sz w:val="18"/>
          <w:szCs w:val="18"/>
          <w:b w:val="1"/>
          <w:bCs w:val="1"/>
          <w:color w:val="auto"/>
        </w:rPr>
        <w:t xml:space="preserve"> §§ 240.13d-1(b), </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240.13d-2(b) </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(c), C</w:t>
      </w:r>
      <w:r>
        <w:rPr>
          <w:rFonts w:ascii="Arial" w:cs="Arial" w:eastAsia="Arial" w:hAnsi="Arial"/>
          <w:sz w:val="12"/>
          <w:szCs w:val="12"/>
          <w:b w:val="1"/>
          <w:bCs w:val="1"/>
          <w:color w:val="auto"/>
        </w:rPr>
        <w:t>HECK</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HETHER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ILING IS A</w:t>
      </w:r>
      <w:r>
        <w:rPr>
          <w:rFonts w:ascii="Arial" w:cs="Arial" w:eastAsia="Arial" w:hAnsi="Arial"/>
          <w:sz w:val="18"/>
          <w:szCs w:val="18"/>
          <w:b w:val="1"/>
          <w:bCs w:val="1"/>
          <w:color w:val="auto"/>
        </w:rPr>
        <w:t>:</w:t>
      </w:r>
    </w:p>
    <w:p>
      <w:pPr>
        <w:spacing w:after="0" w:line="196" w:lineRule="exact"/>
        <w:rPr>
          <w:sz w:val="20"/>
          <w:szCs w:val="20"/>
          <w:color w:val="auto"/>
        </w:rPr>
      </w:pPr>
    </w:p>
    <w:p>
      <w:pPr>
        <w:ind w:left="1040" w:hanging="384"/>
        <w:spacing w:after="0" w:line="207" w:lineRule="exact"/>
        <w:tabs>
          <w:tab w:leader="none" w:pos="104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225" w:lineRule="exact"/>
        <w:rPr>
          <w:rFonts w:ascii="Arial" w:cs="Arial" w:eastAsia="Arial" w:hAnsi="Arial"/>
          <w:sz w:val="18"/>
          <w:szCs w:val="18"/>
          <w:color w:val="auto"/>
        </w:rPr>
      </w:pPr>
    </w:p>
    <w:p>
      <w:pPr>
        <w:ind w:left="1040" w:hanging="384"/>
        <w:spacing w:after="0" w:line="207" w:lineRule="exact"/>
        <w:tabs>
          <w:tab w:leader="none" w:pos="104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225" w:lineRule="exact"/>
        <w:rPr>
          <w:rFonts w:ascii="Arial" w:cs="Arial" w:eastAsia="Arial" w:hAnsi="Arial"/>
          <w:sz w:val="18"/>
          <w:szCs w:val="18"/>
          <w:color w:val="auto"/>
        </w:rPr>
      </w:pPr>
    </w:p>
    <w:p>
      <w:pPr>
        <w:ind w:left="1040" w:hanging="384"/>
        <w:spacing w:after="0" w:line="207" w:lineRule="exact"/>
        <w:tabs>
          <w:tab w:leader="none" w:pos="104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225" w:lineRule="exact"/>
        <w:rPr>
          <w:rFonts w:ascii="Arial" w:cs="Arial" w:eastAsia="Arial" w:hAnsi="Arial"/>
          <w:sz w:val="18"/>
          <w:szCs w:val="18"/>
          <w:color w:val="auto"/>
        </w:rPr>
      </w:pPr>
    </w:p>
    <w:p>
      <w:pPr>
        <w:ind w:left="1040" w:hanging="384"/>
        <w:spacing w:after="0" w:line="207" w:lineRule="exact"/>
        <w:tabs>
          <w:tab w:leader="none" w:pos="104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225" w:lineRule="exact"/>
        <w:rPr>
          <w:rFonts w:ascii="Arial" w:cs="Arial" w:eastAsia="Arial" w:hAnsi="Arial"/>
          <w:sz w:val="18"/>
          <w:szCs w:val="18"/>
          <w:color w:val="auto"/>
        </w:rPr>
      </w:pPr>
    </w:p>
    <w:p>
      <w:pPr>
        <w:ind w:left="1040" w:hanging="384"/>
        <w:spacing w:after="0" w:line="207" w:lineRule="exact"/>
        <w:tabs>
          <w:tab w:leader="none" w:pos="104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225" w:lineRule="exact"/>
        <w:rPr>
          <w:rFonts w:ascii="Arial" w:cs="Arial" w:eastAsia="Arial" w:hAnsi="Arial"/>
          <w:sz w:val="18"/>
          <w:szCs w:val="18"/>
          <w:color w:val="auto"/>
        </w:rPr>
      </w:pPr>
    </w:p>
    <w:p>
      <w:pPr>
        <w:ind w:left="1040" w:hanging="384"/>
        <w:spacing w:after="0" w:line="207" w:lineRule="exact"/>
        <w:tabs>
          <w:tab w:leader="none" w:pos="104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225" w:lineRule="exact"/>
        <w:rPr>
          <w:rFonts w:ascii="Arial" w:cs="Arial" w:eastAsia="Arial" w:hAnsi="Arial"/>
          <w:sz w:val="18"/>
          <w:szCs w:val="18"/>
          <w:color w:val="auto"/>
        </w:rPr>
      </w:pPr>
    </w:p>
    <w:p>
      <w:pPr>
        <w:ind w:left="1040" w:hanging="384"/>
        <w:spacing w:after="0" w:line="207" w:lineRule="exact"/>
        <w:tabs>
          <w:tab w:leader="none" w:pos="104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240.13d-1(b)(l)(ii)(G);</w:t>
      </w:r>
    </w:p>
    <w:p>
      <w:pPr>
        <w:spacing w:after="0" w:line="225" w:lineRule="exact"/>
        <w:rPr>
          <w:rFonts w:ascii="Arial" w:cs="Arial" w:eastAsia="Arial" w:hAnsi="Arial"/>
          <w:sz w:val="18"/>
          <w:szCs w:val="18"/>
          <w:color w:val="auto"/>
        </w:rPr>
      </w:pPr>
    </w:p>
    <w:p>
      <w:pPr>
        <w:ind w:left="1040" w:hanging="384"/>
        <w:spacing w:after="0" w:line="207" w:lineRule="exact"/>
        <w:tabs>
          <w:tab w:leader="none" w:pos="104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25" w:lineRule="exact"/>
        <w:rPr>
          <w:rFonts w:ascii="Arial" w:cs="Arial" w:eastAsia="Arial" w:hAnsi="Arial"/>
          <w:sz w:val="18"/>
          <w:szCs w:val="18"/>
          <w:color w:val="auto"/>
        </w:rPr>
      </w:pPr>
    </w:p>
    <w:p>
      <w:pPr>
        <w:ind w:left="1040" w:hanging="384"/>
        <w:spacing w:after="0" w:line="184" w:lineRule="exact"/>
        <w:tabs>
          <w:tab w:leader="none" w:pos="1040" w:val="left"/>
        </w:tabs>
        <w:numPr>
          <w:ilvl w:val="0"/>
          <w:numId w:val="14"/>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 church plan that is excluded from the definition of an investment company under Section 3(c)(14) of the Investment Company Act;</w:t>
      </w:r>
    </w:p>
    <w:p>
      <w:pPr>
        <w:spacing w:after="0" w:line="248" w:lineRule="exact"/>
        <w:rPr>
          <w:rFonts w:ascii="Arial" w:cs="Arial" w:eastAsia="Arial" w:hAnsi="Arial"/>
          <w:sz w:val="16"/>
          <w:szCs w:val="16"/>
          <w:color w:val="auto"/>
        </w:rPr>
      </w:pPr>
    </w:p>
    <w:p>
      <w:pPr>
        <w:ind w:left="1040" w:hanging="384"/>
        <w:spacing w:after="0" w:line="207" w:lineRule="exact"/>
        <w:tabs>
          <w:tab w:leader="none" w:pos="104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225" w:lineRule="exact"/>
        <w:rPr>
          <w:rFonts w:ascii="Arial" w:cs="Arial" w:eastAsia="Arial" w:hAnsi="Arial"/>
          <w:sz w:val="18"/>
          <w:szCs w:val="18"/>
          <w:color w:val="auto"/>
        </w:rPr>
      </w:pPr>
    </w:p>
    <w:p>
      <w:pPr>
        <w:ind w:left="1040" w:hanging="384"/>
        <w:spacing w:after="0" w:line="207" w:lineRule="exact"/>
        <w:tabs>
          <w:tab w:leader="none" w:pos="104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240.13d-1(b)(l)(ii)(K).</w:t>
      </w:r>
    </w:p>
    <w:p>
      <w:pPr>
        <w:spacing w:after="0" w:line="200" w:lineRule="exact"/>
        <w:rPr>
          <w:sz w:val="20"/>
          <w:szCs w:val="20"/>
          <w:color w:val="auto"/>
        </w:rPr>
      </w:pPr>
    </w:p>
    <w:p>
      <w:pPr>
        <w:spacing w:after="0" w:line="27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4" w:name="page5"/>
    <w:bookmarkEnd w:id="4"/>
    <w:p>
      <w:pPr>
        <w:ind w:left="660"/>
        <w:spacing w:after="0"/>
        <w:rPr>
          <w:sz w:val="20"/>
          <w:szCs w:val="20"/>
          <w:color w:val="auto"/>
        </w:rPr>
      </w:pPr>
      <w:r>
        <w:rPr>
          <w:rFonts w:ascii="Arial" w:cs="Arial" w:eastAsia="Arial" w:hAnsi="Arial"/>
          <w:sz w:val="18"/>
          <w:szCs w:val="18"/>
          <w:color w:val="auto"/>
        </w:rPr>
        <w:t>If filing as a non-U.S. institution in accordance with § 240.13d-1(b)(1(ii)(j), please specify the type of institution: 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4. O</w:t>
      </w:r>
      <w:r>
        <w:rPr>
          <w:rFonts w:ascii="Arial" w:cs="Arial" w:eastAsia="Arial" w:hAnsi="Arial"/>
          <w:sz w:val="12"/>
          <w:szCs w:val="12"/>
          <w:b w:val="1"/>
          <w:bCs w:val="1"/>
          <w:color w:val="auto"/>
        </w:rPr>
        <w:t>WNERSHIP</w:t>
      </w:r>
      <w:r>
        <w:rPr>
          <w:rFonts w:ascii="Arial" w:cs="Arial" w:eastAsia="Arial" w:hAnsi="Arial"/>
          <w:sz w:val="18"/>
          <w:szCs w:val="18"/>
          <w:b w:val="1"/>
          <w:bCs w:val="1"/>
          <w:color w:val="auto"/>
        </w:rPr>
        <w:t>.</w:t>
      </w:r>
    </w:p>
    <w:p>
      <w:pPr>
        <w:spacing w:after="0" w:line="225" w:lineRule="exact"/>
        <w:rPr>
          <w:sz w:val="20"/>
          <w:szCs w:val="20"/>
          <w:color w:val="auto"/>
        </w:rPr>
      </w:pPr>
    </w:p>
    <w:p>
      <w:pPr>
        <w:ind w:left="1040" w:hanging="384"/>
        <w:spacing w:after="0"/>
        <w:tabs>
          <w:tab w:leader="none" w:pos="1040" w:val="left"/>
        </w:tabs>
        <w:numPr>
          <w:ilvl w:val="1"/>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MOUNT BENEFICIALLY OWNED</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Vivo Capital IX, LLC</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1,260,085 ADSs and 839,435 ADSs issuable upon exercise of certain warrants are held of record by Vivo Capital Fund IX, L.P. Vivo Capital IX, LLC is the general partner of Vivo Capital Fund IX, L.P. The voting members of Vivo Capital IX, LLC are Frank Kung, Edgar Engleman, Shan Fu, Hongbo Lu, Mahendra Shah, Jack Nielsen and Michael Chang, none of whom has individual voting or investment power with respect to these shares and each of whom disclaims beneficial ownership of such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(2) Vivo Opportunity, LLC</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5,647,104 ADSs and 3,761,947 ADSs, issuable upon exercise of certain are held of record by Vivo Opportunity Fund Holdings, L.P. Vivo Opportunity, LLC is the general partner of Vivo Opportunity Fund Holdings, L.P. The voting members of Vivo Opportunity, LLC are Gaurav Aggarwal, Hongbo Lu, Kevin Dai, Frank Kung and Michael Chang, none of whom has individual voting or investment power with respect to these shares and each of whom disclaims beneficial ownership of such shares.</w:t>
      </w:r>
    </w:p>
    <w:p>
      <w:pPr>
        <w:spacing w:after="0" w:line="183" w:lineRule="exact"/>
        <w:rPr>
          <w:sz w:val="20"/>
          <w:szCs w:val="20"/>
          <w:color w:val="auto"/>
        </w:rPr>
      </w:pPr>
    </w:p>
    <w:p>
      <w:pPr>
        <w:ind w:left="1040" w:hanging="384"/>
        <w:spacing w:after="0"/>
        <w:tabs>
          <w:tab w:leader="none" w:pos="10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ERCENT OF CLASS</w:t>
      </w:r>
      <w:r>
        <w:rPr>
          <w:rFonts w:ascii="Arial" w:cs="Arial" w:eastAsia="Arial" w:hAnsi="Arial"/>
          <w:sz w:val="18"/>
          <w:szCs w:val="18"/>
          <w:b w:val="1"/>
          <w:bCs w:val="1"/>
          <w:color w:val="auto"/>
        </w:rPr>
        <w:t>:</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Vivo Capital IX, LLC: 1.8%</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Vivo Opportunity, LLC: 7.8%</w:t>
      </w:r>
    </w:p>
    <w:p>
      <w:pPr>
        <w:spacing w:after="0" w:line="221" w:lineRule="exact"/>
        <w:rPr>
          <w:sz w:val="20"/>
          <w:szCs w:val="20"/>
          <w:color w:val="auto"/>
        </w:rPr>
      </w:pPr>
    </w:p>
    <w:p>
      <w:pPr>
        <w:ind w:left="1040" w:hanging="384"/>
        <w:spacing w:after="0"/>
        <w:tabs>
          <w:tab w:leader="none" w:pos="10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UMBER OF SHARES AS TO WHICH SUCH PERSON HAS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440" w:right="6800" w:hanging="406"/>
        <w:spacing w:after="0" w:line="563" w:lineRule="auto"/>
        <w:tabs>
          <w:tab w:leader="none" w:pos="1418" w:val="left"/>
        </w:tabs>
        <w:numPr>
          <w:ilvl w:val="1"/>
          <w:numId w:val="18"/>
        </w:numPr>
        <w:rPr>
          <w:rFonts w:ascii="Arial" w:cs="Arial" w:eastAsia="Arial" w:hAnsi="Arial"/>
          <w:sz w:val="16"/>
          <w:szCs w:val="16"/>
          <w:color w:val="auto"/>
        </w:rPr>
      </w:pPr>
      <w:r>
        <w:rPr>
          <w:rFonts w:ascii="Arial" w:cs="Arial" w:eastAsia="Arial" w:hAnsi="Arial"/>
          <w:sz w:val="16"/>
          <w:szCs w:val="16"/>
          <w:color w:val="auto"/>
        </w:rPr>
        <w:t>Sole power to vote or to direct the vote: Vivo Capital IX, LLC: 2,099,520 ADSs Vivo Opportunity, LLC: 9,409,051 ADSs</w:t>
      </w:r>
    </w:p>
    <w:p>
      <w:pPr>
        <w:spacing w:after="0" w:line="1" w:lineRule="exact"/>
        <w:rPr>
          <w:rFonts w:ascii="Arial" w:cs="Arial" w:eastAsia="Arial" w:hAnsi="Arial"/>
          <w:sz w:val="16"/>
          <w:szCs w:val="16"/>
          <w:color w:val="auto"/>
        </w:rPr>
      </w:pPr>
    </w:p>
    <w:p>
      <w:pPr>
        <w:ind w:left="1420" w:hanging="386"/>
        <w:spacing w:after="0"/>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1440" w:right="6040" w:hanging="406"/>
        <w:spacing w:after="0" w:line="530" w:lineRule="auto"/>
        <w:tabs>
          <w:tab w:leader="none" w:pos="1418" w:val="left"/>
        </w:tabs>
        <w:numPr>
          <w:ilvl w:val="1"/>
          <w:numId w:val="18"/>
        </w:numPr>
        <w:rPr>
          <w:rFonts w:ascii="Arial" w:cs="Arial" w:eastAsia="Arial" w:hAnsi="Arial"/>
          <w:sz w:val="17"/>
          <w:szCs w:val="17"/>
          <w:color w:val="auto"/>
        </w:rPr>
      </w:pPr>
      <w:r>
        <w:rPr>
          <w:rFonts w:ascii="Arial" w:cs="Arial" w:eastAsia="Arial" w:hAnsi="Arial"/>
          <w:sz w:val="17"/>
          <w:szCs w:val="17"/>
          <w:color w:val="auto"/>
        </w:rPr>
        <w:t>Sole power to dispose or to direct the disposition of: Vivo Capital IX, LLC: 2,099,520 ADSs</w:t>
      </w:r>
    </w:p>
    <w:p>
      <w:pPr>
        <w:ind w:left="1440"/>
        <w:spacing w:after="0"/>
        <w:rPr>
          <w:rFonts w:ascii="Arial" w:cs="Arial" w:eastAsia="Arial" w:hAnsi="Arial"/>
          <w:sz w:val="17"/>
          <w:szCs w:val="17"/>
          <w:color w:val="auto"/>
        </w:rPr>
      </w:pPr>
      <w:r>
        <w:rPr>
          <w:rFonts w:ascii="Arial" w:cs="Arial" w:eastAsia="Arial" w:hAnsi="Arial"/>
          <w:sz w:val="18"/>
          <w:szCs w:val="18"/>
          <w:color w:val="auto"/>
        </w:rPr>
        <w:t>Vivo Opportunity, LLC: 9,409,051 ADSs</w:t>
      </w:r>
    </w:p>
    <w:p>
      <w:pPr>
        <w:spacing w:after="0" w:line="225" w:lineRule="exact"/>
        <w:rPr>
          <w:rFonts w:ascii="Arial" w:cs="Arial" w:eastAsia="Arial" w:hAnsi="Arial"/>
          <w:sz w:val="17"/>
          <w:szCs w:val="17"/>
          <w:color w:val="auto"/>
        </w:rPr>
      </w:pPr>
    </w:p>
    <w:p>
      <w:pPr>
        <w:ind w:left="1420" w:hanging="386"/>
        <w:spacing w:after="0"/>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Shared power to dispose of or to direct the disposition of: 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5. O</w:t>
      </w:r>
      <w:r>
        <w:rPr>
          <w:rFonts w:ascii="Arial" w:cs="Arial" w:eastAsia="Arial" w:hAnsi="Arial"/>
          <w:sz w:val="12"/>
          <w:szCs w:val="12"/>
          <w:b w:val="1"/>
          <w:bCs w:val="1"/>
          <w:color w:val="auto"/>
        </w:rPr>
        <w:t>WNERSHIP OF</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ERCENT OR</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ESS OF A</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6. O</w:t>
      </w:r>
      <w:r>
        <w:rPr>
          <w:rFonts w:ascii="Arial" w:cs="Arial" w:eastAsia="Arial" w:hAnsi="Arial"/>
          <w:sz w:val="12"/>
          <w:szCs w:val="12"/>
          <w:b w:val="1"/>
          <w:bCs w:val="1"/>
          <w:color w:val="auto"/>
        </w:rPr>
        <w:t>WNERSHIP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ORE THAN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ERCENT ON</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EHALF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NOTHER</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right="260" w:hanging="647"/>
        <w:spacing w:after="0" w:line="282"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7. I</w:t>
      </w:r>
      <w:r>
        <w:rPr>
          <w:rFonts w:ascii="Arial" w:cs="Arial" w:eastAsia="Arial" w:hAnsi="Arial"/>
          <w:sz w:val="12"/>
          <w:szCs w:val="12"/>
          <w:b w:val="1"/>
          <w:bCs w:val="1"/>
          <w:color w:val="auto"/>
        </w:rPr>
        <w:t>DENTIFICATION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LASSIFICATION OF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UBSIDIARY</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HICH</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CQUIRED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ECURITY</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EING</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EPORTED ON BY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ARENT</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OLDING</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 OR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ONTROL</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8. I</w:t>
      </w:r>
      <w:r>
        <w:rPr>
          <w:rFonts w:ascii="Arial" w:cs="Arial" w:eastAsia="Arial" w:hAnsi="Arial"/>
          <w:sz w:val="12"/>
          <w:szCs w:val="12"/>
          <w:b w:val="1"/>
          <w:bCs w:val="1"/>
          <w:color w:val="auto"/>
        </w:rPr>
        <w:t>DENTIFICATION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LASSIFICATION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EMBERS OF THE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9. N</w:t>
      </w:r>
      <w:r>
        <w:rPr>
          <w:rFonts w:ascii="Arial" w:cs="Arial" w:eastAsia="Arial" w:hAnsi="Arial"/>
          <w:sz w:val="12"/>
          <w:szCs w:val="12"/>
          <w:b w:val="1"/>
          <w:bCs w:val="1"/>
          <w:color w:val="auto"/>
        </w:rPr>
        <w:t>OTICE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ISSOLUTION OF</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10. C</w:t>
      </w:r>
      <w:r>
        <w:rPr>
          <w:rFonts w:ascii="Arial" w:cs="Arial" w:eastAsia="Arial" w:hAnsi="Arial"/>
          <w:sz w:val="12"/>
          <w:szCs w:val="12"/>
          <w:b w:val="1"/>
          <w:bCs w:val="1"/>
          <w:color w:val="auto"/>
        </w:rPr>
        <w:t>ERTIFICATIONS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60" w:firstLine="648"/>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ectPr>
          <w:pgSz w:w="11900" w:h="16838" w:orient="portrait"/>
          <w:cols w:equalWidth="0" w:num="1">
            <w:col w:w="11220"/>
          </w:cols>
          <w:pgMar w:left="320" w:top="908" w:right="359" w:bottom="0" w:gutter="0" w:footer="0" w:header="0"/>
        </w:sectPr>
      </w:pPr>
    </w:p>
    <w:bookmarkStart w:id="5" w:name="page6"/>
    <w:bookmarkEnd w:id="5"/>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Vivo Capital IX,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February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Frank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Vivo Opportunity,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February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Gaurav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2"/>
      <w:numFmt w:val="bullet"/>
      <w:start w:val="1"/>
    </w:lvl>
    <w:lvl w:ilvl="1">
      <w:lvlJc w:val="left"/>
      <w:lvlText w:val="(%2)"/>
      <w:numFmt w:val="lowerLetter"/>
      <w:start w:val="2"/>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2"/>
      <w:numFmt w:val="bullet"/>
      <w:start w:val="1"/>
    </w:lvl>
    <w:lvl w:ilvl="1">
      <w:lvlJc w:val="left"/>
      <w:lvlText w:val="(%2)"/>
      <w:numFmt w:val="lowerLetter"/>
      <w:start w:val="2"/>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lowerLetter"/>
      <w:start w:val="2"/>
    </w:lvl>
  </w:abstractNum>
  <w:abstractNum w:abstractNumId="9">
    <w:nsid w:val="DED7263"/>
    <w:multiLevelType w:val="hybridMultilevel"/>
    <w:lvl w:ilvl="0">
      <w:lvlJc w:val="left"/>
      <w:lvlText w:val="(%1)"/>
      <w:numFmt w:val="lowerLetter"/>
      <w:start w:val="2"/>
    </w:lvl>
  </w:abstractNum>
  <w:abstractNum w:abstractNumId="10">
    <w:nsid w:val="7FDCC233"/>
    <w:multiLevelType w:val="hybridMultilevel"/>
    <w:lvl w:ilvl="0">
      <w:lvlJc w:val="left"/>
      <w:lvlText w:val="(%1)"/>
      <w:numFmt w:val="lowerLetter"/>
      <w:start w:val="3"/>
    </w:lvl>
  </w:abstractNum>
  <w:abstractNum w:abstractNumId="11">
    <w:nsid w:val="1BEFD79F"/>
    <w:multiLevelType w:val="hybridMultilevel"/>
    <w:lvl w:ilvl="0">
      <w:lvlJc w:val="left"/>
      <w:lvlText w:val="(%1)"/>
      <w:numFmt w:val="lowerLetter"/>
      <w:start w:val="4"/>
    </w:lvl>
  </w:abstractNum>
  <w:abstractNum w:abstractNumId="12">
    <w:nsid w:val="41A7C4C9"/>
    <w:multiLevelType w:val="hybridMultilevel"/>
    <w:lvl w:ilvl="0">
      <w:lvlJc w:val="left"/>
      <w:lvlText w:val="(%1)"/>
      <w:numFmt w:val="lowerLetter"/>
      <w:start w:val="5"/>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lowerLetter"/>
      <w:start w:val="2"/>
    </w:lvl>
  </w:abstractNum>
  <w:abstractNum w:abstractNumId="17">
    <w:nsid w:val="431BD7B7"/>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2022-02-12T03:33:04Z</dcterms:created>
  <dcterms:modified xsi:type="dcterms:W3CDTF">2022-02-12T03:33:04Z</dcterms:modified>
</cp:coreProperties>
</file>